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media/image2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bCs/>
          <w:sz w:val="24"/>
        </w:rPr>
        <w:t xml:space="preserve">Altered </w:t>
      </w:r>
      <w:r>
        <w:rPr>
          <w:rFonts w:hint="default" w:ascii="Times New Roman" w:hAnsi="Times New Roman" w:cs="Times New Roman"/>
          <w:b/>
          <w:bCs/>
          <w:sz w:val="24"/>
        </w:rPr>
        <w:t>e</w:t>
      </w:r>
      <w:r>
        <w:rPr>
          <w:rFonts w:hint="default" w:ascii="Times New Roman" w:hAnsi="Times New Roman" w:cs="Times New Roman"/>
          <w:b/>
          <w:bCs/>
          <w:sz w:val="24"/>
        </w:rPr>
        <w:t xml:space="preserve">xpression </w:t>
      </w:r>
      <w:r>
        <w:rPr>
          <w:rFonts w:hint="default" w:ascii="Times New Roman" w:hAnsi="Times New Roman" w:cs="Times New Roman"/>
          <w:b/>
          <w:bCs/>
          <w:sz w:val="24"/>
        </w:rPr>
        <w:t>s</w:t>
      </w:r>
      <w:r>
        <w:rPr>
          <w:rFonts w:hint="default" w:ascii="Times New Roman" w:hAnsi="Times New Roman" w:cs="Times New Roman"/>
          <w:b/>
          <w:bCs/>
          <w:sz w:val="24"/>
        </w:rPr>
        <w:t xml:space="preserve">pectrum and </w:t>
      </w:r>
      <w:r>
        <w:rPr>
          <w:rFonts w:hint="default" w:ascii="Times New Roman" w:hAnsi="Times New Roman" w:cs="Times New Roman"/>
          <w:b/>
          <w:bCs/>
          <w:sz w:val="24"/>
        </w:rPr>
        <w:t>t</w:t>
      </w:r>
      <w:r>
        <w:rPr>
          <w:rFonts w:hint="default" w:ascii="Times New Roman" w:hAnsi="Times New Roman" w:cs="Times New Roman"/>
          <w:b/>
          <w:bCs/>
          <w:sz w:val="24"/>
        </w:rPr>
        <w:t xml:space="preserve">arget gene </w:t>
      </w:r>
      <w:r>
        <w:rPr>
          <w:rFonts w:hint="default" w:ascii="Times New Roman" w:hAnsi="Times New Roman" w:cs="Times New Roman"/>
          <w:b/>
          <w:bCs/>
          <w:sz w:val="24"/>
        </w:rPr>
        <w:t>p</w:t>
      </w:r>
      <w:r>
        <w:rPr>
          <w:rFonts w:hint="default" w:ascii="Times New Roman" w:hAnsi="Times New Roman" w:cs="Times New Roman"/>
          <w:b/>
          <w:bCs/>
          <w:sz w:val="24"/>
        </w:rPr>
        <w:t xml:space="preserve">rediction of tRNA-derived </w:t>
      </w:r>
      <w:r>
        <w:rPr>
          <w:rFonts w:hint="default" w:ascii="Times New Roman" w:hAnsi="Times New Roman" w:cs="Times New Roman"/>
          <w:b/>
          <w:bCs/>
          <w:sz w:val="24"/>
        </w:rPr>
        <w:t>s</w:t>
      </w:r>
      <w:r>
        <w:rPr>
          <w:rFonts w:hint="default" w:ascii="Times New Roman" w:hAnsi="Times New Roman" w:cs="Times New Roman"/>
          <w:b/>
          <w:bCs/>
          <w:sz w:val="24"/>
        </w:rPr>
        <w:t xml:space="preserve">mall RNAs in </w:t>
      </w:r>
      <w:r>
        <w:rPr>
          <w:rFonts w:hint="default" w:ascii="Times New Roman" w:hAnsi="Times New Roman" w:cs="Times New Roman"/>
          <w:b/>
          <w:bCs/>
          <w:sz w:val="24"/>
        </w:rPr>
        <w:t>c</w:t>
      </w:r>
      <w:r>
        <w:rPr>
          <w:rFonts w:hint="default" w:ascii="Times New Roman" w:hAnsi="Times New Roman" w:cs="Times New Roman"/>
          <w:b/>
          <w:bCs/>
          <w:sz w:val="24"/>
        </w:rPr>
        <w:t xml:space="preserve">lear </w:t>
      </w:r>
      <w:r>
        <w:rPr>
          <w:rFonts w:hint="default" w:ascii="Times New Roman" w:hAnsi="Times New Roman" w:cs="Times New Roman"/>
          <w:b/>
          <w:bCs/>
          <w:sz w:val="24"/>
        </w:rPr>
        <w:t>c</w:t>
      </w:r>
      <w:r>
        <w:rPr>
          <w:rFonts w:hint="default" w:ascii="Times New Roman" w:hAnsi="Times New Roman" w:cs="Times New Roman"/>
          <w:b/>
          <w:bCs/>
          <w:sz w:val="24"/>
        </w:rPr>
        <w:t xml:space="preserve">ell </w:t>
      </w:r>
      <w:r>
        <w:rPr>
          <w:rFonts w:hint="default" w:ascii="Times New Roman" w:hAnsi="Times New Roman" w:cs="Times New Roman"/>
          <w:b/>
          <w:bCs/>
          <w:sz w:val="24"/>
        </w:rPr>
        <w:t>r</w:t>
      </w:r>
      <w:r>
        <w:rPr>
          <w:rFonts w:hint="default" w:ascii="Times New Roman" w:hAnsi="Times New Roman" w:cs="Times New Roman"/>
          <w:b/>
          <w:bCs/>
          <w:sz w:val="24"/>
        </w:rPr>
        <w:t xml:space="preserve">enal </w:t>
      </w:r>
      <w:r>
        <w:rPr>
          <w:rFonts w:hint="default" w:ascii="Times New Roman" w:hAnsi="Times New Roman" w:cs="Times New Roman"/>
          <w:b/>
          <w:bCs/>
          <w:sz w:val="24"/>
        </w:rPr>
        <w:t>c</w:t>
      </w:r>
      <w:r>
        <w:rPr>
          <w:rFonts w:hint="default" w:ascii="Times New Roman" w:hAnsi="Times New Roman" w:cs="Times New Roman"/>
          <w:b/>
          <w:bCs/>
          <w:sz w:val="24"/>
        </w:rPr>
        <w:t xml:space="preserve">ell </w:t>
      </w:r>
      <w:r>
        <w:rPr>
          <w:rFonts w:hint="default" w:ascii="Times New Roman" w:hAnsi="Times New Roman" w:cs="Times New Roman"/>
          <w:b/>
          <w:bCs/>
          <w:sz w:val="24"/>
        </w:rPr>
        <w:t>c</w:t>
      </w:r>
      <w:r>
        <w:rPr>
          <w:rFonts w:hint="default" w:ascii="Times New Roman" w:hAnsi="Times New Roman" w:cs="Times New Roman"/>
          <w:b/>
          <w:bCs/>
          <w:sz w:val="24"/>
        </w:rPr>
        <w:t>arcinoma</w:t>
      </w:r>
    </w:p>
    <w:p>
      <w:pPr>
        <w:spacing w:line="360" w:lineRule="auto"/>
        <w:rPr>
          <w:rFonts w:hint="default" w:ascii="Times New Roman" w:hAnsi="Times New Roman" w:cs="Times New Roman"/>
          <w:sz w:val="24"/>
        </w:rPr>
      </w:pPr>
    </w:p>
    <w:p>
      <w:pPr>
        <w:spacing w:line="360" w:lineRule="auto"/>
        <w:rPr>
          <w:rFonts w:hint="default" w:ascii="Times New Roman" w:hAnsi="Times New Roman" w:cs="Times New Roman"/>
          <w:color w:val="FF0000"/>
          <w:sz w:val="24"/>
        </w:rPr>
      </w:pP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Shuai Liu</w:t>
      </w:r>
      <w:r>
        <w:rPr>
          <w:rFonts w:hint="default" w:ascii="Times New Roman" w:hAnsi="Times New Roman" w:cs="Times New Roman"/>
          <w:sz w:val="24"/>
          <w:highlight w:val="none"/>
          <w:vertAlign w:val="superscript"/>
          <w:lang w:val="en-US" w:eastAsia="zh-CN"/>
        </w:rPr>
        <w:t>a,1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, Yimingniyizi Nueraihemaiti</w:t>
      </w:r>
      <w:r>
        <w:rPr>
          <w:rFonts w:hint="default" w:ascii="Times New Roman" w:hAnsi="Times New Roman" w:cs="Times New Roman"/>
          <w:sz w:val="24"/>
          <w:highlight w:val="none"/>
          <w:vertAlign w:val="superscript"/>
          <w:lang w:val="en-US" w:eastAsia="zh-CN"/>
        </w:rPr>
        <w:t>a,1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, Yuchen Gao</w:t>
      </w:r>
      <w:r>
        <w:rPr>
          <w:rFonts w:hint="default" w:ascii="Times New Roman" w:hAnsi="Times New Roman" w:cs="Times New Roman"/>
          <w:sz w:val="24"/>
          <w:highlight w:val="none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, Xiangcheng Zhan</w:t>
      </w:r>
      <w:r>
        <w:rPr>
          <w:rFonts w:hint="default" w:ascii="Times New Roman" w:hAnsi="Times New Roman" w:cs="Times New Roman"/>
          <w:sz w:val="24"/>
          <w:highlight w:val="none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, Yanhua Chen</w:t>
      </w:r>
      <w:r>
        <w:rPr>
          <w:rFonts w:hint="default" w:ascii="Times New Roman" w:hAnsi="Times New Roman" w:cs="Times New Roman"/>
          <w:sz w:val="24"/>
          <w:highlight w:val="none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, Hongmin Zhou</w:t>
      </w:r>
      <w:r>
        <w:rPr>
          <w:rFonts w:hint="default" w:ascii="Times New Roman" w:hAnsi="Times New Roman" w:cs="Times New Roman"/>
          <w:sz w:val="24"/>
          <w:highlight w:val="none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, Bowen Chen</w:t>
      </w:r>
      <w:r>
        <w:rPr>
          <w:rFonts w:hint="default" w:ascii="Times New Roman" w:hAnsi="Times New Roman" w:cs="Times New Roman"/>
          <w:sz w:val="24"/>
          <w:highlight w:val="none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, Ding Liu</w:t>
      </w:r>
      <w:r>
        <w:rPr>
          <w:rFonts w:hint="default" w:ascii="Times New Roman" w:hAnsi="Times New Roman" w:cs="Times New Roman"/>
          <w:sz w:val="24"/>
          <w:highlight w:val="none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, Hao Chen</w:t>
      </w:r>
      <w:r>
        <w:rPr>
          <w:rFonts w:hint="default" w:ascii="Times New Roman" w:hAnsi="Times New Roman" w:cs="Times New Roman"/>
          <w:sz w:val="24"/>
          <w:highlight w:val="none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, Xiao Xu</w:t>
      </w:r>
      <w:r>
        <w:rPr>
          <w:rFonts w:hint="default" w:ascii="Times New Roman" w:hAnsi="Times New Roman" w:cs="Times New Roman"/>
          <w:sz w:val="24"/>
          <w:highlight w:val="none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, Tiancheng Xie</w:t>
      </w:r>
      <w:r>
        <w:rPr>
          <w:rFonts w:hint="default" w:ascii="Times New Roman" w:hAnsi="Times New Roman" w:cs="Times New Roman"/>
          <w:sz w:val="24"/>
          <w:highlight w:val="none"/>
          <w:vertAlign w:val="superscript"/>
          <w:lang w:val="en-US" w:eastAsia="zh-CN"/>
        </w:rPr>
        <w:t>a,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*, Yunze Dong</w:t>
      </w:r>
      <w:r>
        <w:rPr>
          <w:rFonts w:hint="default" w:ascii="Times New Roman" w:hAnsi="Times New Roman" w:cs="Times New Roman"/>
          <w:sz w:val="24"/>
          <w:highlight w:val="none"/>
          <w:vertAlign w:val="superscript"/>
          <w:lang w:val="en-US" w:eastAsia="zh-CN"/>
        </w:rPr>
        <w:t>a,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*, Yunfei Xu</w:t>
      </w:r>
      <w:r>
        <w:rPr>
          <w:rFonts w:hint="default" w:ascii="Times New Roman" w:hAnsi="Times New Roman" w:cs="Times New Roman"/>
          <w:sz w:val="24"/>
          <w:highlight w:val="none"/>
          <w:vertAlign w:val="superscript"/>
          <w:lang w:val="en-US" w:eastAsia="zh-CN"/>
        </w:rPr>
        <w:t>a,</w:t>
      </w:r>
      <w:r>
        <w:rPr>
          <w:rFonts w:hint="default" w:ascii="Times New Roman" w:hAnsi="Times New Roman" w:cs="Times New Roman"/>
          <w:sz w:val="24"/>
          <w:highlight w:val="none"/>
          <w:vertAlign w:val="baseline"/>
          <w:lang w:val="en-US" w:eastAsia="zh-CN"/>
        </w:rPr>
        <w:t>*</w:t>
      </w:r>
    </w:p>
    <w:p>
      <w:pPr>
        <w:spacing w:line="360" w:lineRule="auto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 xml:space="preserve"> </w:t>
      </w:r>
    </w:p>
    <w:p>
      <w:pPr>
        <w:spacing w:line="360" w:lineRule="auto"/>
        <w:rPr>
          <w:rFonts w:hint="default" w:ascii="Times New Roman" w:hAnsi="Times New Roman" w:cs="Times New Roman"/>
          <w:i/>
          <w:iCs/>
          <w:sz w:val="24"/>
        </w:rPr>
      </w:pPr>
      <w:r>
        <w:rPr>
          <w:rFonts w:hint="default" w:ascii="Times New Roman" w:hAnsi="Times New Roman" w:cs="Times New Roman"/>
          <w:sz w:val="24"/>
          <w:vertAlign w:val="superscript"/>
        </w:rPr>
        <w:t>a</w:t>
      </w:r>
      <w:r>
        <w:rPr>
          <w:rFonts w:hint="default" w:ascii="Times New Roman" w:hAnsi="Times New Roman" w:cs="Times New Roman"/>
          <w:i/>
          <w:iCs/>
          <w:sz w:val="24"/>
        </w:rPr>
        <w:t>Department of Urology, Shanghai Tenth People’s Hospital, School of Medicine in Tongji University, Shanghai, China</w:t>
      </w:r>
    </w:p>
    <w:p>
      <w:pPr>
        <w:spacing w:line="360" w:lineRule="auto"/>
        <w:rPr>
          <w:rFonts w:hint="default" w:ascii="Times New Roman" w:hAnsi="Times New Roman" w:cs="Times New Roman"/>
          <w:sz w:val="24"/>
          <w:vertAlign w:val="superscript"/>
        </w:rPr>
      </w:pPr>
    </w:p>
    <w:p>
      <w:pPr>
        <w:spacing w:line="360" w:lineRule="auto"/>
        <w:jc w:val="both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  <w:vertAlign w:val="superscript"/>
        </w:rPr>
        <w:t>*</w:t>
      </w:r>
      <w:r>
        <w:rPr>
          <w:rFonts w:hint="default" w:ascii="Times New Roman" w:hAnsi="Times New Roman" w:cs="Times New Roman"/>
          <w:sz w:val="24"/>
        </w:rPr>
        <w:t xml:space="preserve">Corresponding authors: </w:t>
      </w:r>
    </w:p>
    <w:p>
      <w:pPr>
        <w:spacing w:line="360" w:lineRule="auto"/>
        <w:jc w:val="both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i/>
          <w:iCs/>
          <w:sz w:val="24"/>
        </w:rPr>
        <w:t>E-mail address</w:t>
      </w:r>
      <w:r>
        <w:rPr>
          <w:rFonts w:hint="default" w:ascii="Times New Roman" w:hAnsi="Times New Roman" w:cs="Times New Roman"/>
          <w:sz w:val="24"/>
        </w:rPr>
        <w:t>: xuyunfeish@163.com (Y. Xu)</w:t>
      </w:r>
    </w:p>
    <w:p>
      <w:pPr>
        <w:jc w:val="both"/>
        <w:rPr>
          <w:rFonts w:hint="default" w:ascii="Times New Roman" w:hAnsi="Times New Roman" w:cs="Times New Roma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4"/>
          <w:vertAlign w:val="superscript"/>
        </w:rPr>
        <w:t>1</w:t>
      </w:r>
      <w:r>
        <w:rPr>
          <w:rFonts w:hint="default" w:ascii="Times New Roman" w:hAnsi="Times New Roman" w:cs="Times New Roman"/>
          <w:sz w:val="24"/>
        </w:rPr>
        <w:t xml:space="preserve">Equal contribution and first authorship: Shuai Liu and </w:t>
      </w:r>
      <w:r>
        <w:rPr>
          <w:rFonts w:hint="default" w:ascii="Times New Roman" w:hAnsi="Times New Roman" w:cs="Times New Roman"/>
          <w:sz w:val="24"/>
          <w:highlight w:val="none"/>
          <w:lang w:val="en-US" w:eastAsia="zh-CN"/>
        </w:rPr>
        <w:t>Yimingniyizi Nueraihemaiti</w:t>
      </w:r>
      <w:r>
        <w:rPr>
          <w:rFonts w:hint="default" w:ascii="Times New Roman" w:hAnsi="Times New Roman" w:cs="Times New Roman"/>
          <w:sz w:val="24"/>
        </w:rPr>
        <w:t xml:space="preserve"> contributed equally to this work and share first authorship.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2744470" cy="5074920"/>
            <wp:effectExtent l="0" t="0" r="0" b="0"/>
            <wp:docPr id="13" name="图片 12" descr="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流程图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4470" cy="507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 w:val="20"/>
          <w:szCs w:val="20"/>
        </w:rPr>
      </w:pPr>
      <w:bookmarkStart w:id="1" w:name="_GoBack"/>
      <w:bookmarkEnd w:id="1"/>
      <w:r>
        <w:rPr>
          <w:rFonts w:hint="default" w:ascii="Times New Roman" w:hAnsi="Times New Roman" w:cs="Times New Roman"/>
          <w:b/>
          <w:bCs/>
          <w:sz w:val="20"/>
          <w:szCs w:val="20"/>
        </w:rPr>
        <w:t>Figure S1.</w:t>
      </w:r>
      <w:r>
        <w:rPr>
          <w:rFonts w:hint="default" w:ascii="Times New Roman" w:hAnsi="Times New Roman" w:cs="Times New Roman"/>
          <w:sz w:val="20"/>
          <w:szCs w:val="20"/>
        </w:rPr>
        <w:t xml:space="preserve"> The flowchart depicting the procedural elucidation of the current investigative endeavor. </w:t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73040" cy="6685280"/>
            <wp:effectExtent l="0" t="0" r="3810" b="1270"/>
            <wp:docPr id="1" name="图片 1" descr="Fig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S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685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lang w:eastAsia="zh-CN"/>
        </w:rPr>
        <w:t>Figure S2.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The binding region and seed sequence interactions between tsRNAs and mRNAs containing SEMA3D, ZNF33B</w:t>
      </w:r>
      <w:r>
        <w:rPr>
          <w:rFonts w:hint="eastAsia" w:ascii="Times New Roman" w:hAnsi="Times New Roman" w:cs="Times New Roman"/>
          <w:lang w:val="en-US" w:eastAsia="zh-CN"/>
        </w:rPr>
        <w:t>,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and MEIS2.</w:t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71135" cy="3021330"/>
            <wp:effectExtent l="0" t="0" r="5715" b="7620"/>
            <wp:docPr id="2" name="图片 2" descr="Fig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S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02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lang w:eastAsia="zh-CN"/>
        </w:rPr>
        <w:t>Figure S3.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The correlation between the staging of ccRNA and six potential gene of candidate tsRNAs. </w:t>
      </w:r>
      <w:r>
        <w:rPr>
          <w:rFonts w:hint="default" w:ascii="Times New Roman" w:hAnsi="Times New Roman" w:cs="Times New Roman" w:eastAsiaTheme="minorEastAsia"/>
          <w:b/>
          <w:bCs/>
          <w:lang w:eastAsia="zh-CN"/>
        </w:rPr>
        <w:t>(A)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Derived from the GEPIA, the pathological stage plot delineated the expression levels of ADH6, APLF</w:t>
      </w:r>
      <w:r>
        <w:rPr>
          <w:rFonts w:hint="eastAsia" w:ascii="Times New Roman" w:hAnsi="Times New Roman" w:cs="Times New Roman"/>
          <w:lang w:val="en-US" w:eastAsia="zh-CN"/>
        </w:rPr>
        <w:t>,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and ERCC4 of up</w:t>
      </w:r>
      <w:r>
        <w:rPr>
          <w:rFonts w:hint="eastAsia" w:ascii="Times New Roman" w:hAnsi="Times New Roman" w:cs="Times New Roman"/>
          <w:lang w:val="en-US" w:eastAsia="zh-CN"/>
        </w:rPr>
        <w:t>-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regulated tsRNAs at distinct stages within </w:t>
      </w:r>
      <w:r>
        <w:rPr>
          <w:rFonts w:hint="default" w:ascii="Times New Roman" w:hAnsi="Times New Roman" w:cs="Times New Roman"/>
          <w:lang w:val="en-US" w:eastAsia="zh-CN"/>
        </w:rPr>
        <w:t>ccRCC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. </w:t>
      </w:r>
      <w:r>
        <w:rPr>
          <w:rFonts w:hint="default" w:ascii="Times New Roman" w:hAnsi="Times New Roman" w:cs="Times New Roman" w:eastAsiaTheme="minorEastAsia"/>
          <w:b/>
          <w:bCs/>
          <w:lang w:eastAsia="zh-CN"/>
        </w:rPr>
        <w:t>(B)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Derived from the GEPIA, the pathological stage plot revealed the expression levels of SEMA3D, MEIS2</w:t>
      </w:r>
      <w:r>
        <w:rPr>
          <w:rFonts w:hint="eastAsia" w:ascii="Times New Roman" w:hAnsi="Times New Roman" w:cs="Times New Roman"/>
          <w:lang w:val="en-US" w:eastAsia="zh-CN"/>
        </w:rPr>
        <w:t>,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and ZNF33B of down</w:t>
      </w:r>
      <w:r>
        <w:rPr>
          <w:rFonts w:hint="eastAsia" w:ascii="Times New Roman" w:hAnsi="Times New Roman" w:cs="Times New Roman"/>
          <w:lang w:val="en-US" w:eastAsia="zh-CN"/>
        </w:rPr>
        <w:t>-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regulated tsRNAs at distinct stages within </w:t>
      </w:r>
      <w:r>
        <w:rPr>
          <w:rFonts w:hint="default" w:ascii="Times New Roman" w:hAnsi="Times New Roman" w:cs="Times New Roman"/>
          <w:lang w:val="en-US" w:eastAsia="zh-CN"/>
        </w:rPr>
        <w:t>ccRCC</w:t>
      </w:r>
      <w:r>
        <w:rPr>
          <w:rFonts w:hint="default" w:ascii="Times New Roman" w:hAnsi="Times New Roman" w:cs="Times New Roman" w:eastAsiaTheme="minorEastAsia"/>
          <w:lang w:eastAsia="zh-CN"/>
        </w:rPr>
        <w:t>. log</w:t>
      </w:r>
      <w:r>
        <w:rPr>
          <w:rFonts w:hint="default" w:ascii="Times New Roman" w:hAnsi="Times New Roman" w:cs="Times New Roman" w:eastAsiaTheme="minorEastAsia"/>
          <w:vertAlign w:val="subscript"/>
          <w:lang w:eastAsia="zh-CN"/>
        </w:rPr>
        <w:t>2</w:t>
      </w:r>
      <w:r>
        <w:rPr>
          <w:rFonts w:hint="default" w:ascii="Times New Roman" w:hAnsi="Times New Roman" w:cs="Times New Roman" w:eastAsiaTheme="minorEastAsia"/>
          <w:lang w:eastAsia="zh-CN"/>
        </w:rPr>
        <w:t>(TPM + 1) was used for log-scale. Pr(&gt;F) &lt; 0.05.</w:t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9230" cy="5322570"/>
            <wp:effectExtent l="0" t="0" r="7620" b="1905"/>
            <wp:docPr id="3" name="图片 3" descr="Fig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S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32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textAlignment w:val="auto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b/>
          <w:bCs/>
          <w:lang w:eastAsia="zh-CN"/>
        </w:rPr>
        <w:t>Figure S4.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The survival plots of IGF1R, GOLGA8G, UGT2B7, PDHB, SACS, GPATCH2L, RMND5A</w:t>
      </w:r>
      <w:r>
        <w:rPr>
          <w:rFonts w:hint="default" w:ascii="Times New Roman" w:hAnsi="Times New Roman" w:cs="Times New Roman"/>
          <w:lang w:val="en-US" w:eastAsia="zh-CN"/>
        </w:rPr>
        <w:t>,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and RDH11 for ccRCC from GEPIA (</w:t>
      </w:r>
      <w:r>
        <w:rPr>
          <w:rFonts w:hint="default" w:ascii="Times New Roman" w:hAnsi="Times New Roman" w:cs="Times New Roman" w:eastAsiaTheme="minorEastAsia"/>
          <w:i/>
          <w:iCs/>
          <w:lang w:eastAsia="zh-CN"/>
        </w:rPr>
        <w:t>p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&lt; 0.01).</w:t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71770" cy="6459855"/>
            <wp:effectExtent l="0" t="0" r="5080" b="7620"/>
            <wp:docPr id="4" name="图片 4" descr="Fig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S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45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bCs/>
          <w:lang w:eastAsia="zh-CN"/>
        </w:rPr>
        <w:t>Figure S5.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The pathological stage plot of C2CD2, RDH11, ZNF471, SACS, GOLGA8G, RMND5A, IGF1R, PDHB, UGT2B7, GPATCH2L</w:t>
      </w:r>
      <w:r>
        <w:rPr>
          <w:rFonts w:hint="default" w:ascii="Times New Roman" w:hAnsi="Times New Roman" w:cs="Times New Roman"/>
          <w:lang w:val="en-US" w:eastAsia="zh-CN"/>
        </w:rPr>
        <w:t>,</w:t>
      </w:r>
      <w:r>
        <w:rPr>
          <w:rFonts w:hint="default" w:ascii="Times New Roman" w:hAnsi="Times New Roman" w:cs="Times New Roman" w:eastAsiaTheme="minorEastAsia"/>
          <w:lang w:eastAsia="zh-CN"/>
        </w:rPr>
        <w:t xml:space="preserve"> and WDR59 for ccRCC. log</w:t>
      </w:r>
      <w:r>
        <w:rPr>
          <w:rFonts w:hint="default" w:ascii="Times New Roman" w:hAnsi="Times New Roman" w:cs="Times New Roman" w:eastAsiaTheme="minorEastAsia"/>
          <w:vertAlign w:val="subscript"/>
          <w:lang w:eastAsia="zh-CN"/>
        </w:rPr>
        <w:t>2</w:t>
      </w:r>
      <w:r>
        <w:rPr>
          <w:rFonts w:hint="default" w:ascii="Times New Roman" w:hAnsi="Times New Roman" w:cs="Times New Roman" w:eastAsiaTheme="minorEastAsia"/>
          <w:lang w:eastAsia="zh-CN"/>
        </w:rPr>
        <w:t>(TPM + 1) was used for log-scale. Pr(&gt;F) &lt; 0.05.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color w:val="221E1F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color w:val="221E1F"/>
          <w:sz w:val="20"/>
          <w:szCs w:val="20"/>
        </w:rPr>
        <w:t>Supplementary Table S</w:t>
      </w:r>
      <w:r>
        <w:rPr>
          <w:rFonts w:hint="default" w:ascii="Times New Roman" w:hAnsi="Times New Roman" w:cs="Times New Roman"/>
          <w:b/>
          <w:bCs/>
          <w:color w:val="221E1F"/>
          <w:sz w:val="20"/>
          <w:szCs w:val="20"/>
          <w:lang w:val="en-US" w:eastAsia="zh-CN"/>
        </w:rPr>
        <w:t>1</w:t>
      </w:r>
      <w:r>
        <w:rPr>
          <w:rFonts w:hint="default" w:ascii="Times New Roman" w:hAnsi="Times New Roman" w:cs="Times New Roman"/>
          <w:color w:val="221E1F"/>
          <w:sz w:val="20"/>
          <w:szCs w:val="20"/>
          <w:lang w:val="en-US" w:eastAsia="zh-CN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Style w:val="7"/>
          <w:rFonts w:hint="default" w:ascii="Times New Roman" w:hAnsi="Times New Roman" w:cs="Times New Roman"/>
          <w:b w:val="0"/>
          <w:bCs w:val="0"/>
          <w:strike w:val="0"/>
          <w:dstrike w:val="0"/>
          <w:sz w:val="20"/>
          <w:szCs w:val="20"/>
          <w:lang w:val="en-US" w:eastAsia="zh-CN" w:bidi="ar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0"/>
          <w:szCs w:val="20"/>
          <w:lang w:val="en-US" w:eastAsia="zh-CN" w:bidi="ar"/>
        </w:rPr>
        <w:t>RNA Quantification and Quality Assurance by NanoDrop ND-1000.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1282"/>
        <w:gridCol w:w="1282"/>
        <w:gridCol w:w="1152"/>
        <w:gridCol w:w="1146"/>
        <w:gridCol w:w="1164"/>
        <w:gridCol w:w="1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16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Sample ID</w:t>
            </w:r>
          </w:p>
        </w:tc>
        <w:tc>
          <w:tcPr>
            <w:tcW w:w="128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OD260/280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Ratio</w:t>
            </w:r>
          </w:p>
        </w:tc>
        <w:tc>
          <w:tcPr>
            <w:tcW w:w="128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OD260/230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Ratio</w:t>
            </w:r>
          </w:p>
        </w:tc>
        <w:tc>
          <w:tcPr>
            <w:tcW w:w="1152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Conc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(ng/μl)</w:t>
            </w:r>
          </w:p>
        </w:tc>
        <w:tc>
          <w:tcPr>
            <w:tcW w:w="1146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Volume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(μl)</w:t>
            </w:r>
          </w:p>
        </w:tc>
        <w:tc>
          <w:tcPr>
            <w:tcW w:w="1164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Quantity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(ng)</w:t>
            </w:r>
          </w:p>
        </w:tc>
        <w:tc>
          <w:tcPr>
            <w:tcW w:w="1127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OC Purity</w:t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Pass or Fai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vertAlign w:val="baseline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lang w:val="en-US" w:eastAsia="zh-CN" w:bidi="ar"/>
              </w:rPr>
              <w:t>N1</w:t>
            </w:r>
          </w:p>
        </w:tc>
        <w:tc>
          <w:tcPr>
            <w:tcW w:w="1282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1.98</w:t>
            </w:r>
          </w:p>
        </w:tc>
        <w:tc>
          <w:tcPr>
            <w:tcW w:w="1282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</w:t>
            </w:r>
          </w:p>
        </w:tc>
        <w:tc>
          <w:tcPr>
            <w:tcW w:w="1152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520.64</w:t>
            </w:r>
          </w:p>
        </w:tc>
        <w:tc>
          <w:tcPr>
            <w:tcW w:w="1146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40.00</w:t>
            </w:r>
          </w:p>
        </w:tc>
        <w:tc>
          <w:tcPr>
            <w:tcW w:w="1164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20825.60</w:t>
            </w:r>
          </w:p>
        </w:tc>
        <w:tc>
          <w:tcPr>
            <w:tcW w:w="1127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Pass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vertAlign w:val="baseline"/>
              </w:rPr>
            </w:pPr>
            <w:r>
              <w:rPr>
                <w:rStyle w:val="9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lang w:val="en-US" w:eastAsia="zh-CN" w:bidi="ar"/>
              </w:rPr>
              <w:t>T1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2.00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551.30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120.00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66156.00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Pass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vertAlign w:val="baseline"/>
              </w:rPr>
            </w:pPr>
            <w:r>
              <w:rPr>
                <w:rStyle w:val="10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lang w:val="en-US" w:eastAsia="zh-CN" w:bidi="ar"/>
              </w:rPr>
              <w:t>N2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2.14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413.39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180.00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74410.20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Pass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vertAlign w:val="baseline"/>
              </w:rPr>
            </w:pPr>
            <w:r>
              <w:rPr>
                <w:rStyle w:val="11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lang w:val="en-US" w:eastAsia="zh-CN" w:bidi="ar"/>
              </w:rPr>
              <w:t>T2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2.19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517.81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120.00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62137.20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Pass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vertAlign w:val="baseline"/>
              </w:rPr>
            </w:pPr>
            <w:r>
              <w:rPr>
                <w:rStyle w:val="12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lang w:val="en-US" w:eastAsia="zh-CN" w:bidi="ar"/>
              </w:rPr>
              <w:t>N3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557.25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120.00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66870.00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Pass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vertAlign w:val="baseline"/>
              </w:rPr>
            </w:pPr>
            <w:r>
              <w:rPr>
                <w:rStyle w:val="13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lang w:val="en-US" w:eastAsia="zh-CN" w:bidi="ar"/>
              </w:rPr>
              <w:t>T3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1.91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254.01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180.00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45721.80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Pass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vertAlign w:val="baseline"/>
                <w:lang w:val="en-US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lang w:val="en-US" w:eastAsia="zh-CN" w:bidi="ar"/>
              </w:rPr>
              <w:t>N4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2.02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1106.92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80.00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88553.60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  <w:t>Pass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16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T4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</w:t>
            </w:r>
          </w:p>
        </w:tc>
        <w:tc>
          <w:tcPr>
            <w:tcW w:w="128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1.87</w:t>
            </w:r>
          </w:p>
        </w:tc>
        <w:tc>
          <w:tcPr>
            <w:tcW w:w="115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211.11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80.00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16888.80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Pass</w:t>
            </w:r>
          </w:p>
        </w:tc>
      </w:tr>
    </w:tbl>
    <w:p>
      <w:pPr>
        <w:rPr>
          <w:rFonts w:hint="default" w:ascii="Times New Roman" w:hAnsi="Times New Roman" w:cs="Times New Roman"/>
          <w:sz w:val="20"/>
          <w:szCs w:val="2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sz w:val="20"/>
          <w:szCs w:val="20"/>
        </w:rPr>
        <w:t>*For spectrophotometer,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the optical density (O.D.) ratio at A260/A280 should approximate 2.0, indicating the purity of RNA (acceptable ratios range from 1.8 to 2.1). Additionally, the O.D. ratio at A260/A230 should exceed 1.8.</w:t>
      </w:r>
    </w:p>
    <w:p>
      <w:pPr>
        <w:rPr>
          <w:rFonts w:hint="default" w:ascii="Times New Roman" w:hAnsi="Times New Roman" w:cs="Times New Roman"/>
          <w:b/>
          <w:bCs/>
          <w:color w:val="221E1F"/>
          <w:sz w:val="20"/>
          <w:szCs w:val="20"/>
        </w:rPr>
      </w:pPr>
      <w:bookmarkStart w:id="0" w:name="_Hlk132118823"/>
      <w:r>
        <w:rPr>
          <w:rFonts w:hint="default" w:ascii="Times New Roman" w:hAnsi="Times New Roman" w:cs="Times New Roman"/>
          <w:b/>
          <w:bCs/>
          <w:color w:val="221E1F"/>
          <w:sz w:val="20"/>
          <w:szCs w:val="20"/>
        </w:rPr>
        <w:t>Supplementary Table S</w:t>
      </w:r>
      <w:bookmarkEnd w:id="0"/>
      <w:r>
        <w:rPr>
          <w:rFonts w:hint="default" w:ascii="Times New Roman" w:hAnsi="Times New Roman" w:cs="Times New Roman"/>
          <w:b/>
          <w:bCs/>
          <w:color w:val="221E1F"/>
          <w:sz w:val="20"/>
          <w:szCs w:val="20"/>
          <w:lang w:val="en-US" w:eastAsia="zh-CN"/>
        </w:rPr>
        <w:t>2</w:t>
      </w:r>
      <w:r>
        <w:rPr>
          <w:rFonts w:hint="default" w:ascii="Times New Roman" w:hAnsi="Times New Roman" w:cs="Times New Roman"/>
          <w:b/>
          <w:bCs/>
          <w:color w:val="221E1F"/>
          <w:sz w:val="20"/>
          <w:szCs w:val="20"/>
        </w:rPr>
        <w:t xml:space="preserve"> </w:t>
      </w:r>
    </w:p>
    <w:p>
      <w:pPr>
        <w:rPr>
          <w:rFonts w:hint="default" w:ascii="Times New Roman" w:hAnsi="Times New Roman" w:cs="Times New Roman"/>
          <w:b w:val="0"/>
          <w:bCs w:val="0"/>
          <w:sz w:val="20"/>
          <w:szCs w:val="20"/>
        </w:rPr>
      </w:pPr>
      <w:r>
        <w:rPr>
          <w:rFonts w:hint="default" w:ascii="Times New Roman" w:hAnsi="Times New Roman" w:cs="Times New Roman"/>
          <w:b w:val="0"/>
          <w:bCs w:val="0"/>
          <w:color w:val="221E1F"/>
          <w:sz w:val="20"/>
          <w:szCs w:val="20"/>
        </w:rPr>
        <w:t>Primers for Real-time PCR</w:t>
      </w:r>
      <w:r>
        <w:rPr>
          <w:rFonts w:hint="default" w:ascii="Times New Roman" w:hAnsi="Times New Roman" w:cs="Times New Roman"/>
          <w:b w:val="0"/>
          <w:bCs w:val="0"/>
          <w:color w:val="221E1F"/>
          <w:sz w:val="20"/>
          <w:szCs w:val="20"/>
          <w:lang w:val="en-US" w:eastAsia="zh-CN"/>
        </w:rPr>
        <w:t xml:space="preserve"> in this study</w:t>
      </w:r>
      <w:r>
        <w:rPr>
          <w:rFonts w:hint="default" w:ascii="Times New Roman" w:hAnsi="Times New Roman" w:cs="Times New Roman"/>
          <w:b w:val="0"/>
          <w:bCs w:val="0"/>
          <w:color w:val="221E1F"/>
          <w:sz w:val="20"/>
          <w:szCs w:val="20"/>
        </w:rPr>
        <w:t>.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40"/>
        <w:gridCol w:w="4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3940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Genes</w:t>
            </w:r>
          </w:p>
        </w:tc>
        <w:tc>
          <w:tcPr>
            <w:tcW w:w="4339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Primer sequence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3940" w:type="dxa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U6</w:t>
            </w:r>
          </w:p>
        </w:tc>
        <w:tc>
          <w:tcPr>
            <w:tcW w:w="4339" w:type="dxa"/>
            <w:tcBorders>
              <w:top w:val="single" w:color="auto" w:sz="8" w:space="0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F: GGAACGATACAGAGAAGATTAGC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3940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vertAlign w:val="baseline"/>
              </w:rPr>
            </w:pP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480" w:lineRule="auto"/>
              <w:jc w:val="left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R: TGGAACGCTTCACGAATTTGCG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mt-tRF3a-AspGTC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(5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-3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GCTGCCATCCTATATATCTTACCA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5'tiRNA-34-AspGTC-4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(5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-3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TTAGTATGGTGGTGAGTATCCCTGC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tRF5-23-ValAAC-2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-3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GGTTTCCGTAGTGTAGTGGTCATC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mt-tRF3-23-ArgTCG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-3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GGCACGATAATCATATTTACCAACC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tRF5-16-LeuCAA-6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-3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GTCAGGATGGCCGAGCAAA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tRF5-22-iMetCAT-1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-3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AGTGGCGCAGCGGAAGCAA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9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 i-tRF-38:54-Ile-AAT-1</w:t>
            </w:r>
          </w:p>
        </w:tc>
        <w:tc>
          <w:tcPr>
            <w:tcW w:w="4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-3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ACGCCAAGGTCGCGGGTAA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94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7"/>
                <w:rFonts w:hint="default" w:ascii="Times New Roman" w:hAnsi="Times New Roman" w:cs="Times New Roman"/>
                <w:b w:val="0"/>
                <w:bCs w:val="0"/>
                <w:strike w:val="0"/>
                <w:dstrike w:val="0"/>
                <w:color w:val="auto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i-tRF-25:40-Gln-CTG-1</w:t>
            </w:r>
          </w:p>
        </w:tc>
        <w:tc>
          <w:tcPr>
            <w:tcW w:w="43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strike w:val="0"/>
                <w:dstrike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-3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'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</w:rPr>
              <w:t>)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GCCGCTCTGGACTCTGAATC</w:t>
            </w:r>
          </w:p>
        </w:tc>
      </w:tr>
    </w:tbl>
    <w:p>
      <w:pPr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 w:val="0"/>
          <w:bCs w:val="0"/>
          <w:color w:val="221E1F"/>
          <w:sz w:val="20"/>
          <w:szCs w:val="20"/>
        </w:rPr>
        <w:t>U6 was used as the internal control. F, forward; R, reverse.</w:t>
      </w:r>
    </w:p>
    <w:p>
      <w:pPr>
        <w:rPr>
          <w:rFonts w:hint="default" w:ascii="Times New Roman" w:hAnsi="Times New Roman" w:cs="Times New Roman" w:eastAsiaTheme="minorEastAsia"/>
          <w:lang w:eastAsia="zh-CN"/>
        </w:rPr>
      </w:pPr>
    </w:p>
    <w:p>
      <w:pPr>
        <w:rPr>
          <w:rFonts w:hint="default" w:ascii="Times New Roman" w:hAnsi="Times New Roman" w:cs="Times New Roman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0YRyTdAgAAJAYAAA4AAABkcnMvZTJvRG9jLnhtbK1US27bMBDdF+gd&#10;CO4VSY7syEbkwLGiooDRBEiLrmmKsohSJEHSn7Totr1BV91033PlHB1Klp2kRRGg9UIecoaP894M&#10;5/xi1wi0YcZyJTMcn0QYMUlVyeUqw+/eFkGKkXVElkQoyTJ8xyy+mL58cb7VEzZQtRIlMwhApJ1s&#10;dYZr5/QkDC2tWUPsidJMgrNSpiEOlmYVloZsAb0R4SCKRuFWmVIbRZm1sJt3TrxHNM8BVFXFKcsV&#10;XTdMug7VMEEcULI11xZP22yrilF3XVWWOSQyDExd+4VLwF76bzg9J5OVIbrmdJ8CeU4KTzg1hEu4&#10;9ACVE0fQ2vDfoBpOjbKqcidUNWFHpFUEWMTRE21ua6JZywWktvoguv1/sPTN5sYgXmZ4iJEkDRT8&#10;/tvX++8/7398QUMvz1bbCUTdaohzu0u1g6bp9y1seta7yjT+H/gg8IO4dwdx2c4h6g+lgzSNwEXB&#10;1y8APzwe18a6V0w1yBsZNlC9VlSyWVjXhfYh/japCi5EW0Eh0TbDo9Nh1B44eABcSB8LWQDG3uoq&#10;82kcja/SqzQJksHoKkiiPA9mxTwJRkV8NsxP8/k8jz97vDiZ1LwsmfT39V0SJ8+rwr5Tuvoe+sQq&#10;wUsP51OyZrWcC4M2BLq0aH9eYUj+QVj4OI3WDayeUIoHSXQ5GAfFKD0LkiIZBuOzKA2ieHw5HkX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PRhHJ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jNTA3Nzg5Y2E5OWJkZTk3NjJhNGRhMjU4ZmRlMTUifQ=="/>
  </w:docVars>
  <w:rsids>
    <w:rsidRoot w:val="31E876D2"/>
    <w:rsid w:val="013E3003"/>
    <w:rsid w:val="02443CCC"/>
    <w:rsid w:val="27652DF6"/>
    <w:rsid w:val="28E229A0"/>
    <w:rsid w:val="31E876D2"/>
    <w:rsid w:val="343D4AAC"/>
    <w:rsid w:val="35D052FC"/>
    <w:rsid w:val="45715374"/>
    <w:rsid w:val="45CD71A7"/>
    <w:rsid w:val="4FAF7EFA"/>
    <w:rsid w:val="524E73C4"/>
    <w:rsid w:val="57B819BF"/>
    <w:rsid w:val="5F96785F"/>
    <w:rsid w:val="63793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autoRedefine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31"/>
    <w:basedOn w:val="6"/>
    <w:autoRedefine/>
    <w:qFormat/>
    <w:uiPriority w:val="0"/>
    <w:rPr>
      <w:rFonts w:ascii="宋体" w:hAnsi="宋体" w:eastAsia="宋体" w:cs="宋体"/>
      <w:color w:val="007304"/>
      <w:sz w:val="20"/>
      <w:szCs w:val="20"/>
      <w:u w:val="none"/>
    </w:rPr>
  </w:style>
  <w:style w:type="character" w:customStyle="1" w:styleId="9">
    <w:name w:val="font41"/>
    <w:basedOn w:val="6"/>
    <w:autoRedefine/>
    <w:qFormat/>
    <w:uiPriority w:val="0"/>
    <w:rPr>
      <w:rFonts w:ascii="宋体" w:hAnsi="宋体" w:eastAsia="宋体" w:cs="宋体"/>
      <w:color w:val="007A3D"/>
      <w:sz w:val="20"/>
      <w:szCs w:val="20"/>
      <w:u w:val="none"/>
    </w:rPr>
  </w:style>
  <w:style w:type="character" w:customStyle="1" w:styleId="10">
    <w:name w:val="font51"/>
    <w:basedOn w:val="6"/>
    <w:autoRedefine/>
    <w:qFormat/>
    <w:uiPriority w:val="0"/>
    <w:rPr>
      <w:rFonts w:ascii="宋体" w:hAnsi="宋体" w:eastAsia="宋体" w:cs="宋体"/>
      <w:color w:val="007427"/>
      <w:sz w:val="20"/>
      <w:szCs w:val="20"/>
      <w:u w:val="none"/>
    </w:rPr>
  </w:style>
  <w:style w:type="character" w:customStyle="1" w:styleId="11">
    <w:name w:val="font61"/>
    <w:basedOn w:val="6"/>
    <w:autoRedefine/>
    <w:qFormat/>
    <w:uiPriority w:val="0"/>
    <w:rPr>
      <w:rFonts w:ascii="宋体" w:hAnsi="宋体" w:eastAsia="宋体" w:cs="宋体"/>
      <w:color w:val="007122"/>
      <w:sz w:val="20"/>
      <w:szCs w:val="20"/>
      <w:u w:val="none"/>
    </w:rPr>
  </w:style>
  <w:style w:type="character" w:customStyle="1" w:styleId="12">
    <w:name w:val="font71"/>
    <w:basedOn w:val="6"/>
    <w:autoRedefine/>
    <w:qFormat/>
    <w:uiPriority w:val="0"/>
    <w:rPr>
      <w:rFonts w:ascii="宋体" w:hAnsi="宋体" w:eastAsia="宋体" w:cs="宋体"/>
      <w:color w:val="007527"/>
      <w:sz w:val="20"/>
      <w:szCs w:val="20"/>
      <w:u w:val="none"/>
    </w:rPr>
  </w:style>
  <w:style w:type="character" w:customStyle="1" w:styleId="13">
    <w:name w:val="font81"/>
    <w:basedOn w:val="6"/>
    <w:autoRedefine/>
    <w:qFormat/>
    <w:uiPriority w:val="0"/>
    <w:rPr>
      <w:rFonts w:ascii="宋体" w:hAnsi="宋体" w:eastAsia="宋体" w:cs="宋体"/>
      <w:color w:val="007633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tiff"/><Relationship Id="rId8" Type="http://schemas.openxmlformats.org/officeDocument/2006/relationships/image" Target="media/image4.tiff"/><Relationship Id="rId7" Type="http://schemas.openxmlformats.org/officeDocument/2006/relationships/image" Target="media/image3.tiff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2024-04-06T08:08:00Z</dcterms:created>
  <dc:creator>Hye seon Gu</dc:creator>
  <cp:lastModifiedBy>shadow</cp:lastModifiedBy>
  <dcterms:modified xsi:type="dcterms:W3CDTF">2024-04-19T12:57:00Z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F3BDE00BEFE3427DBC74B2220823F280_13</vt:lpwstr>
  </property>
</Properties>
</file>