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gif" ContentType="image/gi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20" w:after="360" w:line="480" w:lineRule="auto"/>
        <w:jc w:val="center"/>
        <w:rPr>
          <w:rFonts w:ascii="Times New Roman" w:hAnsi="Times New Roman" w:eastAsia="宋体" w:cs="Times New Roman"/>
          <w:caps/>
          <w:sz w:val="36"/>
          <w:szCs w:val="36"/>
          <w:lang w:val="en-US" w:eastAsia="zh-CN" w:bidi="ar-SA"/>
        </w:rPr>
      </w:pPr>
      <w:r>
        <w:rPr>
          <w:rFonts w:hint="eastAsia" w:ascii="Times New Roman" w:hAnsi="Times New Roman" w:eastAsia="宋体" w:cs="Times New Roman"/>
          <w:caps/>
          <w:sz w:val="36"/>
          <w:szCs w:val="36"/>
          <w:lang w:val="en-US" w:eastAsia="zh-CN" w:bidi="ar-SA"/>
        </w:rPr>
        <w:t>supporting</w:t>
      </w:r>
      <w:r>
        <w:rPr>
          <w:rFonts w:ascii="Times New Roman" w:hAnsi="Times New Roman" w:eastAsia="宋体" w:cs="Times New Roman"/>
          <w:caps/>
          <w:sz w:val="36"/>
          <w:szCs w:val="36"/>
          <w:lang w:val="en-US" w:eastAsia="zh-CN" w:bidi="ar-SA"/>
        </w:rPr>
        <w:t xml:space="preserve"> </w:t>
      </w:r>
      <w:r>
        <w:rPr>
          <w:rFonts w:hint="eastAsia" w:ascii="Times New Roman" w:hAnsi="Times New Roman" w:eastAsia="宋体" w:cs="Times New Roman"/>
          <w:caps/>
          <w:sz w:val="36"/>
          <w:szCs w:val="36"/>
          <w:lang w:val="en-US" w:eastAsia="zh-CN" w:bidi="ar-SA"/>
        </w:rPr>
        <w:t>information</w:t>
      </w:r>
    </w:p>
    <w:p>
      <w:pPr>
        <w:spacing w:line="360" w:lineRule="auto"/>
        <w:jc w:val="center"/>
        <w:rPr>
          <w:rFonts w:hint="eastAsia" w:ascii="Times New Roman" w:hAnsi="Times New Roman" w:eastAsia="宋体"/>
          <w:b/>
          <w:sz w:val="24"/>
        </w:rPr>
      </w:pPr>
    </w:p>
    <w:p>
      <w:pPr>
        <w:spacing w:line="360" w:lineRule="auto"/>
        <w:jc w:val="center"/>
        <w:rPr>
          <w:rFonts w:ascii="Times New Roman" w:hAnsi="Times New Roman" w:eastAsia="宋体"/>
          <w:b/>
          <w:sz w:val="24"/>
        </w:rPr>
      </w:pPr>
      <w:r>
        <w:rPr>
          <w:rFonts w:hint="eastAsia" w:ascii="Times New Roman" w:hAnsi="Times New Roman" w:eastAsia="宋体"/>
          <w:b/>
          <w:sz w:val="24"/>
        </w:rPr>
        <w:t>Sulfonated Lignin-based Phenol-formaldehyde Resin: Stability and Aggregation Structure Changes During Aggregation</w:t>
      </w:r>
    </w:p>
    <w:p>
      <w:pPr>
        <w:widowControl/>
        <w:spacing w:line="360" w:lineRule="auto"/>
        <w:jc w:val="center"/>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4"/>
          <w:lang w:bidi="ar"/>
        </w:rPr>
        <w:t>Dan Zhao</w:t>
      </w:r>
      <w:r>
        <w:rPr>
          <w:rFonts w:hint="eastAsia" w:ascii="Times New Roman" w:hAnsi="Times New Roman" w:eastAsia="宋体" w:cs="Times New Roman"/>
          <w:color w:val="000000"/>
          <w:kern w:val="0"/>
          <w:sz w:val="24"/>
          <w:vertAlign w:val="superscript"/>
          <w:lang w:bidi="ar"/>
        </w:rPr>
        <w:t>a,*</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Weili Yang</w:t>
      </w:r>
      <w:r>
        <w:rPr>
          <w:rFonts w:ascii="Times New Roman" w:hAnsi="Times New Roman" w:eastAsia="宋体" w:cs="Times New Roman"/>
          <w:color w:val="000000"/>
          <w:kern w:val="0"/>
          <w:sz w:val="24"/>
          <w:vertAlign w:val="superscript"/>
          <w:lang w:bidi="ar"/>
        </w:rPr>
        <w:t>a</w:t>
      </w:r>
      <w:r>
        <w:rPr>
          <w:rFonts w:hint="eastAsia" w:ascii="Times New Roman" w:hAnsi="Times New Roman" w:eastAsia="宋体" w:cs="Times New Roman"/>
          <w:color w:val="000000"/>
          <w:kern w:val="0"/>
          <w:sz w:val="24"/>
          <w:vertAlign w:val="superscript"/>
          <w:lang w:bidi="ar"/>
        </w:rPr>
        <w:t xml:space="preserve"> </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Guanglite</w:t>
      </w:r>
      <w:r>
        <w:rPr>
          <w:rFonts w:hint="eastAsia"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lang w:bidi="ar"/>
        </w:rPr>
        <w:t>Shen</w:t>
      </w:r>
      <w:r>
        <w:rPr>
          <w:rFonts w:ascii="Times New Roman" w:hAnsi="Times New Roman" w:eastAsia="宋体" w:cs="Times New Roman"/>
          <w:color w:val="000000"/>
          <w:kern w:val="0"/>
          <w:sz w:val="24"/>
          <w:vertAlign w:val="superscript"/>
          <w:lang w:bidi="ar"/>
        </w:rPr>
        <w:t>a</w:t>
      </w:r>
      <w:r>
        <w:rPr>
          <w:rFonts w:hint="eastAsia" w:ascii="Times New Roman" w:hAnsi="Times New Roman" w:eastAsia="宋体" w:cs="Times New Roman"/>
          <w:color w:val="000000"/>
          <w:kern w:val="0"/>
          <w:sz w:val="24"/>
          <w:vertAlign w:val="superscript"/>
          <w:lang w:bidi="ar"/>
        </w:rPr>
        <w:t xml:space="preserve"> </w:t>
      </w:r>
      <w:r>
        <w:rPr>
          <w:rFonts w:ascii="Times New Roman" w:hAnsi="Times New Roman" w:eastAsia="宋体" w:cs="Times New Roman"/>
          <w:color w:val="000000"/>
          <w:kern w:val="0"/>
          <w:sz w:val="24"/>
          <w:lang w:bidi="ar"/>
        </w:rPr>
        <w:t>,</w:t>
      </w:r>
      <w:r>
        <w:rPr>
          <w:rFonts w:hint="eastAsia" w:ascii="Times New Roman" w:hAnsi="Times New Roman" w:eastAsia="宋体" w:cs="Times New Roman"/>
          <w:color w:val="000000"/>
          <w:kern w:val="0"/>
          <w:sz w:val="24"/>
          <w:lang w:bidi="ar"/>
        </w:rPr>
        <w:t xml:space="preserve"> Wenhui</w:t>
      </w:r>
      <w:r>
        <w:rPr>
          <w:rFonts w:ascii="Times New Roman" w:hAnsi="Times New Roman" w:eastAsia="宋体" w:cs="Times New Roman"/>
          <w:color w:val="000000"/>
          <w:kern w:val="0"/>
          <w:sz w:val="24"/>
          <w:lang w:bidi="ar"/>
        </w:rPr>
        <w:t xml:space="preserve"> </w:t>
      </w:r>
      <w:r>
        <w:rPr>
          <w:rFonts w:hint="eastAsia" w:ascii="Times New Roman" w:hAnsi="Times New Roman" w:eastAsia="宋体" w:cs="Times New Roman"/>
          <w:color w:val="000000"/>
          <w:kern w:val="0"/>
          <w:sz w:val="24"/>
          <w:lang w:bidi="ar"/>
        </w:rPr>
        <w:t>Zhang</w:t>
      </w:r>
      <w:r>
        <w:rPr>
          <w:rFonts w:hint="eastAsia" w:ascii="Times New Roman" w:hAnsi="Times New Roman" w:eastAsia="宋体" w:cs="Times New Roman"/>
          <w:color w:val="000000"/>
          <w:kern w:val="0"/>
          <w:sz w:val="24"/>
          <w:vertAlign w:val="superscript"/>
          <w:lang w:bidi="ar"/>
        </w:rPr>
        <w:t>a</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t>Huixia Feng</w:t>
      </w:r>
      <w:r>
        <w:rPr>
          <w:rFonts w:ascii="Times New Roman" w:hAnsi="Times New Roman" w:eastAsia="宋体" w:cs="Times New Roman"/>
          <w:color w:val="000000"/>
          <w:kern w:val="0"/>
          <w:sz w:val="24"/>
          <w:vertAlign w:val="superscript"/>
          <w:lang w:bidi="ar"/>
        </w:rPr>
        <w:t>a,</w:t>
      </w:r>
      <w:r>
        <w:rPr>
          <w:rFonts w:hint="eastAsia" w:ascii="Times New Roman" w:hAnsi="Times New Roman" w:eastAsia="宋体" w:cs="Times New Roman"/>
          <w:color w:val="000000"/>
          <w:kern w:val="0"/>
          <w:sz w:val="24"/>
          <w:vertAlign w:val="superscript"/>
          <w:lang w:bidi="ar"/>
        </w:rPr>
        <w:t>b</w:t>
      </w:r>
    </w:p>
    <w:p>
      <w:pPr>
        <w:spacing w:line="360" w:lineRule="auto"/>
        <w:jc w:val="center"/>
        <w:rPr>
          <w:rFonts w:ascii="Times New Roman" w:hAnsi="Times New Roman" w:eastAsia="宋体"/>
          <w:bCs/>
          <w:sz w:val="30"/>
          <w:szCs w:val="30"/>
        </w:rPr>
      </w:pPr>
    </w:p>
    <w:p>
      <w:pPr>
        <w:widowControl/>
        <w:spacing w:line="360" w:lineRule="auto"/>
        <w:jc w:val="left"/>
        <w:rPr>
          <w:rFonts w:ascii="Times New Roman" w:hAnsi="Times New Roman" w:eastAsia="等线" w:cs="Times New Roman"/>
          <w:sz w:val="24"/>
          <w:szCs w:val="22"/>
        </w:rPr>
      </w:pPr>
      <w:r>
        <w:rPr>
          <w:rFonts w:ascii="Times New Roman" w:hAnsi="Times New Roman" w:eastAsia="宋体" w:cs="Times New Roman"/>
          <w:color w:val="000000"/>
          <w:kern w:val="0"/>
          <w:sz w:val="24"/>
          <w:szCs w:val="16"/>
          <w:vertAlign w:val="superscript"/>
          <w:lang w:bidi="ar"/>
        </w:rPr>
        <w:t>a</w:t>
      </w:r>
      <w:r>
        <w:rPr>
          <w:rFonts w:hint="eastAsia" w:ascii="Times New Roman" w:hAnsi="Times New Roman" w:eastAsia="宋体" w:cs="Times New Roman"/>
          <w:color w:val="000000"/>
          <w:kern w:val="0"/>
          <w:sz w:val="24"/>
          <w:szCs w:val="16"/>
          <w:vertAlign w:val="superscript"/>
          <w:lang w:bidi="ar"/>
        </w:rPr>
        <w:t xml:space="preserve"> </w:t>
      </w:r>
      <w:r>
        <w:rPr>
          <w:rFonts w:ascii="Times New Roman" w:hAnsi="Times New Roman" w:eastAsia="宋体" w:cs="Times New Roman"/>
          <w:color w:val="000000"/>
          <w:kern w:val="0"/>
          <w:sz w:val="24"/>
          <w:lang w:bidi="ar"/>
        </w:rPr>
        <w:t xml:space="preserve">School of petrochemical engineering, Lanzhou University of Technology, Lanzhou, </w:t>
      </w:r>
    </w:p>
    <w:p>
      <w:pPr>
        <w:widowControl/>
        <w:spacing w:line="360" w:lineRule="auto"/>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730050, Gansu, China</w:t>
      </w:r>
    </w:p>
    <w:p>
      <w:pPr>
        <w:widowControl/>
        <w:spacing w:line="360" w:lineRule="auto"/>
        <w:jc w:val="left"/>
        <w:rPr>
          <w:rFonts w:ascii="Times New Roman" w:hAnsi="Times New Roman" w:eastAsia="等线" w:cs="Times New Roman"/>
          <w:sz w:val="24"/>
          <w:szCs w:val="22"/>
        </w:rPr>
      </w:pPr>
      <w:r>
        <w:rPr>
          <w:rFonts w:hint="eastAsia" w:ascii="Times New Roman" w:hAnsi="Times New Roman" w:eastAsia="宋体" w:cs="Times New Roman"/>
          <w:color w:val="000000"/>
          <w:kern w:val="0"/>
          <w:sz w:val="24"/>
          <w:vertAlign w:val="superscript"/>
          <w:lang w:bidi="ar"/>
        </w:rPr>
        <w:t xml:space="preserve">b </w:t>
      </w:r>
      <w:r>
        <w:rPr>
          <w:rFonts w:ascii="Times New Roman" w:hAnsi="Times New Roman" w:eastAsia="宋体" w:cs="Times New Roman"/>
          <w:color w:val="000000"/>
          <w:kern w:val="0"/>
          <w:sz w:val="24"/>
          <w:lang w:bidi="ar"/>
        </w:rPr>
        <w:t xml:space="preserve">State Key Laboratory of Advanced Processing and Recycling of Nonferrous Metals, </w:t>
      </w:r>
    </w:p>
    <w:p>
      <w:pPr>
        <w:widowControl/>
        <w:spacing w:line="360" w:lineRule="auto"/>
        <w:jc w:val="left"/>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Lanzhou University of Technology, Lanzhou, 730050, Gansu, China</w:t>
      </w:r>
    </w:p>
    <w:p>
      <w:pPr>
        <w:widowControl/>
        <w:spacing w:line="360" w:lineRule="auto"/>
        <w:jc w:val="left"/>
        <w:rPr>
          <w:rFonts w:ascii="Times New Roman" w:hAnsi="Times New Roman" w:eastAsia="宋体" w:cs="Times New Roman"/>
          <w:color w:val="000000"/>
          <w:kern w:val="0"/>
          <w:sz w:val="24"/>
          <w:lang w:bidi="ar"/>
        </w:rPr>
      </w:pPr>
    </w:p>
    <w:p>
      <w:pPr>
        <w:spacing w:line="360" w:lineRule="auto"/>
        <w:rPr>
          <w:rFonts w:ascii="Times New Roman" w:hAnsi="Times New Roman" w:eastAsia="宋体" w:cs="Times New Roman"/>
          <w:b/>
          <w:bCs/>
          <w:sz w:val="24"/>
        </w:rPr>
      </w:pPr>
      <w:r>
        <w:rPr>
          <w:rFonts w:hint="eastAsia" w:ascii="Times New Roman" w:hAnsi="Times New Roman" w:eastAsia="宋体" w:cs="Times New Roman"/>
          <w:b/>
          <w:bCs/>
          <w:sz w:val="24"/>
        </w:rPr>
        <w:t xml:space="preserve">*Corresponding author </w:t>
      </w:r>
    </w:p>
    <w:p>
      <w:pPr>
        <w:numPr>
          <w:ilvl w:val="0"/>
          <w:numId w:val="1"/>
        </w:numPr>
        <w:spacing w:line="360" w:lineRule="auto"/>
      </w:pPr>
      <w:r>
        <w:rPr>
          <w:rFonts w:ascii="Times New Roman" w:hAnsi="Times New Roman" w:eastAsia="宋体" w:cs="Times New Roman"/>
          <w:b/>
          <w:bCs/>
          <w:sz w:val="24"/>
        </w:rPr>
        <w:t>mail</w:t>
      </w:r>
      <w:r>
        <w:rPr>
          <w:rFonts w:hint="eastAsia" w:ascii="Times New Roman" w:hAnsi="Times New Roman" w:eastAsia="宋体" w:cs="Times New Roman"/>
          <w:b/>
          <w:bCs/>
          <w:sz w:val="24"/>
        </w:rPr>
        <w:t xml:space="preserve">: </w:t>
      </w:r>
      <w:r>
        <w:fldChar w:fldCharType="begin"/>
      </w:r>
      <w:r>
        <w:instrText xml:space="preserve"> HYPERLINK "mailto:zhaodan765@163.com" </w:instrText>
      </w:r>
      <w:r>
        <w:fldChar w:fldCharType="separate"/>
      </w:r>
      <w:r>
        <w:rPr>
          <w:rFonts w:hint="eastAsia" w:ascii="Times New Roman" w:hAnsi="Times New Roman" w:eastAsia="宋体" w:cs="Times New Roman"/>
          <w:b/>
          <w:bCs/>
          <w:color w:val="0000FF"/>
          <w:sz w:val="24"/>
          <w:u w:val="single"/>
        </w:rPr>
        <w:t>zhaodan765@163.com</w:t>
      </w:r>
      <w:r>
        <w:rPr>
          <w:rFonts w:hint="eastAsia" w:ascii="Times New Roman" w:hAnsi="Times New Roman" w:eastAsia="宋体" w:cs="Times New Roman"/>
          <w:b/>
          <w:bCs/>
          <w:color w:val="0000FF"/>
          <w:sz w:val="24"/>
          <w:u w:val="single"/>
        </w:rPr>
        <w:fldChar w:fldCharType="end"/>
      </w:r>
    </w:p>
    <w:p>
      <w:pPr>
        <w:spacing w:line="360" w:lineRule="auto"/>
      </w:pPr>
    </w:p>
    <w:p>
      <w:pPr>
        <w:spacing w:line="360" w:lineRule="auto"/>
      </w:pPr>
    </w:p>
    <w:p>
      <w:pPr>
        <w:numPr>
          <w:ilvl w:val="0"/>
          <w:numId w:val="2"/>
        </w:numPr>
        <w:spacing w:line="360" w:lineRule="auto"/>
        <w:rPr>
          <w:rFonts w:ascii="Times New Roman" w:hAnsi="Times New Roman" w:eastAsia="Times New Roman"/>
          <w:b/>
          <w:bCs/>
          <w:color w:val="auto"/>
          <w:sz w:val="24"/>
        </w:rPr>
      </w:pPr>
      <w:r>
        <w:rPr>
          <w:rFonts w:hint="eastAsia" w:ascii="Times New Roman" w:hAnsi="Times New Roman" w:eastAsia="Times New Roman"/>
          <w:b/>
          <w:bCs/>
          <w:color w:val="auto"/>
          <w:sz w:val="24"/>
        </w:rPr>
        <w:t>The studies of Microwave depolymerization of lignin</w:t>
      </w:r>
    </w:p>
    <w:p>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The absorbance of different phenol hydroxyl groups was measured by ultraviolet-visible spectrophotometer at 760 nm. In order to analyze the phenolic hydroxyl content of lignin, a modified Folin-Ciocalteu (FC) reagent assay was used.</w:t>
      </w:r>
    </w:p>
    <w:p>
      <w:pPr>
        <w:spacing w:line="360" w:lineRule="auto"/>
        <w:ind w:firstLine="480" w:firstLineChars="200"/>
        <w:rPr>
          <w:rFonts w:ascii="Times New Roman" w:hAnsi="Times New Roman" w:eastAsia="Times New Roman"/>
          <w:color w:val="auto"/>
          <w:sz w:val="24"/>
        </w:rPr>
      </w:pPr>
      <w:r>
        <w:rPr>
          <w:rFonts w:hint="eastAsia" w:ascii="Times New Roman" w:hAnsi="Times New Roman" w:eastAsia="Times New Roman"/>
          <w:color w:val="auto"/>
          <w:sz w:val="24"/>
        </w:rPr>
        <w:t>To determine the range of independent process variables, the effects of one-factor inquiry experiments on the phenolic content of depolymerized lignins, namely lignin substitution rate, reaction temperature, reaction time, and sodium hydroxide concentration. The ranges of relevant conditions were initially determined as follows: lignin substitution rate (10 wt%, 20 wt%, 30 wt%, 40 wt%, 50 wt%, 60 wt%, 70 wt%, 80 wt%, 90 wt%, 100 wt%), reaction temperature (140℃, 150℃, 160℃, 170℃, 180℃, 190℃), reaction time (10 min, 15 min, 20 min, 30 min, 40 min), NaOH concentration (0.1 mol/L, 0.2 mol/L, 0.3 mol/L, 0.4 mol/L, 0.5 mol/L, 0.6 mol/L).</w:t>
      </w:r>
    </w:p>
    <w:p>
      <w:pPr>
        <w:widowControl/>
        <w:spacing w:after="200" w:line="360" w:lineRule="auto"/>
        <w:rPr>
          <w:rFonts w:ascii="Times New Roman" w:hAnsi="Times New Roman" w:eastAsia="宋体"/>
          <w:b/>
          <w:bCs/>
          <w:color w:val="auto"/>
          <w:position w:val="-12"/>
          <w:sz w:val="24"/>
        </w:rPr>
      </w:pPr>
      <w:r>
        <w:rPr>
          <w:rFonts w:hint="eastAsia" w:ascii="Times New Roman" w:hAnsi="Times New Roman" w:eastAsia="宋体"/>
          <w:b/>
          <w:bCs/>
          <w:color w:val="auto"/>
          <w:position w:val="-12"/>
          <w:sz w:val="24"/>
        </w:rPr>
        <w:t>1.1 Effect of lignin substitution rate on the phenolic content</w:t>
      </w:r>
    </w:p>
    <w:p>
      <w:pPr>
        <w:widowControl/>
        <w:spacing w:after="200" w:line="360" w:lineRule="auto"/>
        <w:ind w:firstLine="480" w:firstLineChars="200"/>
        <w:rPr>
          <w:rFonts w:ascii="Times New Roman" w:hAnsi="Times New Roman" w:eastAsia="宋体"/>
          <w:color w:val="auto"/>
          <w:position w:val="-12"/>
          <w:sz w:val="24"/>
        </w:rPr>
      </w:pPr>
      <w:r>
        <w:rPr>
          <w:rFonts w:ascii="Times New Roman" w:hAnsi="Times New Roman" w:eastAsia="宋体"/>
          <w:color w:val="auto"/>
          <w:position w:val="-12"/>
          <w:sz w:val="24"/>
        </w:rPr>
        <w:t xml:space="preserve">To explore the effect of lignin substitution rate on the phenolic content in the digestion solution, all conditions remained unchanged in the experiment. The </w:t>
      </w:r>
      <w:r>
        <w:rPr>
          <w:rFonts w:hint="eastAsia" w:ascii="Times New Roman" w:hAnsi="Times New Roman" w:eastAsia="宋体"/>
          <w:color w:val="auto"/>
          <w:position w:val="-12"/>
          <w:sz w:val="24"/>
        </w:rPr>
        <w:t>NaOH</w:t>
      </w:r>
      <w:r>
        <w:rPr>
          <w:rFonts w:ascii="Times New Roman" w:hAnsi="Times New Roman" w:eastAsia="宋体"/>
          <w:color w:val="auto"/>
          <w:position w:val="-12"/>
          <w:sz w:val="24"/>
        </w:rPr>
        <w:t xml:space="preserve"> concentration was set as 0.3 mol/L, the digestion temperature was 170℃, and the digestion time was 20 min.The content of phenolic hydroxyl groups in the digestion solution was investigated when the solid content of lignin was 10 wt%, 20 wt%, 30 wt%, 40 wt%, 50 wt%, 60 wt%, 70 wt%, 80 wt%, 90 wt% and 100 wt%.</w:t>
      </w:r>
      <w:r>
        <w:rPr>
          <w:rFonts w:hint="eastAsia" w:ascii="Times New Roman" w:hAnsi="Times New Roman" w:eastAsia="宋体"/>
          <w:color w:val="auto"/>
          <w:position w:val="-12"/>
          <w:sz w:val="24"/>
        </w:rPr>
        <w:t xml:space="preserve"> </w:t>
      </w:r>
      <w:r>
        <w:rPr>
          <w:rFonts w:ascii="Times New Roman" w:hAnsi="Times New Roman" w:eastAsia="宋体"/>
          <w:color w:val="auto"/>
          <w:position w:val="-12"/>
          <w:sz w:val="24"/>
        </w:rPr>
        <w:t>The effect of different lignin substitution rates on the phenolic hydroxyl content of microwave depolymerizing lignin is shown in Fig</w:t>
      </w:r>
      <w:r>
        <w:rPr>
          <w:rFonts w:hint="eastAsia" w:ascii="Times New Roman" w:hAnsi="Times New Roman" w:eastAsia="宋体"/>
          <w:color w:val="auto"/>
          <w:position w:val="-12"/>
          <w:sz w:val="24"/>
        </w:rPr>
        <w:t>.</w:t>
      </w:r>
      <w:r>
        <w:rPr>
          <w:rFonts w:ascii="Times New Roman" w:hAnsi="Times New Roman" w:eastAsia="宋体"/>
          <w:color w:val="auto"/>
          <w:position w:val="-12"/>
          <w:sz w:val="24"/>
        </w:rPr>
        <w:t xml:space="preserve"> </w:t>
      </w:r>
      <w:r>
        <w:rPr>
          <w:rFonts w:hint="eastAsia" w:ascii="Times New Roman" w:hAnsi="Times New Roman" w:eastAsia="宋体"/>
          <w:color w:val="auto"/>
          <w:position w:val="-12"/>
          <w:sz w:val="24"/>
        </w:rPr>
        <w:t>S1.</w:t>
      </w:r>
    </w:p>
    <w:p>
      <w:pPr>
        <w:widowControl/>
        <w:spacing w:after="200" w:line="360" w:lineRule="auto"/>
        <w:ind w:firstLine="420" w:firstLineChars="200"/>
        <w:jc w:val="center"/>
        <w:rPr>
          <w:color w:val="FF0000"/>
        </w:rPr>
      </w:pPr>
      <w:r>
        <w:rPr>
          <w:color w:val="FF0000"/>
        </w:rPr>
        <w:drawing>
          <wp:inline distT="0" distB="0" distL="114300" distR="114300">
            <wp:extent cx="2538095" cy="2010410"/>
            <wp:effectExtent l="0" t="0" r="1905" b="889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5"/>
                    <a:stretch>
                      <a:fillRect/>
                    </a:stretch>
                  </pic:blipFill>
                  <pic:spPr>
                    <a:xfrm>
                      <a:off x="0" y="0"/>
                      <a:ext cx="2538095" cy="2010410"/>
                    </a:xfrm>
                    <a:prstGeom prst="rect">
                      <a:avLst/>
                    </a:prstGeom>
                    <a:noFill/>
                    <a:ln>
                      <a:noFill/>
                    </a:ln>
                  </pic:spPr>
                </pic:pic>
              </a:graphicData>
            </a:graphic>
          </wp:inline>
        </w:drawing>
      </w:r>
    </w:p>
    <w:p>
      <w:pPr>
        <w:autoSpaceDE w:val="0"/>
        <w:autoSpaceDN w:val="0"/>
        <w:spacing w:line="380" w:lineRule="exact"/>
        <w:ind w:firstLine="422" w:firstLineChars="200"/>
        <w:jc w:val="center"/>
        <w:rPr>
          <w:rFonts w:ascii="Times New Roman" w:hAnsi="Times New Roman" w:eastAsia="黑体" w:cs="Times New Roman"/>
          <w:kern w:val="0"/>
          <w:szCs w:val="21"/>
        </w:rPr>
      </w:pPr>
      <w:r>
        <w:rPr>
          <w:rFonts w:hint="eastAsia" w:ascii="Times New Roman" w:hAnsi="Times New Roman" w:eastAsia="黑体" w:cs="Times New Roman"/>
          <w:b/>
          <w:bCs/>
          <w:kern w:val="0"/>
          <w:szCs w:val="21"/>
        </w:rPr>
        <w:t>Fig. S1</w:t>
      </w:r>
      <w:r>
        <w:rPr>
          <w:rFonts w:hint="eastAsia" w:ascii="Times New Roman" w:hAnsi="Times New Roman" w:eastAsia="黑体" w:cs="Times New Roman"/>
          <w:kern w:val="0"/>
          <w:szCs w:val="21"/>
        </w:rPr>
        <w:t xml:space="preserve"> Effects of different lignin substitution rates on the phenolic hydroxyl content of microwave depolymerizing lignin</w:t>
      </w:r>
    </w:p>
    <w:p>
      <w:pPr>
        <w:widowControl/>
        <w:spacing w:after="200" w:line="360" w:lineRule="auto"/>
        <w:ind w:firstLine="480" w:firstLineChars="200"/>
        <w:rPr>
          <w:rFonts w:ascii="Times New Roman" w:hAnsi="Times New Roman" w:eastAsia="宋体"/>
          <w:color w:val="auto"/>
          <w:position w:val="-12"/>
          <w:sz w:val="24"/>
        </w:rPr>
      </w:pPr>
      <w:r>
        <w:rPr>
          <w:rFonts w:hint="eastAsia" w:ascii="Times New Roman" w:hAnsi="Times New Roman" w:eastAsia="宋体"/>
          <w:color w:val="auto"/>
          <w:position w:val="-12"/>
          <w:sz w:val="24"/>
        </w:rPr>
        <w:t>As shown in Figure S1, with the increase of lignin substitution rate, the content of phenol increased first and then decreased, and three inflection points occurred at 20 wt%, 50 wt%, and 70 wt%. As shown in Table 2, when the lignin substitution rate is 20 wt%, 50 wt%, 70 wt% and 100 wt%, the phenolic hydroxyl content is not very different, and the difference is 0.05,0.04 and 0.03, and the phenolic content shows this pattern: 20 wt%&gt; 50 wt%&gt; 70 wt%&gt; 100 wt%. Considering various factors such as the dosage and cost performance, the lignin replacement rate is 20 wt%, 50 wt%, 70 wt% and 100 wt%.</w:t>
      </w:r>
    </w:p>
    <w:p>
      <w:pPr>
        <w:widowControl/>
        <w:spacing w:after="200" w:line="360" w:lineRule="auto"/>
        <w:rPr>
          <w:rFonts w:ascii="Times New Roman" w:hAnsi="Times New Roman" w:eastAsia="宋体"/>
          <w:b/>
          <w:bCs/>
          <w:position w:val="-12"/>
          <w:sz w:val="24"/>
        </w:rPr>
      </w:pPr>
      <w:r>
        <w:rPr>
          <w:rFonts w:hint="eastAsia" w:ascii="Times New Roman" w:hAnsi="Times New Roman" w:eastAsia="宋体"/>
          <w:b/>
          <w:bCs/>
          <w:position w:val="-12"/>
          <w:sz w:val="24"/>
        </w:rPr>
        <w:t>1.2 Effect of the microwave depolymerization temperature on the phenolic content</w:t>
      </w:r>
    </w:p>
    <w:p>
      <w:pPr>
        <w:widowControl/>
        <w:spacing w:after="200" w:line="360" w:lineRule="auto"/>
        <w:ind w:firstLine="480" w:firstLineChars="200"/>
        <w:rPr>
          <w:rFonts w:ascii="Times New Roman" w:hAnsi="Times New Roman" w:eastAsia="宋体"/>
          <w:color w:val="auto"/>
          <w:position w:val="-12"/>
          <w:sz w:val="24"/>
        </w:rPr>
      </w:pPr>
      <w:r>
        <w:rPr>
          <w:rFonts w:ascii="Times New Roman" w:hAnsi="Times New Roman" w:eastAsia="宋体"/>
          <w:color w:val="auto"/>
          <w:position w:val="-12"/>
          <w:sz w:val="24"/>
        </w:rPr>
        <w:t>To explore the effect of the digestion temperature on the phenolic content in the digestion solution remained unchanged, except for the temperature.</w:t>
      </w:r>
      <w:r>
        <w:rPr>
          <w:rFonts w:hint="eastAsia" w:ascii="Times New Roman" w:hAnsi="Times New Roman" w:eastAsia="宋体"/>
          <w:color w:val="auto"/>
          <w:position w:val="-12"/>
          <w:sz w:val="24"/>
        </w:rPr>
        <w:t xml:space="preserve"> </w:t>
      </w:r>
      <w:r>
        <w:rPr>
          <w:rFonts w:ascii="Times New Roman" w:hAnsi="Times New Roman" w:eastAsia="宋体"/>
          <w:color w:val="auto"/>
          <w:position w:val="-12"/>
          <w:sz w:val="24"/>
        </w:rPr>
        <w:t xml:space="preserve">The lignin substitution rate was 20 wt%, 50 wt%, 70 wt% and 100 wt%, the </w:t>
      </w:r>
      <w:r>
        <w:rPr>
          <w:rFonts w:hint="eastAsia" w:ascii="Times New Roman" w:hAnsi="Times New Roman" w:eastAsia="宋体"/>
          <w:color w:val="auto"/>
          <w:position w:val="-12"/>
          <w:sz w:val="24"/>
        </w:rPr>
        <w:t xml:space="preserve">NaOH </w:t>
      </w:r>
      <w:r>
        <w:rPr>
          <w:rFonts w:ascii="Times New Roman" w:hAnsi="Times New Roman" w:eastAsia="宋体"/>
          <w:color w:val="auto"/>
          <w:position w:val="-12"/>
          <w:sz w:val="24"/>
        </w:rPr>
        <w:t>concentration was 0.3 mol/L, and the digestion time was 20 min. The content of phenolic hydroxyl groups in the digestion solution a</w:t>
      </w:r>
      <w:r>
        <w:rPr>
          <w:rFonts w:ascii="Times New Roman" w:hAnsi="Times New Roman" w:eastAsia="宋体" w:cs="Times New Roman"/>
          <w:color w:val="auto"/>
          <w:position w:val="-12"/>
          <w:sz w:val="24"/>
        </w:rPr>
        <w:t xml:space="preserve">t 140℃, 150℃, 160℃, 170℃, 180℃, 190℃ </w:t>
      </w:r>
      <w:r>
        <w:rPr>
          <w:rFonts w:ascii="Times New Roman" w:hAnsi="Times New Roman" w:eastAsia="宋体"/>
          <w:color w:val="auto"/>
          <w:position w:val="-12"/>
          <w:sz w:val="24"/>
        </w:rPr>
        <w:t>were investigated. The effect of different digestion temperatures on the phenolic hydroxyl content of microwave depolymerizing lignin is shown in Fig</w:t>
      </w:r>
      <w:r>
        <w:rPr>
          <w:rFonts w:hint="eastAsia" w:ascii="Times New Roman" w:hAnsi="Times New Roman" w:eastAsia="宋体"/>
          <w:color w:val="auto"/>
          <w:position w:val="-12"/>
          <w:sz w:val="24"/>
        </w:rPr>
        <w:t>. S2</w:t>
      </w:r>
      <w:r>
        <w:rPr>
          <w:rFonts w:ascii="Times New Roman" w:hAnsi="Times New Roman" w:eastAsia="宋体"/>
          <w:color w:val="auto"/>
          <w:position w:val="-12"/>
          <w:sz w:val="24"/>
        </w:rPr>
        <w:t>.</w:t>
      </w:r>
    </w:p>
    <w:p>
      <w:pPr>
        <w:widowControl/>
        <w:spacing w:after="200" w:line="360" w:lineRule="auto"/>
        <w:ind w:firstLine="420" w:firstLineChars="200"/>
        <w:jc w:val="center"/>
      </w:pPr>
      <w:r>
        <w:drawing>
          <wp:inline distT="0" distB="0" distL="114300" distR="114300">
            <wp:extent cx="2739390" cy="2261870"/>
            <wp:effectExtent l="0" t="0" r="3810" b="1143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6"/>
                    <a:stretch>
                      <a:fillRect/>
                    </a:stretch>
                  </pic:blipFill>
                  <pic:spPr>
                    <a:xfrm>
                      <a:off x="0" y="0"/>
                      <a:ext cx="2739390" cy="2261870"/>
                    </a:xfrm>
                    <a:prstGeom prst="rect">
                      <a:avLst/>
                    </a:prstGeom>
                    <a:noFill/>
                    <a:ln>
                      <a:noFill/>
                    </a:ln>
                  </pic:spPr>
                </pic:pic>
              </a:graphicData>
            </a:graphic>
          </wp:inline>
        </w:drawing>
      </w:r>
    </w:p>
    <w:p>
      <w:pPr>
        <w:autoSpaceDE w:val="0"/>
        <w:autoSpaceDN w:val="0"/>
        <w:spacing w:line="380" w:lineRule="exact"/>
        <w:ind w:firstLine="422" w:firstLineChars="200"/>
        <w:jc w:val="center"/>
        <w:rPr>
          <w:rFonts w:ascii="Times New Roman" w:hAnsi="Times New Roman" w:eastAsia="黑体" w:cs="Times New Roman"/>
          <w:kern w:val="0"/>
          <w:szCs w:val="21"/>
        </w:rPr>
      </w:pPr>
      <w:r>
        <w:rPr>
          <w:rFonts w:hint="eastAsia" w:ascii="Times New Roman" w:hAnsi="Times New Roman" w:eastAsia="黑体" w:cs="Times New Roman"/>
          <w:b/>
          <w:bCs/>
          <w:kern w:val="0"/>
          <w:szCs w:val="21"/>
        </w:rPr>
        <w:t>Fig. S2</w:t>
      </w:r>
      <w:r>
        <w:rPr>
          <w:rFonts w:hint="eastAsia" w:ascii="Times New Roman" w:hAnsi="Times New Roman" w:eastAsia="黑体" w:cs="Times New Roman"/>
          <w:kern w:val="0"/>
          <w:szCs w:val="21"/>
        </w:rPr>
        <w:t xml:space="preserve"> Effects of different digestion temperature on the phenol hydroxy content of microwave depolymerized lignin</w:t>
      </w:r>
    </w:p>
    <w:p>
      <w:pPr>
        <w:widowControl/>
        <w:spacing w:after="200" w:line="360" w:lineRule="auto"/>
        <w:ind w:firstLine="480" w:firstLineChars="200"/>
        <w:rPr>
          <w:rFonts w:ascii="Times New Roman" w:hAnsi="Times New Roman" w:eastAsia="宋体"/>
          <w:color w:val="auto"/>
          <w:position w:val="-12"/>
          <w:sz w:val="24"/>
        </w:rPr>
      </w:pPr>
      <w:r>
        <w:rPr>
          <w:rFonts w:ascii="Times New Roman" w:hAnsi="Times New Roman" w:eastAsia="宋体"/>
          <w:color w:val="auto"/>
          <w:position w:val="-12"/>
          <w:sz w:val="24"/>
        </w:rPr>
        <w:t>As can be seen from Fig</w:t>
      </w:r>
      <w:r>
        <w:rPr>
          <w:rFonts w:hint="eastAsia" w:ascii="Times New Roman" w:hAnsi="Times New Roman" w:eastAsia="宋体"/>
          <w:color w:val="auto"/>
          <w:position w:val="-12"/>
          <w:sz w:val="24"/>
        </w:rPr>
        <w:t>.</w:t>
      </w:r>
      <w:r>
        <w:rPr>
          <w:rFonts w:ascii="Times New Roman" w:hAnsi="Times New Roman" w:eastAsia="宋体"/>
          <w:color w:val="auto"/>
          <w:position w:val="-12"/>
          <w:sz w:val="24"/>
        </w:rPr>
        <w:t xml:space="preserve"> </w:t>
      </w:r>
      <w:r>
        <w:rPr>
          <w:rFonts w:hint="eastAsia" w:ascii="Times New Roman" w:hAnsi="Times New Roman" w:eastAsia="宋体"/>
          <w:color w:val="auto"/>
          <w:position w:val="-12"/>
          <w:sz w:val="24"/>
        </w:rPr>
        <w:t>S2</w:t>
      </w:r>
      <w:r>
        <w:rPr>
          <w:rFonts w:ascii="Times New Roman" w:hAnsi="Times New Roman" w:eastAsia="宋体"/>
          <w:color w:val="auto"/>
          <w:position w:val="-12"/>
          <w:sz w:val="24"/>
        </w:rPr>
        <w:t>, when the lignin substitution rate is 20 wt%, 50 wt% and 70 wt%, the phenolic content of the digestion lignin with increasing digestion temperature first decreases and then increases to the maximum, and then decreases until flat. When the lignin substitution rate was 100 wt%, the phenolic content of lignin increased to the maximum value, and then gradually increased. In general, the trend was similar, and the phenol content reached the maximum value at 160</w:t>
      </w:r>
      <w:r>
        <w:rPr>
          <w:rFonts w:ascii="Times New Roman" w:hAnsi="Times New Roman" w:eastAsia="宋体" w:cs="Times New Roman"/>
          <w:color w:val="auto"/>
          <w:position w:val="-12"/>
          <w:sz w:val="24"/>
        </w:rPr>
        <w:t>℃</w:t>
      </w:r>
      <w:r>
        <w:rPr>
          <w:rFonts w:ascii="Times New Roman" w:hAnsi="Times New Roman" w:eastAsia="宋体"/>
          <w:color w:val="auto"/>
          <w:position w:val="-12"/>
          <w:sz w:val="24"/>
        </w:rPr>
        <w:t>, and the lignin phenol content with different substitution rates showed this pattern: 20 wt%&gt; 50 wt%&gt; 70 wt%&gt; 100 wt%. Therefore, the optimal lignin digestion temperature was determined to be 1</w:t>
      </w:r>
      <w:r>
        <w:rPr>
          <w:rFonts w:hint="eastAsia" w:ascii="Times New Roman" w:hAnsi="Times New Roman" w:eastAsia="宋体"/>
          <w:color w:val="auto"/>
          <w:position w:val="-12"/>
          <w:sz w:val="24"/>
        </w:rPr>
        <w:t>6</w:t>
      </w:r>
      <w:r>
        <w:rPr>
          <w:rFonts w:ascii="Times New Roman" w:hAnsi="Times New Roman" w:eastAsia="宋体"/>
          <w:color w:val="auto"/>
          <w:position w:val="-12"/>
          <w:sz w:val="24"/>
        </w:rPr>
        <w:t>0℃.</w:t>
      </w:r>
    </w:p>
    <w:p>
      <w:pPr>
        <w:widowControl/>
        <w:spacing w:after="200" w:line="360" w:lineRule="auto"/>
        <w:rPr>
          <w:rFonts w:ascii="Times New Roman" w:hAnsi="Times New Roman" w:eastAsia="宋体"/>
          <w:b/>
          <w:bCs/>
          <w:position w:val="-12"/>
          <w:sz w:val="24"/>
        </w:rPr>
      </w:pPr>
      <w:r>
        <w:rPr>
          <w:rFonts w:hint="eastAsia" w:ascii="Times New Roman" w:hAnsi="Times New Roman" w:eastAsia="宋体"/>
          <w:b/>
          <w:bCs/>
          <w:position w:val="-12"/>
          <w:sz w:val="24"/>
        </w:rPr>
        <w:t>1.3 Effect of the microwave depolymerization time on the phenolic content</w:t>
      </w:r>
    </w:p>
    <w:p>
      <w:pPr>
        <w:widowControl/>
        <w:spacing w:after="200" w:line="360" w:lineRule="auto"/>
        <w:ind w:firstLine="480" w:firstLineChars="200"/>
        <w:rPr>
          <w:rFonts w:ascii="Times New Roman" w:hAnsi="Times New Roman" w:eastAsia="宋体"/>
          <w:color w:val="auto"/>
          <w:position w:val="-12"/>
          <w:sz w:val="24"/>
        </w:rPr>
      </w:pPr>
      <w:r>
        <w:rPr>
          <w:rFonts w:hint="eastAsia" w:ascii="Times New Roman" w:hAnsi="Times New Roman" w:eastAsia="宋体"/>
          <w:color w:val="auto"/>
          <w:position w:val="-12"/>
          <w:sz w:val="24"/>
        </w:rPr>
        <w:t>To explore the effect of the digestion time on the phenolic content in the digestion solution remained unchanged, except for the time. The lignin substitution rate was 20 wt%, 50 wt%, 70 wt%, 100 wt%, the NaOH concentration was 0.3 mol/L, and the digestion temperature was 160</w:t>
      </w:r>
      <w:r>
        <w:rPr>
          <w:rFonts w:ascii="Times New Roman" w:hAnsi="Times New Roman" w:eastAsia="宋体" w:cs="Times New Roman"/>
          <w:color w:val="auto"/>
          <w:position w:val="-12"/>
          <w:sz w:val="24"/>
        </w:rPr>
        <w:t>℃</w:t>
      </w:r>
      <w:r>
        <w:rPr>
          <w:rFonts w:hint="eastAsia" w:ascii="Times New Roman" w:hAnsi="Times New Roman" w:eastAsia="宋体"/>
          <w:color w:val="auto"/>
          <w:position w:val="-12"/>
          <w:sz w:val="24"/>
        </w:rPr>
        <w:t>. The digestion time was 10 min, 15 min, 20 min, 30 min and 40 min. At the above four lignin substitution rates, the effect of different digestion times on the phenolic hydroxyl content of microwave depolymerizing lignin is shown in Fig. S3.</w:t>
      </w:r>
    </w:p>
    <w:p>
      <w:pPr>
        <w:widowControl/>
        <w:spacing w:after="200" w:line="360" w:lineRule="auto"/>
        <w:ind w:firstLine="420" w:firstLineChars="200"/>
        <w:jc w:val="center"/>
      </w:pPr>
      <w:r>
        <w:drawing>
          <wp:inline distT="0" distB="0" distL="114300" distR="114300">
            <wp:extent cx="2489200" cy="2037080"/>
            <wp:effectExtent l="0" t="0" r="0" b="7620"/>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7"/>
                    <a:stretch>
                      <a:fillRect/>
                    </a:stretch>
                  </pic:blipFill>
                  <pic:spPr>
                    <a:xfrm>
                      <a:off x="0" y="0"/>
                      <a:ext cx="2489200" cy="2037080"/>
                    </a:xfrm>
                    <a:prstGeom prst="rect">
                      <a:avLst/>
                    </a:prstGeom>
                    <a:noFill/>
                    <a:ln>
                      <a:noFill/>
                    </a:ln>
                  </pic:spPr>
                </pic:pic>
              </a:graphicData>
            </a:graphic>
          </wp:inline>
        </w:drawing>
      </w:r>
    </w:p>
    <w:p>
      <w:pPr>
        <w:autoSpaceDE w:val="0"/>
        <w:autoSpaceDN w:val="0"/>
        <w:spacing w:line="380" w:lineRule="exact"/>
        <w:ind w:firstLine="422" w:firstLineChars="200"/>
        <w:jc w:val="center"/>
        <w:rPr>
          <w:rFonts w:ascii="黑体" w:hAnsi="黑体" w:eastAsia="黑体" w:cs="黑体"/>
          <w:kern w:val="0"/>
          <w:szCs w:val="21"/>
        </w:rPr>
      </w:pPr>
      <w:r>
        <w:rPr>
          <w:rFonts w:hint="eastAsia" w:ascii="Times New Roman" w:hAnsi="Times New Roman" w:eastAsia="黑体" w:cs="Times New Roman"/>
          <w:b/>
          <w:bCs/>
          <w:kern w:val="0"/>
          <w:szCs w:val="21"/>
        </w:rPr>
        <w:t>Fig. S3</w:t>
      </w:r>
      <w:r>
        <w:rPr>
          <w:rFonts w:hint="eastAsia" w:ascii="Times New Roman" w:hAnsi="Times New Roman" w:eastAsia="黑体" w:cs="Times New Roman"/>
          <w:kern w:val="0"/>
          <w:szCs w:val="21"/>
        </w:rPr>
        <w:t xml:space="preserve"> Effects of different digestion time on the phenol hydroxy content of microwave depolymerized lignin</w:t>
      </w:r>
    </w:p>
    <w:p>
      <w:pPr>
        <w:widowControl/>
        <w:spacing w:after="200" w:line="360" w:lineRule="auto"/>
        <w:ind w:firstLine="480" w:firstLineChars="200"/>
        <w:rPr>
          <w:rFonts w:ascii="Times New Roman" w:hAnsi="Times New Roman" w:eastAsia="宋体"/>
          <w:color w:val="auto"/>
          <w:position w:val="-12"/>
          <w:sz w:val="24"/>
        </w:rPr>
      </w:pPr>
      <w:r>
        <w:rPr>
          <w:rFonts w:ascii="Times New Roman" w:hAnsi="Times New Roman" w:eastAsia="宋体"/>
          <w:color w:val="auto"/>
          <w:position w:val="-12"/>
          <w:sz w:val="24"/>
        </w:rPr>
        <w:t>In Fig</w:t>
      </w:r>
      <w:r>
        <w:rPr>
          <w:rFonts w:hint="eastAsia" w:ascii="Times New Roman" w:hAnsi="Times New Roman" w:eastAsia="宋体"/>
          <w:color w:val="auto"/>
          <w:position w:val="-12"/>
          <w:sz w:val="24"/>
        </w:rPr>
        <w:t>.</w:t>
      </w:r>
      <w:r>
        <w:rPr>
          <w:rFonts w:ascii="Times New Roman" w:hAnsi="Times New Roman" w:eastAsia="宋体"/>
          <w:color w:val="auto"/>
          <w:position w:val="-12"/>
          <w:sz w:val="24"/>
        </w:rPr>
        <w:t xml:space="preserve"> </w:t>
      </w:r>
      <w:r>
        <w:rPr>
          <w:rFonts w:hint="eastAsia" w:ascii="Times New Roman" w:hAnsi="Times New Roman" w:eastAsia="宋体"/>
          <w:color w:val="auto"/>
          <w:position w:val="-12"/>
          <w:sz w:val="24"/>
        </w:rPr>
        <w:t>S3</w:t>
      </w:r>
      <w:r>
        <w:rPr>
          <w:rFonts w:ascii="Times New Roman" w:hAnsi="Times New Roman" w:eastAsia="宋体"/>
          <w:color w:val="auto"/>
          <w:position w:val="-12"/>
          <w:sz w:val="24"/>
        </w:rPr>
        <w:t>, when thelignin substitution rate is 20 wt%, 50 wt%, 70 wt% and 100 wt%, with the increase of digestion time, the phenolic content of digestion lignin first increased to the maximum, then decreased and slowly increased.</w:t>
      </w:r>
      <w:r>
        <w:rPr>
          <w:rFonts w:hint="eastAsia" w:ascii="Times New Roman" w:hAnsi="Times New Roman" w:eastAsia="宋体"/>
          <w:color w:val="auto"/>
          <w:position w:val="-12"/>
          <w:sz w:val="24"/>
        </w:rPr>
        <w:t xml:space="preserve"> </w:t>
      </w:r>
      <w:r>
        <w:rPr>
          <w:rFonts w:ascii="Times New Roman" w:hAnsi="Times New Roman" w:eastAsia="宋体"/>
          <w:color w:val="auto"/>
          <w:position w:val="-12"/>
          <w:sz w:val="24"/>
        </w:rPr>
        <w:t>The phenol content at the beginning and the end was not much different.</w:t>
      </w:r>
      <w:r>
        <w:rPr>
          <w:rFonts w:hint="eastAsia" w:ascii="Times New Roman" w:hAnsi="Times New Roman" w:eastAsia="宋体"/>
          <w:color w:val="auto"/>
          <w:position w:val="-12"/>
          <w:sz w:val="24"/>
        </w:rPr>
        <w:t xml:space="preserve"> </w:t>
      </w:r>
      <w:r>
        <w:rPr>
          <w:rFonts w:ascii="Times New Roman" w:hAnsi="Times New Roman" w:eastAsia="宋体"/>
          <w:color w:val="auto"/>
          <w:position w:val="-12"/>
          <w:sz w:val="24"/>
        </w:rPr>
        <w:t>When the time was 20 min, the lignin phenol content of 4 different substitution rates reached the maximum value, and the phenolic content appeared: 20 wt%&gt; 50 wt%&gt; 70 wt%&gt; 100 wt%. Therefore, the optimal digestion time was 20 min.</w:t>
      </w:r>
    </w:p>
    <w:p>
      <w:pPr>
        <w:widowControl/>
        <w:spacing w:after="200" w:line="360" w:lineRule="auto"/>
        <w:rPr>
          <w:rFonts w:ascii="Times New Roman" w:hAnsi="Times New Roman" w:eastAsia="宋体"/>
          <w:b/>
          <w:bCs/>
          <w:position w:val="-12"/>
          <w:sz w:val="24"/>
        </w:rPr>
      </w:pPr>
      <w:r>
        <w:rPr>
          <w:rFonts w:hint="eastAsia" w:ascii="Times New Roman" w:hAnsi="Times New Roman" w:eastAsia="宋体"/>
          <w:b/>
          <w:bCs/>
          <w:position w:val="-12"/>
          <w:sz w:val="24"/>
        </w:rPr>
        <w:t>1.4 Effect of NaOH concentration of microwave depolymerization on phenolic content</w:t>
      </w:r>
    </w:p>
    <w:p>
      <w:pPr>
        <w:widowControl/>
        <w:spacing w:after="200" w:line="360" w:lineRule="auto"/>
        <w:ind w:firstLine="480" w:firstLineChars="200"/>
        <w:rPr>
          <w:rFonts w:ascii="Times New Roman" w:hAnsi="Times New Roman" w:eastAsia="宋体"/>
          <w:color w:val="auto"/>
          <w:position w:val="-12"/>
          <w:sz w:val="24"/>
        </w:rPr>
      </w:pPr>
      <w:r>
        <w:rPr>
          <w:rFonts w:ascii="Times New Roman" w:hAnsi="Times New Roman" w:eastAsia="宋体"/>
          <w:color w:val="auto"/>
          <w:position w:val="-12"/>
          <w:sz w:val="24"/>
        </w:rPr>
        <w:t>To explore the effect of the</w:t>
      </w:r>
      <w:r>
        <w:rPr>
          <w:rFonts w:hint="eastAsia" w:ascii="Times New Roman" w:hAnsi="Times New Roman" w:eastAsia="宋体"/>
          <w:color w:val="auto"/>
          <w:position w:val="-12"/>
          <w:sz w:val="24"/>
        </w:rPr>
        <w:t xml:space="preserve"> NaOH</w:t>
      </w:r>
      <w:r>
        <w:rPr>
          <w:rFonts w:ascii="Times New Roman" w:hAnsi="Times New Roman" w:eastAsia="宋体"/>
          <w:color w:val="auto"/>
          <w:position w:val="-12"/>
          <w:sz w:val="24"/>
        </w:rPr>
        <w:t xml:space="preserve"> concentration on the phenolic content in the digestion solution, and all the </w:t>
      </w:r>
      <w:r>
        <w:rPr>
          <w:rFonts w:hint="eastAsia" w:ascii="Times New Roman" w:hAnsi="Times New Roman" w:eastAsia="宋体"/>
          <w:color w:val="auto"/>
          <w:position w:val="-12"/>
          <w:sz w:val="24"/>
        </w:rPr>
        <w:t xml:space="preserve">other </w:t>
      </w:r>
      <w:r>
        <w:rPr>
          <w:rFonts w:ascii="Times New Roman" w:hAnsi="Times New Roman" w:eastAsia="宋体"/>
          <w:color w:val="auto"/>
          <w:position w:val="-12"/>
          <w:sz w:val="24"/>
        </w:rPr>
        <w:t>conditions remained unchanged in the experiment</w:t>
      </w:r>
      <w:r>
        <w:rPr>
          <w:rFonts w:hint="eastAsia" w:ascii="Times New Roman" w:hAnsi="Times New Roman" w:eastAsia="宋体"/>
          <w:color w:val="auto"/>
          <w:position w:val="-12"/>
          <w:sz w:val="24"/>
        </w:rPr>
        <w:t>, except for the NaOH concentration. The lignin substitution rate was 20 wt%, 50 wt%, 70 wt% and 100 wt%, the digestion temperature was 160</w:t>
      </w:r>
      <w:r>
        <w:rPr>
          <w:rFonts w:ascii="Times New Roman" w:hAnsi="Times New Roman" w:eastAsia="宋体" w:cs="Times New Roman"/>
          <w:color w:val="auto"/>
          <w:position w:val="-12"/>
          <w:sz w:val="24"/>
        </w:rPr>
        <w:t>℃</w:t>
      </w:r>
      <w:r>
        <w:rPr>
          <w:rFonts w:hint="eastAsia" w:ascii="Times New Roman" w:hAnsi="Times New Roman" w:eastAsia="宋体"/>
          <w:color w:val="auto"/>
          <w:position w:val="-12"/>
          <w:sz w:val="24"/>
        </w:rPr>
        <w:t xml:space="preserve"> and the digestion time was 20 min. The content of phenol hydroxyl group in the digestion solution was investigated when the NaOH concentration was 0.10 mol/L, 0.20 mol/L, 0.30 mol/L, 0.40 mol/L, 0.50 mol/L and 0.60 mol/L, and the optimal NaOH concentration was analyzed. The effect of different sodium hydroxide concentrations on the phenolic hydroxyl content of microwave depolymerizing lignin is shown in Fig. S4.</w:t>
      </w:r>
    </w:p>
    <w:p>
      <w:pPr>
        <w:widowControl/>
        <w:spacing w:after="200" w:line="360" w:lineRule="auto"/>
        <w:ind w:firstLine="420" w:firstLineChars="200"/>
        <w:jc w:val="center"/>
      </w:pPr>
      <w:r>
        <w:drawing>
          <wp:inline distT="0" distB="0" distL="114300" distR="114300">
            <wp:extent cx="2375535" cy="1934845"/>
            <wp:effectExtent l="0" t="0" r="12065" b="8255"/>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8"/>
                    <a:stretch>
                      <a:fillRect/>
                    </a:stretch>
                  </pic:blipFill>
                  <pic:spPr>
                    <a:xfrm>
                      <a:off x="0" y="0"/>
                      <a:ext cx="2375535" cy="1934845"/>
                    </a:xfrm>
                    <a:prstGeom prst="rect">
                      <a:avLst/>
                    </a:prstGeom>
                    <a:noFill/>
                    <a:ln>
                      <a:noFill/>
                    </a:ln>
                  </pic:spPr>
                </pic:pic>
              </a:graphicData>
            </a:graphic>
          </wp:inline>
        </w:drawing>
      </w:r>
    </w:p>
    <w:p>
      <w:pPr>
        <w:autoSpaceDE w:val="0"/>
        <w:autoSpaceDN w:val="0"/>
        <w:spacing w:line="380" w:lineRule="exact"/>
        <w:jc w:val="center"/>
      </w:pPr>
      <w:r>
        <w:rPr>
          <w:rFonts w:hint="eastAsia" w:ascii="Times New Roman" w:hAnsi="Times New Roman" w:eastAsia="黑体" w:cs="Times New Roman"/>
          <w:b/>
          <w:bCs/>
          <w:kern w:val="0"/>
          <w:szCs w:val="21"/>
        </w:rPr>
        <w:t xml:space="preserve">Fig. S4 </w:t>
      </w:r>
      <w:r>
        <w:rPr>
          <w:rFonts w:hint="eastAsia" w:ascii="Times New Roman" w:hAnsi="Times New Roman" w:eastAsia="黑体" w:cs="Times New Roman"/>
          <w:kern w:val="0"/>
          <w:szCs w:val="21"/>
        </w:rPr>
        <w:t>Effects of different sodium hydroxide concentrations on the phenol hydroxy content of microwave depolymerized lignin</w:t>
      </w:r>
    </w:p>
    <w:p>
      <w:pPr>
        <w:widowControl/>
        <w:spacing w:after="200" w:line="360" w:lineRule="auto"/>
        <w:ind w:firstLine="480" w:firstLineChars="200"/>
        <w:rPr>
          <w:rFonts w:ascii="Times New Roman" w:hAnsi="Times New Roman" w:eastAsia="Times New Roman" w:cs="Times New Roman"/>
          <w:bCs/>
          <w:color w:val="auto"/>
          <w:sz w:val="24"/>
        </w:rPr>
      </w:pPr>
      <w:r>
        <w:rPr>
          <w:rFonts w:ascii="Times New Roman" w:hAnsi="Times New Roman" w:eastAsia="Times New Roman" w:cs="Times New Roman"/>
          <w:bCs/>
          <w:color w:val="auto"/>
          <w:sz w:val="24"/>
        </w:rPr>
        <w:t>As shown in Fig</w:t>
      </w:r>
      <w:r>
        <w:rPr>
          <w:rFonts w:hint="eastAsia" w:ascii="Times New Roman" w:hAnsi="Times New Roman" w:eastAsia="宋体" w:cs="Times New Roman"/>
          <w:bCs/>
          <w:color w:val="auto"/>
          <w:sz w:val="24"/>
        </w:rPr>
        <w:t>. S4</w:t>
      </w:r>
      <w:r>
        <w:rPr>
          <w:rFonts w:ascii="Times New Roman" w:hAnsi="Times New Roman" w:eastAsia="Times New Roman" w:cs="Times New Roman"/>
          <w:bCs/>
          <w:color w:val="auto"/>
          <w:sz w:val="24"/>
        </w:rPr>
        <w:t xml:space="preserve">, when the lignin substitution rate was 20 wt%, 50 wt%, 70 wt%, and 100 wt%, the phenolic content of digested lignin increased first and then decreased with the increase of </w:t>
      </w:r>
      <w:r>
        <w:rPr>
          <w:rFonts w:hint="eastAsia" w:ascii="Times New Roman" w:hAnsi="Times New Roman" w:eastAsia="Times New Roman" w:cs="Times New Roman"/>
          <w:bCs/>
          <w:color w:val="auto"/>
          <w:sz w:val="24"/>
        </w:rPr>
        <w:t>NaOH</w:t>
      </w:r>
      <w:r>
        <w:rPr>
          <w:rFonts w:ascii="Times New Roman" w:hAnsi="Times New Roman" w:eastAsia="Times New Roman" w:cs="Times New Roman"/>
          <w:bCs/>
          <w:color w:val="auto"/>
          <w:sz w:val="24"/>
        </w:rPr>
        <w:t xml:space="preserve"> concentration. When the</w:t>
      </w:r>
      <w:r>
        <w:rPr>
          <w:rFonts w:hint="eastAsia" w:ascii="Times New Roman" w:hAnsi="Times New Roman" w:eastAsia="Times New Roman" w:cs="Times New Roman"/>
          <w:bCs/>
          <w:color w:val="auto"/>
          <w:sz w:val="24"/>
        </w:rPr>
        <w:t xml:space="preserve"> NaOH</w:t>
      </w:r>
      <w:r>
        <w:rPr>
          <w:rFonts w:ascii="Times New Roman" w:hAnsi="Times New Roman" w:eastAsia="Times New Roman" w:cs="Times New Roman"/>
          <w:bCs/>
          <w:color w:val="auto"/>
          <w:sz w:val="24"/>
        </w:rPr>
        <w:t xml:space="preserve"> concentration was 0.3 mol/L, the lignin phenol content of four different substitution rates reached the maximum, and the rule was 20 wt%&gt; 50 wt%&gt; 70 wt%&gt; 100 wt%. Therefore, the optimal </w:t>
      </w:r>
      <w:r>
        <w:rPr>
          <w:rFonts w:hint="eastAsia" w:ascii="Times New Roman" w:hAnsi="Times New Roman" w:eastAsia="Times New Roman" w:cs="Times New Roman"/>
          <w:bCs/>
          <w:color w:val="auto"/>
          <w:sz w:val="24"/>
        </w:rPr>
        <w:t xml:space="preserve">NaOH </w:t>
      </w:r>
      <w:r>
        <w:rPr>
          <w:rFonts w:ascii="Times New Roman" w:hAnsi="Times New Roman" w:eastAsia="Times New Roman" w:cs="Times New Roman"/>
          <w:bCs/>
          <w:color w:val="auto"/>
          <w:sz w:val="24"/>
        </w:rPr>
        <w:t>concentration is 0.3 mol/L.</w:t>
      </w:r>
    </w:p>
    <w:p>
      <w:pPr>
        <w:widowControl/>
        <w:spacing w:after="200" w:line="360" w:lineRule="auto"/>
        <w:ind w:firstLine="480" w:firstLineChars="200"/>
        <w:rPr>
          <w:rFonts w:ascii="Times New Roman" w:hAnsi="Times New Roman" w:eastAsia="Times New Roman"/>
          <w:color w:val="auto"/>
          <w:sz w:val="24"/>
        </w:rPr>
      </w:pPr>
      <w:r>
        <w:rPr>
          <w:rFonts w:ascii="Times New Roman" w:hAnsi="Times New Roman" w:eastAsia="Times New Roman" w:cs="Times New Roman"/>
          <w:bCs/>
          <w:color w:val="auto"/>
          <w:sz w:val="24"/>
        </w:rPr>
        <w:t>After exploring the influence of single factors on the</w:t>
      </w:r>
      <w:r>
        <w:rPr>
          <w:rFonts w:hint="eastAsia" w:ascii="Times New Roman" w:hAnsi="Times New Roman" w:eastAsia="Times New Roman" w:cs="Times New Roman"/>
          <w:bCs/>
          <w:color w:val="auto"/>
          <w:sz w:val="24"/>
        </w:rPr>
        <w:t xml:space="preserve"> p</w:t>
      </w:r>
      <w:r>
        <w:rPr>
          <w:rFonts w:ascii="Times New Roman" w:hAnsi="Times New Roman" w:eastAsia="Times New Roman" w:cs="Times New Roman"/>
          <w:bCs/>
          <w:color w:val="auto"/>
          <w:sz w:val="24"/>
        </w:rPr>
        <w:t xml:space="preserve">henolic hydroxyl content of microwave depolymerized lignin, it was found that when the lignin substitution rate was 20 wt%, 50 wt%, 70 wt% and 100 wt%, the maximum reached when the digestion temperature was 160℃, digestion time was 20 min, and </w:t>
      </w:r>
      <w:r>
        <w:rPr>
          <w:rFonts w:hint="eastAsia" w:ascii="Times New Roman" w:hAnsi="Times New Roman" w:eastAsia="Times New Roman" w:cs="Times New Roman"/>
          <w:bCs/>
          <w:color w:val="auto"/>
          <w:sz w:val="24"/>
        </w:rPr>
        <w:t>NaOH</w:t>
      </w:r>
      <w:r>
        <w:rPr>
          <w:rFonts w:ascii="Times New Roman" w:hAnsi="Times New Roman" w:eastAsia="Times New Roman" w:cs="Times New Roman"/>
          <w:bCs/>
          <w:color w:val="auto"/>
          <w:sz w:val="24"/>
        </w:rPr>
        <w:t xml:space="preserve"> concentration was 0.3 mol/L, and the rule of lignin phenol content of different substitution rates was 20 wt%&gt; 50 wt%&gt; 70 wt%&gt; 100 wt%. Based on all the above one-factor experiments, the results show that the best conditions were: lignin replacement rate is 20 wt%, digestion temperature is 160℃, digestion time is 20 min, and </w:t>
      </w:r>
      <w:r>
        <w:rPr>
          <w:rFonts w:hint="eastAsia" w:ascii="Times New Roman" w:hAnsi="Times New Roman" w:eastAsia="Times New Roman" w:cs="Times New Roman"/>
          <w:bCs/>
          <w:color w:val="auto"/>
          <w:sz w:val="24"/>
        </w:rPr>
        <w:t>NaOH</w:t>
      </w:r>
      <w:r>
        <w:rPr>
          <w:rFonts w:ascii="Times New Roman" w:hAnsi="Times New Roman" w:eastAsia="Times New Roman" w:cs="Times New Roman"/>
          <w:bCs/>
          <w:color w:val="auto"/>
          <w:sz w:val="24"/>
        </w:rPr>
        <w:t xml:space="preserve"> concentration is 0.3 mol/L. Under these conditions, the content of phenol in digested lignin was 58.46% after depolymerizing the mixed solution of 3.7340 g (equivalent to 20% phenol in SLPFR) lignin, 190 g deionized water and 2.28 g sodium hydroxide.</w:t>
      </w:r>
    </w:p>
    <w:p>
      <w:pPr>
        <w:numPr>
          <w:ilvl w:val="0"/>
          <w:numId w:val="2"/>
        </w:numPr>
        <w:spacing w:line="360" w:lineRule="auto"/>
        <w:rPr>
          <w:rFonts w:ascii="Times New Roman" w:hAnsi="Times New Roman" w:eastAsia="Times New Roman"/>
          <w:b/>
          <w:bCs/>
          <w:color w:val="auto"/>
          <w:sz w:val="24"/>
        </w:rPr>
      </w:pPr>
      <w:r>
        <w:rPr>
          <w:rFonts w:hint="eastAsia" w:ascii="Times New Roman" w:hAnsi="Times New Roman" w:eastAsia="Times New Roman"/>
          <w:b/>
          <w:bCs/>
          <w:color w:val="auto"/>
          <w:sz w:val="24"/>
        </w:rPr>
        <w:t>The SEM analysis</w:t>
      </w:r>
    </w:p>
    <w:p>
      <w:pPr>
        <w:spacing w:line="360" w:lineRule="auto"/>
        <w:ind w:firstLine="480" w:firstLineChars="200"/>
        <w:rPr>
          <w:rFonts w:ascii="Times New Roman" w:hAnsi="Times New Roman" w:eastAsia="Times New Roman"/>
          <w:color w:val="auto"/>
          <w:sz w:val="24"/>
        </w:rPr>
      </w:pPr>
      <w:r>
        <w:rPr>
          <w:rFonts w:hint="eastAsia" w:ascii="Times New Roman" w:hAnsi="Times New Roman" w:eastAsia="宋体" w:cs="Times New Roman"/>
          <w:color w:val="auto"/>
          <w:sz w:val="24"/>
        </w:rPr>
        <w:t xml:space="preserve">The SEM can observe the microstructure of the sample cross section or surface. The model SU8010 scanning electron microscope was used in this experiment. The scanning conditions were tested at an operating voltage of 5.0 kV. The dried sample was thoroughly ground before testing and then glued directly to the conductive adhesive for testing. </w:t>
      </w:r>
      <w:r>
        <w:rPr>
          <w:rFonts w:hint="eastAsia" w:ascii="Times New Roman" w:hAnsi="Times New Roman" w:eastAsia="Times New Roman"/>
          <w:color w:val="auto"/>
          <w:sz w:val="24"/>
        </w:rPr>
        <w:t xml:space="preserve">The SEM map of lignin before and after microwave depolymerization, as shown in Fig. </w:t>
      </w:r>
      <w:r>
        <w:rPr>
          <w:rFonts w:hint="eastAsia" w:ascii="Times New Roman" w:hAnsi="Times New Roman" w:eastAsia="宋体"/>
          <w:color w:val="auto"/>
          <w:sz w:val="24"/>
        </w:rPr>
        <w:t>S5</w:t>
      </w:r>
      <w:r>
        <w:rPr>
          <w:rFonts w:hint="eastAsia" w:ascii="Times New Roman" w:hAnsi="Times New Roman" w:eastAsia="Times New Roman"/>
          <w:color w:val="auto"/>
          <w:sz w:val="24"/>
        </w:rPr>
        <w:t>.</w:t>
      </w:r>
    </w:p>
    <w:p>
      <w:pPr>
        <w:ind w:firstLine="420" w:firstLineChars="200"/>
        <w:jc w:val="center"/>
      </w:pPr>
      <w:r>
        <w:drawing>
          <wp:inline distT="0" distB="0" distL="114300" distR="114300">
            <wp:extent cx="3687445" cy="2249170"/>
            <wp:effectExtent l="0" t="0" r="8255" b="11430"/>
            <wp:docPr id="50" name="图片 50" descr="AL-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AL-DL"/>
                    <pic:cNvPicPr>
                      <a:picLocks noChangeAspect="1"/>
                    </pic:cNvPicPr>
                  </pic:nvPicPr>
                  <pic:blipFill>
                    <a:blip r:embed="rId9"/>
                    <a:stretch>
                      <a:fillRect/>
                    </a:stretch>
                  </pic:blipFill>
                  <pic:spPr>
                    <a:xfrm>
                      <a:off x="0" y="0"/>
                      <a:ext cx="3687445" cy="2249170"/>
                    </a:xfrm>
                    <a:prstGeom prst="rect">
                      <a:avLst/>
                    </a:prstGeom>
                  </pic:spPr>
                </pic:pic>
              </a:graphicData>
            </a:graphic>
          </wp:inline>
        </w:drawing>
      </w:r>
    </w:p>
    <w:p>
      <w:pPr>
        <w:autoSpaceDE w:val="0"/>
        <w:autoSpaceDN w:val="0"/>
        <w:spacing w:line="380" w:lineRule="exact"/>
        <w:jc w:val="center"/>
        <w:rPr>
          <w:rFonts w:ascii="Times New Roman" w:hAnsi="Times New Roman" w:eastAsia="黑体" w:cs="黑体"/>
          <w:kern w:val="0"/>
          <w:szCs w:val="21"/>
        </w:rPr>
      </w:pPr>
      <w:r>
        <w:rPr>
          <w:rFonts w:hint="eastAsia" w:ascii="Times New Roman" w:hAnsi="Times New Roman" w:eastAsia="黑体" w:cs="黑体"/>
          <w:b/>
          <w:bCs/>
          <w:kern w:val="0"/>
          <w:szCs w:val="21"/>
        </w:rPr>
        <w:t xml:space="preserve">Fig. S5 </w:t>
      </w:r>
      <w:r>
        <w:rPr>
          <w:rFonts w:hint="eastAsia" w:ascii="Times New Roman" w:hAnsi="Times New Roman" w:eastAsia="黑体" w:cs="黑体"/>
          <w:kern w:val="0"/>
          <w:szCs w:val="21"/>
        </w:rPr>
        <w:t>The SEM morphology of lignin and depolymerized lignin</w:t>
      </w:r>
    </w:p>
    <w:p>
      <w:pPr>
        <w:autoSpaceDE w:val="0"/>
        <w:autoSpaceDN w:val="0"/>
        <w:spacing w:line="380" w:lineRule="exact"/>
        <w:jc w:val="center"/>
        <w:rPr>
          <w:rFonts w:ascii="Times New Roman" w:hAnsi="Times New Roman" w:eastAsia="黑体" w:cs="黑体"/>
          <w:kern w:val="0"/>
          <w:szCs w:val="21"/>
        </w:rPr>
      </w:pPr>
      <w:r>
        <w:rPr>
          <w:rFonts w:hint="eastAsia" w:ascii="Times New Roman" w:hAnsi="Times New Roman" w:eastAsia="黑体" w:cs="黑体"/>
          <w:kern w:val="0"/>
          <w:szCs w:val="21"/>
        </w:rPr>
        <w:t>(a)The SEM morphology of lignin(1000x); (b)The SEM morphology of depolymerized lignin(1000x); (c)The SEM morphology of lignin(5000x); (d)The SEM morphology of depolymerized lignin(5000x)</w:t>
      </w:r>
    </w:p>
    <w:p>
      <w:pPr>
        <w:widowControl/>
        <w:spacing w:after="200" w:line="360" w:lineRule="auto"/>
        <w:ind w:firstLine="480" w:firstLineChars="200"/>
        <w:rPr>
          <w:color w:val="auto"/>
        </w:rPr>
      </w:pPr>
      <w:r>
        <w:rPr>
          <w:rFonts w:ascii="Times New Roman" w:hAnsi="Times New Roman" w:cs="Times New Roman"/>
          <w:color w:val="auto"/>
          <w:sz w:val="24"/>
        </w:rPr>
        <w:t xml:space="preserve">In </w:t>
      </w:r>
      <w:r>
        <w:rPr>
          <w:rFonts w:hint="eastAsia" w:ascii="Times New Roman" w:hAnsi="Times New Roman" w:cs="Times New Roman"/>
          <w:color w:val="auto"/>
          <w:sz w:val="24"/>
        </w:rPr>
        <w:t>F</w:t>
      </w:r>
      <w:r>
        <w:rPr>
          <w:rFonts w:ascii="Times New Roman" w:hAnsi="Times New Roman" w:cs="Times New Roman"/>
          <w:color w:val="auto"/>
          <w:sz w:val="24"/>
        </w:rPr>
        <w:t>ig</w:t>
      </w:r>
      <w:r>
        <w:rPr>
          <w:rFonts w:hint="eastAsia" w:ascii="Times New Roman" w:hAnsi="Times New Roman" w:cs="Times New Roman"/>
          <w:color w:val="auto"/>
          <w:sz w:val="24"/>
        </w:rPr>
        <w:t>.</w:t>
      </w:r>
      <w:r>
        <w:rPr>
          <w:rFonts w:ascii="Times New Roman" w:hAnsi="Times New Roman" w:cs="Times New Roman"/>
          <w:color w:val="auto"/>
          <w:sz w:val="24"/>
        </w:rPr>
        <w:t xml:space="preserve"> </w:t>
      </w:r>
      <w:r>
        <w:rPr>
          <w:rFonts w:hint="eastAsia" w:ascii="Times New Roman" w:hAnsi="Times New Roman" w:cs="Times New Roman"/>
          <w:color w:val="auto"/>
          <w:sz w:val="24"/>
        </w:rPr>
        <w:t>S5</w:t>
      </w:r>
      <w:r>
        <w:rPr>
          <w:rFonts w:ascii="Times New Roman" w:hAnsi="Times New Roman" w:cs="Times New Roman"/>
          <w:color w:val="auto"/>
          <w:sz w:val="24"/>
        </w:rPr>
        <w:t>, a and c are pure lignin</w:t>
      </w:r>
      <w:r>
        <w:rPr>
          <w:rFonts w:hint="eastAsia" w:ascii="Times New Roman" w:hAnsi="Times New Roman" w:cs="Times New Roman"/>
          <w:color w:val="auto"/>
          <w:sz w:val="24"/>
        </w:rPr>
        <w:t>,</w:t>
      </w:r>
      <w:r>
        <w:rPr>
          <w:rFonts w:ascii="Times New Roman" w:hAnsi="Times New Roman" w:cs="Times New Roman"/>
          <w:color w:val="auto"/>
          <w:sz w:val="24"/>
        </w:rPr>
        <w:t xml:space="preserve"> b and d are depolymerized lignin. It can be seen from the scanning electron microscope that the original lignin surface particles are dense, with complex sheets, smooth and compact, and irregular morphology. The depolymerization lignin has fine particles, fluffy surface, and full of holes, showing an obvious three-dimensional network structure. It shows that microwave depolymerization breaks the lignin structure, increases the surface area of the substance and thus improves the reactivity. It can be concluded that microwave depolymersodium hydroxide catalysis can reduce the relative molecular mass of lignin and make lignin have better dispersion.</w:t>
      </w:r>
    </w:p>
    <w:p>
      <w:pPr>
        <w:numPr>
          <w:ilvl w:val="0"/>
          <w:numId w:val="2"/>
        </w:numPr>
        <w:rPr>
          <w:rFonts w:ascii="Times New Roman" w:hAnsi="Times New Roman" w:eastAsia="Times New Roman"/>
          <w:b/>
          <w:bCs/>
          <w:color w:val="auto"/>
          <w:sz w:val="24"/>
        </w:rPr>
      </w:pPr>
      <w:r>
        <w:rPr>
          <w:rFonts w:hint="eastAsia" w:ascii="Times New Roman" w:hAnsi="Times New Roman" w:eastAsia="Times New Roman"/>
          <w:b/>
          <w:bCs/>
          <w:color w:val="auto"/>
          <w:sz w:val="24"/>
        </w:rPr>
        <w:t>Infrared Spectrum Analysis</w:t>
      </w:r>
    </w:p>
    <w:p>
      <w:pPr>
        <w:widowControl/>
        <w:spacing w:after="200" w:line="360" w:lineRule="auto"/>
        <w:ind w:firstLine="480" w:firstLineChars="200"/>
        <w:rPr>
          <w:rFonts w:ascii="Times New Roman" w:hAnsi="Times New Roman" w:cs="Times New Roman"/>
          <w:color w:val="auto"/>
          <w:sz w:val="24"/>
        </w:rPr>
      </w:pPr>
      <w:r>
        <w:rPr>
          <w:rFonts w:hint="eastAsia" w:ascii="Times New Roman" w:hAnsi="Times New Roman" w:cs="Times New Roman"/>
          <w:color w:val="auto"/>
          <w:sz w:val="24"/>
        </w:rPr>
        <w:t>The dried samples were taken and mixed with dry KBr powder, ground evenly in agate grinding bowl, and then the samples were pressed. The infrared absorption peak in the range of 4000~500cm</w:t>
      </w:r>
      <w:r>
        <w:rPr>
          <w:rFonts w:hint="eastAsia" w:ascii="Times New Roman" w:hAnsi="Times New Roman" w:cs="Times New Roman"/>
          <w:color w:val="auto"/>
          <w:sz w:val="24"/>
          <w:vertAlign w:val="superscript"/>
        </w:rPr>
        <w:t>-1</w:t>
      </w:r>
      <w:r>
        <w:rPr>
          <w:rFonts w:hint="eastAsia" w:ascii="Times New Roman" w:hAnsi="Times New Roman" w:cs="Times New Roman"/>
          <w:color w:val="auto"/>
          <w:sz w:val="24"/>
        </w:rPr>
        <w:t xml:space="preserve"> was measured by the fourier transform infrared spectrometer (FTIR-850) of Tianjin Port East Science and Technology Co., LTD. FTIR spectrum of lignin and depolymerized lignin, as shown in Fig. S6. FTIR spectrum of PFR and SLPFR, as shown in Fig. S7.</w:t>
      </w:r>
    </w:p>
    <w:p>
      <w:pPr>
        <w:widowControl/>
        <w:spacing w:after="200" w:line="360" w:lineRule="auto"/>
        <w:ind w:firstLine="420" w:firstLineChars="200"/>
        <w:jc w:val="center"/>
      </w:pPr>
      <w:r>
        <w:drawing>
          <wp:inline distT="0" distB="0" distL="114300" distR="114300">
            <wp:extent cx="2765425" cy="2256790"/>
            <wp:effectExtent l="0" t="0" r="3175" b="3810"/>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pic:cNvPicPr>
                      <a:picLocks noChangeAspect="1"/>
                    </pic:cNvPicPr>
                  </pic:nvPicPr>
                  <pic:blipFill>
                    <a:blip r:embed="rId10"/>
                    <a:stretch>
                      <a:fillRect/>
                    </a:stretch>
                  </pic:blipFill>
                  <pic:spPr>
                    <a:xfrm>
                      <a:off x="0" y="0"/>
                      <a:ext cx="2765425" cy="2256790"/>
                    </a:xfrm>
                    <a:prstGeom prst="rect">
                      <a:avLst/>
                    </a:prstGeom>
                    <a:noFill/>
                    <a:ln>
                      <a:noFill/>
                    </a:ln>
                  </pic:spPr>
                </pic:pic>
              </a:graphicData>
            </a:graphic>
          </wp:inline>
        </w:drawing>
      </w:r>
    </w:p>
    <w:p>
      <w:pPr>
        <w:widowControl/>
        <w:spacing w:after="200" w:line="360" w:lineRule="auto"/>
        <w:ind w:firstLine="422" w:firstLineChars="200"/>
        <w:jc w:val="center"/>
        <w:rPr>
          <w:rFonts w:ascii="Times New Roman" w:hAnsi="Times New Roman" w:eastAsia="黑体" w:cs="黑体"/>
          <w:kern w:val="0"/>
          <w:szCs w:val="21"/>
        </w:rPr>
      </w:pPr>
      <w:r>
        <w:rPr>
          <w:rFonts w:hint="eastAsia" w:ascii="Times New Roman" w:hAnsi="Times New Roman" w:eastAsia="黑体" w:cs="黑体"/>
          <w:b/>
          <w:bCs/>
          <w:kern w:val="0"/>
          <w:szCs w:val="21"/>
        </w:rPr>
        <w:t xml:space="preserve">Fig. S6 </w:t>
      </w:r>
      <w:r>
        <w:rPr>
          <w:rFonts w:hint="eastAsia" w:ascii="Times New Roman" w:hAnsi="Times New Roman" w:eastAsia="黑体" w:cs="黑体"/>
          <w:kern w:val="0"/>
          <w:szCs w:val="21"/>
        </w:rPr>
        <w:t>FTIR spectrum of lignin and depolymerized lignin</w:t>
      </w:r>
    </w:p>
    <w:p>
      <w:pPr>
        <w:widowControl/>
        <w:spacing w:after="200" w:line="360" w:lineRule="auto"/>
        <w:ind w:firstLine="480" w:firstLineChars="200"/>
        <w:rPr>
          <w:rFonts w:ascii="Times New Roman" w:hAnsi="Times New Roman" w:eastAsia="宋体" w:cs="Times New Roman"/>
          <w:color w:val="auto"/>
          <w:position w:val="-12"/>
          <w:sz w:val="24"/>
        </w:rPr>
      </w:pPr>
      <w:r>
        <w:rPr>
          <w:rFonts w:ascii="Times New Roman" w:hAnsi="Times New Roman" w:eastAsia="宋体" w:cs="Times New Roman"/>
          <w:color w:val="auto"/>
          <w:position w:val="-12"/>
          <w:sz w:val="24"/>
        </w:rPr>
        <w:t xml:space="preserve">In </w:t>
      </w:r>
      <w:r>
        <w:rPr>
          <w:rFonts w:hint="eastAsia" w:ascii="Times New Roman" w:hAnsi="Times New Roman" w:eastAsia="宋体" w:cs="Times New Roman"/>
          <w:color w:val="auto"/>
          <w:position w:val="-12"/>
          <w:sz w:val="24"/>
        </w:rPr>
        <w:t>F</w:t>
      </w:r>
      <w:r>
        <w:rPr>
          <w:rFonts w:ascii="Times New Roman" w:hAnsi="Times New Roman" w:eastAsia="宋体" w:cs="Times New Roman"/>
          <w:color w:val="auto"/>
          <w:position w:val="-12"/>
          <w:sz w:val="24"/>
        </w:rPr>
        <w:t>ig</w:t>
      </w:r>
      <w:r>
        <w:rPr>
          <w:rFonts w:hint="eastAsia" w:ascii="Times New Roman" w:hAnsi="Times New Roman" w:eastAsia="宋体" w:cs="Times New Roman"/>
          <w:color w:val="auto"/>
          <w:position w:val="-12"/>
          <w:sz w:val="24"/>
        </w:rPr>
        <w:t>.</w:t>
      </w:r>
      <w:r>
        <w:rPr>
          <w:rFonts w:ascii="Times New Roman" w:hAnsi="Times New Roman" w:eastAsia="宋体" w:cs="Times New Roman"/>
          <w:color w:val="auto"/>
          <w:position w:val="-12"/>
          <w:sz w:val="24"/>
        </w:rPr>
        <w:t xml:space="preserve"> </w:t>
      </w:r>
      <w:r>
        <w:rPr>
          <w:rFonts w:hint="eastAsia" w:ascii="Times New Roman" w:hAnsi="Times New Roman" w:eastAsia="宋体" w:cs="Times New Roman"/>
          <w:color w:val="auto"/>
          <w:position w:val="-12"/>
          <w:sz w:val="24"/>
        </w:rPr>
        <w:t>S6</w:t>
      </w:r>
      <w:r>
        <w:rPr>
          <w:rFonts w:ascii="Times New Roman" w:hAnsi="Times New Roman" w:eastAsia="宋体" w:cs="Times New Roman"/>
          <w:color w:val="auto"/>
          <w:position w:val="-12"/>
          <w:sz w:val="24"/>
        </w:rPr>
        <w:t>, the lignin infrared spectra</w:t>
      </w:r>
      <w:r>
        <w:rPr>
          <w:rFonts w:hint="eastAsia" w:ascii="Times New Roman" w:hAnsi="Times New Roman" w:eastAsia="宋体" w:cs="Times New Roman"/>
          <w:color w:val="auto"/>
          <w:position w:val="-12"/>
          <w:sz w:val="24"/>
        </w:rPr>
        <w:t>s</w:t>
      </w:r>
      <w:r>
        <w:rPr>
          <w:rFonts w:ascii="Times New Roman" w:hAnsi="Times New Roman" w:eastAsia="宋体" w:cs="Times New Roman"/>
          <w:color w:val="auto"/>
          <w:position w:val="-12"/>
          <w:sz w:val="24"/>
        </w:rPr>
        <w:t xml:space="preserve"> w</w:t>
      </w:r>
      <w:r>
        <w:rPr>
          <w:rFonts w:hint="eastAsia" w:ascii="Times New Roman" w:hAnsi="Times New Roman" w:eastAsia="宋体" w:cs="Times New Roman"/>
          <w:color w:val="auto"/>
          <w:position w:val="-12"/>
          <w:sz w:val="24"/>
        </w:rPr>
        <w:t>ere</w:t>
      </w:r>
      <w:r>
        <w:rPr>
          <w:rFonts w:ascii="Times New Roman" w:hAnsi="Times New Roman" w:eastAsia="宋体" w:cs="Times New Roman"/>
          <w:color w:val="auto"/>
          <w:position w:val="-12"/>
          <w:sz w:val="24"/>
        </w:rPr>
        <w:t xml:space="preserve"> similar before and after microwave depolymerization. </w:t>
      </w:r>
      <w:r>
        <w:rPr>
          <w:rFonts w:hint="eastAsia" w:ascii="Times New Roman" w:hAnsi="Times New Roman" w:eastAsia="宋体" w:cs="Times New Roman"/>
          <w:color w:val="auto"/>
          <w:position w:val="-12"/>
          <w:sz w:val="24"/>
        </w:rPr>
        <w:t>T</w:t>
      </w:r>
      <w:r>
        <w:rPr>
          <w:rFonts w:ascii="Times New Roman" w:hAnsi="Times New Roman" w:eastAsia="宋体" w:cs="Times New Roman"/>
          <w:color w:val="auto"/>
          <w:position w:val="-12"/>
          <w:sz w:val="24"/>
        </w:rPr>
        <w:t>he lig</w:t>
      </w:r>
      <w:r>
        <w:rPr>
          <w:rFonts w:ascii="Times New Roman" w:hAnsi="Times New Roman" w:eastAsia="宋体" w:cs="Times New Roman"/>
          <w:color w:val="auto"/>
          <w:position w:val="-12"/>
          <w:sz w:val="24"/>
          <w:highlight w:val="none"/>
        </w:rPr>
        <w:t>nin samples showed broad peaks at 3400 cm</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 xml:space="preserve">, which were </w:t>
      </w:r>
      <w:r>
        <w:rPr>
          <w:rFonts w:hint="eastAsia" w:ascii="Times New Roman" w:hAnsi="Times New Roman" w:eastAsia="宋体" w:cs="Times New Roman"/>
          <w:color w:val="auto"/>
          <w:position w:val="-12"/>
          <w:sz w:val="24"/>
          <w:highlight w:val="none"/>
        </w:rPr>
        <w:t>attributed to</w:t>
      </w:r>
      <w:r>
        <w:rPr>
          <w:rFonts w:ascii="Times New Roman" w:hAnsi="Times New Roman" w:eastAsia="宋体" w:cs="Times New Roman"/>
          <w:color w:val="auto"/>
          <w:position w:val="-12"/>
          <w:sz w:val="24"/>
          <w:highlight w:val="none"/>
        </w:rPr>
        <w:t xml:space="preserve"> hydroxyl stretching</w:t>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vertAlign w:val="superscript"/>
        </w:rPr>
        <w:fldChar w:fldCharType="begin">
          <w:fldData xml:space="preserve">PEVuZE5vdGU+PENpdGU+PEF1dGhvcj5MaTwvQXV0aG9yPjxZZWFyPjIwMTg8L1llYXI+PFJlY051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</w:fldData>
        </w:fldChar>
      </w:r>
      <w:r>
        <w:rPr>
          <w:rFonts w:ascii="Times New Roman" w:hAnsi="Times New Roman" w:eastAsia="宋体" w:cs="Times New Roman"/>
          <w:color w:val="auto"/>
          <w:position w:val="-12"/>
          <w:sz w:val="24"/>
          <w:highlight w:val="none"/>
          <w:vertAlign w:val="superscript"/>
        </w:rPr>
        <w:instrText xml:space="preserve"> ADDIN EN.CITE </w:instrText>
      </w:r>
      <w:r>
        <w:rPr>
          <w:rFonts w:ascii="Times New Roman" w:hAnsi="Times New Roman" w:eastAsia="宋体" w:cs="Times New Roman"/>
          <w:color w:val="auto"/>
          <w:position w:val="-12"/>
          <w:sz w:val="24"/>
          <w:highlight w:val="none"/>
          <w:vertAlign w:val="superscript"/>
        </w:rPr>
        <w:fldChar w:fldCharType="begin">
          <w:fldData xml:space="preserve">PEVuZE5vdGU+PENpdGU+PEF1dGhvcj5MaTwvQXV0aG9yPjxZZWFyPjIwMTg8L1llYXI+PFJlY051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</w:fldData>
        </w:fldChar>
      </w:r>
      <w:r>
        <w:rPr>
          <w:rFonts w:ascii="Times New Roman" w:hAnsi="Times New Roman" w:eastAsia="宋体" w:cs="Times New Roman"/>
          <w:color w:val="auto"/>
          <w:position w:val="-12"/>
          <w:sz w:val="24"/>
          <w:highlight w:val="none"/>
          <w:vertAlign w:val="superscript"/>
        </w:rPr>
        <w:instrText xml:space="preserve"> ADDIN EN.CITE.DATA </w:instrText>
      </w:r>
      <w:r>
        <w:rPr>
          <w:rFonts w:ascii="Times New Roman" w:hAnsi="Times New Roman" w:eastAsia="宋体" w:cs="Times New Roman"/>
          <w:color w:val="auto"/>
          <w:position w:val="-12"/>
          <w:sz w:val="24"/>
          <w:highlight w:val="none"/>
          <w:vertAlign w:val="superscript"/>
        </w:rPr>
        <w:fldChar w:fldCharType="end"/>
      </w:r>
      <w:r>
        <w:rPr>
          <w:rFonts w:ascii="Times New Roman" w:hAnsi="Times New Roman" w:eastAsia="宋体" w:cs="Times New Roman"/>
          <w:color w:val="auto"/>
          <w:position w:val="-12"/>
          <w:sz w:val="24"/>
          <w:highlight w:val="none"/>
          <w:vertAlign w:val="superscript"/>
        </w:rPr>
        <w:fldChar w:fldCharType="separate"/>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vertAlign w:val="superscript"/>
        </w:rPr>
        <w:fldChar w:fldCharType="end"/>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rPr>
        <w:t>.</w:t>
      </w:r>
      <w:r>
        <w:rPr>
          <w:rFonts w:hint="eastAsia" w:ascii="Times New Roman" w:hAnsi="Times New Roman" w:eastAsia="宋体" w:cs="Times New Roman"/>
          <w:color w:val="auto"/>
          <w:position w:val="-12"/>
          <w:sz w:val="24"/>
          <w:highlight w:val="none"/>
        </w:rPr>
        <w:t xml:space="preserve"> P</w:t>
      </w:r>
      <w:r>
        <w:rPr>
          <w:rFonts w:ascii="Times New Roman" w:hAnsi="Times New Roman" w:eastAsia="宋体" w:cs="Times New Roman"/>
          <w:color w:val="auto"/>
          <w:position w:val="-12"/>
          <w:sz w:val="24"/>
          <w:highlight w:val="none"/>
        </w:rPr>
        <w:t>eaks at 1600 cm</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 xml:space="preserve"> and 1580 cm</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 xml:space="preserve"> correspond to the aromatic skeleton vibration</w:t>
      </w:r>
      <w:r>
        <w:rPr>
          <w:rFonts w:hint="eastAsia" w:ascii="Times New Roman" w:hAnsi="Times New Roman" w:eastAsia="宋体" w:cs="Times New Roman"/>
          <w:color w:val="auto"/>
          <w:position w:val="-12"/>
          <w:sz w:val="24"/>
          <w:highlight w:val="none"/>
        </w:rPr>
        <w:t xml:space="preserve">s </w:t>
      </w:r>
      <w:r>
        <w:rPr>
          <w:rFonts w:ascii="Times New Roman" w:hAnsi="Times New Roman" w:eastAsia="宋体" w:cs="Times New Roman"/>
          <w:color w:val="auto"/>
          <w:position w:val="-12"/>
          <w:sz w:val="24"/>
          <w:highlight w:val="none"/>
        </w:rPr>
        <w:t>of lignin</w:t>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vertAlign w:val="superscript"/>
        </w:rPr>
        <w:fldChar w:fldCharType="begin"/>
      </w:r>
      <w:r>
        <w:rPr>
          <w:rFonts w:ascii="Times New Roman" w:hAnsi="Times New Roman" w:eastAsia="宋体" w:cs="Times New Roman"/>
          <w:color w:val="auto"/>
          <w:position w:val="-12"/>
          <w:sz w:val="24"/>
          <w:highlight w:val="none"/>
          <w:vertAlign w:val="superscript"/>
        </w:rPr>
        <w:instrText xml:space="preserve"> ADDIN EN.CITE &lt;EndNote&gt;&lt;Cite&gt;&lt;Author&gt;Kalami&lt;/Author&gt;&lt;Year&gt;2017&lt;/Year&gt;&lt;RecNum&gt;135&lt;/RecNum&gt;&lt;DisplayText&gt;&lt;style face="superscript"&gt;2&lt;/style&gt;&lt;/DisplayText&gt;&lt;record&gt;&lt;rec-number&gt;135&lt;/rec-number&gt;&lt;foreign-keys&gt;&lt;key app="EN" db-id="5tx5dsdx5r5pfwee9sbppzai5fzfwvet20r0" timestamp="1709813656"&gt;135&lt;/key&gt;&lt;/foreign-keys&gt;&lt;ref-type name="Journal Article"&gt;17&lt;/ref-type&gt;&lt;contributors&gt;&lt;authors&gt;&lt;author&gt;Kalami, S.&lt;/author&gt;&lt;author&gt;Arefmanesh, M.&lt;/author&gt;&lt;author&gt;Master, E.&lt;/author&gt;&lt;author&gt;Nejad, M.&lt;/author&gt;&lt;/authors&gt;&lt;/contributors&gt;&lt;auth-address&gt;Mississippi State Univ, Sustainable Bioprod Dept, Mississippi State, MS 39762 USA&amp;#xD;Univ Toronto, Chem Engn &amp;amp; Appl Chem Dept, Toronto, ON M5S 1A1, Canada&amp;#xD;Michigan State Univ, Forestry Dept, 480 Wilson Rd, E Lansing, MI 48824 USA&lt;/auth-address&gt;&lt;titles&gt;&lt;title&gt;Replacing 100% of phenol in phenolic adhesive formulations with lignin&lt;/title&gt;&lt;secondary-title&gt;JOURNAL OF APPLIED POLYMER SCIENCE&lt;/secondary-title&gt;&lt;/titles&gt;&lt;periodical&gt;&lt;full-title&gt;JOURNAL OF APPLIED POLYMER SCIENCE&lt;/full-title&gt;&lt;/periodical&gt;&lt;volume&gt;134&lt;/volume&gt;&lt;number&gt;30&lt;/number&gt;&lt;dates&gt;&lt;year&gt;2017&lt;/year&gt;&lt;pub-dates&gt;&lt;date&gt;AUG 10&lt;/date&gt;&lt;/pub-dates&gt;&lt;/dates&gt;&lt;accession-num&gt;WOS:000401781100008&lt;/accession-num&gt;&lt;urls&gt;&lt;/urls&gt;&lt;custom7&gt;45124&lt;/custom7&gt;&lt;electronic-resource-num&gt;10.1002/app.45124&lt;/electronic-resource-num&gt;&lt;/record&gt;&lt;/Cite&gt;&lt;/EndNote&gt;</w:instrText>
      </w:r>
      <w:r>
        <w:rPr>
          <w:rFonts w:ascii="Times New Roman" w:hAnsi="Times New Roman" w:eastAsia="宋体" w:cs="Times New Roman"/>
          <w:color w:val="auto"/>
          <w:position w:val="-12"/>
          <w:sz w:val="24"/>
          <w:highlight w:val="none"/>
          <w:vertAlign w:val="superscript"/>
        </w:rPr>
        <w:fldChar w:fldCharType="separate"/>
      </w:r>
      <w:r>
        <w:rPr>
          <w:rFonts w:ascii="Times New Roman" w:hAnsi="Times New Roman" w:eastAsia="宋体" w:cs="Times New Roman"/>
          <w:color w:val="auto"/>
          <w:position w:val="-12"/>
          <w:sz w:val="24"/>
          <w:highlight w:val="none"/>
          <w:vertAlign w:val="superscript"/>
        </w:rPr>
        <w:t>2</w:t>
      </w:r>
      <w:r>
        <w:rPr>
          <w:rFonts w:ascii="Times New Roman" w:hAnsi="Times New Roman" w:eastAsia="宋体" w:cs="Times New Roman"/>
          <w:color w:val="auto"/>
          <w:position w:val="-12"/>
          <w:sz w:val="24"/>
          <w:highlight w:val="none"/>
          <w:vertAlign w:val="superscript"/>
        </w:rPr>
        <w:fldChar w:fldCharType="end"/>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rPr>
        <w:t xml:space="preserve">. In the spectrum of </w:t>
      </w:r>
      <w:r>
        <w:rPr>
          <w:rFonts w:hint="eastAsia" w:ascii="Times New Roman" w:hAnsi="Times New Roman" w:eastAsia="宋体" w:cs="Times New Roman"/>
          <w:color w:val="auto"/>
          <w:position w:val="-12"/>
          <w:sz w:val="24"/>
          <w:highlight w:val="none"/>
        </w:rPr>
        <w:t>DL</w:t>
      </w:r>
      <w:r>
        <w:rPr>
          <w:rFonts w:ascii="Times New Roman" w:hAnsi="Times New Roman" w:eastAsia="宋体" w:cs="Times New Roman"/>
          <w:color w:val="auto"/>
          <w:position w:val="-12"/>
          <w:sz w:val="24"/>
          <w:highlight w:val="none"/>
        </w:rPr>
        <w:t>, the vibration of the aromatic methyl group at 1432 cm</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 xml:space="preserve"> decrease</w:t>
      </w:r>
      <w:r>
        <w:rPr>
          <w:rFonts w:hint="eastAsia" w:ascii="Times New Roman" w:hAnsi="Times New Roman" w:eastAsia="宋体" w:cs="Times New Roman"/>
          <w:color w:val="auto"/>
          <w:position w:val="-12"/>
          <w:sz w:val="24"/>
          <w:highlight w:val="none"/>
        </w:rPr>
        <w:t>d</w:t>
      </w:r>
      <w:r>
        <w:rPr>
          <w:rFonts w:ascii="Times New Roman" w:hAnsi="Times New Roman" w:eastAsia="宋体" w:cs="Times New Roman"/>
          <w:color w:val="auto"/>
          <w:position w:val="-12"/>
          <w:sz w:val="24"/>
          <w:highlight w:val="none"/>
        </w:rPr>
        <w:t>, and the relative value of the phenolic hydroxyl group increase</w:t>
      </w:r>
      <w:r>
        <w:rPr>
          <w:rFonts w:hint="eastAsia" w:ascii="Times New Roman" w:hAnsi="Times New Roman" w:eastAsia="宋体" w:cs="Times New Roman"/>
          <w:color w:val="auto"/>
          <w:position w:val="-12"/>
          <w:sz w:val="24"/>
          <w:highlight w:val="none"/>
        </w:rPr>
        <w:t>d</w:t>
      </w:r>
      <w:r>
        <w:rPr>
          <w:rFonts w:ascii="Times New Roman" w:hAnsi="Times New Roman" w:eastAsia="宋体" w:cs="Times New Roman"/>
          <w:color w:val="auto"/>
          <w:position w:val="-12"/>
          <w:sz w:val="24"/>
          <w:highlight w:val="none"/>
        </w:rPr>
        <w:t>. The presence of an absorption band at 1411 cm</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 xml:space="preserve"> is assigned to</w:t>
      </w:r>
      <w:r>
        <w:rPr>
          <w:rFonts w:hint="eastAsia" w:ascii="Times New Roman" w:hAnsi="Times New Roman" w:eastAsia="宋体" w:cs="Times New Roman"/>
          <w:color w:val="auto"/>
          <w:position w:val="-12"/>
          <w:sz w:val="24"/>
          <w:highlight w:val="none"/>
        </w:rPr>
        <w:t xml:space="preserve"> </w:t>
      </w:r>
      <w:r>
        <w:rPr>
          <w:rFonts w:ascii="Times New Roman" w:hAnsi="Times New Roman" w:eastAsia="宋体" w:cs="Times New Roman"/>
          <w:color w:val="auto"/>
          <w:position w:val="-12"/>
          <w:sz w:val="24"/>
          <w:highlight w:val="none"/>
        </w:rPr>
        <w:t>the aromatic ring</w:t>
      </w:r>
      <w:r>
        <w:rPr>
          <w:rFonts w:hint="eastAsia" w:ascii="Times New Roman" w:hAnsi="Times New Roman" w:eastAsia="宋体" w:cs="Times New Roman"/>
          <w:color w:val="auto"/>
          <w:position w:val="-12"/>
          <w:sz w:val="24"/>
          <w:highlight w:val="none"/>
        </w:rPr>
        <w:t xml:space="preserve"> </w:t>
      </w:r>
      <w:r>
        <w:rPr>
          <w:rFonts w:ascii="Times New Roman" w:hAnsi="Times New Roman" w:eastAsia="宋体" w:cs="Times New Roman"/>
          <w:color w:val="auto"/>
          <w:position w:val="-12"/>
          <w:sz w:val="24"/>
          <w:highlight w:val="none"/>
        </w:rPr>
        <w:t>vibration of the phenylpropane skeleton. The peak of the phenolic hydroxyl group c</w:t>
      </w:r>
      <w:r>
        <w:rPr>
          <w:rFonts w:hint="eastAsia" w:ascii="Times New Roman" w:hAnsi="Times New Roman" w:eastAsia="宋体" w:cs="Times New Roman"/>
          <w:color w:val="auto"/>
          <w:position w:val="-12"/>
          <w:sz w:val="24"/>
          <w:highlight w:val="none"/>
        </w:rPr>
        <w:t>ould be</w:t>
      </w:r>
      <w:r>
        <w:rPr>
          <w:rFonts w:ascii="Times New Roman" w:hAnsi="Times New Roman" w:eastAsia="宋体" w:cs="Times New Roman"/>
          <w:color w:val="auto"/>
          <w:position w:val="-12"/>
          <w:sz w:val="24"/>
          <w:highlight w:val="none"/>
        </w:rPr>
        <w:t xml:space="preserve"> see</w:t>
      </w:r>
      <w:r>
        <w:rPr>
          <w:rFonts w:hint="eastAsia" w:ascii="Times New Roman" w:hAnsi="Times New Roman" w:eastAsia="宋体" w:cs="Times New Roman"/>
          <w:color w:val="auto"/>
          <w:position w:val="-12"/>
          <w:sz w:val="24"/>
          <w:highlight w:val="none"/>
        </w:rPr>
        <w:t>n</w:t>
      </w:r>
      <w:r>
        <w:rPr>
          <w:rFonts w:ascii="Times New Roman" w:hAnsi="Times New Roman" w:eastAsia="宋体" w:cs="Times New Roman"/>
          <w:color w:val="auto"/>
          <w:position w:val="-12"/>
          <w:sz w:val="24"/>
          <w:highlight w:val="none"/>
        </w:rPr>
        <w:t xml:space="preserve"> in the range of 1234</w:t>
      </w:r>
      <w:r>
        <w:rPr>
          <w:rFonts w:hint="eastAsia" w:ascii="Times New Roman" w:hAnsi="Times New Roman" w:eastAsia="宋体" w:cs="Times New Roman"/>
          <w:color w:val="auto"/>
          <w:position w:val="-12"/>
          <w:sz w:val="24"/>
          <w:highlight w:val="none"/>
        </w:rPr>
        <w:t>~</w:t>
      </w:r>
      <w:r>
        <w:rPr>
          <w:rFonts w:ascii="Times New Roman" w:hAnsi="Times New Roman" w:eastAsia="宋体" w:cs="Times New Roman"/>
          <w:color w:val="auto"/>
          <w:position w:val="-12"/>
          <w:sz w:val="24"/>
          <w:highlight w:val="none"/>
        </w:rPr>
        <w:t>1270 cm</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w:t>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vertAlign w:val="superscript"/>
        </w:rPr>
        <w:fldChar w:fldCharType="begin"/>
      </w:r>
      <w:r>
        <w:rPr>
          <w:rFonts w:ascii="Times New Roman" w:hAnsi="Times New Roman" w:eastAsia="宋体" w:cs="Times New Roman"/>
          <w:color w:val="auto"/>
          <w:position w:val="-12"/>
          <w:sz w:val="24"/>
          <w:highlight w:val="none"/>
          <w:vertAlign w:val="superscript"/>
        </w:rPr>
        <w:instrText xml:space="preserve"> ADDIN EN.CITE &lt;EndNote&gt;&lt;Cite&gt;&lt;Author&gt;Wang&lt;/Author&gt;&lt;Year&gt;2019&lt;/Year&gt;&lt;RecNum&gt;136&lt;/RecNum&gt;&lt;DisplayText&gt;&lt;style face="superscript"&gt;3&lt;/style&gt;&lt;/DisplayText&gt;&lt;record&gt;&lt;rec-number&gt;136&lt;/rec-number&gt;&lt;foreign-keys&gt;&lt;key app="EN" db-id="5tx5dsdx5r5pfwee9sbppzai5fzfwvet20r0" timestamp="1709813803"&gt;136&lt;/key&gt;&lt;/foreign-keys&gt;&lt;ref-type name="Journal Article"&gt;17&lt;/ref-type&gt;&lt;contributors&gt;&lt;authors&gt;&lt;author&gt;Wang, H.&lt;/author&gt;&lt;author&gt;Eberhardt, T. L.&lt;/author&gt;&lt;author&gt;Wang, C. P.&lt;/author&gt;&lt;author&gt;Gao, S. S.&lt;/author&gt;&lt;author&gt;Pan, H.&lt;/author&gt;&lt;/authors&gt;&lt;/contributors&gt;&lt;auth-address&gt;Nanjing Forestry Univ, Jiangsu Coinnovat Ctr Efficient Proc &amp;amp; Utilizat F, 159 Longpan Rd, Nanjing 210037, Jiangsu, Peoples R China&amp;#xD;Nanjing Forestry Univ, Coll Chem Engn, 159 Longpan Rd, Nanjing 210037, Jiangsu, Peoples R China&amp;#xD;USDA, Forest Prod Lab, One Gifford Pinchot Dr, Madison, WI 53726 USA&amp;#xD;Chinese Acad Forestry, Inst Chem Ind Forestry Prod, Nanjing 210042, Jiangsu, Peoples R China&lt;/auth-address&gt;&lt;titles&gt;&lt;title&gt;Demethylation of Alkali Lignin with Halogen Acids and Its Application to Phenolic Resins&lt;/title&gt;&lt;secondary-title&gt;POLYMERS&lt;/secondary-title&gt;&lt;/titles&gt;&lt;periodical&gt;&lt;full-title&gt;POLYMERS&lt;/full-title&gt;&lt;/periodical&gt;&lt;volume&gt;11&lt;/volume&gt;&lt;number&gt;11&lt;/number&gt;&lt;dates&gt;&lt;year&gt;2019&lt;/year&gt;&lt;pub-dates&gt;&lt;date&gt;NOV&lt;/date&gt;&lt;/pub-dates&gt;&lt;/dates&gt;&lt;accession-num&gt;WOS:000503279200044&lt;/accession-num&gt;&lt;urls&gt;&lt;/urls&gt;&lt;custom7&gt;1771&lt;/custom7&gt;&lt;electronic-resource-num&gt;10.3390/polym11111771&lt;/electronic-resource-num&gt;&lt;/record&gt;&lt;/Cite&gt;&lt;/EndNote&gt;</w:instrText>
      </w:r>
      <w:r>
        <w:rPr>
          <w:rFonts w:ascii="Times New Roman" w:hAnsi="Times New Roman" w:eastAsia="宋体" w:cs="Times New Roman"/>
          <w:color w:val="auto"/>
          <w:position w:val="-12"/>
          <w:sz w:val="24"/>
          <w:highlight w:val="none"/>
          <w:vertAlign w:val="superscript"/>
        </w:rPr>
        <w:fldChar w:fldCharType="separate"/>
      </w:r>
      <w:r>
        <w:rPr>
          <w:rFonts w:ascii="Times New Roman" w:hAnsi="Times New Roman" w:eastAsia="宋体" w:cs="Times New Roman"/>
          <w:color w:val="auto"/>
          <w:position w:val="-12"/>
          <w:sz w:val="24"/>
          <w:highlight w:val="none"/>
          <w:vertAlign w:val="superscript"/>
        </w:rPr>
        <w:t>3</w:t>
      </w:r>
      <w:r>
        <w:rPr>
          <w:rFonts w:ascii="Times New Roman" w:hAnsi="Times New Roman" w:eastAsia="宋体" w:cs="Times New Roman"/>
          <w:color w:val="auto"/>
          <w:position w:val="-12"/>
          <w:sz w:val="24"/>
          <w:highlight w:val="none"/>
          <w:vertAlign w:val="superscript"/>
        </w:rPr>
        <w:fldChar w:fldCharType="end"/>
      </w:r>
      <w:r>
        <w:rPr>
          <w:rFonts w:hint="eastAsia" w:ascii="Times New Roman" w:hAnsi="Times New Roman" w:eastAsia="宋体" w:cs="Times New Roman"/>
          <w:color w:val="auto"/>
          <w:position w:val="-12"/>
          <w:sz w:val="24"/>
          <w:highlight w:val="none"/>
          <w:vertAlign w:val="superscript"/>
        </w:rPr>
        <w:t>]</w:t>
      </w:r>
      <w:r>
        <w:rPr>
          <w:rFonts w:hint="eastAsia" w:ascii="Times New Roman" w:hAnsi="Times New Roman" w:eastAsia="宋体" w:cs="Times New Roman"/>
          <w:color w:val="auto"/>
          <w:position w:val="-12"/>
          <w:sz w:val="24"/>
          <w:highlight w:val="none"/>
        </w:rPr>
        <w:t xml:space="preserve"> </w:t>
      </w:r>
      <w:r>
        <w:rPr>
          <w:rFonts w:ascii="Times New Roman" w:hAnsi="Times New Roman" w:eastAsia="宋体" w:cs="Times New Roman"/>
          <w:color w:val="auto"/>
          <w:position w:val="-12"/>
          <w:sz w:val="24"/>
          <w:highlight w:val="none"/>
        </w:rPr>
        <w:t>The peak at 1049 cm</w:t>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 xml:space="preserve"> can be attributed to the aromatic C-H deformation</w:t>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vertAlign w:val="superscript"/>
        </w:rPr>
        <w:fldChar w:fldCharType="begin"/>
      </w:r>
      <w:r>
        <w:rPr>
          <w:rFonts w:ascii="Times New Roman" w:hAnsi="Times New Roman" w:eastAsia="宋体" w:cs="Times New Roman"/>
          <w:color w:val="auto"/>
          <w:position w:val="-12"/>
          <w:sz w:val="24"/>
          <w:highlight w:val="none"/>
          <w:vertAlign w:val="superscript"/>
        </w:rPr>
        <w:instrText xml:space="preserve"> ADDIN EN.CITE &lt;EndNote&gt;&lt;Cite&gt;&lt;Author&gt;Yang&lt;/Author&gt;&lt;Year&gt;2018&lt;/Year&gt;&lt;RecNum&gt;137&lt;/RecNum&gt;&lt;DisplayText&gt;&lt;style face="superscript"&gt;4&lt;/style&gt;&lt;/DisplayText&gt;&lt;record&gt;&lt;rec-number&gt;137&lt;/rec-number&gt;&lt;foreign-keys&gt;&lt;key app="EN" db-id="5tx5dsdx5r5pfwee9sbppzai5fzfwvet20r0" timestamp="1709813941"&gt;137&lt;/key&gt;&lt;/foreign-keys&gt;&lt;ref-type name="Journal Article"&gt;17&lt;/ref-type&gt;&lt;contributors&gt;&lt;authors&gt;&lt;author&gt;Yang, W. J.&lt;/author&gt;&lt;author&gt;Fortunati, E.&lt;/author&gt;&lt;author&gt;Gao, D. Q.&lt;/author&gt;&lt;author&gt;Balestra, G. M.&lt;/author&gt;&lt;author&gt;Giovanale, G.&lt;/author&gt;&lt;author&gt;He, X. Y.&lt;/author&gt;&lt;author&gt;Torre, L.&lt;/author&gt;&lt;author&gt;Kenny, J. M.&lt;/author&gt;&lt;author&gt;Puglia, D.&lt;/author&gt;&lt;/authors&gt;&lt;/contributors&gt;&lt;auth-address&gt;Univ Perugia, Civil &amp;amp; Environm Engn Dept, Mat Engn Ctr, UdR INSTM, Str Pentima 4, I-05100 Terni, Italy&amp;#xD;Chinese Acad Sci, Changchun Inst Appl Chem, CIAS, Renmin Rd 5625, Changchun 130022, Jilin, Peoples R China&amp;#xD;Univ Tuscia, Dept Agr Sci &amp;amp; Forestry DAFNE, Via S Camillo De Lellis Snc, I-01100 Viterbo, Italy&amp;#xD;Northeast Forestry Univ, Mat Sci &amp;amp; Engn Sch, Hexing Rd 26, Harbin 150040, Heilongjiang, Peoples R China&lt;/auth-address&gt;&lt;titles&gt;&lt;title&gt;Valorization of Acid Isolated High Yield Lignin Nanoparticles as Innovative Antioxidant/Antimicrobial Organic Materials&lt;/title&gt;&lt;secondary-title&gt;ACS SUSTAINABLE CHEMISTRY &amp;amp; ENGINEERING&lt;/secondary-title&gt;&lt;/titles&gt;&lt;periodical&gt;&lt;full-title&gt;ACS SUSTAINABLE CHEMISTRY &amp;amp; ENGINEERING&lt;/full-title&gt;&lt;/periodical&gt;&lt;pages&gt;3502-3514&lt;/pages&gt;&lt;volume&gt;6&lt;/volume&gt;&lt;number&gt;3&lt;/number&gt;&lt;dates&gt;&lt;year&gt;2018&lt;/year&gt;&lt;pub-dates&gt;&lt;date&gt;MAR&lt;/date&gt;&lt;/pub-dates&gt;&lt;/dates&gt;&lt;accession-num&gt;WOS:000427092900075&lt;/accession-num&gt;&lt;urls&gt;&lt;/urls&gt;&lt;electronic-resource-num&gt;10.1021/acssuschemeng.7b03782&lt;/electronic-resource-num&gt;&lt;/record&gt;&lt;/Cite&gt;&lt;/EndNote&gt;</w:instrText>
      </w:r>
      <w:r>
        <w:rPr>
          <w:rFonts w:ascii="Times New Roman" w:hAnsi="Times New Roman" w:eastAsia="宋体" w:cs="Times New Roman"/>
          <w:color w:val="auto"/>
          <w:position w:val="-12"/>
          <w:sz w:val="24"/>
          <w:highlight w:val="none"/>
          <w:vertAlign w:val="superscript"/>
        </w:rPr>
        <w:fldChar w:fldCharType="separate"/>
      </w:r>
      <w:r>
        <w:rPr>
          <w:rFonts w:ascii="Times New Roman" w:hAnsi="Times New Roman" w:eastAsia="宋体" w:cs="Times New Roman"/>
          <w:color w:val="auto"/>
          <w:position w:val="-12"/>
          <w:sz w:val="24"/>
          <w:highlight w:val="none"/>
          <w:vertAlign w:val="superscript"/>
        </w:rPr>
        <w:t>4</w:t>
      </w:r>
      <w:r>
        <w:rPr>
          <w:rFonts w:ascii="Times New Roman" w:hAnsi="Times New Roman" w:eastAsia="宋体" w:cs="Times New Roman"/>
          <w:color w:val="auto"/>
          <w:position w:val="-12"/>
          <w:sz w:val="24"/>
          <w:highlight w:val="none"/>
          <w:vertAlign w:val="superscript"/>
        </w:rPr>
        <w:fldChar w:fldCharType="end"/>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rPr>
        <w:t>. The peak at 833 cm</w:t>
      </w:r>
      <w:r>
        <w:rPr>
          <w:rFonts w:ascii="Times New Roman" w:hAnsi="Times New Roman" w:eastAsia="宋体" w:cs="Times New Roman"/>
          <w:color w:val="auto"/>
          <w:position w:val="-12"/>
          <w:sz w:val="24"/>
          <w:highlight w:val="none"/>
          <w:vertAlign w:val="superscript"/>
        </w:rPr>
        <w:t>-1</w:t>
      </w:r>
      <w:r>
        <w:rPr>
          <w:rFonts w:ascii="Times New Roman" w:hAnsi="Times New Roman" w:eastAsia="宋体" w:cs="Times New Roman"/>
          <w:color w:val="auto"/>
          <w:position w:val="-12"/>
          <w:sz w:val="24"/>
          <w:highlight w:val="none"/>
        </w:rPr>
        <w:t xml:space="preserve"> is associated with the out-of-plane bending vibration of C-H at positions 2 and 6 of the guaiac ring</w:t>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vertAlign w:val="superscript"/>
        </w:rPr>
        <w:fldChar w:fldCharType="begin"/>
      </w:r>
      <w:r>
        <w:rPr>
          <w:rFonts w:ascii="Times New Roman" w:hAnsi="Times New Roman" w:eastAsia="宋体" w:cs="Times New Roman"/>
          <w:color w:val="auto"/>
          <w:position w:val="-12"/>
          <w:sz w:val="24"/>
          <w:highlight w:val="none"/>
          <w:vertAlign w:val="superscript"/>
        </w:rPr>
        <w:instrText xml:space="preserve"> ADDIN EN.CITE &lt;EndNote&gt;&lt;Cite&gt;&lt;Author&gt;Hong&lt;/Author&gt;&lt;Year&gt;2016&lt;/Year&gt;&lt;RecNum&gt;138&lt;/RecNum&gt;&lt;DisplayText&gt;&lt;style face="superscript"&gt;5&lt;/style&gt;&lt;/DisplayText&gt;&lt;record&gt;&lt;rec-number&gt;138&lt;/rec-number&gt;&lt;foreign-keys&gt;&lt;key app="EN" db-id="5tx5dsdx5r5pfwee9sbppzai5fzfwvet20r0" timestamp="1709814241"&gt;138&lt;/key&gt;&lt;/foreign-keys&gt;&lt;ref-type name="Journal Article"&gt;17&lt;/ref-type&gt;&lt;contributors&gt;&lt;authors&gt;&lt;author&gt;Hong, S.&lt;/author&gt;&lt;author&gt;Lian, H. L.&lt;/author&gt;&lt;author&gt;Sun, X.&lt;/author&gt;&lt;author&gt;Pan, D.&lt;/author&gt;&lt;author&gt;Carranza, A.&lt;/author&gt;&lt;author&gt;Pojman, J. A.&lt;/author&gt;&lt;author&gt;Mota-Morales, J. D.&lt;/author&gt;&lt;/authors&gt;&lt;/contributors&gt;&lt;auth-address&gt;Nanjing Forestry Univ, Coll Mat Sci &amp;amp; Technol, Nanjing 210037, Jiangsu, Peoples R China&amp;#xD;Louisiana State Univ, Dept Chem, Baton Rouge, LA 70820 USA&amp;#xD;UNAM, CONACYT Ctr Nanociencias &amp;amp; Nanotecnol CNyN, Ensenada 22860, BC, Mexico&lt;/auth-address&gt;&lt;titles&gt;&lt;title&gt;Zinc-based deep eutectic solvent-mediated hydroxylation and demethoxylation of lignin for the production of wood adhesive&lt;/title&gt;&lt;secondary-title&gt;RSC ADVANCES&lt;/secondary-title&gt;&lt;/titles&gt;&lt;periodical&gt;&lt;full-title&gt;RSC ADVANCES&lt;/full-title&gt;&lt;/periodical&gt;&lt;pages&gt;89599-89608&lt;/pages&gt;&lt;volume&gt;6&lt;/volume&gt;&lt;number&gt;92&lt;/number&gt;&lt;dates&gt;&lt;year&gt;2016&lt;/year&gt;&lt;/dates&gt;&lt;accession-num&gt;WOS:000384441200078&lt;/accession-num&gt;&lt;urls&gt;&lt;/urls&gt;&lt;electronic-resource-num&gt;10.1039/c6ra18290a&lt;/electronic-resource-num&gt;&lt;/record&gt;&lt;/Cite&gt;&lt;/EndNote&gt;</w:instrText>
      </w:r>
      <w:r>
        <w:rPr>
          <w:rFonts w:ascii="Times New Roman" w:hAnsi="Times New Roman" w:eastAsia="宋体" w:cs="Times New Roman"/>
          <w:color w:val="auto"/>
          <w:position w:val="-12"/>
          <w:sz w:val="24"/>
          <w:highlight w:val="none"/>
          <w:vertAlign w:val="superscript"/>
        </w:rPr>
        <w:fldChar w:fldCharType="separate"/>
      </w:r>
      <w:r>
        <w:rPr>
          <w:rFonts w:ascii="Times New Roman" w:hAnsi="Times New Roman" w:eastAsia="宋体" w:cs="Times New Roman"/>
          <w:color w:val="auto"/>
          <w:position w:val="-12"/>
          <w:sz w:val="24"/>
          <w:highlight w:val="none"/>
          <w:vertAlign w:val="superscript"/>
        </w:rPr>
        <w:t>5</w:t>
      </w:r>
      <w:r>
        <w:rPr>
          <w:rFonts w:ascii="Times New Roman" w:hAnsi="Times New Roman" w:eastAsia="宋体" w:cs="Times New Roman"/>
          <w:color w:val="auto"/>
          <w:position w:val="-12"/>
          <w:sz w:val="24"/>
          <w:highlight w:val="none"/>
          <w:vertAlign w:val="superscript"/>
        </w:rPr>
        <w:fldChar w:fldCharType="end"/>
      </w:r>
      <w:r>
        <w:rPr>
          <w:rFonts w:hint="eastAsia" w:ascii="Times New Roman" w:hAnsi="Times New Roman" w:eastAsia="宋体" w:cs="Times New Roman"/>
          <w:color w:val="auto"/>
          <w:position w:val="-12"/>
          <w:sz w:val="24"/>
          <w:highlight w:val="none"/>
          <w:vertAlign w:val="superscript"/>
        </w:rPr>
        <w:t>]</w:t>
      </w:r>
      <w:r>
        <w:rPr>
          <w:rFonts w:ascii="Times New Roman" w:hAnsi="Times New Roman" w:eastAsia="宋体" w:cs="Times New Roman"/>
          <w:color w:val="auto"/>
          <w:position w:val="-12"/>
          <w:sz w:val="24"/>
          <w:highlight w:val="none"/>
        </w:rPr>
        <w:t>. Infrared spectr</w:t>
      </w:r>
      <w:r>
        <w:rPr>
          <w:rFonts w:hint="eastAsia" w:ascii="Times New Roman" w:hAnsi="Times New Roman" w:eastAsia="宋体" w:cs="Times New Roman"/>
          <w:color w:val="auto"/>
          <w:position w:val="-12"/>
          <w:sz w:val="24"/>
          <w:highlight w:val="none"/>
        </w:rPr>
        <w:t>a</w:t>
      </w:r>
      <w:r>
        <w:rPr>
          <w:rFonts w:ascii="Times New Roman" w:hAnsi="Times New Roman" w:eastAsia="宋体" w:cs="Times New Roman"/>
          <w:color w:val="auto"/>
          <w:position w:val="-12"/>
          <w:sz w:val="24"/>
          <w:highlight w:val="none"/>
        </w:rPr>
        <w:t xml:space="preserve"> shows that the content of</w:t>
      </w:r>
      <w:r>
        <w:rPr>
          <w:rFonts w:hint="eastAsia" w:ascii="Times New Roman" w:hAnsi="Times New Roman" w:eastAsia="宋体" w:cs="Times New Roman"/>
          <w:color w:val="auto"/>
          <w:position w:val="-12"/>
          <w:sz w:val="24"/>
          <w:highlight w:val="none"/>
        </w:rPr>
        <w:t xml:space="preserve"> </w:t>
      </w:r>
      <w:r>
        <w:rPr>
          <w:rFonts w:ascii="Times New Roman" w:hAnsi="Times New Roman" w:eastAsia="宋体" w:cs="Times New Roman"/>
          <w:color w:val="auto"/>
          <w:position w:val="-12"/>
          <w:sz w:val="24"/>
          <w:highlight w:val="none"/>
        </w:rPr>
        <w:t>phenolic hydroxyl groups</w:t>
      </w:r>
      <w:r>
        <w:rPr>
          <w:rFonts w:hint="eastAsia" w:ascii="Times New Roman" w:hAnsi="Times New Roman" w:eastAsia="宋体" w:cs="Times New Roman"/>
          <w:color w:val="auto"/>
          <w:position w:val="-12"/>
          <w:sz w:val="24"/>
          <w:highlight w:val="none"/>
        </w:rPr>
        <w:t xml:space="preserve"> </w:t>
      </w:r>
      <w:r>
        <w:rPr>
          <w:rFonts w:ascii="Times New Roman" w:hAnsi="Times New Roman" w:eastAsia="宋体" w:cs="Times New Roman"/>
          <w:color w:val="auto"/>
          <w:position w:val="-12"/>
          <w:sz w:val="24"/>
          <w:highlight w:val="none"/>
        </w:rPr>
        <w:t>in depolymerized lign</w:t>
      </w:r>
      <w:r>
        <w:rPr>
          <w:rFonts w:ascii="Times New Roman" w:hAnsi="Times New Roman" w:eastAsia="宋体" w:cs="Times New Roman"/>
          <w:color w:val="auto"/>
          <w:position w:val="-12"/>
          <w:sz w:val="24"/>
        </w:rPr>
        <w:t>in</w:t>
      </w:r>
      <w:r>
        <w:rPr>
          <w:rFonts w:hint="eastAsia" w:ascii="Times New Roman" w:hAnsi="Times New Roman" w:eastAsia="宋体" w:cs="Times New Roman"/>
          <w:color w:val="auto"/>
          <w:position w:val="-12"/>
          <w:sz w:val="24"/>
        </w:rPr>
        <w:t xml:space="preserve"> </w:t>
      </w:r>
      <w:r>
        <w:rPr>
          <w:rFonts w:ascii="Times New Roman" w:hAnsi="Times New Roman" w:eastAsia="宋体" w:cs="Times New Roman"/>
          <w:color w:val="auto"/>
          <w:position w:val="-12"/>
          <w:sz w:val="24"/>
        </w:rPr>
        <w:t xml:space="preserve">increases, which indirectly indicates that polylignin has more active sites and is more suitable for the synthesis of </w:t>
      </w:r>
      <w:r>
        <w:rPr>
          <w:rFonts w:hint="eastAsia" w:ascii="Times New Roman" w:hAnsi="Times New Roman" w:eastAsia="宋体" w:cs="Times New Roman"/>
          <w:color w:val="auto"/>
          <w:position w:val="-12"/>
          <w:sz w:val="24"/>
        </w:rPr>
        <w:t>PFR</w:t>
      </w:r>
      <w:r>
        <w:rPr>
          <w:rFonts w:ascii="Times New Roman" w:hAnsi="Times New Roman" w:eastAsia="宋体" w:cs="Times New Roman"/>
          <w:color w:val="auto"/>
          <w:position w:val="-12"/>
          <w:sz w:val="24"/>
        </w:rPr>
        <w:t xml:space="preserve"> instead of phenol.</w:t>
      </w:r>
    </w:p>
    <w:p>
      <w:pPr>
        <w:widowControl/>
        <w:spacing w:after="200" w:line="360" w:lineRule="auto"/>
        <w:ind w:firstLine="420" w:firstLineChars="200"/>
        <w:jc w:val="center"/>
      </w:pPr>
      <w:r>
        <w:drawing>
          <wp:inline distT="0" distB="0" distL="114300" distR="114300">
            <wp:extent cx="2612390" cy="2114550"/>
            <wp:effectExtent l="0" t="0" r="3810" b="6350"/>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9"/>
                    <pic:cNvPicPr>
                      <a:picLocks noChangeAspect="1"/>
                    </pic:cNvPicPr>
                  </pic:nvPicPr>
                  <pic:blipFill>
                    <a:blip r:embed="rId11"/>
                    <a:stretch>
                      <a:fillRect/>
                    </a:stretch>
                  </pic:blipFill>
                  <pic:spPr>
                    <a:xfrm>
                      <a:off x="0" y="0"/>
                      <a:ext cx="2612390" cy="2114550"/>
                    </a:xfrm>
                    <a:prstGeom prst="rect">
                      <a:avLst/>
                    </a:prstGeom>
                    <a:noFill/>
                    <a:ln>
                      <a:noFill/>
                    </a:ln>
                  </pic:spPr>
                </pic:pic>
              </a:graphicData>
            </a:graphic>
          </wp:inline>
        </w:drawing>
      </w:r>
    </w:p>
    <w:p>
      <w:pPr>
        <w:autoSpaceDE w:val="0"/>
        <w:autoSpaceDN w:val="0"/>
        <w:spacing w:line="380" w:lineRule="exact"/>
        <w:ind w:firstLine="422" w:firstLineChars="200"/>
        <w:jc w:val="center"/>
        <w:rPr>
          <w:rFonts w:ascii="Times New Roman" w:hAnsi="Times New Roman" w:eastAsia="黑体" w:cs="黑体"/>
          <w:kern w:val="0"/>
          <w:szCs w:val="21"/>
        </w:rPr>
      </w:pPr>
      <w:r>
        <w:rPr>
          <w:rFonts w:hint="eastAsia" w:ascii="Times New Roman" w:hAnsi="Times New Roman" w:eastAsia="黑体" w:cs="黑体"/>
          <w:b/>
          <w:bCs/>
          <w:kern w:val="0"/>
          <w:szCs w:val="21"/>
        </w:rPr>
        <w:t xml:space="preserve">Fig. S7 </w:t>
      </w:r>
      <w:r>
        <w:rPr>
          <w:rFonts w:hint="eastAsia" w:ascii="Times New Roman" w:hAnsi="Times New Roman" w:eastAsia="黑体" w:cs="黑体"/>
          <w:kern w:val="0"/>
          <w:szCs w:val="21"/>
        </w:rPr>
        <w:t>FTIR spectrum of PFR and SLPFR</w:t>
      </w:r>
    </w:p>
    <w:p>
      <w:pPr>
        <w:widowControl/>
        <w:spacing w:after="200" w:line="360" w:lineRule="auto"/>
        <w:ind w:firstLine="480" w:firstLineChars="200"/>
        <w:rPr>
          <w:rFonts w:ascii="Times New Roman" w:hAnsi="Times New Roman" w:cs="Times New Roman"/>
          <w:color w:val="auto"/>
          <w:sz w:val="24"/>
        </w:rPr>
      </w:pPr>
      <w:r>
        <w:rPr>
          <w:rFonts w:hint="eastAsia" w:ascii="Times New Roman" w:hAnsi="Times New Roman" w:eastAsia="宋体"/>
          <w:color w:val="auto"/>
          <w:position w:val="-12"/>
          <w:sz w:val="24"/>
        </w:rPr>
        <w:t>As can be seen from Fig. S7, the infrared spectra of PFR and SLPFR are basically consistent, because the differences are usually masked when lignin is incorporated into PFR. 3550 cm</w:t>
      </w:r>
      <w:r>
        <w:rPr>
          <w:rFonts w:hint="eastAsia" w:ascii="Times New Roman" w:hAnsi="Times New Roman" w:eastAsia="宋体"/>
          <w:color w:val="auto"/>
          <w:position w:val="-12"/>
          <w:sz w:val="24"/>
          <w:vertAlign w:val="superscript"/>
        </w:rPr>
        <w:t>-1</w:t>
      </w:r>
      <w:r>
        <w:rPr>
          <w:rFonts w:hint="eastAsia" w:ascii="Times New Roman" w:hAnsi="Times New Roman" w:eastAsia="宋体"/>
          <w:color w:val="auto"/>
          <w:position w:val="-12"/>
          <w:sz w:val="24"/>
        </w:rPr>
        <w:t xml:space="preserve"> is the absorption peak of the phenolic hydroxyl group on the benzene ring for hydrogen bonding, and 2800 cm</w:t>
      </w:r>
      <w:r>
        <w:rPr>
          <w:rFonts w:hint="eastAsia" w:ascii="Times New Roman" w:hAnsi="Times New Roman" w:eastAsia="宋体"/>
          <w:color w:val="auto"/>
          <w:position w:val="-12"/>
          <w:sz w:val="24"/>
          <w:vertAlign w:val="superscript"/>
        </w:rPr>
        <w:t>-1</w:t>
      </w:r>
      <w:r>
        <w:rPr>
          <w:rFonts w:hint="eastAsia" w:ascii="Times New Roman" w:hAnsi="Times New Roman" w:eastAsia="宋体"/>
          <w:color w:val="auto"/>
          <w:position w:val="-12"/>
          <w:sz w:val="24"/>
        </w:rPr>
        <w:t xml:space="preserve"> is the aliphatic-CH</w:t>
      </w:r>
      <w:r>
        <w:rPr>
          <w:rFonts w:hint="eastAsia" w:ascii="Times New Roman" w:hAnsi="Times New Roman" w:eastAsia="宋体"/>
          <w:color w:val="auto"/>
          <w:position w:val="-12"/>
          <w:sz w:val="24"/>
          <w:vertAlign w:val="subscript"/>
        </w:rPr>
        <w:t>2</w:t>
      </w:r>
      <w:r>
        <w:rPr>
          <w:rFonts w:hint="eastAsia" w:ascii="Times New Roman" w:hAnsi="Times New Roman" w:eastAsia="宋体"/>
          <w:color w:val="auto"/>
          <w:position w:val="-12"/>
          <w:sz w:val="24"/>
        </w:rPr>
        <w:t xml:space="preserve"> asymmetric stretch absorption peak. 1636 cm</w:t>
      </w:r>
      <w:r>
        <w:rPr>
          <w:rFonts w:hint="eastAsia" w:ascii="Times New Roman" w:hAnsi="Times New Roman" w:eastAsia="宋体"/>
          <w:color w:val="auto"/>
          <w:position w:val="-12"/>
          <w:sz w:val="24"/>
          <w:vertAlign w:val="superscript"/>
        </w:rPr>
        <w:t>-1</w:t>
      </w:r>
      <w:r>
        <w:rPr>
          <w:rFonts w:hint="eastAsia" w:ascii="Times New Roman" w:hAnsi="Times New Roman" w:eastAsia="宋体"/>
          <w:color w:val="auto"/>
          <w:position w:val="-12"/>
          <w:sz w:val="24"/>
        </w:rPr>
        <w:t xml:space="preserve"> is the stretching vibration absorption peak of C=C on the benzene ring, 1476 cm</w:t>
      </w:r>
      <w:r>
        <w:rPr>
          <w:rFonts w:hint="eastAsia" w:ascii="Times New Roman" w:hAnsi="Times New Roman" w:eastAsia="宋体"/>
          <w:color w:val="auto"/>
          <w:position w:val="-12"/>
          <w:sz w:val="24"/>
          <w:vertAlign w:val="superscript"/>
        </w:rPr>
        <w:t>-1</w:t>
      </w:r>
      <w:r>
        <w:rPr>
          <w:rFonts w:hint="eastAsia" w:ascii="Times New Roman" w:hAnsi="Times New Roman" w:eastAsia="宋体"/>
          <w:color w:val="auto"/>
          <w:position w:val="-12"/>
          <w:sz w:val="24"/>
        </w:rPr>
        <w:t xml:space="preserve"> is the abs</w:t>
      </w:r>
      <w:r>
        <w:rPr>
          <w:rFonts w:hint="eastAsia" w:ascii="Times New Roman" w:hAnsi="Times New Roman" w:eastAsia="宋体"/>
          <w:color w:val="auto"/>
          <w:position w:val="-12"/>
          <w:sz w:val="24"/>
          <w:highlight w:val="none"/>
        </w:rPr>
        <w:t>orption peak of the beta-methyl bridge, and the two bands also indicate the presence of the aromatic ring</w:t>
      </w:r>
      <w:r>
        <w:rPr>
          <w:rFonts w:hint="eastAsia" w:ascii="Times New Roman" w:hAnsi="Times New Roman" w:eastAsia="宋体"/>
          <w:color w:val="auto"/>
          <w:position w:val="-12"/>
          <w:sz w:val="24"/>
          <w:highlight w:val="none"/>
          <w:vertAlign w:val="superscript"/>
        </w:rPr>
        <w:t>[</w:t>
      </w:r>
      <w:r>
        <w:rPr>
          <w:rFonts w:ascii="Times New Roman" w:hAnsi="Times New Roman" w:eastAsia="宋体"/>
          <w:color w:val="auto"/>
          <w:position w:val="-12"/>
          <w:sz w:val="24"/>
          <w:highlight w:val="none"/>
          <w:vertAlign w:val="superscript"/>
        </w:rPr>
        <w:fldChar w:fldCharType="begin">
          <w:fldData xml:space="preserve">PEVuZE5vdGU+PENpdGU+PEF1dGhvcj5aaGFuZzwvQXV0aG9yPjxZZWFyPjIwMTM8L1llYXI+PFJl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==
</w:fldData>
        </w:fldChar>
      </w:r>
      <w:r>
        <w:rPr>
          <w:rFonts w:ascii="Times New Roman" w:hAnsi="Times New Roman" w:eastAsia="宋体"/>
          <w:color w:val="auto"/>
          <w:position w:val="-12"/>
          <w:sz w:val="24"/>
          <w:highlight w:val="none"/>
          <w:vertAlign w:val="superscript"/>
        </w:rPr>
        <w:instrText xml:space="preserve"> ADDIN EN.CITE </w:instrText>
      </w:r>
      <w:r>
        <w:rPr>
          <w:rFonts w:ascii="Times New Roman" w:hAnsi="Times New Roman" w:eastAsia="宋体"/>
          <w:color w:val="auto"/>
          <w:position w:val="-12"/>
          <w:sz w:val="24"/>
          <w:highlight w:val="none"/>
          <w:vertAlign w:val="superscript"/>
        </w:rPr>
        <w:fldChar w:fldCharType="begin">
          <w:fldData xml:space="preserve">PEVuZE5vdGU+PENpdGU+PEF1dGhvcj5aaGFuZzwvQXV0aG9yPjxZZWFyPjIwMTM8L1llYXI+PFJl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==
</w:fldData>
        </w:fldChar>
      </w:r>
      <w:r>
        <w:rPr>
          <w:rFonts w:ascii="Times New Roman" w:hAnsi="Times New Roman" w:eastAsia="宋体"/>
          <w:color w:val="auto"/>
          <w:position w:val="-12"/>
          <w:sz w:val="24"/>
          <w:highlight w:val="none"/>
          <w:vertAlign w:val="superscript"/>
        </w:rPr>
        <w:instrText xml:space="preserve"> ADDIN EN.CITE.DATA </w:instrText>
      </w:r>
      <w:r>
        <w:rPr>
          <w:rFonts w:ascii="Times New Roman" w:hAnsi="Times New Roman" w:eastAsia="宋体"/>
          <w:color w:val="auto"/>
          <w:position w:val="-12"/>
          <w:sz w:val="24"/>
          <w:highlight w:val="none"/>
          <w:vertAlign w:val="superscript"/>
        </w:rPr>
        <w:fldChar w:fldCharType="end"/>
      </w:r>
      <w:r>
        <w:rPr>
          <w:rFonts w:ascii="Times New Roman" w:hAnsi="Times New Roman" w:eastAsia="宋体"/>
          <w:color w:val="auto"/>
          <w:position w:val="-12"/>
          <w:sz w:val="24"/>
          <w:highlight w:val="none"/>
          <w:vertAlign w:val="superscript"/>
        </w:rPr>
        <w:fldChar w:fldCharType="separate"/>
      </w:r>
      <w:r>
        <w:rPr>
          <w:rFonts w:ascii="Times New Roman" w:hAnsi="Times New Roman" w:eastAsia="宋体"/>
          <w:color w:val="auto"/>
          <w:position w:val="-12"/>
          <w:sz w:val="24"/>
          <w:highlight w:val="none"/>
          <w:vertAlign w:val="superscript"/>
        </w:rPr>
        <w:t>6, 7</w:t>
      </w:r>
      <w:r>
        <w:rPr>
          <w:rFonts w:ascii="Times New Roman" w:hAnsi="Times New Roman" w:eastAsia="宋体"/>
          <w:color w:val="auto"/>
          <w:position w:val="-12"/>
          <w:sz w:val="24"/>
          <w:highlight w:val="none"/>
          <w:vertAlign w:val="superscript"/>
        </w:rPr>
        <w:fldChar w:fldCharType="end"/>
      </w:r>
      <w:r>
        <w:rPr>
          <w:rFonts w:hint="eastAsia" w:ascii="Times New Roman" w:hAnsi="Times New Roman" w:eastAsia="宋体"/>
          <w:color w:val="auto"/>
          <w:position w:val="-12"/>
          <w:sz w:val="24"/>
          <w:highlight w:val="none"/>
          <w:vertAlign w:val="superscript"/>
        </w:rPr>
        <w:t>]</w:t>
      </w:r>
      <w:r>
        <w:rPr>
          <w:rFonts w:hint="eastAsia" w:ascii="Times New Roman" w:hAnsi="Times New Roman" w:eastAsia="宋体"/>
          <w:color w:val="auto"/>
          <w:position w:val="-12"/>
          <w:sz w:val="24"/>
          <w:highlight w:val="none"/>
        </w:rPr>
        <w:t>. The absorption peak of SLPFR at 1250 cm</w:t>
      </w:r>
      <w:r>
        <w:rPr>
          <w:rFonts w:hint="eastAsia" w:ascii="Times New Roman" w:hAnsi="Times New Roman" w:eastAsia="宋体"/>
          <w:color w:val="auto"/>
          <w:position w:val="-12"/>
          <w:sz w:val="24"/>
          <w:highlight w:val="none"/>
          <w:vertAlign w:val="superscript"/>
        </w:rPr>
        <w:t>-1</w:t>
      </w:r>
      <w:r>
        <w:rPr>
          <w:rFonts w:hint="eastAsia" w:ascii="Times New Roman" w:hAnsi="Times New Roman" w:eastAsia="宋体"/>
          <w:color w:val="auto"/>
          <w:position w:val="-12"/>
          <w:sz w:val="24"/>
          <w:highlight w:val="none"/>
        </w:rPr>
        <w:t xml:space="preserve"> is stronger than that of PFR, indicating that SLPFR has more phenolic hydroxyl groups than PFR, 1208 cm</w:t>
      </w:r>
      <w:r>
        <w:rPr>
          <w:rFonts w:hint="eastAsia" w:ascii="Times New Roman" w:hAnsi="Times New Roman" w:eastAsia="宋体"/>
          <w:color w:val="auto"/>
          <w:position w:val="-12"/>
          <w:sz w:val="24"/>
          <w:highlight w:val="none"/>
          <w:vertAlign w:val="superscript"/>
        </w:rPr>
        <w:t>-1</w:t>
      </w:r>
      <w:r>
        <w:rPr>
          <w:rFonts w:hint="eastAsia" w:ascii="Times New Roman" w:hAnsi="Times New Roman" w:eastAsia="宋体"/>
          <w:color w:val="auto"/>
          <w:position w:val="-12"/>
          <w:sz w:val="24"/>
          <w:highlight w:val="none"/>
        </w:rPr>
        <w:t xml:space="preserve"> is the out-plane absorption peak of C-O on the benzene ring, 1016 cm</w:t>
      </w:r>
      <w:r>
        <w:rPr>
          <w:rFonts w:hint="eastAsia" w:ascii="Times New Roman" w:hAnsi="Times New Roman" w:eastAsia="宋体"/>
          <w:color w:val="auto"/>
          <w:position w:val="-12"/>
          <w:sz w:val="24"/>
          <w:highlight w:val="none"/>
          <w:vertAlign w:val="superscript"/>
        </w:rPr>
        <w:t>-1</w:t>
      </w:r>
      <w:r>
        <w:rPr>
          <w:rFonts w:hint="eastAsia" w:ascii="Times New Roman" w:hAnsi="Times New Roman" w:eastAsia="宋体"/>
          <w:color w:val="auto"/>
          <w:position w:val="-12"/>
          <w:sz w:val="24"/>
          <w:highlight w:val="none"/>
        </w:rPr>
        <w:t xml:space="preserve"> is the C-O stretching vibration peak of hydroxyl methyl group</w:t>
      </w:r>
      <w:r>
        <w:rPr>
          <w:rFonts w:hint="eastAsia" w:ascii="Times New Roman" w:hAnsi="Times New Roman" w:eastAsia="宋体"/>
          <w:color w:val="auto"/>
          <w:position w:val="-12"/>
          <w:sz w:val="24"/>
          <w:highlight w:val="none"/>
          <w:vertAlign w:val="superscript"/>
        </w:rPr>
        <w:t>[</w:t>
      </w:r>
      <w:r>
        <w:rPr>
          <w:rFonts w:ascii="Times New Roman" w:hAnsi="Times New Roman" w:eastAsia="宋体"/>
          <w:color w:val="auto"/>
          <w:position w:val="-12"/>
          <w:sz w:val="24"/>
          <w:highlight w:val="none"/>
          <w:vertAlign w:val="superscript"/>
        </w:rPr>
        <w:fldChar w:fldCharType="begin"/>
      </w:r>
      <w:r>
        <w:rPr>
          <w:rFonts w:ascii="Times New Roman" w:hAnsi="Times New Roman" w:eastAsia="宋体"/>
          <w:color w:val="auto"/>
          <w:position w:val="-12"/>
          <w:sz w:val="24"/>
          <w:highlight w:val="none"/>
          <w:vertAlign w:val="superscript"/>
        </w:rPr>
        <w:instrText xml:space="preserve"> ADDIN EN.CITE &lt;EndNote&gt;&lt;Cite&gt;&lt;Author&gt;Zhang&lt;/Author&gt;&lt;Year&gt;2013&lt;/Year&gt;&lt;RecNum&gt;139&lt;/RecNum&gt;&lt;DisplayText&gt;&lt;style face="superscript"&gt;6&lt;/style&gt;&lt;/DisplayText&gt;&lt;record&gt;&lt;rec-number&gt;139&lt;/rec-number&gt;&lt;foreign-keys&gt;&lt;key app="EN" db-id="5tx5dsdx5r5pfwee9sbppzai5fzfwvet20r0" timestamp="1709814411"&gt;139&lt;/key&gt;&lt;/foreign-keys&gt;&lt;ref-type name="Journal Article"&gt;17&lt;/ref-type&gt;&lt;contributors&gt;&lt;authors&gt;&lt;author&gt;Zhang, W.&lt;/author&gt;&lt;author&gt;Ma, Y. F.&lt;/author&gt;&lt;author&gt;Wang, C. P.&lt;/author&gt;&lt;author&gt;Li, S. H.&lt;/author&gt;&lt;author&gt;Zhang, M. M.&lt;/author&gt;&lt;author&gt;Chu, F. X.&lt;/author&gt;&lt;/authors&gt;&lt;/contributors&gt;&lt;auth-address&gt;Chinese Acad Forestry, Beijing 100091, Peoples R China&amp;#xD;CAF, Inst Chem Ind Forest Prod, Yancheng City, Jiangsu, Peoples R China&amp;#xD;Key Lab Biomass Energy &amp;amp; Mat, Nanjing, Jiangsu, Peoples R China&amp;#xD;SFA, Natl Engn Lab Biomass Chem Utilizat, Key &amp;amp; Open Lab Forest Chem Engn, Nanjing 210042, Jiangsu, Peoples R China&lt;/auth-address&gt;&lt;titles&gt;&lt;title&gt;Preparation and properties of lignin-phenol-formaldehyde resins based on different biorefinery residues of agricultural biomass&lt;/title&gt;&lt;secondary-title&gt;INDUSTRIAL CROPS AND PRODUCTS&lt;/secondary-title&gt;&lt;/titles&gt;&lt;periodical&gt;&lt;full-title&gt;INDUSTRIAL CROPS AND PRODUCTS&lt;/full-title&gt;&lt;/periodical&gt;&lt;pages&gt;326-333&lt;/pages&gt;&lt;volume&gt;43&lt;/volume&gt;&lt;dates&gt;&lt;year&gt;2013&lt;/year&gt;&lt;pub-dates&gt;&lt;date&gt;MAY&lt;/date&gt;&lt;/pub-dates&gt;&lt;/dates&gt;&lt;accession-num&gt;WOS:000311865000050&lt;/accession-num&gt;&lt;urls&gt;&lt;/urls&gt;&lt;electronic-resource-num&gt;10.1016/j.indcrop.2012.07.037&lt;/electronic-resource-num&gt;&lt;/record&gt;&lt;/Cite&gt;&lt;/EndNote&gt;</w:instrText>
      </w:r>
      <w:r>
        <w:rPr>
          <w:rFonts w:ascii="Times New Roman" w:hAnsi="Times New Roman" w:eastAsia="宋体"/>
          <w:color w:val="auto"/>
          <w:position w:val="-12"/>
          <w:sz w:val="24"/>
          <w:highlight w:val="none"/>
          <w:vertAlign w:val="superscript"/>
        </w:rPr>
        <w:fldChar w:fldCharType="separate"/>
      </w:r>
      <w:r>
        <w:rPr>
          <w:rFonts w:ascii="Times New Roman" w:hAnsi="Times New Roman" w:eastAsia="宋体"/>
          <w:color w:val="auto"/>
          <w:position w:val="-12"/>
          <w:sz w:val="24"/>
          <w:highlight w:val="none"/>
          <w:vertAlign w:val="superscript"/>
        </w:rPr>
        <w:t>6</w:t>
      </w:r>
      <w:r>
        <w:rPr>
          <w:rFonts w:ascii="Times New Roman" w:hAnsi="Times New Roman" w:eastAsia="宋体"/>
          <w:color w:val="auto"/>
          <w:position w:val="-12"/>
          <w:sz w:val="24"/>
          <w:highlight w:val="none"/>
          <w:vertAlign w:val="superscript"/>
        </w:rPr>
        <w:fldChar w:fldCharType="end"/>
      </w:r>
      <w:r>
        <w:rPr>
          <w:rFonts w:hint="eastAsia" w:ascii="Times New Roman" w:hAnsi="Times New Roman" w:eastAsia="宋体"/>
          <w:color w:val="auto"/>
          <w:position w:val="-12"/>
          <w:sz w:val="24"/>
          <w:highlight w:val="none"/>
          <w:vertAlign w:val="superscript"/>
        </w:rPr>
        <w:t>]</w:t>
      </w:r>
      <w:r>
        <w:rPr>
          <w:rFonts w:hint="eastAsia" w:ascii="Times New Roman" w:hAnsi="Times New Roman" w:eastAsia="宋体"/>
          <w:color w:val="auto"/>
          <w:position w:val="-12"/>
          <w:sz w:val="24"/>
          <w:highlight w:val="none"/>
        </w:rPr>
        <w:t>, and 883 cm</w:t>
      </w:r>
      <w:r>
        <w:rPr>
          <w:rFonts w:hint="eastAsia" w:ascii="Times New Roman" w:hAnsi="Times New Roman" w:eastAsia="宋体"/>
          <w:color w:val="auto"/>
          <w:position w:val="-12"/>
          <w:sz w:val="24"/>
          <w:highlight w:val="none"/>
          <w:vertAlign w:val="superscript"/>
        </w:rPr>
        <w:t>-1</w:t>
      </w:r>
      <w:r>
        <w:rPr>
          <w:rFonts w:hint="eastAsia" w:ascii="Times New Roman" w:hAnsi="Times New Roman" w:eastAsia="宋体"/>
          <w:color w:val="auto"/>
          <w:position w:val="-12"/>
          <w:sz w:val="24"/>
          <w:highlight w:val="none"/>
        </w:rPr>
        <w:t xml:space="preserve"> is the out-</w:t>
      </w:r>
      <w:r>
        <w:rPr>
          <w:rFonts w:hint="eastAsia" w:ascii="Times New Roman" w:hAnsi="Times New Roman" w:eastAsia="宋体"/>
          <w:color w:val="auto"/>
          <w:position w:val="-12"/>
          <w:sz w:val="24"/>
        </w:rPr>
        <w:t>of-plane bending absorption peak on the CH-1,2,3,4,5 positions. In short, the FTIR profiles of PFR and SLPFR were basically consistent, and the content of phenolic hydroxyl group in SLPFR was increased, indicating that microwave depolymerization has a positive effect on lignin.</w:t>
      </w:r>
    </w:p>
    <w:p>
      <w:pPr>
        <w:widowControl/>
        <w:numPr>
          <w:ilvl w:val="0"/>
          <w:numId w:val="2"/>
        </w:numPr>
        <w:spacing w:after="200" w:line="360" w:lineRule="auto"/>
        <w:rPr>
          <w:rFonts w:ascii="Times New Roman" w:hAnsi="Times New Roman" w:cs="Times New Roman"/>
          <w:b/>
          <w:bCs/>
          <w:sz w:val="24"/>
        </w:rPr>
      </w:pPr>
      <w:r>
        <w:rPr>
          <w:rFonts w:hint="eastAsia" w:ascii="Times New Roman" w:hAnsi="Times New Roman" w:cs="Times New Roman"/>
          <w:b/>
          <w:bCs/>
          <w:sz w:val="24"/>
        </w:rPr>
        <w:t>Analysis of LC-MS</w:t>
      </w:r>
    </w:p>
    <w:p>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 xml:space="preserve">SLPFR samples were filtered through 0.22 </w:t>
      </w:r>
      <w:r>
        <w:rPr>
          <w:rFonts w:ascii="Times New Roman" w:hAnsi="Times New Roman" w:eastAsia="宋体" w:cs="Times New Roman"/>
          <w:color w:val="auto"/>
          <w:sz w:val="24"/>
        </w:rPr>
        <w:t>μm</w:t>
      </w:r>
      <w:r>
        <w:rPr>
          <w:rFonts w:hint="eastAsia" w:ascii="Times New Roman" w:hAnsi="Times New Roman" w:eastAsia="宋体" w:cs="Times New Roman"/>
          <w:color w:val="auto"/>
          <w:sz w:val="24"/>
        </w:rPr>
        <w:t xml:space="preserve"> microfilter and directly loaded for LC-MS analysis. The relative molecular mass and molecular structure were analyzed by Ultimate 3000 UHPLC-Q Exactive liquid (Thermo Scientific, US). Because the resin molecules contain phenolic groups, it is easy to remove a proton to form a negative ion. Therefore, the anion detection method adopted during the mass spectrometry analysis. Chromatographic experiment conditions: chromatograph Dinonex Ultimate 3000 UHPLC, Atlantis T3 column (100 mm</w:t>
      </w:r>
      <w:r>
        <w:rPr>
          <w:rFonts w:hint="eastAsia" w:ascii="微软雅黑" w:hAnsi="微软雅黑" w:eastAsia="微软雅黑" w:cs="微软雅黑"/>
          <w:color w:val="auto"/>
          <w:sz w:val="24"/>
        </w:rPr>
        <w:t>×</w:t>
      </w:r>
      <w:r>
        <w:rPr>
          <w:rFonts w:hint="eastAsia" w:ascii="Times New Roman" w:hAnsi="Times New Roman" w:eastAsia="宋体" w:cs="Times New Roman"/>
          <w:color w:val="auto"/>
          <w:sz w:val="24"/>
        </w:rPr>
        <w:t xml:space="preserve">3.0 mm, 3.0 </w:t>
      </w:r>
      <w:r>
        <w:rPr>
          <w:rFonts w:ascii="Times New Roman" w:hAnsi="Times New Roman" w:eastAsia="宋体" w:cs="Times New Roman"/>
          <w:color w:val="auto"/>
          <w:sz w:val="24"/>
        </w:rPr>
        <w:t>μm</w:t>
      </w:r>
      <w:r>
        <w:rPr>
          <w:rFonts w:hint="eastAsia" w:ascii="Times New Roman" w:hAnsi="Times New Roman" w:eastAsia="宋体" w:cs="Times New Roman"/>
          <w:color w:val="auto"/>
          <w:sz w:val="24"/>
        </w:rPr>
        <w:t>). Mobile phase A: 0.1% formic acid in water, B: acetonitrile. Gradient elution conditions are shown in Table S1:</w:t>
      </w:r>
    </w:p>
    <w:p>
      <w:pPr>
        <w:spacing w:line="380" w:lineRule="exact"/>
        <w:ind w:firstLine="422" w:firstLineChars="200"/>
        <w:jc w:val="center"/>
        <w:rPr>
          <w:rFonts w:ascii="Times New Roman" w:hAnsi="Times New Roman" w:eastAsia="黑体" w:cs="Times New Roman"/>
          <w:kern w:val="0"/>
          <w:szCs w:val="21"/>
        </w:rPr>
      </w:pPr>
      <w:r>
        <w:rPr>
          <w:rFonts w:hint="eastAsia" w:ascii="Times New Roman" w:hAnsi="Times New Roman" w:eastAsia="黑体" w:cs="Times New Roman"/>
          <w:b/>
          <w:bCs/>
          <w:kern w:val="0"/>
          <w:szCs w:val="21"/>
        </w:rPr>
        <w:t xml:space="preserve">Table S1 </w:t>
      </w:r>
      <w:r>
        <w:rPr>
          <w:rFonts w:hint="eastAsia" w:ascii="Times New Roman" w:hAnsi="Times New Roman" w:eastAsia="黑体" w:cs="Times New Roman"/>
          <w:kern w:val="0"/>
          <w:szCs w:val="21"/>
        </w:rPr>
        <w:t>The gradient elution conditions of HPLC</w:t>
      </w:r>
    </w:p>
    <w:tbl>
      <w:tblPr>
        <w:tblStyle w:val="5"/>
        <w:tblW w:w="8161"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3781"/>
        <w:gridCol w:w="844"/>
        <w:gridCol w:w="800"/>
        <w:gridCol w:w="845"/>
        <w:gridCol w:w="966"/>
        <w:gridCol w:w="925"/>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3781" w:type="dxa"/>
            <w:tcBorders>
              <w:top w:val="single" w:color="000000" w:sz="12" w:space="0"/>
              <w:left w:val="nil"/>
              <w:bottom w:val="single" w:color="000000" w:sz="4" w:space="0"/>
              <w:tl2br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elution time/ min</w:t>
            </w:r>
          </w:p>
        </w:tc>
        <w:tc>
          <w:tcPr>
            <w:tcW w:w="844" w:type="dxa"/>
            <w:tcBorders>
              <w:top w:val="single" w:color="000000" w:sz="12" w:space="0"/>
              <w:bottom w:val="single" w:color="000000" w:sz="4" w:space="0"/>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0~3</w:t>
            </w:r>
          </w:p>
        </w:tc>
        <w:tc>
          <w:tcPr>
            <w:tcW w:w="800" w:type="dxa"/>
            <w:tcBorders>
              <w:top w:val="single" w:color="000000" w:sz="12" w:space="0"/>
              <w:bottom w:val="single" w:color="000000" w:sz="4" w:space="0"/>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10</w:t>
            </w:r>
          </w:p>
        </w:tc>
        <w:tc>
          <w:tcPr>
            <w:tcW w:w="845" w:type="dxa"/>
            <w:tcBorders>
              <w:top w:val="single" w:color="000000" w:sz="12" w:space="0"/>
              <w:bottom w:val="single" w:color="000000" w:sz="4" w:space="0"/>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15</w:t>
            </w:r>
          </w:p>
        </w:tc>
        <w:tc>
          <w:tcPr>
            <w:tcW w:w="966" w:type="dxa"/>
            <w:tcBorders>
              <w:top w:val="single" w:color="000000" w:sz="12" w:space="0"/>
              <w:bottom w:val="single" w:color="000000" w:sz="4" w:space="0"/>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20~25</w:t>
            </w:r>
          </w:p>
        </w:tc>
        <w:tc>
          <w:tcPr>
            <w:tcW w:w="925" w:type="dxa"/>
            <w:tcBorders>
              <w:top w:val="single" w:color="000000" w:sz="12" w:space="0"/>
              <w:bottom w:val="single" w:color="000000" w:sz="4" w:space="0"/>
              <w:right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25.1~30</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3781" w:type="dxa"/>
            <w:tcBorders>
              <w:top w:val="single" w:color="000000" w:sz="4" w:space="0"/>
              <w:left w:val="nil"/>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the volume fraction of mobile phase A/ %</w:t>
            </w:r>
          </w:p>
        </w:tc>
        <w:tc>
          <w:tcPr>
            <w:tcW w:w="844" w:type="dxa"/>
            <w:tcBorders>
              <w:top w:val="single" w:color="000000" w:sz="4" w:space="0"/>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95</w:t>
            </w:r>
          </w:p>
        </w:tc>
        <w:tc>
          <w:tcPr>
            <w:tcW w:w="800" w:type="dxa"/>
            <w:tcBorders>
              <w:top w:val="single" w:color="000000" w:sz="4" w:space="0"/>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80</w:t>
            </w:r>
          </w:p>
        </w:tc>
        <w:tc>
          <w:tcPr>
            <w:tcW w:w="845" w:type="dxa"/>
            <w:tcBorders>
              <w:top w:val="single" w:color="000000" w:sz="4" w:space="0"/>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30</w:t>
            </w:r>
          </w:p>
        </w:tc>
        <w:tc>
          <w:tcPr>
            <w:tcW w:w="966" w:type="dxa"/>
            <w:tcBorders>
              <w:top w:val="single" w:color="000000" w:sz="4" w:space="0"/>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10</w:t>
            </w:r>
          </w:p>
        </w:tc>
        <w:tc>
          <w:tcPr>
            <w:tcW w:w="925" w:type="dxa"/>
            <w:tcBorders>
              <w:top w:val="single" w:color="000000" w:sz="4" w:space="0"/>
              <w:bottom w:val="nil"/>
              <w:right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3781" w:type="dxa"/>
            <w:tcBorders>
              <w:top w:val="nil"/>
              <w:left w:val="nil"/>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the volume fraction of mobile phase B/ %</w:t>
            </w:r>
          </w:p>
        </w:tc>
        <w:tc>
          <w:tcPr>
            <w:tcW w:w="844" w:type="dxa"/>
            <w:tcBorders>
              <w:top w:val="nil"/>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5</w:t>
            </w:r>
          </w:p>
        </w:tc>
        <w:tc>
          <w:tcPr>
            <w:tcW w:w="800" w:type="dxa"/>
            <w:tcBorders>
              <w:top w:val="nil"/>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20</w:t>
            </w:r>
          </w:p>
        </w:tc>
        <w:tc>
          <w:tcPr>
            <w:tcW w:w="845" w:type="dxa"/>
            <w:tcBorders>
              <w:top w:val="nil"/>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70</w:t>
            </w:r>
          </w:p>
        </w:tc>
        <w:tc>
          <w:tcPr>
            <w:tcW w:w="966" w:type="dxa"/>
            <w:tcBorders>
              <w:top w:val="nil"/>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90</w:t>
            </w:r>
          </w:p>
        </w:tc>
        <w:tc>
          <w:tcPr>
            <w:tcW w:w="925" w:type="dxa"/>
            <w:tcBorders>
              <w:top w:val="nil"/>
              <w:bottom w:val="nil"/>
              <w:right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3781" w:type="dxa"/>
            <w:tcBorders>
              <w:top w:val="nil"/>
              <w:left w:val="nil"/>
              <w:bottom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current speed/ mL/min</w:t>
            </w:r>
          </w:p>
        </w:tc>
        <w:tc>
          <w:tcPr>
            <w:tcW w:w="4380" w:type="dxa"/>
            <w:gridSpan w:val="5"/>
            <w:tcBorders>
              <w:top w:val="nil"/>
              <w:bottom w:val="nil"/>
              <w:right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jc w:val="center"/>
        </w:trPr>
        <w:tc>
          <w:tcPr>
            <w:tcW w:w="3781" w:type="dxa"/>
            <w:tcBorders>
              <w:top w:val="nil"/>
              <w:left w:val="nil"/>
              <w:bottom w:val="single" w:color="000000" w:sz="12" w:space="0"/>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column temperature/ K</w:t>
            </w:r>
          </w:p>
        </w:tc>
        <w:tc>
          <w:tcPr>
            <w:tcW w:w="4380" w:type="dxa"/>
            <w:gridSpan w:val="5"/>
            <w:tcBorders>
              <w:top w:val="nil"/>
              <w:bottom w:val="single" w:color="000000" w:sz="12" w:space="0"/>
              <w:right w:val="nil"/>
            </w:tcBorders>
            <w:shd w:val="clear" w:color="auto" w:fill="FFFFFF"/>
          </w:tcPr>
          <w:p>
            <w:pPr>
              <w:widowControl/>
              <w:spacing w:line="380" w:lineRule="exact"/>
              <w:jc w:val="center"/>
              <w:rPr>
                <w:rFonts w:ascii="Times New Roman" w:hAnsi="Times New Roman" w:eastAsia="宋体" w:cs="Times New Roman"/>
                <w:szCs w:val="21"/>
              </w:rPr>
            </w:pPr>
            <w:r>
              <w:rPr>
                <w:rFonts w:hint="eastAsia" w:ascii="Times New Roman" w:hAnsi="Times New Roman" w:eastAsia="宋体" w:cs="Times New Roman"/>
                <w:szCs w:val="21"/>
              </w:rPr>
              <w:t>303.15</w:t>
            </w:r>
          </w:p>
        </w:tc>
      </w:tr>
    </w:tbl>
    <w:p>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The experimental conditions of MS spectrometry: HESI ion source, spray voltage of negative ion 3.5 kV, heated capillary temperature 593.15 K, sheath flow rate: 40 arb, full scan MS negative ion mode detection, scanning range: primary scan: resolution 70000, range 200~1,800 m/z; secondary scan: resolution 17,500, starting ion 50 m/z. Therefore, total ion flow diagram of SLPFR liquid chromatography, as shown in Fig. S8.</w:t>
      </w:r>
    </w:p>
    <w:p>
      <w:pPr>
        <w:spacing w:line="360" w:lineRule="auto"/>
        <w:jc w:val="center"/>
        <w:rPr>
          <w:rFonts w:ascii="Times New Roman" w:hAnsi="Times New Roman" w:eastAsia="黑体" w:cs="黑体"/>
          <w:kern w:val="0"/>
          <w:szCs w:val="21"/>
        </w:rPr>
      </w:pPr>
      <w:r>
        <w:rPr>
          <w:rFonts w:hint="eastAsia" w:eastAsia="黑体" w:cs="黑体"/>
          <w:b/>
          <w:bCs/>
          <w:color w:val="FF0000"/>
          <w:szCs w:val="21"/>
        </w:rPr>
        <w:drawing>
          <wp:anchor distT="0" distB="0" distL="114300" distR="114300" simplePos="0" relativeHeight="251667456" behindDoc="0" locked="0" layoutInCell="1" allowOverlap="1">
            <wp:simplePos x="0" y="0"/>
            <wp:positionH relativeFrom="column">
              <wp:posOffset>-27305</wp:posOffset>
            </wp:positionH>
            <wp:positionV relativeFrom="paragraph">
              <wp:posOffset>78105</wp:posOffset>
            </wp:positionV>
            <wp:extent cx="5303520" cy="2026285"/>
            <wp:effectExtent l="0" t="0" r="5080" b="5715"/>
            <wp:wrapTopAndBottom/>
            <wp:docPr id="9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6"/>
                    <pic:cNvPicPr>
                      <a:picLocks noChangeAspect="1"/>
                    </pic:cNvPicPr>
                  </pic:nvPicPr>
                  <pic:blipFill>
                    <a:blip r:embed="rId12"/>
                    <a:stretch>
                      <a:fillRect/>
                    </a:stretch>
                  </pic:blipFill>
                  <pic:spPr>
                    <a:xfrm>
                      <a:off x="0" y="0"/>
                      <a:ext cx="5303520" cy="2026285"/>
                    </a:xfrm>
                    <a:prstGeom prst="rect">
                      <a:avLst/>
                    </a:prstGeom>
                    <a:noFill/>
                    <a:ln>
                      <a:noFill/>
                    </a:ln>
                  </pic:spPr>
                </pic:pic>
              </a:graphicData>
            </a:graphic>
          </wp:anchor>
        </w:drawing>
      </w:r>
      <w:r>
        <w:rPr>
          <w:rFonts w:hint="eastAsia" w:ascii="Times New Roman" w:hAnsi="Times New Roman" w:eastAsia="黑体" w:cs="黑体"/>
          <w:b/>
          <w:bCs/>
          <w:kern w:val="0"/>
          <w:szCs w:val="21"/>
        </w:rPr>
        <w:t xml:space="preserve">Fig. S8 </w:t>
      </w:r>
      <w:r>
        <w:rPr>
          <w:rFonts w:hint="eastAsia" w:ascii="Times New Roman" w:hAnsi="Times New Roman" w:eastAsia="黑体" w:cs="黑体"/>
          <w:kern w:val="0"/>
          <w:szCs w:val="21"/>
        </w:rPr>
        <w:t>Total ion flow diagram of SLPFR liquid chromatography</w:t>
      </w:r>
    </w:p>
    <w:p>
      <w:pPr>
        <w:autoSpaceDE w:val="0"/>
        <w:autoSpaceDN w:val="0"/>
        <w:spacing w:line="360" w:lineRule="auto"/>
        <w:ind w:firstLine="480" w:firstLineChars="200"/>
        <w:rPr>
          <w:rFonts w:ascii="Times New Roman" w:hAnsi="Times New Roman" w:eastAsia="黑体" w:cs="Times New Roman"/>
          <w:color w:val="auto"/>
          <w:kern w:val="0"/>
          <w:sz w:val="24"/>
        </w:rPr>
      </w:pPr>
      <w:bookmarkStart w:id="1" w:name="_GoBack"/>
      <w:r>
        <w:rPr>
          <w:rFonts w:ascii="Times New Roman" w:hAnsi="Times New Roman" w:eastAsia="黑体" w:cs="Times New Roman"/>
          <w:color w:val="auto"/>
          <w:kern w:val="0"/>
          <w:sz w:val="24"/>
        </w:rPr>
        <w:t>As shown in Fig</w:t>
      </w:r>
      <w:r>
        <w:rPr>
          <w:rFonts w:hint="eastAsia" w:ascii="Times New Roman" w:hAnsi="Times New Roman" w:eastAsia="黑体" w:cs="Times New Roman"/>
          <w:color w:val="auto"/>
          <w:kern w:val="0"/>
          <w:sz w:val="24"/>
        </w:rPr>
        <w:t>.</w:t>
      </w:r>
      <w:r>
        <w:rPr>
          <w:rFonts w:ascii="Times New Roman" w:hAnsi="Times New Roman" w:eastAsia="黑体" w:cs="Times New Roman"/>
          <w:color w:val="auto"/>
          <w:kern w:val="0"/>
          <w:sz w:val="24"/>
        </w:rPr>
        <w:t xml:space="preserve"> </w:t>
      </w:r>
      <w:r>
        <w:rPr>
          <w:rFonts w:hint="eastAsia" w:ascii="Times New Roman" w:hAnsi="Times New Roman" w:eastAsia="黑体" w:cs="Times New Roman"/>
          <w:color w:val="auto"/>
          <w:kern w:val="0"/>
          <w:sz w:val="24"/>
        </w:rPr>
        <w:t>S8</w:t>
      </w:r>
      <w:r>
        <w:rPr>
          <w:rFonts w:ascii="Times New Roman" w:hAnsi="Times New Roman" w:eastAsia="黑体" w:cs="Times New Roman"/>
          <w:color w:val="auto"/>
          <w:kern w:val="0"/>
          <w:sz w:val="24"/>
        </w:rPr>
        <w:t>, the chromatographic peaks of the SLPFR with lo</w:t>
      </w:r>
      <w:r>
        <w:rPr>
          <w:rFonts w:hint="eastAsia" w:ascii="Times New Roman" w:hAnsi="Times New Roman" w:eastAsia="黑体" w:cs="Times New Roman"/>
          <w:color w:val="auto"/>
          <w:kern w:val="0"/>
          <w:sz w:val="24"/>
        </w:rPr>
        <w:t xml:space="preserve">w </w:t>
      </w:r>
      <w:r>
        <w:rPr>
          <w:rFonts w:ascii="Times New Roman" w:hAnsi="Times New Roman" w:eastAsia="黑体" w:cs="Times New Roman"/>
          <w:color w:val="auto"/>
          <w:kern w:val="0"/>
          <w:sz w:val="24"/>
        </w:rPr>
        <w:t>relative molecular weight overlapped, and the SLPFR with high relative molecular weight can be separated effectively. SLPFR synthesized under the experimental conditions is a mixture of different components with different structures. When the retention time is from 9 to 15 min, the chromatographic peaks overlap and SLPFR cannot be effectively separated.</w:t>
      </w:r>
      <w:r>
        <w:rPr>
          <w:rFonts w:hint="eastAsia" w:ascii="Times New Roman" w:hAnsi="Times New Roman" w:eastAsia="黑体" w:cs="Times New Roman"/>
          <w:color w:val="auto"/>
          <w:kern w:val="0"/>
          <w:sz w:val="24"/>
        </w:rPr>
        <w:t xml:space="preserve"> For mass spectrometry with retention times between 9 to 15 min, SLPFR is mainly a mixture of five components. Combined with the absorption peaks of the FTIR spectrum reveals that the methylene bridges are connected in a neighbor-pair position manner. Compared with the hydroxymethyl group, the sulfomethyl group on the benzene ring tends to be more dispersed. Therefore, combined with the position of the absorption peak in the infrared spectrum and the effect of steric hindrance, the possible molecular structure formula of the sulfomethyl group is deduced. </w:t>
      </w:r>
    </w:p>
    <w:p>
      <w:pPr>
        <w:autoSpaceDE w:val="0"/>
        <w:autoSpaceDN w:val="0"/>
        <w:spacing w:line="360" w:lineRule="auto"/>
        <w:ind w:firstLine="480" w:firstLineChars="200"/>
        <w:rPr>
          <w:rFonts w:hint="eastAsia" w:ascii="Times New Roman" w:hAnsi="Times New Roman" w:eastAsia="黑体" w:cs="Times New Roman"/>
          <w:color w:val="auto"/>
          <w:kern w:val="0"/>
          <w:sz w:val="24"/>
        </w:rPr>
      </w:pPr>
      <w:r>
        <w:rPr>
          <w:rFonts w:hint="eastAsia" w:ascii="Times New Roman" w:hAnsi="Times New Roman" w:eastAsia="黑体" w:cs="Times New Roman"/>
          <w:color w:val="auto"/>
          <w:kern w:val="0"/>
          <w:sz w:val="24"/>
        </w:rPr>
        <w:t>As shown in Fig. S9(A), starting with m/z of 153.05376, the relative molecular weight of the ion fragment changes to 166, and the molecular structure corresponding to SLPFR is shown in Fig. S10(A). As shown in Fig. S9(B), starting with m/z of 319.11882, the relative molecular weight of the ion fragment is 320, and the molecular structure corresponding to SLPFR is shown in Fig. S10(B). As shown in Fig. S9(C), starting from m/z of 693.17681, the relative molecular weight of each ion fragment varies from small to large by 18, and the molecular structure of the corresponding SLPFR is shown in Fig. S10(C). As shown in Fig. S9(D), starting from m/z of 453.15609, the relative molecular weight of each ion fragment varies from small to large by 136, and the molecular structure of the corresponding SLPFR is shown in Fig. S10(D). As shown in Fig. S9(E), starting from m/z of 679.25734, the relative molecular weight of each ion fragment varies from small to large by 136, and the molecular structure of the corresponding SLPFR is shown in Fig. S10(E).</w:t>
      </w:r>
    </w:p>
    <w:bookmarkEnd w:id="1"/>
    <w:p>
      <w:pPr>
        <w:autoSpaceDE w:val="0"/>
        <w:autoSpaceDN w:val="0"/>
        <w:spacing w:line="360" w:lineRule="auto"/>
        <w:ind w:firstLine="420" w:firstLineChars="200"/>
        <w:jc w:val="center"/>
        <w:rPr>
          <w:rFonts w:hint="eastAsia" w:ascii="Times New Roman" w:hAnsi="Times New Roman" w:eastAsia="黑体" w:cs="Times New Roman"/>
          <w:kern w:val="0"/>
          <w:szCs w:val="21"/>
        </w:rPr>
      </w:pPr>
    </w:p>
    <w:p>
      <w:pPr>
        <w:autoSpaceDE w:val="0"/>
        <w:autoSpaceDN w:val="0"/>
        <w:spacing w:line="360" w:lineRule="auto"/>
        <w:ind w:firstLine="420" w:firstLineChars="200"/>
        <w:jc w:val="center"/>
        <w:rPr>
          <w:rFonts w:hint="eastAsia" w:ascii="Times New Roman" w:hAnsi="Times New Roman" w:eastAsia="黑体" w:cs="Times New Roman"/>
          <w:kern w:val="0"/>
          <w:szCs w:val="21"/>
        </w:rPr>
      </w:pPr>
    </w:p>
    <w:p>
      <w:pPr>
        <w:autoSpaceDE w:val="0"/>
        <w:autoSpaceDN w:val="0"/>
        <w:spacing w:line="360" w:lineRule="auto"/>
        <w:ind w:firstLine="420" w:firstLineChars="200"/>
        <w:jc w:val="center"/>
        <w:rPr>
          <w:rFonts w:hint="eastAsia" w:ascii="Times New Roman" w:hAnsi="Times New Roman" w:eastAsia="黑体" w:cs="Times New Roman"/>
          <w:kern w:val="0"/>
          <w:szCs w:val="21"/>
        </w:rPr>
      </w:pPr>
    </w:p>
    <w:p>
      <w:pPr>
        <w:autoSpaceDE w:val="0"/>
        <w:autoSpaceDN w:val="0"/>
        <w:spacing w:line="360" w:lineRule="auto"/>
        <w:ind w:firstLine="420" w:firstLineChars="200"/>
        <w:jc w:val="center"/>
        <w:rPr>
          <w:rFonts w:hint="eastAsia" w:ascii="Times New Roman" w:hAnsi="Times New Roman" w:eastAsia="黑体" w:cs="Times New Roman"/>
          <w:kern w:val="0"/>
          <w:szCs w:val="21"/>
        </w:rPr>
      </w:pPr>
    </w:p>
    <w:p>
      <w:pPr>
        <w:autoSpaceDE w:val="0"/>
        <w:autoSpaceDN w:val="0"/>
        <w:spacing w:line="360" w:lineRule="auto"/>
        <w:ind w:firstLine="420" w:firstLineChars="200"/>
        <w:jc w:val="center"/>
        <w:rPr>
          <w:rFonts w:hint="eastAsia" w:ascii="Times New Roman" w:hAnsi="Times New Roman" w:eastAsia="黑体" w:cs="Times New Roman"/>
          <w:kern w:val="0"/>
          <w:szCs w:val="21"/>
        </w:rPr>
      </w:pPr>
      <w:r>
        <w:rPr>
          <w:szCs w:val="21"/>
        </w:rPr>
        <w:drawing>
          <wp:anchor distT="0" distB="0" distL="114300" distR="114300" simplePos="0" relativeHeight="251670528" behindDoc="0" locked="0" layoutInCell="1" allowOverlap="1">
            <wp:simplePos x="0" y="0"/>
            <wp:positionH relativeFrom="column">
              <wp:posOffset>-139065</wp:posOffset>
            </wp:positionH>
            <wp:positionV relativeFrom="paragraph">
              <wp:posOffset>2921000</wp:posOffset>
            </wp:positionV>
            <wp:extent cx="5480685" cy="2343150"/>
            <wp:effectExtent l="0" t="0" r="5715" b="6350"/>
            <wp:wrapTopAndBottom/>
            <wp:docPr id="3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8"/>
                    <pic:cNvPicPr>
                      <a:picLocks noChangeAspect="1"/>
                    </pic:cNvPicPr>
                  </pic:nvPicPr>
                  <pic:blipFill>
                    <a:blip r:embed="rId13"/>
                    <a:stretch>
                      <a:fillRect/>
                    </a:stretch>
                  </pic:blipFill>
                  <pic:spPr>
                    <a:xfrm>
                      <a:off x="1302385" y="0"/>
                      <a:ext cx="5480685" cy="2343150"/>
                    </a:xfrm>
                    <a:prstGeom prst="rect">
                      <a:avLst/>
                    </a:prstGeom>
                    <a:noFill/>
                    <a:ln>
                      <a:noFill/>
                    </a:ln>
                  </pic:spPr>
                </pic:pic>
              </a:graphicData>
            </a:graphic>
          </wp:anchor>
        </w:drawing>
      </w:r>
      <w:r>
        <w:rPr>
          <w:szCs w:val="21"/>
        </w:rPr>
        <w:drawing>
          <wp:anchor distT="0" distB="0" distL="114300" distR="114300" simplePos="0" relativeHeight="251660288" behindDoc="0" locked="0" layoutInCell="1" allowOverlap="1">
            <wp:simplePos x="0" y="0"/>
            <wp:positionH relativeFrom="column">
              <wp:posOffset>-22860</wp:posOffset>
            </wp:positionH>
            <wp:positionV relativeFrom="paragraph">
              <wp:posOffset>82550</wp:posOffset>
            </wp:positionV>
            <wp:extent cx="5373370" cy="2499995"/>
            <wp:effectExtent l="0" t="0" r="11430" b="1905"/>
            <wp:wrapTopAndBottom/>
            <wp:docPr id="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pic:cNvPicPr>
                      <a:picLocks noChangeAspect="1"/>
                    </pic:cNvPicPr>
                  </pic:nvPicPr>
                  <pic:blipFill>
                    <a:blip r:embed="rId14"/>
                    <a:stretch>
                      <a:fillRect/>
                    </a:stretch>
                  </pic:blipFill>
                  <pic:spPr>
                    <a:xfrm>
                      <a:off x="0" y="0"/>
                      <a:ext cx="5373370" cy="2499995"/>
                    </a:xfrm>
                    <a:prstGeom prst="rect">
                      <a:avLst/>
                    </a:prstGeom>
                    <a:noFill/>
                    <a:ln>
                      <a:noFill/>
                    </a:ln>
                  </pic:spPr>
                </pic:pic>
              </a:graphicData>
            </a:graphic>
          </wp:anchor>
        </w:drawing>
      </w:r>
      <w:r>
        <w:rPr>
          <w:rFonts w:hint="eastAsia" w:ascii="Times New Roman" w:hAnsi="Times New Roman" w:eastAsia="黑体" w:cs="Times New Roman"/>
          <w:kern w:val="0"/>
          <w:szCs w:val="21"/>
        </w:rPr>
        <w:t>(A)</w:t>
      </w:r>
    </w:p>
    <w:p>
      <w:pPr>
        <w:autoSpaceDE w:val="0"/>
        <w:autoSpaceDN w:val="0"/>
        <w:spacing w:line="360" w:lineRule="auto"/>
        <w:ind w:firstLine="420" w:firstLineChars="200"/>
        <w:jc w:val="center"/>
        <w:rPr>
          <w:rFonts w:hint="eastAsia" w:ascii="Times New Roman" w:hAnsi="Times New Roman" w:eastAsia="黑体" w:cs="Times New Roman"/>
          <w:kern w:val="0"/>
          <w:szCs w:val="21"/>
        </w:rPr>
      </w:pPr>
      <w:r>
        <w:rPr>
          <w:szCs w:val="21"/>
          <w:highlight w:val="red"/>
        </w:rPr>
        <w:drawing>
          <wp:anchor distT="0" distB="0" distL="114300" distR="114300" simplePos="0" relativeHeight="251669504" behindDoc="0" locked="0" layoutInCell="1" allowOverlap="1">
            <wp:simplePos x="0" y="0"/>
            <wp:positionH relativeFrom="column">
              <wp:posOffset>61595</wp:posOffset>
            </wp:positionH>
            <wp:positionV relativeFrom="paragraph">
              <wp:posOffset>2755900</wp:posOffset>
            </wp:positionV>
            <wp:extent cx="5306695" cy="2526030"/>
            <wp:effectExtent l="0" t="0" r="1905" b="1270"/>
            <wp:wrapTopAndBottom/>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15"/>
                    <a:stretch>
                      <a:fillRect/>
                    </a:stretch>
                  </pic:blipFill>
                  <pic:spPr>
                    <a:xfrm>
                      <a:off x="1236345" y="958850"/>
                      <a:ext cx="5306695" cy="2526030"/>
                    </a:xfrm>
                    <a:prstGeom prst="rect">
                      <a:avLst/>
                    </a:prstGeom>
                    <a:noFill/>
                    <a:ln>
                      <a:noFill/>
                    </a:ln>
                  </pic:spPr>
                </pic:pic>
              </a:graphicData>
            </a:graphic>
          </wp:anchor>
        </w:drawing>
      </w:r>
      <w:r>
        <w:rPr>
          <w:rFonts w:hint="eastAsia" w:ascii="Times New Roman" w:hAnsi="Times New Roman" w:eastAsia="黑体" w:cs="Times New Roman"/>
          <w:kern w:val="0"/>
          <w:szCs w:val="21"/>
        </w:rPr>
        <w:t>(B)</w:t>
      </w:r>
    </w:p>
    <w:p>
      <w:pPr>
        <w:autoSpaceDE w:val="0"/>
        <w:autoSpaceDN w:val="0"/>
        <w:spacing w:line="380" w:lineRule="exact"/>
        <w:ind w:firstLine="420" w:firstLineChars="200"/>
        <w:jc w:val="center"/>
        <w:rPr>
          <w:rFonts w:ascii="Times New Roman" w:hAnsi="Times New Roman" w:eastAsia="黑体" w:cs="Times New Roman"/>
          <w:kern w:val="0"/>
          <w:szCs w:val="21"/>
        </w:rPr>
      </w:pPr>
      <w:r>
        <w:rPr>
          <w:rFonts w:hint="eastAsia" w:ascii="Times New Roman" w:hAnsi="Times New Roman" w:eastAsia="黑体" w:cs="Times New Roman"/>
          <w:kern w:val="0"/>
          <w:szCs w:val="21"/>
        </w:rPr>
        <w:t>(C)</w:t>
      </w:r>
    </w:p>
    <w:p>
      <w:pPr>
        <w:widowControl/>
        <w:spacing w:after="200" w:line="360" w:lineRule="auto"/>
        <w:jc w:val="both"/>
        <w:rPr>
          <w:rFonts w:hint="eastAsia" w:ascii="Times New Roman" w:hAnsi="Times New Roman" w:eastAsia="黑体" w:cs="Times New Roman"/>
          <w:kern w:val="0"/>
          <w:szCs w:val="21"/>
        </w:rPr>
      </w:pPr>
    </w:p>
    <w:p>
      <w:pPr>
        <w:widowControl/>
        <w:spacing w:after="200" w:line="360" w:lineRule="auto"/>
        <w:ind w:firstLine="420" w:firstLineChars="200"/>
        <w:jc w:val="center"/>
        <w:rPr>
          <w:rFonts w:hint="eastAsia" w:ascii="Times New Roman" w:hAnsi="Times New Roman" w:eastAsia="黑体" w:cs="Times New Roman"/>
          <w:kern w:val="0"/>
          <w:szCs w:val="21"/>
        </w:rPr>
      </w:pPr>
      <w:r>
        <w:rPr>
          <w:rFonts w:hint="eastAsia"/>
          <w:szCs w:val="21"/>
        </w:rPr>
        <w:drawing>
          <wp:anchor distT="0" distB="0" distL="114300" distR="114300" simplePos="0" relativeHeight="251668480" behindDoc="0" locked="0" layoutInCell="1" allowOverlap="1">
            <wp:simplePos x="0" y="0"/>
            <wp:positionH relativeFrom="column">
              <wp:posOffset>50165</wp:posOffset>
            </wp:positionH>
            <wp:positionV relativeFrom="paragraph">
              <wp:posOffset>2845435</wp:posOffset>
            </wp:positionV>
            <wp:extent cx="5222240" cy="2619375"/>
            <wp:effectExtent l="0" t="0" r="10160" b="952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1577340" y="4370070"/>
                      <a:ext cx="5222240" cy="2619375"/>
                    </a:xfrm>
                    <a:prstGeom prst="rect">
                      <a:avLst/>
                    </a:prstGeom>
                    <a:noFill/>
                    <a:ln>
                      <a:noFill/>
                    </a:ln>
                  </pic:spPr>
                </pic:pic>
              </a:graphicData>
            </a:graphic>
          </wp:anchor>
        </w:drawing>
      </w:r>
      <w:r>
        <w:rPr>
          <w:szCs w:val="21"/>
        </w:rPr>
        <w:drawing>
          <wp:anchor distT="0" distB="0" distL="114300" distR="114300" simplePos="0" relativeHeight="251661312" behindDoc="0" locked="0" layoutInCell="1" allowOverlap="1">
            <wp:simplePos x="0" y="0"/>
            <wp:positionH relativeFrom="column">
              <wp:posOffset>-38100</wp:posOffset>
            </wp:positionH>
            <wp:positionV relativeFrom="paragraph">
              <wp:posOffset>34290</wp:posOffset>
            </wp:positionV>
            <wp:extent cx="5325110" cy="2367280"/>
            <wp:effectExtent l="0" t="0" r="8890" b="7620"/>
            <wp:wrapTopAndBottom/>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7"/>
                    <a:stretch>
                      <a:fillRect/>
                    </a:stretch>
                  </pic:blipFill>
                  <pic:spPr>
                    <a:xfrm>
                      <a:off x="0" y="0"/>
                      <a:ext cx="5325110" cy="2367280"/>
                    </a:xfrm>
                    <a:prstGeom prst="rect">
                      <a:avLst/>
                    </a:prstGeom>
                    <a:noFill/>
                    <a:ln>
                      <a:noFill/>
                    </a:ln>
                  </pic:spPr>
                </pic:pic>
              </a:graphicData>
            </a:graphic>
          </wp:anchor>
        </w:drawing>
      </w:r>
      <w:r>
        <w:rPr>
          <w:rFonts w:hint="eastAsia" w:ascii="Times New Roman" w:hAnsi="Times New Roman" w:eastAsia="黑体" w:cs="Times New Roman"/>
          <w:kern w:val="0"/>
          <w:szCs w:val="21"/>
        </w:rPr>
        <w:t>(D)</w:t>
      </w:r>
      <w:bookmarkStart w:id="0" w:name="_Toc161426738"/>
    </w:p>
    <w:p>
      <w:pPr>
        <w:autoSpaceDE w:val="0"/>
        <w:autoSpaceDN w:val="0"/>
        <w:spacing w:line="380" w:lineRule="exact"/>
        <w:ind w:firstLine="420" w:firstLineChars="200"/>
        <w:jc w:val="center"/>
        <w:rPr>
          <w:rFonts w:ascii="Times New Roman" w:hAnsi="Times New Roman" w:eastAsia="黑体" w:cs="Times New Roman"/>
          <w:kern w:val="0"/>
          <w:szCs w:val="21"/>
        </w:rPr>
      </w:pPr>
      <w:r>
        <w:rPr>
          <w:rFonts w:hint="eastAsia" w:ascii="Times New Roman" w:hAnsi="Times New Roman" w:eastAsia="黑体" w:cs="Times New Roman"/>
          <w:kern w:val="0"/>
          <w:szCs w:val="21"/>
        </w:rPr>
        <w:t>(E)</w:t>
      </w:r>
    </w:p>
    <w:p>
      <w:pPr>
        <w:autoSpaceDE w:val="0"/>
        <w:autoSpaceDN w:val="0"/>
        <w:spacing w:line="380" w:lineRule="exact"/>
        <w:ind w:firstLine="422" w:firstLineChars="200"/>
        <w:jc w:val="center"/>
        <w:rPr>
          <w:rFonts w:ascii="Times New Roman" w:hAnsi="Times New Roman" w:eastAsia="黑体" w:cs="黑体"/>
          <w:kern w:val="0"/>
          <w:szCs w:val="21"/>
        </w:rPr>
      </w:pPr>
      <w:r>
        <w:rPr>
          <w:rFonts w:hint="eastAsia" w:ascii="Times New Roman" w:hAnsi="Times New Roman" w:eastAsia="黑体" w:cs="黑体"/>
          <w:b/>
          <w:bCs/>
          <w:kern w:val="0"/>
          <w:szCs w:val="21"/>
        </w:rPr>
        <w:t xml:space="preserve">Fig. S9 </w:t>
      </w:r>
      <w:r>
        <w:rPr>
          <w:rFonts w:hint="eastAsia" w:ascii="Times New Roman" w:hAnsi="Times New Roman" w:eastAsia="黑体" w:cs="黑体"/>
          <w:kern w:val="0"/>
          <w:szCs w:val="21"/>
        </w:rPr>
        <w:t xml:space="preserve">The mass spectrum and molecular structures with retention times ranging from 12~15 min </w:t>
      </w:r>
    </w:p>
    <w:p>
      <w:pPr>
        <w:autoSpaceDE w:val="0"/>
        <w:autoSpaceDN w:val="0"/>
        <w:spacing w:line="380" w:lineRule="exact"/>
        <w:ind w:firstLine="420" w:firstLineChars="200"/>
        <w:jc w:val="center"/>
        <w:rPr>
          <w:rFonts w:ascii="Times New Roman" w:hAnsi="Times New Roman" w:eastAsia="黑体" w:cs="黑体"/>
          <w:kern w:val="0"/>
          <w:szCs w:val="21"/>
        </w:rPr>
      </w:pPr>
      <w:r>
        <w:rPr>
          <w:rFonts w:hint="eastAsia" w:eastAsia="黑体" w:cs="黑体"/>
          <w:szCs w:val="21"/>
        </w:rPr>
        <w:drawing>
          <wp:anchor distT="0" distB="0" distL="114300" distR="114300" simplePos="0" relativeHeight="251662336" behindDoc="0" locked="0" layoutInCell="1" allowOverlap="1">
            <wp:simplePos x="0" y="0"/>
            <wp:positionH relativeFrom="column">
              <wp:posOffset>1860550</wp:posOffset>
            </wp:positionH>
            <wp:positionV relativeFrom="paragraph">
              <wp:posOffset>805815</wp:posOffset>
            </wp:positionV>
            <wp:extent cx="1884045" cy="1403985"/>
            <wp:effectExtent l="0" t="0" r="8255" b="5715"/>
            <wp:wrapTopAndBottom/>
            <wp:docPr id="38" name="图片 38" descr="1聚体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聚体 - 副本"/>
                    <pic:cNvPicPr>
                      <a:picLocks noChangeAspect="1"/>
                    </pic:cNvPicPr>
                  </pic:nvPicPr>
                  <pic:blipFill>
                    <a:blip r:embed="rId18"/>
                    <a:stretch>
                      <a:fillRect/>
                    </a:stretch>
                  </pic:blipFill>
                  <pic:spPr>
                    <a:xfrm>
                      <a:off x="0" y="0"/>
                      <a:ext cx="1884045" cy="1403985"/>
                    </a:xfrm>
                    <a:prstGeom prst="rect">
                      <a:avLst/>
                    </a:prstGeom>
                  </pic:spPr>
                </pic:pic>
              </a:graphicData>
            </a:graphic>
          </wp:anchor>
        </w:drawing>
      </w:r>
      <w:r>
        <w:rPr>
          <w:rFonts w:hint="eastAsia" w:ascii="Times New Roman" w:hAnsi="Times New Roman" w:eastAsia="黑体" w:cs="黑体"/>
          <w:kern w:val="0"/>
          <w:szCs w:val="21"/>
        </w:rPr>
        <w:t>(A)MS spectra within 9.00~11.00 min, (B)MS spectra within 11.00~12.00 min, (C)MS spectra within 12.00~13.70 min, (D)MS spectra within 13.71~13.83 min, (E)MS spectra within 13.84~15.00 min</w:t>
      </w:r>
    </w:p>
    <w:bookmarkEnd w:id="0"/>
    <w:p>
      <w:pPr>
        <w:autoSpaceDE w:val="0"/>
        <w:autoSpaceDN w:val="0"/>
        <w:spacing w:line="380" w:lineRule="exact"/>
        <w:ind w:firstLine="420" w:firstLineChars="200"/>
        <w:jc w:val="center"/>
        <w:rPr>
          <w:rFonts w:ascii="Times New Roman" w:hAnsi="Times New Roman" w:eastAsia="黑体" w:cs="黑体"/>
          <w:kern w:val="0"/>
          <w:szCs w:val="21"/>
        </w:rPr>
      </w:pPr>
      <w:r>
        <w:rPr>
          <w:rFonts w:hint="eastAsia" w:ascii="Times New Roman" w:hAnsi="Times New Roman" w:eastAsia="黑体" w:cs="黑体"/>
          <w:kern w:val="0"/>
          <w:szCs w:val="21"/>
        </w:rPr>
        <w:t>(A)</w:t>
      </w:r>
    </w:p>
    <w:p>
      <w:pPr>
        <w:autoSpaceDE w:val="0"/>
        <w:autoSpaceDN w:val="0"/>
        <w:spacing w:line="380" w:lineRule="exact"/>
        <w:ind w:firstLine="420" w:firstLineChars="200"/>
        <w:jc w:val="center"/>
        <w:rPr>
          <w:rFonts w:ascii="Times New Roman" w:hAnsi="Times New Roman" w:eastAsia="黑体" w:cs="黑体"/>
          <w:kern w:val="0"/>
          <w:szCs w:val="21"/>
        </w:rPr>
      </w:pPr>
      <w:r>
        <w:rPr>
          <w:rFonts w:hint="eastAsia" w:eastAsia="黑体" w:cs="黑体"/>
          <w:szCs w:val="21"/>
        </w:rPr>
        <w:drawing>
          <wp:anchor distT="0" distB="0" distL="114300" distR="114300" simplePos="0" relativeHeight="251664384" behindDoc="0" locked="0" layoutInCell="1" allowOverlap="1">
            <wp:simplePos x="0" y="0"/>
            <wp:positionH relativeFrom="column">
              <wp:posOffset>1871345</wp:posOffset>
            </wp:positionH>
            <wp:positionV relativeFrom="paragraph">
              <wp:posOffset>1703070</wp:posOffset>
            </wp:positionV>
            <wp:extent cx="1850390" cy="1378585"/>
            <wp:effectExtent l="0" t="0" r="3810" b="5715"/>
            <wp:wrapTopAndBottom/>
            <wp:docPr id="41" name="图片 41" descr="3五聚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五聚体 -"/>
                    <pic:cNvPicPr>
                      <a:picLocks noChangeAspect="1"/>
                    </pic:cNvPicPr>
                  </pic:nvPicPr>
                  <pic:blipFill>
                    <a:blip r:embed="rId19"/>
                    <a:stretch>
                      <a:fillRect/>
                    </a:stretch>
                  </pic:blipFill>
                  <pic:spPr>
                    <a:xfrm>
                      <a:off x="0" y="0"/>
                      <a:ext cx="1850390" cy="1378585"/>
                    </a:xfrm>
                    <a:prstGeom prst="rect">
                      <a:avLst/>
                    </a:prstGeom>
                  </pic:spPr>
                </pic:pic>
              </a:graphicData>
            </a:graphic>
          </wp:anchor>
        </w:drawing>
      </w:r>
      <w:r>
        <w:rPr>
          <w:rFonts w:eastAsia="黑体" w:cs="黑体"/>
          <w:szCs w:val="21"/>
        </w:rPr>
        <w:drawing>
          <wp:anchor distT="0" distB="0" distL="114300" distR="114300" simplePos="0" relativeHeight="251663360" behindDoc="0" locked="0" layoutInCell="1" allowOverlap="1">
            <wp:simplePos x="0" y="0"/>
            <wp:positionH relativeFrom="column">
              <wp:posOffset>1863725</wp:posOffset>
            </wp:positionH>
            <wp:positionV relativeFrom="paragraph">
              <wp:posOffset>19050</wp:posOffset>
            </wp:positionV>
            <wp:extent cx="1818005" cy="1353820"/>
            <wp:effectExtent l="0" t="0" r="10795" b="5080"/>
            <wp:wrapTopAndBottom/>
            <wp:docPr id="40" name="图片 40" descr="2四聚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四聚体"/>
                    <pic:cNvPicPr>
                      <a:picLocks noChangeAspect="1"/>
                    </pic:cNvPicPr>
                  </pic:nvPicPr>
                  <pic:blipFill>
                    <a:blip r:embed="rId20"/>
                    <a:stretch>
                      <a:fillRect/>
                    </a:stretch>
                  </pic:blipFill>
                  <pic:spPr>
                    <a:xfrm>
                      <a:off x="0" y="0"/>
                      <a:ext cx="1818005" cy="1353820"/>
                    </a:xfrm>
                    <a:prstGeom prst="rect">
                      <a:avLst/>
                    </a:prstGeom>
                  </pic:spPr>
                </pic:pic>
              </a:graphicData>
            </a:graphic>
          </wp:anchor>
        </w:drawing>
      </w:r>
      <w:r>
        <w:rPr>
          <w:rFonts w:hint="eastAsia" w:ascii="Times New Roman" w:hAnsi="Times New Roman" w:eastAsia="黑体" w:cs="黑体"/>
          <w:kern w:val="0"/>
          <w:szCs w:val="21"/>
        </w:rPr>
        <w:t>(B)</w:t>
      </w:r>
    </w:p>
    <w:p>
      <w:pPr>
        <w:autoSpaceDE w:val="0"/>
        <w:autoSpaceDN w:val="0"/>
        <w:spacing w:line="380" w:lineRule="exact"/>
        <w:ind w:firstLine="420" w:firstLineChars="200"/>
        <w:jc w:val="center"/>
        <w:rPr>
          <w:rFonts w:ascii="Times New Roman" w:hAnsi="Times New Roman" w:eastAsia="黑体" w:cs="黑体"/>
          <w:kern w:val="0"/>
          <w:szCs w:val="21"/>
        </w:rPr>
      </w:pPr>
      <w:r>
        <w:rPr>
          <w:rFonts w:hint="eastAsia" w:ascii="Times New Roman" w:hAnsi="Times New Roman" w:eastAsia="黑体" w:cs="黑体"/>
          <w:kern w:val="0"/>
          <w:szCs w:val="21"/>
        </w:rPr>
        <w:t>(C)</w:t>
      </w:r>
    </w:p>
    <w:p>
      <w:pPr>
        <w:autoSpaceDE w:val="0"/>
        <w:autoSpaceDN w:val="0"/>
        <w:spacing w:line="380" w:lineRule="exact"/>
        <w:ind w:firstLine="420" w:firstLineChars="200"/>
        <w:jc w:val="center"/>
        <w:rPr>
          <w:rFonts w:ascii="Times New Roman" w:hAnsi="Times New Roman" w:eastAsia="黑体" w:cs="黑体"/>
          <w:kern w:val="0"/>
          <w:szCs w:val="21"/>
        </w:rPr>
      </w:pPr>
      <w:r>
        <w:rPr>
          <w:rFonts w:hint="eastAsia" w:eastAsia="黑体" w:cs="黑体"/>
          <w:szCs w:val="21"/>
        </w:rPr>
        <w:drawing>
          <wp:anchor distT="0" distB="0" distL="114300" distR="114300" simplePos="0" relativeHeight="251665408" behindDoc="0" locked="0" layoutInCell="1" allowOverlap="1">
            <wp:simplePos x="0" y="0"/>
            <wp:positionH relativeFrom="column">
              <wp:posOffset>1954530</wp:posOffset>
            </wp:positionH>
            <wp:positionV relativeFrom="paragraph">
              <wp:posOffset>43815</wp:posOffset>
            </wp:positionV>
            <wp:extent cx="1828165" cy="1350010"/>
            <wp:effectExtent l="0" t="0" r="635" b="8890"/>
            <wp:wrapTopAndBottom/>
            <wp:docPr id="42" name="图片 42" descr="4五聚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4五聚体"/>
                    <pic:cNvPicPr>
                      <a:picLocks noChangeAspect="1"/>
                    </pic:cNvPicPr>
                  </pic:nvPicPr>
                  <pic:blipFill>
                    <a:blip r:embed="rId21"/>
                    <a:stretch>
                      <a:fillRect/>
                    </a:stretch>
                  </pic:blipFill>
                  <pic:spPr>
                    <a:xfrm>
                      <a:off x="0" y="0"/>
                      <a:ext cx="1828165" cy="1350010"/>
                    </a:xfrm>
                    <a:prstGeom prst="rect">
                      <a:avLst/>
                    </a:prstGeom>
                  </pic:spPr>
                </pic:pic>
              </a:graphicData>
            </a:graphic>
          </wp:anchor>
        </w:drawing>
      </w:r>
      <w:r>
        <w:rPr>
          <w:rFonts w:hint="eastAsia" w:ascii="Times New Roman" w:hAnsi="Times New Roman" w:eastAsia="黑体" w:cs="黑体"/>
          <w:kern w:val="0"/>
          <w:szCs w:val="21"/>
        </w:rPr>
        <w:t>(D)</w:t>
      </w:r>
    </w:p>
    <w:p>
      <w:pPr>
        <w:autoSpaceDE w:val="0"/>
        <w:autoSpaceDN w:val="0"/>
        <w:spacing w:line="380" w:lineRule="exact"/>
        <w:ind w:firstLine="420" w:firstLineChars="200"/>
        <w:jc w:val="center"/>
        <w:rPr>
          <w:rFonts w:ascii="Times New Roman" w:hAnsi="Times New Roman" w:eastAsia="黑体" w:cs="Times New Roman"/>
          <w:szCs w:val="21"/>
        </w:rPr>
      </w:pPr>
      <w:r>
        <w:rPr>
          <w:rFonts w:ascii="Times New Roman" w:hAnsi="Times New Roman" w:eastAsia="黑体" w:cs="Times New Roman"/>
          <w:szCs w:val="21"/>
        </w:rPr>
        <w:drawing>
          <wp:anchor distT="0" distB="0" distL="114300" distR="114300" simplePos="0" relativeHeight="251666432" behindDoc="0" locked="0" layoutInCell="1" allowOverlap="1">
            <wp:simplePos x="0" y="0"/>
            <wp:positionH relativeFrom="column">
              <wp:posOffset>1736725</wp:posOffset>
            </wp:positionH>
            <wp:positionV relativeFrom="paragraph">
              <wp:posOffset>3810</wp:posOffset>
            </wp:positionV>
            <wp:extent cx="2075180" cy="1530985"/>
            <wp:effectExtent l="0" t="0" r="7620" b="5715"/>
            <wp:wrapTopAndBottom/>
            <wp:docPr id="3" name="图片 3" descr="5八聚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八聚体"/>
                    <pic:cNvPicPr>
                      <a:picLocks noChangeAspect="1"/>
                    </pic:cNvPicPr>
                  </pic:nvPicPr>
                  <pic:blipFill>
                    <a:blip r:embed="rId22"/>
                    <a:stretch>
                      <a:fillRect/>
                    </a:stretch>
                  </pic:blipFill>
                  <pic:spPr>
                    <a:xfrm>
                      <a:off x="0" y="0"/>
                      <a:ext cx="2075180" cy="1530985"/>
                    </a:xfrm>
                    <a:prstGeom prst="rect">
                      <a:avLst/>
                    </a:prstGeom>
                  </pic:spPr>
                </pic:pic>
              </a:graphicData>
            </a:graphic>
          </wp:anchor>
        </w:drawing>
      </w:r>
      <w:r>
        <w:rPr>
          <w:rFonts w:ascii="Times New Roman" w:hAnsi="Times New Roman" w:eastAsia="黑体" w:cs="Times New Roman"/>
          <w:szCs w:val="21"/>
        </w:rPr>
        <w:t>(E)</w:t>
      </w:r>
    </w:p>
    <w:p>
      <w:pPr>
        <w:autoSpaceDE w:val="0"/>
        <w:autoSpaceDN w:val="0"/>
        <w:spacing w:line="380" w:lineRule="exact"/>
        <w:jc w:val="center"/>
        <w:rPr>
          <w:rFonts w:ascii="Times New Roman" w:hAnsi="Times New Roman" w:eastAsia="黑体" w:cs="黑体"/>
          <w:kern w:val="0"/>
          <w:szCs w:val="21"/>
        </w:rPr>
      </w:pPr>
      <w:r>
        <w:rPr>
          <w:rFonts w:ascii="Times New Roman" w:hAnsi="Times New Roman" w:eastAsia="黑体" w:cs="黑体"/>
          <w:b/>
          <w:bCs/>
          <w:kern w:val="0"/>
          <w:szCs w:val="21"/>
        </w:rPr>
        <w:t>Fig</w:t>
      </w:r>
      <w:r>
        <w:rPr>
          <w:rFonts w:hint="eastAsia" w:ascii="Times New Roman" w:hAnsi="Times New Roman" w:eastAsia="黑体" w:cs="黑体"/>
          <w:b/>
          <w:bCs/>
          <w:kern w:val="0"/>
          <w:szCs w:val="21"/>
        </w:rPr>
        <w:t>.</w:t>
      </w:r>
      <w:r>
        <w:rPr>
          <w:rFonts w:ascii="Times New Roman" w:hAnsi="Times New Roman" w:eastAsia="黑体" w:cs="黑体"/>
          <w:b/>
          <w:bCs/>
          <w:kern w:val="0"/>
          <w:szCs w:val="21"/>
        </w:rPr>
        <w:t xml:space="preserve"> </w:t>
      </w:r>
      <w:r>
        <w:rPr>
          <w:rFonts w:hint="eastAsia" w:ascii="Times New Roman" w:hAnsi="Times New Roman" w:eastAsia="黑体" w:cs="黑体"/>
          <w:b/>
          <w:bCs/>
          <w:kern w:val="0"/>
          <w:szCs w:val="21"/>
        </w:rPr>
        <w:t>S10</w:t>
      </w:r>
      <w:r>
        <w:rPr>
          <w:rFonts w:ascii="Times New Roman" w:hAnsi="Times New Roman" w:eastAsia="黑体" w:cs="黑体"/>
          <w:b/>
          <w:bCs/>
          <w:kern w:val="0"/>
          <w:szCs w:val="21"/>
        </w:rPr>
        <w:t xml:space="preserve"> </w:t>
      </w:r>
      <w:r>
        <w:rPr>
          <w:rFonts w:ascii="Times New Roman" w:hAnsi="Times New Roman" w:eastAsia="黑体" w:cs="黑体"/>
          <w:kern w:val="0"/>
          <w:szCs w:val="21"/>
        </w:rPr>
        <w:t xml:space="preserve">Molecular structure of </w:t>
      </w:r>
      <w:r>
        <w:rPr>
          <w:rFonts w:hint="eastAsia" w:ascii="Times New Roman" w:hAnsi="Times New Roman" w:eastAsia="黑体" w:cs="黑体"/>
          <w:kern w:val="0"/>
          <w:szCs w:val="21"/>
        </w:rPr>
        <w:t>SLPFR</w:t>
      </w:r>
      <w:r>
        <w:rPr>
          <w:rFonts w:ascii="Times New Roman" w:hAnsi="Times New Roman" w:eastAsia="黑体" w:cs="黑体"/>
          <w:kern w:val="0"/>
          <w:szCs w:val="21"/>
        </w:rPr>
        <w:t xml:space="preserve"> with retention time between 9 and 15 minutes</w:t>
      </w:r>
    </w:p>
    <w:p>
      <w:pPr>
        <w:numPr>
          <w:ilvl w:val="0"/>
          <w:numId w:val="3"/>
        </w:numPr>
        <w:autoSpaceDE w:val="0"/>
        <w:autoSpaceDN w:val="0"/>
        <w:spacing w:line="380" w:lineRule="exact"/>
        <w:ind w:firstLine="420" w:firstLineChars="200"/>
        <w:jc w:val="center"/>
        <w:rPr>
          <w:rFonts w:ascii="Times New Roman" w:hAnsi="Times New Roman" w:eastAsia="黑体" w:cs="黑体"/>
          <w:kern w:val="0"/>
          <w:szCs w:val="21"/>
        </w:rPr>
      </w:pPr>
      <w:r>
        <w:rPr>
          <w:rFonts w:hint="eastAsia" w:ascii="Times New Roman" w:hAnsi="Times New Roman" w:eastAsia="黑体" w:cs="黑体"/>
          <w:kern w:val="0"/>
          <w:szCs w:val="21"/>
        </w:rPr>
        <w:t>Molecular structure of the SLPFR within the 9.00~11.00 min; (B)Molecular structure of the SLPFR within the 11.00~12.00 min; (C)Molecular structure of the SLPFR within the 12.00~13.70 min; (D)Molecular structure of the SLPFR within the 13.71~13.83 min; (E)Molecular structure of the SLPFR within the 13.84~15.00 min</w:t>
      </w:r>
    </w:p>
    <w:p>
      <w:pPr>
        <w:widowControl/>
        <w:numPr>
          <w:ilvl w:val="0"/>
          <w:numId w:val="2"/>
        </w:numPr>
        <w:spacing w:after="200" w:line="360" w:lineRule="auto"/>
        <w:rPr>
          <w:rFonts w:ascii="Times New Roman" w:hAnsi="Times New Roman" w:cs="Times New Roman"/>
          <w:b/>
          <w:bCs/>
          <w:sz w:val="24"/>
        </w:rPr>
      </w:pPr>
      <w:r>
        <w:rPr>
          <w:rFonts w:ascii="Times New Roman" w:hAnsi="Times New Roman" w:cs="Times New Roman"/>
          <w:b/>
          <w:bCs/>
          <w:sz w:val="24"/>
        </w:rPr>
        <w:t>Effect of metal cations on the fractal dimension of the SLPFR system</w:t>
      </w:r>
    </w:p>
    <w:p>
      <w:pPr>
        <w:widowControl/>
        <w:spacing w:after="200" w:line="360" w:lineRule="auto"/>
        <w:ind w:firstLine="480" w:firstLineChars="200"/>
        <w:rPr>
          <w:rFonts w:ascii="Times New Roman" w:hAnsi="Times New Roman" w:eastAsia="宋体" w:cs="Times New Roman"/>
          <w:kern w:val="0"/>
          <w:sz w:val="24"/>
          <w:highlight w:val="none"/>
          <w:lang w:eastAsia="en-US"/>
        </w:rPr>
      </w:pPr>
      <w:r>
        <w:rPr>
          <w:rFonts w:hint="eastAsia" w:ascii="Times New Roman" w:hAnsi="Times New Roman" w:eastAsia="宋体" w:cs="Times New Roman"/>
          <w:kern w:val="0"/>
          <w:sz w:val="24"/>
          <w:lang w:eastAsia="en-US"/>
        </w:rPr>
        <w:t>The double slope method is used to calculate the fractal dimension of aggregates. Cumulative size distributions of fractal aggregates expressed in terms of maximum length or solid volume are pro</w:t>
      </w:r>
      <w:r>
        <w:rPr>
          <w:rFonts w:hint="eastAsia" w:ascii="Times New Roman" w:hAnsi="Times New Roman" w:eastAsia="宋体" w:cs="Times New Roman"/>
          <w:kern w:val="0"/>
          <w:sz w:val="24"/>
          <w:highlight w:val="none"/>
          <w:lang w:eastAsia="en-US"/>
        </w:rPr>
        <w:t>vided by</w:t>
      </w:r>
      <w:r>
        <w:rPr>
          <w:rFonts w:hint="eastAsia" w:ascii="Times New Roman" w:hAnsi="Times New Roman" w:eastAsia="宋体" w:cs="Times New Roman"/>
          <w:kern w:val="0"/>
          <w:sz w:val="24"/>
          <w:highlight w:val="none"/>
          <w:vertAlign w:val="superscript"/>
        </w:rPr>
        <w:t>[</w:t>
      </w:r>
      <w:r>
        <w:rPr>
          <w:rFonts w:ascii="Times New Roman" w:hAnsi="Times New Roman" w:eastAsia="宋体" w:cs="Times New Roman"/>
          <w:kern w:val="0"/>
          <w:sz w:val="24"/>
          <w:highlight w:val="none"/>
          <w:vertAlign w:val="superscript"/>
          <w:lang w:eastAsia="en-US"/>
        </w:rPr>
        <w:fldChar w:fldCharType="begin"/>
      </w:r>
      <w:r>
        <w:rPr>
          <w:rFonts w:ascii="Times New Roman" w:hAnsi="Times New Roman" w:eastAsia="宋体" w:cs="Times New Roman"/>
          <w:kern w:val="0"/>
          <w:sz w:val="24"/>
          <w:highlight w:val="none"/>
          <w:vertAlign w:val="superscript"/>
          <w:lang w:eastAsia="en-US"/>
        </w:rPr>
        <w:instrText xml:space="preserve"> ADDIN EN.CITE &lt;EndNote&gt;&lt;Cite&gt;&lt;RecNum&gt;164&lt;/RecNum&gt;&lt;DisplayText&gt;&lt;style face="superscript"&gt;8&lt;/style&gt;&lt;/DisplayText&gt;&lt;record&gt;&lt;rec-number&gt;164&lt;/rec-number&gt;&lt;foreign-keys&gt;&lt;key app="EN" db-id="5tx5dsdx5r5pfwee9sbppzai5fzfwvet20r0" timestamp="1715151965"&gt;164&lt;/key&gt;&lt;k</w:instrText>
      </w:r>
      <w:r>
        <w:rPr>
          <w:rFonts w:hint="eastAsia" w:ascii="Times New Roman" w:hAnsi="Times New Roman" w:eastAsia="宋体" w:cs="Times New Roman"/>
          <w:kern w:val="0"/>
          <w:sz w:val="24"/>
          <w:highlight w:val="none"/>
          <w:vertAlign w:val="superscript"/>
          <w:lang w:eastAsia="en-US"/>
        </w:rPr>
        <w:instrText xml:space="preserve">ey app="ENWeb" db-id=""&gt;0&lt;/key&gt;&lt;/foreign-keys&gt;&lt;ref-type name="Journal Article"&gt;17&lt;/ref-type&gt;&lt;contributors&gt;&lt;/contributors&gt;&lt;titles&gt;&lt;title&gt;&amp;lt;[34]利用图像分析来表征乳胶颗粒和分形聚集体.pdf&amp;gt;&lt;/title&gt;&lt;/titles&gt;&lt;dates&gt;&lt;/dates&gt;&lt;urls&gt;&lt;/urls&gt;&lt;/record&gt;&lt;/Cite&gt;&lt;/EndNote&gt;</w:instrText>
      </w:r>
      <w:r>
        <w:rPr>
          <w:rFonts w:ascii="Times New Roman" w:hAnsi="Times New Roman" w:eastAsia="宋体" w:cs="Times New Roman"/>
          <w:kern w:val="0"/>
          <w:sz w:val="24"/>
          <w:highlight w:val="none"/>
          <w:vertAlign w:val="superscript"/>
          <w:lang w:eastAsia="en-US"/>
        </w:rPr>
        <w:fldChar w:fldCharType="separate"/>
      </w:r>
      <w:r>
        <w:rPr>
          <w:rFonts w:ascii="Times New Roman" w:hAnsi="Times New Roman" w:eastAsia="宋体" w:cs="Times New Roman"/>
          <w:kern w:val="0"/>
          <w:sz w:val="24"/>
          <w:highlight w:val="none"/>
          <w:vertAlign w:val="superscript"/>
          <w:lang w:eastAsia="en-US"/>
        </w:rPr>
        <w:t>8</w:t>
      </w:r>
      <w:r>
        <w:rPr>
          <w:rFonts w:ascii="Times New Roman" w:hAnsi="Times New Roman" w:eastAsia="宋体" w:cs="Times New Roman"/>
          <w:kern w:val="0"/>
          <w:sz w:val="24"/>
          <w:highlight w:val="none"/>
          <w:vertAlign w:val="superscript"/>
          <w:lang w:eastAsia="en-US"/>
        </w:rPr>
        <w:fldChar w:fldCharType="end"/>
      </w:r>
      <w:r>
        <w:rPr>
          <w:rFonts w:hint="eastAsia" w:ascii="Times New Roman" w:hAnsi="Times New Roman" w:eastAsia="宋体" w:cs="Times New Roman"/>
          <w:kern w:val="0"/>
          <w:sz w:val="24"/>
          <w:highlight w:val="none"/>
          <w:vertAlign w:val="superscript"/>
        </w:rPr>
        <w:t>]</w:t>
      </w:r>
      <w:r>
        <w:rPr>
          <w:rFonts w:hint="eastAsia" w:ascii="Times New Roman" w:hAnsi="Times New Roman" w:eastAsia="宋体" w:cs="Times New Roman"/>
          <w:kern w:val="0"/>
          <w:sz w:val="24"/>
          <w:highlight w:val="none"/>
          <w:lang w:eastAsia="en-US"/>
        </w:rPr>
        <w:t xml:space="preserve">: </w:t>
      </w:r>
    </w:p>
    <w:p>
      <w:pPr>
        <w:widowControl/>
        <w:spacing w:after="200" w:line="360" w:lineRule="auto"/>
        <w:ind w:firstLine="480" w:firstLineChars="200"/>
        <w:jc w:val="center"/>
        <w:rPr>
          <w:rFonts w:ascii="Times New Roman" w:hAnsi="Times New Roman" w:eastAsia="宋体"/>
          <w:position w:val="-14"/>
          <w:sz w:val="24"/>
        </w:rPr>
      </w:pPr>
      <w:r>
        <w:rPr>
          <w:rFonts w:ascii="Times New Roman" w:hAnsi="Times New Roman" w:eastAsia="宋体"/>
          <w:position w:val="-14"/>
          <w:sz w:val="24"/>
        </w:rPr>
        <w:object>
          <v:shape id="_x0000_i1025" o:spt="75" type="#_x0000_t75" style="height:18pt;width:66pt;" o:ole="t" filled="f" o:preferrelative="t" stroked="f" coordsize="21600,21600">
            <v:path/>
            <v:fill on="f" focussize="0,0"/>
            <v:stroke on="f" joinstyle="miter"/>
            <v:imagedata r:id="rId24" o:title=""/>
            <o:lock v:ext="edit" aspectratio="t"/>
            <w10:wrap type="none"/>
            <w10:anchorlock/>
          </v:shape>
          <o:OLEObject Type="Embed" ProgID="Equation.3" ShapeID="_x0000_i1025" DrawAspect="Content" ObjectID="_1468075725" r:id="rId23">
            <o:LockedField>false</o:LockedField>
          </o:OLEObject>
        </w:object>
      </w:r>
      <w:r>
        <w:rPr>
          <w:rFonts w:hint="eastAsia" w:ascii="Times New Roman" w:hAnsi="Times New Roman" w:eastAsia="宋体"/>
          <w:position w:val="-14"/>
          <w:sz w:val="24"/>
        </w:rPr>
        <w:t xml:space="preserve">         (S1)</w:t>
      </w:r>
    </w:p>
    <w:p>
      <w:pPr>
        <w:widowControl/>
        <w:spacing w:after="200" w:line="360" w:lineRule="auto"/>
        <w:ind w:firstLine="480" w:firstLineChars="200"/>
        <w:jc w:val="center"/>
        <w:rPr>
          <w:rFonts w:ascii="Times New Roman" w:hAnsi="Times New Roman" w:eastAsia="宋体"/>
          <w:position w:val="-14"/>
          <w:sz w:val="24"/>
        </w:rPr>
      </w:pPr>
      <w:r>
        <w:rPr>
          <w:rFonts w:ascii="Times New Roman" w:hAnsi="Times New Roman" w:eastAsia="宋体"/>
          <w:position w:val="-14"/>
          <w:sz w:val="24"/>
        </w:rPr>
        <w:object>
          <v:shape id="_x0000_i1026" o:spt="75" type="#_x0000_t75" style="height:18pt;width:74pt;" o:ole="t" filled="f" o:preferrelative="t" stroked="f" coordsize="21600,21600">
            <v:path/>
            <v:fill on="f" focussize="0,0"/>
            <v:stroke on="f" joinstyle="miter"/>
            <v:imagedata r:id="rId26" o:title=""/>
            <o:lock v:ext="edit" aspectratio="t"/>
            <w10:wrap type="none"/>
            <w10:anchorlock/>
          </v:shape>
          <o:OLEObject Type="Embed" ProgID="Equation.3" ShapeID="_x0000_i1026" DrawAspect="Content" ObjectID="_1468075726" r:id="rId25">
            <o:LockedField>false</o:LockedField>
          </o:OLEObject>
        </w:object>
      </w:r>
      <w:r>
        <w:rPr>
          <w:rFonts w:hint="eastAsia" w:ascii="Times New Roman" w:hAnsi="Times New Roman" w:eastAsia="宋体"/>
          <w:position w:val="-14"/>
          <w:sz w:val="24"/>
        </w:rPr>
        <w:t xml:space="preserve">        (S2)</w:t>
      </w:r>
    </w:p>
    <w:p>
      <w:pPr>
        <w:widowControl/>
        <w:spacing w:line="360" w:lineRule="auto"/>
        <w:ind w:firstLine="480" w:firstLineChars="200"/>
        <w:rPr>
          <w:rFonts w:ascii="Times New Roman" w:hAnsi="Times New Roman" w:eastAsia="宋体" w:cs="Times New Roman"/>
          <w:kern w:val="0"/>
          <w:sz w:val="24"/>
          <w:highlight w:val="none"/>
          <w:lang w:eastAsia="en-US"/>
        </w:rPr>
      </w:pPr>
      <w:r>
        <w:rPr>
          <w:rFonts w:hint="eastAsia" w:ascii="Times New Roman" w:hAnsi="Times New Roman" w:eastAsia="宋体"/>
          <w:sz w:val="24"/>
        </w:rPr>
        <w:t xml:space="preserve">For a given population of aggregates, the cumulative size distributions in terms of aggregate length and solid volume are equivalent, according to the definition of cumulative size distributions. </w:t>
      </w:r>
      <w:r>
        <w:rPr>
          <w:rFonts w:ascii="Times New Roman" w:hAnsi="Times New Roman" w:eastAsia="宋体" w:cs="宋体"/>
          <w:sz w:val="24"/>
        </w:rPr>
        <w:t>Thus, the two slopes of the cumulative size distributions in terms of maximum length and solid volume may then be used to compute the fracta</w:t>
      </w:r>
      <w:r>
        <w:rPr>
          <w:rFonts w:ascii="Times New Roman" w:hAnsi="Times New Roman" w:eastAsia="宋体" w:cs="宋体"/>
          <w:sz w:val="24"/>
          <w:highlight w:val="none"/>
        </w:rPr>
        <w:t>l dimension</w:t>
      </w:r>
      <w:r>
        <w:rPr>
          <w:rFonts w:hint="eastAsia" w:ascii="Times New Roman" w:hAnsi="Times New Roman" w:eastAsia="宋体" w:cs="宋体"/>
          <w:sz w:val="24"/>
          <w:highlight w:val="none"/>
          <w:vertAlign w:val="superscript"/>
        </w:rPr>
        <w:t>[</w:t>
      </w:r>
      <w:r>
        <w:rPr>
          <w:rFonts w:hint="eastAsia" w:ascii="Times New Roman" w:hAnsi="Times New Roman" w:eastAsia="宋体" w:cs="Times New Roman"/>
          <w:kern w:val="0"/>
          <w:sz w:val="24"/>
          <w:highlight w:val="none"/>
          <w:vertAlign w:val="superscript"/>
        </w:rPr>
        <w:t>8,</w:t>
      </w:r>
      <w:r>
        <w:rPr>
          <w:rFonts w:ascii="Times New Roman" w:hAnsi="Times New Roman" w:eastAsia="宋体" w:cs="Times New Roman"/>
          <w:kern w:val="0"/>
          <w:sz w:val="24"/>
          <w:highlight w:val="none"/>
          <w:vertAlign w:val="superscript"/>
          <w:lang w:eastAsia="en-US"/>
        </w:rPr>
        <w:fldChar w:fldCharType="begin"/>
      </w:r>
      <w:r>
        <w:rPr>
          <w:rFonts w:ascii="Times New Roman" w:hAnsi="Times New Roman" w:eastAsia="宋体" w:cs="Times New Roman"/>
          <w:kern w:val="0"/>
          <w:sz w:val="24"/>
          <w:highlight w:val="none"/>
          <w:vertAlign w:val="superscript"/>
          <w:lang w:eastAsia="en-US"/>
        </w:rPr>
        <w:instrText xml:space="preserve"> ADDIN EN.CITE &lt;EndNote&gt;&lt;Cite&gt;&lt;Author&gt;Tang&lt;/Author&gt;&lt;Year&gt;2000&lt;/Year&gt;&lt;RecNum&gt;25&lt;/RecNum&gt;&lt;DisplayText&gt;&lt;style face="superscript"&gt;9&lt;/style&gt;&lt;/DisplayText&gt;&lt;record&gt;&lt;rec-number&gt;25&lt;/rec-number&gt;&lt;foreign-keys&gt;&lt;key app="EN" db-id="5tx5dsdx5r5pfwee9sbppzai5fzfwvet20r0" timestamp="1671786901"&gt;25&lt;/key&gt;&lt;/foreign-keys&gt;&lt;ref-type name="Journal Article"&gt;17&lt;/ref-type&gt;&lt;contributors&gt;&lt;authors&gt;&lt;author&gt;Tang, S.&lt;/author&gt;&lt;author&gt;Preece, J. M.&lt;/author&gt;&lt;author&gt;McFarlane, C. M.&lt;/author&gt;&lt;author&gt;Zhang, Z.&lt;/author&gt;&lt;/authors&gt;&lt;/contributors&gt;&lt;titles&gt;&lt;title&gt;Fractal Morphology and Breakage of DLCA and RLCA Aggregates&lt;/title&gt;&lt;secondary-title&gt;Journal of Colloid and Interface Science&lt;/secondary-title&gt;&lt;/titles&gt;&lt;periodical&gt;&lt;full-title&gt;Journal of Colloid and Interface Science&lt;/full-title&gt;&lt;/periodical&gt;&lt;pages&gt;114-123&lt;/pages&gt;&lt;volume&gt;221&lt;/volume&gt;&lt;number&gt;1&lt;/number&gt;&lt;keywords&gt;&lt;keyword&gt;fractal morphology&lt;/keyword&gt;&lt;keyword&gt;breakage&lt;/keyword&gt;&lt;keyword&gt;latex aggregates&lt;/keyword&gt;&lt;keyword&gt;size distribution&lt;/keyword&gt;&lt;/keywords&gt;&lt;dates&gt;&lt;year&gt;2000&lt;/year&gt;&lt;pub-dates&gt;&lt;date&gt;2000/01/01/&lt;/date&gt;&lt;/pub-dates&gt;&lt;/dates&gt;&lt;isbn&gt;0021-9797&lt;/isbn&gt;&lt;urls&gt;&lt;related-urls&gt;&lt;url&gt;https://www.sciencedirect.com/science/article/pii/S0021979799965657&lt;/url&gt;&lt;/related-urls&gt;&lt;/urls&gt;&lt;electronic-resource-num&gt;https://doi.org/10.1006/jcis.1999.6565&lt;/electronic-resource-num&gt;&lt;/record&gt;&lt;/Cite&gt;&lt;/EndNote&gt;</w:instrText>
      </w:r>
      <w:r>
        <w:rPr>
          <w:rFonts w:ascii="Times New Roman" w:hAnsi="Times New Roman" w:eastAsia="宋体" w:cs="Times New Roman"/>
          <w:kern w:val="0"/>
          <w:sz w:val="24"/>
          <w:highlight w:val="none"/>
          <w:vertAlign w:val="superscript"/>
          <w:lang w:eastAsia="en-US"/>
        </w:rPr>
        <w:fldChar w:fldCharType="separate"/>
      </w:r>
      <w:r>
        <w:rPr>
          <w:rFonts w:ascii="Times New Roman" w:hAnsi="Times New Roman" w:eastAsia="宋体" w:cs="Times New Roman"/>
          <w:kern w:val="0"/>
          <w:sz w:val="24"/>
          <w:highlight w:val="none"/>
          <w:vertAlign w:val="superscript"/>
          <w:lang w:eastAsia="en-US"/>
        </w:rPr>
        <w:t>9</w:t>
      </w:r>
      <w:r>
        <w:rPr>
          <w:rFonts w:ascii="Times New Roman" w:hAnsi="Times New Roman" w:eastAsia="宋体" w:cs="Times New Roman"/>
          <w:kern w:val="0"/>
          <w:sz w:val="24"/>
          <w:highlight w:val="none"/>
          <w:vertAlign w:val="superscript"/>
          <w:lang w:eastAsia="en-US"/>
        </w:rPr>
        <w:fldChar w:fldCharType="end"/>
      </w:r>
      <w:r>
        <w:rPr>
          <w:rFonts w:hint="eastAsia" w:ascii="Times New Roman" w:hAnsi="Times New Roman" w:eastAsia="宋体" w:cs="Times New Roman"/>
          <w:kern w:val="0"/>
          <w:sz w:val="24"/>
          <w:highlight w:val="none"/>
          <w:vertAlign w:val="superscript"/>
          <w:lang w:eastAsia="en-US"/>
        </w:rPr>
        <w:t>]</w:t>
      </w:r>
      <w:r>
        <w:rPr>
          <w:rFonts w:ascii="Times New Roman" w:hAnsi="Times New Roman" w:eastAsia="宋体" w:cs="Times New Roman"/>
          <w:kern w:val="0"/>
          <w:sz w:val="24"/>
          <w:highlight w:val="none"/>
          <w:lang w:eastAsia="en-US"/>
        </w:rPr>
        <w:t xml:space="preserve">: </w:t>
      </w:r>
    </w:p>
    <w:p>
      <w:pPr>
        <w:widowControl/>
        <w:spacing w:after="200" w:line="360" w:lineRule="auto"/>
        <w:ind w:firstLine="480" w:firstLineChars="200"/>
        <w:jc w:val="center"/>
        <w:rPr>
          <w:rFonts w:ascii="Times New Roman" w:hAnsi="Times New Roman" w:eastAsia="宋体"/>
          <w:position w:val="-12"/>
          <w:sz w:val="24"/>
        </w:rPr>
      </w:pPr>
      <w:r>
        <w:rPr>
          <w:rFonts w:ascii="Times New Roman" w:hAnsi="Times New Roman" w:eastAsia="宋体"/>
          <w:position w:val="-12"/>
          <w:sz w:val="24"/>
        </w:rPr>
        <w:object>
          <v:shape id="_x0000_i1027" o:spt="75" type="#_x0000_t75" style="height:18pt;width:60pt;" o:ole="t" filled="f" o:preferrelative="t" stroked="f" coordsize="21600,21600">
            <v:path/>
            <v:fill on="f" focussize="0,0"/>
            <v:stroke on="f" joinstyle="miter"/>
            <v:imagedata r:id="rId28" o:title=""/>
            <o:lock v:ext="edit" aspectratio="t"/>
            <w10:wrap type="none"/>
            <w10:anchorlock/>
          </v:shape>
          <o:OLEObject Type="Embed" ProgID="Equation.3" ShapeID="_x0000_i1027" DrawAspect="Content" ObjectID="_1468075727" r:id="rId27">
            <o:LockedField>false</o:LockedField>
          </o:OLEObject>
        </w:object>
      </w:r>
      <w:r>
        <w:rPr>
          <w:rFonts w:hint="eastAsia" w:ascii="Times New Roman" w:hAnsi="Times New Roman" w:eastAsia="宋体"/>
          <w:position w:val="-12"/>
          <w:sz w:val="24"/>
        </w:rPr>
        <w:t xml:space="preserve">           (S3)</w:t>
      </w:r>
    </w:p>
    <w:p>
      <w:pPr>
        <w:widowControl/>
        <w:spacing w:line="360" w:lineRule="auto"/>
        <w:ind w:firstLine="480" w:firstLineChars="200"/>
        <w:rPr>
          <w:rFonts w:ascii="Times New Roman" w:hAnsi="Times New Roman" w:eastAsia="宋体" w:cs="Times New Roman"/>
          <w:sz w:val="24"/>
        </w:rPr>
      </w:pPr>
      <w:r>
        <w:rPr>
          <w:rFonts w:hint="eastAsia" w:ascii="Times New Roman" w:hAnsi="Times New Roman" w:eastAsia="宋体"/>
          <w:position w:val="-14"/>
          <w:sz w:val="24"/>
        </w:rPr>
        <w:t>Where A</w:t>
      </w:r>
      <w:r>
        <w:rPr>
          <w:rFonts w:hint="eastAsia" w:ascii="Times New Roman" w:hAnsi="Times New Roman" w:eastAsia="宋体"/>
          <w:position w:val="-14"/>
          <w:sz w:val="24"/>
          <w:vertAlign w:val="subscript"/>
        </w:rPr>
        <w:t>L</w:t>
      </w:r>
      <w:r>
        <w:rPr>
          <w:rFonts w:hint="eastAsia" w:ascii="Times New Roman" w:hAnsi="Times New Roman" w:eastAsia="宋体"/>
          <w:position w:val="-14"/>
          <w:sz w:val="24"/>
        </w:rPr>
        <w:t xml:space="preserve"> and A</w:t>
      </w:r>
      <w:r>
        <w:rPr>
          <w:rFonts w:hint="eastAsia" w:ascii="Times New Roman" w:hAnsi="Times New Roman" w:eastAsia="宋体"/>
          <w:position w:val="-14"/>
          <w:sz w:val="24"/>
          <w:vertAlign w:val="subscript"/>
        </w:rPr>
        <w:t>V</w:t>
      </w:r>
      <w:r>
        <w:rPr>
          <w:rFonts w:hint="eastAsia" w:ascii="Times New Roman" w:hAnsi="Times New Roman" w:eastAsia="宋体"/>
          <w:position w:val="-14"/>
          <w:sz w:val="24"/>
        </w:rPr>
        <w:t xml:space="preserve"> are empirical constants, S(L) and S(V) are exponents of the cumulative size distributions N(L), and N(V) based on aggregate maximum length L and solid volume V, respectively. N(L) indicates the number distribution and N(V) indicates the volume distribution. </w:t>
      </w:r>
      <w:r>
        <w:rPr>
          <w:rFonts w:hint="eastAsia" w:ascii="Times New Roman" w:hAnsi="Times New Roman" w:eastAsia="宋体"/>
          <w:position w:val="-12"/>
          <w:sz w:val="24"/>
        </w:rPr>
        <w:t>D</w:t>
      </w:r>
      <w:r>
        <w:rPr>
          <w:rFonts w:hint="eastAsia" w:ascii="Times New Roman" w:hAnsi="Times New Roman" w:eastAsia="宋体"/>
          <w:position w:val="-12"/>
          <w:sz w:val="24"/>
          <w:vertAlign w:val="subscript"/>
        </w:rPr>
        <w:t>f</w:t>
      </w:r>
      <w:r>
        <w:rPr>
          <w:rFonts w:hint="eastAsia" w:ascii="Times New Roman" w:hAnsi="Times New Roman" w:eastAsia="宋体"/>
          <w:position w:val="-12"/>
          <w:sz w:val="24"/>
        </w:rPr>
        <w:t xml:space="preserve"> is the fractal dimension.</w:t>
      </w:r>
    </w:p>
    <w:p>
      <w:pPr>
        <w:widowControl/>
        <w:autoSpaceDE w:val="0"/>
        <w:autoSpaceDN w:val="0"/>
        <w:spacing w:line="360" w:lineRule="auto"/>
        <w:ind w:firstLine="480" w:firstLineChars="200"/>
        <w:rPr>
          <w:rFonts w:ascii="Times New Roman" w:hAnsi="Times New Roman" w:eastAsia="宋体" w:cs="Times New Roman"/>
          <w:color w:val="FF0000"/>
          <w:sz w:val="24"/>
        </w:rPr>
      </w:pPr>
      <w:r>
        <w:rPr>
          <w:rFonts w:ascii="Times New Roman" w:hAnsi="Times New Roman" w:eastAsia="宋体" w:cs="Times New Roman"/>
          <w:sz w:val="24"/>
        </w:rPr>
        <w:t>As shown in Fig</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S11</w:t>
      </w:r>
      <w:r>
        <w:rPr>
          <w:rFonts w:ascii="Times New Roman" w:hAnsi="Times New Roman" w:eastAsia="宋体" w:cs="Times New Roman"/>
          <w:sz w:val="24"/>
        </w:rPr>
        <w:t xml:space="preserve">, </w:t>
      </w:r>
      <w:r>
        <w:rPr>
          <w:rFonts w:hint="eastAsia" w:ascii="Times New Roman" w:hAnsi="Times New Roman" w:eastAsia="宋体" w:cs="Times New Roman"/>
          <w:sz w:val="24"/>
        </w:rPr>
        <w:t>the</w:t>
      </w:r>
      <w:r>
        <w:rPr>
          <w:rFonts w:ascii="Times New Roman" w:hAnsi="Times New Roman" w:eastAsia="宋体" w:cs="Times New Roman"/>
          <w:sz w:val="24"/>
        </w:rPr>
        <w:t xml:space="preserve"> N(L) and N(V) of </w:t>
      </w:r>
      <w:r>
        <w:rPr>
          <w:rFonts w:ascii="Times New Roman" w:hAnsi="Times New Roman"/>
          <w:sz w:val="24"/>
        </w:rPr>
        <w:t xml:space="preserve">metal cations </w:t>
      </w:r>
      <w:r>
        <w:rPr>
          <w:rFonts w:hint="eastAsia" w:ascii="Times New Roman" w:hAnsi="Times New Roman"/>
          <w:sz w:val="24"/>
        </w:rPr>
        <w:t xml:space="preserve">on </w:t>
      </w:r>
      <w:r>
        <w:rPr>
          <w:rFonts w:hint="eastAsia" w:ascii="Times New Roman" w:hAnsi="Times New Roman" w:eastAsia="宋体" w:cs="Times New Roman"/>
          <w:sz w:val="24"/>
        </w:rPr>
        <w:t xml:space="preserve">the </w:t>
      </w:r>
      <w:r>
        <w:rPr>
          <w:rFonts w:ascii="Times New Roman" w:hAnsi="Times New Roman" w:eastAsia="宋体" w:cs="Times New Roman"/>
          <w:sz w:val="24"/>
        </w:rPr>
        <w:t>SLPFR system</w:t>
      </w:r>
      <w:r>
        <w:rPr>
          <w:rFonts w:hint="eastAsia" w:ascii="Times New Roman" w:hAnsi="Times New Roman" w:eastAsia="宋体" w:cs="Times New Roman"/>
          <w:sz w:val="24"/>
        </w:rPr>
        <w:t xml:space="preserve">. </w:t>
      </w:r>
      <w:r>
        <w:rPr>
          <w:rFonts w:ascii="Times New Roman" w:hAnsi="Times New Roman"/>
          <w:sz w:val="24"/>
        </w:rPr>
        <w:t xml:space="preserve">The number and volume distributions of metal cations </w:t>
      </w:r>
      <w:r>
        <w:rPr>
          <w:rFonts w:hint="eastAsia" w:ascii="Times New Roman" w:hAnsi="Times New Roman"/>
          <w:sz w:val="24"/>
        </w:rPr>
        <w:t>on</w:t>
      </w:r>
      <w:r>
        <w:rPr>
          <w:rFonts w:ascii="Times New Roman" w:hAnsi="Times New Roman"/>
          <w:sz w:val="24"/>
        </w:rPr>
        <w:t xml:space="preserve"> </w:t>
      </w:r>
      <w:r>
        <w:rPr>
          <w:rFonts w:hint="eastAsia" w:ascii="Times New Roman" w:hAnsi="Times New Roman"/>
          <w:sz w:val="24"/>
        </w:rPr>
        <w:t xml:space="preserve">the </w:t>
      </w:r>
      <w:r>
        <w:rPr>
          <w:rFonts w:ascii="Times New Roman" w:hAnsi="Times New Roman"/>
          <w:sz w:val="24"/>
        </w:rPr>
        <w:t>surfactant</w:t>
      </w:r>
      <w:r>
        <w:rPr>
          <w:rFonts w:hint="eastAsia" w:ascii="Times New Roman" w:hAnsi="Times New Roman"/>
          <w:sz w:val="24"/>
        </w:rPr>
        <w:t>+SLPFR</w:t>
      </w:r>
      <w:r>
        <w:rPr>
          <w:rFonts w:ascii="Times New Roman" w:hAnsi="Times New Roman"/>
          <w:sz w:val="24"/>
        </w:rPr>
        <w:t xml:space="preserve"> systems are shown in Fig. </w:t>
      </w:r>
      <w:r>
        <w:rPr>
          <w:rFonts w:hint="eastAsia" w:ascii="Times New Roman" w:hAnsi="Times New Roman"/>
          <w:sz w:val="24"/>
        </w:rPr>
        <w:t>S12</w:t>
      </w:r>
      <w:r>
        <w:rPr>
          <w:rFonts w:ascii="Times New Roman" w:hAnsi="Times New Roman"/>
          <w:sz w:val="24"/>
        </w:rPr>
        <w:t>.</w:t>
      </w:r>
      <w:r>
        <w:rPr>
          <w:rFonts w:hint="eastAsia" w:ascii="Times New Roman" w:hAnsi="Times New Roman"/>
          <w:sz w:val="24"/>
        </w:rPr>
        <w:t xml:space="preserve"> The </w:t>
      </w:r>
      <w:r>
        <w:rPr>
          <w:rFonts w:hint="eastAsia" w:ascii="Times New Roman" w:hAnsi="Times New Roman" w:eastAsia="黑体" w:cs="黑体"/>
          <w:kern w:val="0"/>
          <w:sz w:val="24"/>
        </w:rPr>
        <w:t>N(L) and N(V) of the HPAM+SLPFR system in the presence of different molecular weights HPAM, as shown in Fig. S13.</w:t>
      </w:r>
    </w:p>
    <w:p>
      <w:pPr>
        <w:widowControl/>
        <w:spacing w:after="200" w:line="360" w:lineRule="auto"/>
        <w:jc w:val="center"/>
      </w:pPr>
      <w:r>
        <w:drawing>
          <wp:inline distT="0" distB="0" distL="114300" distR="114300">
            <wp:extent cx="4949190" cy="1915795"/>
            <wp:effectExtent l="0" t="0" r="3810" b="1905"/>
            <wp:docPr id="10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1"/>
                    <pic:cNvPicPr>
                      <a:picLocks noChangeAspect="1"/>
                    </pic:cNvPicPr>
                  </pic:nvPicPr>
                  <pic:blipFill>
                    <a:blip r:embed="rId29"/>
                    <a:stretch>
                      <a:fillRect/>
                    </a:stretch>
                  </pic:blipFill>
                  <pic:spPr>
                    <a:xfrm>
                      <a:off x="0" y="0"/>
                      <a:ext cx="4949190" cy="1915795"/>
                    </a:xfrm>
                    <a:prstGeom prst="rect">
                      <a:avLst/>
                    </a:prstGeom>
                    <a:noFill/>
                    <a:ln>
                      <a:noFill/>
                    </a:ln>
                  </pic:spPr>
                </pic:pic>
              </a:graphicData>
            </a:graphic>
          </wp:inline>
        </w:drawing>
      </w:r>
    </w:p>
    <w:p>
      <w:pPr>
        <w:ind w:firstLine="422"/>
        <w:jc w:val="center"/>
        <w:rPr>
          <w:rFonts w:ascii="Times New Roman" w:hAnsi="Times New Roman" w:eastAsia="宋体" w:cs="Times New Roman"/>
          <w:szCs w:val="21"/>
        </w:rPr>
      </w:pPr>
      <w:r>
        <w:rPr>
          <w:rFonts w:ascii="Times New Roman" w:hAnsi="Times New Roman" w:eastAsia="宋体" w:cs="Times New Roman"/>
          <w:b/>
          <w:bCs/>
          <w:szCs w:val="21"/>
        </w:rPr>
        <w:t>Fig</w:t>
      </w:r>
      <w:r>
        <w:rPr>
          <w:rFonts w:hint="eastAsia" w:ascii="Times New Roman" w:hAnsi="Times New Roman" w:eastAsia="宋体" w:cs="Times New Roman"/>
          <w:b/>
          <w:bCs/>
          <w:szCs w:val="21"/>
        </w:rPr>
        <w:t>.</w:t>
      </w: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 xml:space="preserve">S11 </w:t>
      </w:r>
      <w:r>
        <w:rPr>
          <w:rFonts w:hint="eastAsia" w:ascii="Times New Roman" w:hAnsi="Times New Roman" w:eastAsia="宋体" w:cs="Times New Roman"/>
          <w:szCs w:val="21"/>
        </w:rPr>
        <w:t>The</w:t>
      </w:r>
      <w:r>
        <w:rPr>
          <w:rFonts w:hint="eastAsia" w:ascii="Times New Roman" w:hAnsi="Times New Roman" w:eastAsia="宋体" w:cs="Times New Roman"/>
          <w:b/>
          <w:bCs/>
          <w:szCs w:val="21"/>
        </w:rPr>
        <w:t xml:space="preserve"> </w:t>
      </w:r>
      <w:r>
        <w:rPr>
          <w:rFonts w:ascii="Times New Roman" w:hAnsi="Times New Roman" w:eastAsia="宋体" w:cs="Times New Roman"/>
          <w:szCs w:val="21"/>
        </w:rPr>
        <w:t>N(L) and N(V) of metal cations on the SLPFR system</w:t>
      </w:r>
    </w:p>
    <w:p>
      <w:pPr>
        <w:jc w:val="center"/>
        <w:rPr>
          <w:rFonts w:ascii="Times New Roman" w:hAnsi="Times New Roman" w:eastAsia="宋体" w:cs="Times New Roman"/>
          <w:szCs w:val="21"/>
        </w:rPr>
      </w:pPr>
      <w:r>
        <w:drawing>
          <wp:inline distT="0" distB="0" distL="114300" distR="114300">
            <wp:extent cx="5230495" cy="2228850"/>
            <wp:effectExtent l="0" t="0" r="1905" b="635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30"/>
                    <a:stretch>
                      <a:fillRect/>
                    </a:stretch>
                  </pic:blipFill>
                  <pic:spPr>
                    <a:xfrm>
                      <a:off x="0" y="0"/>
                      <a:ext cx="5230495" cy="2228850"/>
                    </a:xfrm>
                    <a:prstGeom prst="rect">
                      <a:avLst/>
                    </a:prstGeom>
                    <a:noFill/>
                    <a:ln>
                      <a:noFill/>
                    </a:ln>
                  </pic:spPr>
                </pic:pic>
              </a:graphicData>
            </a:graphic>
          </wp:inline>
        </w:drawing>
      </w:r>
    </w:p>
    <w:p>
      <w:pPr>
        <w:autoSpaceDE w:val="0"/>
        <w:autoSpaceDN w:val="0"/>
        <w:spacing w:line="360" w:lineRule="auto"/>
        <w:jc w:val="center"/>
        <w:rPr>
          <w:rFonts w:ascii="Times New Roman" w:hAnsi="Times New Roman" w:eastAsia="黑体" w:cs="黑体"/>
          <w:bCs/>
          <w:kern w:val="0"/>
          <w:szCs w:val="21"/>
        </w:rPr>
      </w:pPr>
      <w:r>
        <w:rPr>
          <w:rFonts w:hint="eastAsia" w:ascii="Times New Roman" w:hAnsi="Times New Roman" w:eastAsia="黑体" w:cs="黑体"/>
          <w:b/>
          <w:kern w:val="0"/>
          <w:szCs w:val="21"/>
        </w:rPr>
        <w:t xml:space="preserve">Fig. S12 </w:t>
      </w:r>
      <w:r>
        <w:rPr>
          <w:rFonts w:hint="eastAsia" w:ascii="Times New Roman" w:hAnsi="Times New Roman" w:eastAsia="黑体" w:cs="黑体"/>
          <w:bCs/>
          <w:kern w:val="0"/>
          <w:szCs w:val="21"/>
        </w:rPr>
        <w:t>The N(L) and N(V) of metal cations on the surfactant+SLPFR system</w:t>
      </w:r>
    </w:p>
    <w:p>
      <w:pPr>
        <w:jc w:val="center"/>
      </w:pPr>
      <w:r>
        <w:drawing>
          <wp:inline distT="0" distB="0" distL="114300" distR="114300">
            <wp:extent cx="5051425" cy="2109470"/>
            <wp:effectExtent l="0" t="0" r="3175" b="11430"/>
            <wp:docPr id="8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6"/>
                    <pic:cNvPicPr>
                      <a:picLocks noChangeAspect="1"/>
                    </pic:cNvPicPr>
                  </pic:nvPicPr>
                  <pic:blipFill>
                    <a:blip r:embed="rId31"/>
                    <a:stretch>
                      <a:fillRect/>
                    </a:stretch>
                  </pic:blipFill>
                  <pic:spPr>
                    <a:xfrm>
                      <a:off x="0" y="0"/>
                      <a:ext cx="5051425" cy="2109470"/>
                    </a:xfrm>
                    <a:prstGeom prst="rect">
                      <a:avLst/>
                    </a:prstGeom>
                  </pic:spPr>
                </pic:pic>
              </a:graphicData>
            </a:graphic>
          </wp:inline>
        </w:drawing>
      </w:r>
    </w:p>
    <w:p>
      <w:pPr>
        <w:widowControl/>
        <w:autoSpaceDE w:val="0"/>
        <w:autoSpaceDN w:val="0"/>
        <w:spacing w:line="380" w:lineRule="exact"/>
        <w:ind w:firstLine="422" w:firstLineChars="200"/>
        <w:jc w:val="center"/>
        <w:rPr>
          <w:rFonts w:hint="eastAsia" w:ascii="Times New Roman" w:hAnsi="Times New Roman" w:eastAsia="黑体" w:cs="黑体"/>
          <w:kern w:val="0"/>
          <w:szCs w:val="21"/>
        </w:rPr>
      </w:pPr>
      <w:r>
        <w:rPr>
          <w:rFonts w:hint="eastAsia" w:ascii="Times New Roman" w:hAnsi="Times New Roman" w:eastAsia="黑体" w:cs="黑体"/>
          <w:b/>
          <w:bCs/>
          <w:kern w:val="0"/>
          <w:szCs w:val="21"/>
        </w:rPr>
        <w:t xml:space="preserve">Fig. S13 </w:t>
      </w:r>
      <w:r>
        <w:rPr>
          <w:rFonts w:hint="eastAsia" w:ascii="Times New Roman" w:hAnsi="Times New Roman" w:eastAsia="黑体" w:cs="黑体"/>
          <w:kern w:val="0"/>
          <w:szCs w:val="21"/>
        </w:rPr>
        <w:t>The N(L) and N(V) of the HPAM+SLPFR system in the presence of different molecular weights HPAM</w:t>
      </w:r>
    </w:p>
    <w:p>
      <w:pPr>
        <w:widowControl/>
        <w:autoSpaceDE w:val="0"/>
        <w:autoSpaceDN w:val="0"/>
        <w:spacing w:line="380" w:lineRule="exact"/>
        <w:ind w:firstLine="420" w:firstLineChars="200"/>
        <w:jc w:val="center"/>
        <w:rPr>
          <w:rFonts w:hint="eastAsia" w:ascii="Times New Roman" w:hAnsi="Times New Roman" w:eastAsia="黑体" w:cs="黑体"/>
          <w:kern w:val="0"/>
          <w:szCs w:val="21"/>
        </w:rPr>
      </w:pPr>
    </w:p>
    <w:p>
      <w:pPr>
        <w:rPr>
          <w:rFonts w:hint="eastAsia" w:ascii="Times New Roman" w:hAnsi="Times New Roman" w:eastAsia="宋体" w:cs="Times New Roman"/>
          <w:b/>
          <w:bCs/>
          <w:sz w:val="24"/>
        </w:rPr>
      </w:pPr>
      <w:r>
        <w:rPr>
          <w:rFonts w:ascii="Times New Roman" w:hAnsi="Times New Roman" w:eastAsia="宋体" w:cs="Times New Roman"/>
          <w:b/>
          <w:bCs/>
          <w:sz w:val="24"/>
        </w:rPr>
        <w:t>References</w:t>
      </w:r>
    </w:p>
    <w:p>
      <w:pPr>
        <w:pStyle w:val="9"/>
        <w:rPr>
          <w:rFonts w:ascii="Times New Roman" w:hAnsi="Times New Roman"/>
          <w:sz w:val="24"/>
        </w:rPr>
      </w:pPr>
      <w:r>
        <w:rPr>
          <w:rFonts w:ascii="Times New Roman" w:hAnsi="Times New Roman" w:eastAsia="宋体" w:cs="Times New Roman"/>
          <w:sz w:val="24"/>
        </w:rPr>
        <w:fldChar w:fldCharType="begin"/>
      </w:r>
      <w:r>
        <w:rPr>
          <w:rFonts w:ascii="Times New Roman" w:hAnsi="Times New Roman" w:eastAsia="宋体" w:cs="Times New Roman"/>
          <w:sz w:val="24"/>
        </w:rPr>
        <w:instrText xml:space="preserve"> ADDIN EN.REFLIST </w:instrText>
      </w:r>
      <w:r>
        <w:rPr>
          <w:rFonts w:ascii="Times New Roman" w:hAnsi="Times New Roman" w:eastAsia="宋体" w:cs="Times New Roman"/>
          <w:sz w:val="24"/>
        </w:rPr>
        <w:fldChar w:fldCharType="separate"/>
      </w:r>
      <w:r>
        <w:rPr>
          <w:rFonts w:ascii="Times New Roman" w:hAnsi="Times New Roman"/>
          <w:sz w:val="24"/>
        </w:rPr>
        <w:t>1.</w:t>
      </w:r>
      <w:r>
        <w:rPr>
          <w:rFonts w:ascii="Times New Roman" w:hAnsi="Times New Roman"/>
          <w:sz w:val="24"/>
        </w:rPr>
        <w:tab/>
      </w:r>
      <w:r>
        <w:rPr>
          <w:rFonts w:ascii="Times New Roman" w:hAnsi="Times New Roman"/>
          <w:sz w:val="24"/>
        </w:rPr>
        <w:t>Li</w:t>
      </w:r>
      <w:r>
        <w:rPr>
          <w:rFonts w:hint="eastAsia" w:ascii="Times New Roman" w:hAnsi="Times New Roman"/>
          <w:sz w:val="24"/>
          <w:lang w:val="en-US" w:eastAsia="zh-CN"/>
        </w:rPr>
        <w:t xml:space="preserve"> </w:t>
      </w:r>
      <w:r>
        <w:rPr>
          <w:rFonts w:ascii="Times New Roman" w:hAnsi="Times New Roman"/>
          <w:sz w:val="24"/>
        </w:rPr>
        <w:t>J</w:t>
      </w:r>
      <w:r>
        <w:rPr>
          <w:rFonts w:hint="eastAsia" w:ascii="Times New Roman" w:hAnsi="Times New Roman"/>
          <w:sz w:val="24"/>
          <w:lang w:val="en-US" w:eastAsia="zh-CN"/>
        </w:rPr>
        <w:t>,</w:t>
      </w:r>
      <w:r>
        <w:rPr>
          <w:rFonts w:ascii="Times New Roman" w:hAnsi="Times New Roman"/>
          <w:sz w:val="24"/>
        </w:rPr>
        <w:t xml:space="preserve"> Zhang J</w:t>
      </w:r>
      <w:r>
        <w:rPr>
          <w:rFonts w:hint="eastAsia" w:ascii="Times New Roman" w:hAnsi="Times New Roman"/>
          <w:sz w:val="24"/>
          <w:lang w:val="en-US" w:eastAsia="zh-CN"/>
        </w:rPr>
        <w:t>,</w:t>
      </w:r>
      <w:r>
        <w:rPr>
          <w:rFonts w:ascii="Times New Roman" w:hAnsi="Times New Roman"/>
          <w:sz w:val="24"/>
        </w:rPr>
        <w:t xml:space="preserve"> Zhang</w:t>
      </w:r>
      <w:r>
        <w:rPr>
          <w:rFonts w:hint="eastAsia" w:ascii="Times New Roman" w:hAnsi="Times New Roman"/>
          <w:sz w:val="24"/>
          <w:lang w:val="en-US" w:eastAsia="zh-CN"/>
        </w:rPr>
        <w:t xml:space="preserve"> </w:t>
      </w:r>
      <w:r>
        <w:rPr>
          <w:rFonts w:ascii="Times New Roman" w:hAnsi="Times New Roman"/>
          <w:sz w:val="24"/>
        </w:rPr>
        <w:t>S</w:t>
      </w:r>
      <w:r>
        <w:rPr>
          <w:rFonts w:hint="eastAsia" w:ascii="Times New Roman" w:hAnsi="Times New Roman"/>
          <w:sz w:val="24"/>
          <w:lang w:val="en-US" w:eastAsia="zh-CN"/>
        </w:rPr>
        <w:t>,</w:t>
      </w:r>
      <w:r>
        <w:rPr>
          <w:rFonts w:ascii="Times New Roman" w:hAnsi="Times New Roman"/>
          <w:sz w:val="24"/>
        </w:rPr>
        <w:t xml:space="preserve"> Gao</w:t>
      </w:r>
      <w:r>
        <w:rPr>
          <w:rFonts w:hint="eastAsia" w:ascii="Times New Roman" w:hAnsi="Times New Roman"/>
          <w:sz w:val="24"/>
          <w:lang w:val="en-US" w:eastAsia="zh-CN"/>
        </w:rPr>
        <w:t xml:space="preserve"> </w:t>
      </w:r>
      <w:r>
        <w:rPr>
          <w:rFonts w:ascii="Times New Roman" w:hAnsi="Times New Roman"/>
          <w:sz w:val="24"/>
        </w:rPr>
        <w:t>Q</w:t>
      </w:r>
      <w:r>
        <w:rPr>
          <w:rFonts w:hint="eastAsia" w:ascii="Times New Roman" w:hAnsi="Times New Roman"/>
          <w:sz w:val="24"/>
          <w:lang w:val="en-US" w:eastAsia="zh-CN"/>
        </w:rPr>
        <w:t>,</w:t>
      </w:r>
      <w:r>
        <w:rPr>
          <w:rFonts w:ascii="Times New Roman" w:hAnsi="Times New Roman"/>
          <w:sz w:val="24"/>
        </w:rPr>
        <w:t xml:space="preserve"> Li</w:t>
      </w:r>
      <w:r>
        <w:rPr>
          <w:rFonts w:hint="eastAsia" w:ascii="Times New Roman" w:hAnsi="Times New Roman"/>
          <w:sz w:val="24"/>
          <w:lang w:val="en-US" w:eastAsia="zh-CN"/>
        </w:rPr>
        <w:t xml:space="preserve"> </w:t>
      </w:r>
      <w:r>
        <w:rPr>
          <w:rFonts w:ascii="Times New Roman" w:hAnsi="Times New Roman"/>
          <w:sz w:val="24"/>
        </w:rPr>
        <w:t>J</w:t>
      </w:r>
      <w:r>
        <w:rPr>
          <w:rFonts w:hint="eastAsia" w:ascii="Times New Roman" w:hAnsi="Times New Roman"/>
          <w:sz w:val="24"/>
          <w:lang w:val="en-US" w:eastAsia="zh-CN"/>
        </w:rPr>
        <w:t xml:space="preserve">, </w:t>
      </w:r>
      <w:r>
        <w:rPr>
          <w:rFonts w:ascii="Times New Roman" w:hAnsi="Times New Roman"/>
          <w:sz w:val="24"/>
        </w:rPr>
        <w:t>Zhang W</w:t>
      </w:r>
      <w:r>
        <w:rPr>
          <w:rFonts w:hint="eastAsia" w:ascii="Times New Roman" w:hAnsi="Times New Roman"/>
          <w:sz w:val="24"/>
          <w:lang w:val="en-US" w:eastAsia="zh-CN"/>
        </w:rPr>
        <w:t xml:space="preserve"> (2018)</w:t>
      </w:r>
      <w:r>
        <w:rPr>
          <w:rFonts w:ascii="Times New Roman" w:hAnsi="Times New Roman"/>
          <w:sz w:val="24"/>
        </w:rPr>
        <w:t xml:space="preserve"> Alkali lignin depolymerization under eco-friendly and cost-effective NaOH/urea aqueous solution for fast curing bio-based phenolic resin. Industrial Crops and Products 120, 25-33</w:t>
      </w:r>
    </w:p>
    <w:p>
      <w:pPr>
        <w:pStyle w:val="9"/>
        <w:rPr>
          <w:rFonts w:ascii="Times New Roman" w:hAnsi="Times New Roman"/>
          <w:sz w:val="24"/>
        </w:rPr>
      </w:pPr>
      <w:r>
        <w:rPr>
          <w:rFonts w:ascii="Times New Roman" w:hAnsi="Times New Roman"/>
          <w:sz w:val="24"/>
        </w:rPr>
        <w:t>2.</w:t>
      </w:r>
      <w:r>
        <w:rPr>
          <w:rFonts w:ascii="Times New Roman" w:hAnsi="Times New Roman"/>
          <w:sz w:val="24"/>
        </w:rPr>
        <w:tab/>
      </w:r>
      <w:r>
        <w:rPr>
          <w:rFonts w:ascii="Times New Roman" w:hAnsi="Times New Roman"/>
          <w:sz w:val="24"/>
        </w:rPr>
        <w:t>Kalami</w:t>
      </w:r>
      <w:r>
        <w:rPr>
          <w:rFonts w:hint="eastAsia" w:ascii="Times New Roman" w:hAnsi="Times New Roman"/>
          <w:sz w:val="24"/>
          <w:lang w:val="en-US" w:eastAsia="zh-CN"/>
        </w:rPr>
        <w:t xml:space="preserve"> </w:t>
      </w:r>
      <w:r>
        <w:rPr>
          <w:rFonts w:ascii="Times New Roman" w:hAnsi="Times New Roman"/>
          <w:sz w:val="24"/>
        </w:rPr>
        <w:t>S</w:t>
      </w:r>
      <w:r>
        <w:rPr>
          <w:rFonts w:hint="eastAsia" w:ascii="Times New Roman" w:hAnsi="Times New Roman"/>
          <w:sz w:val="24"/>
          <w:lang w:val="en-US" w:eastAsia="zh-CN"/>
        </w:rPr>
        <w:t>,</w:t>
      </w:r>
      <w:r>
        <w:rPr>
          <w:rFonts w:ascii="Times New Roman" w:hAnsi="Times New Roman"/>
          <w:sz w:val="24"/>
        </w:rPr>
        <w:t xml:space="preserve"> Arefmanesh</w:t>
      </w:r>
      <w:r>
        <w:rPr>
          <w:rFonts w:hint="eastAsia" w:ascii="Times New Roman" w:hAnsi="Times New Roman"/>
          <w:sz w:val="24"/>
          <w:lang w:val="en-US" w:eastAsia="zh-CN"/>
        </w:rPr>
        <w:t xml:space="preserve"> </w:t>
      </w:r>
      <w:r>
        <w:rPr>
          <w:rFonts w:ascii="Times New Roman" w:hAnsi="Times New Roman"/>
          <w:sz w:val="24"/>
        </w:rPr>
        <w:t>M</w:t>
      </w:r>
      <w:r>
        <w:rPr>
          <w:rFonts w:hint="eastAsia" w:ascii="Times New Roman" w:hAnsi="Times New Roman"/>
          <w:sz w:val="24"/>
          <w:lang w:val="en-US" w:eastAsia="zh-CN"/>
        </w:rPr>
        <w:t>,</w:t>
      </w:r>
      <w:r>
        <w:rPr>
          <w:rFonts w:ascii="Times New Roman" w:hAnsi="Times New Roman"/>
          <w:sz w:val="24"/>
        </w:rPr>
        <w:t xml:space="preserve"> Master</w:t>
      </w:r>
      <w:r>
        <w:rPr>
          <w:rFonts w:hint="eastAsia" w:ascii="Times New Roman" w:hAnsi="Times New Roman"/>
          <w:sz w:val="24"/>
          <w:lang w:val="en-US" w:eastAsia="zh-CN"/>
        </w:rPr>
        <w:t xml:space="preserve"> </w:t>
      </w:r>
      <w:r>
        <w:rPr>
          <w:rFonts w:ascii="Times New Roman" w:hAnsi="Times New Roman"/>
          <w:sz w:val="24"/>
        </w:rPr>
        <w:t>E</w:t>
      </w:r>
      <w:r>
        <w:rPr>
          <w:rFonts w:hint="eastAsia" w:ascii="Times New Roman" w:hAnsi="Times New Roman"/>
          <w:sz w:val="24"/>
          <w:lang w:val="en-US" w:eastAsia="zh-CN"/>
        </w:rPr>
        <w:t xml:space="preserve">, </w:t>
      </w:r>
      <w:r>
        <w:rPr>
          <w:rFonts w:ascii="Times New Roman" w:hAnsi="Times New Roman"/>
          <w:sz w:val="24"/>
        </w:rPr>
        <w:t>Nejad M</w:t>
      </w:r>
      <w:r>
        <w:rPr>
          <w:rFonts w:hint="eastAsia" w:ascii="Times New Roman" w:hAnsi="Times New Roman"/>
          <w:sz w:val="24"/>
          <w:lang w:val="en-US" w:eastAsia="zh-CN"/>
        </w:rPr>
        <w:t xml:space="preserve"> (2017)</w:t>
      </w:r>
      <w:r>
        <w:rPr>
          <w:rFonts w:ascii="Times New Roman" w:hAnsi="Times New Roman"/>
          <w:sz w:val="24"/>
        </w:rPr>
        <w:t xml:space="preserve"> Replacing 100% of phenol in phenolic adhesive formulations with lignin. J</w:t>
      </w:r>
      <w:r>
        <w:rPr>
          <w:rFonts w:hint="eastAsia" w:ascii="Times New Roman" w:hAnsi="Times New Roman"/>
          <w:sz w:val="24"/>
          <w:lang w:val="en-US" w:eastAsia="zh-CN"/>
        </w:rPr>
        <w:t>ournal</w:t>
      </w:r>
      <w:r>
        <w:rPr>
          <w:rFonts w:ascii="Times New Roman" w:hAnsi="Times New Roman"/>
          <w:sz w:val="24"/>
        </w:rPr>
        <w:t xml:space="preserve"> </w:t>
      </w:r>
      <w:r>
        <w:rPr>
          <w:rFonts w:hint="eastAsia" w:ascii="Times New Roman" w:hAnsi="Times New Roman"/>
          <w:sz w:val="24"/>
          <w:lang w:val="en-US" w:eastAsia="zh-CN"/>
        </w:rPr>
        <w:t>of</w:t>
      </w:r>
      <w:r>
        <w:rPr>
          <w:rFonts w:ascii="Times New Roman" w:hAnsi="Times New Roman"/>
          <w:sz w:val="24"/>
        </w:rPr>
        <w:t xml:space="preserve"> A</w:t>
      </w:r>
      <w:r>
        <w:rPr>
          <w:rFonts w:hint="eastAsia" w:ascii="Times New Roman" w:hAnsi="Times New Roman"/>
          <w:sz w:val="24"/>
          <w:lang w:val="en-US" w:eastAsia="zh-CN"/>
        </w:rPr>
        <w:t>pplied</w:t>
      </w:r>
      <w:r>
        <w:rPr>
          <w:rFonts w:ascii="Times New Roman" w:hAnsi="Times New Roman"/>
          <w:sz w:val="24"/>
        </w:rPr>
        <w:t xml:space="preserve"> P</w:t>
      </w:r>
      <w:r>
        <w:rPr>
          <w:rFonts w:hint="eastAsia" w:ascii="Times New Roman" w:hAnsi="Times New Roman"/>
          <w:sz w:val="24"/>
          <w:lang w:val="en-US" w:eastAsia="zh-CN"/>
        </w:rPr>
        <w:t>olymer</w:t>
      </w:r>
      <w:r>
        <w:rPr>
          <w:rFonts w:ascii="Times New Roman" w:hAnsi="Times New Roman"/>
          <w:sz w:val="24"/>
        </w:rPr>
        <w:t xml:space="preserve"> S</w:t>
      </w:r>
      <w:r>
        <w:rPr>
          <w:rFonts w:hint="eastAsia" w:ascii="Times New Roman" w:hAnsi="Times New Roman"/>
          <w:sz w:val="24"/>
          <w:lang w:val="en-US" w:eastAsia="zh-CN"/>
        </w:rPr>
        <w:t>cience</w:t>
      </w:r>
      <w:r>
        <w:rPr>
          <w:rFonts w:ascii="Times New Roman" w:hAnsi="Times New Roman"/>
          <w:sz w:val="24"/>
        </w:rPr>
        <w:t xml:space="preserve"> 134 (30)</w:t>
      </w:r>
    </w:p>
    <w:p>
      <w:pPr>
        <w:pStyle w:val="9"/>
        <w:rPr>
          <w:rFonts w:ascii="Times New Roman" w:hAnsi="Times New Roman"/>
          <w:sz w:val="24"/>
        </w:rPr>
      </w:pPr>
      <w:r>
        <w:rPr>
          <w:rFonts w:ascii="Times New Roman" w:hAnsi="Times New Roman"/>
          <w:sz w:val="24"/>
        </w:rPr>
        <w:t>3.</w:t>
      </w:r>
      <w:r>
        <w:rPr>
          <w:rFonts w:ascii="Times New Roman" w:hAnsi="Times New Roman"/>
          <w:sz w:val="24"/>
        </w:rPr>
        <w:tab/>
      </w:r>
      <w:r>
        <w:rPr>
          <w:rFonts w:ascii="Times New Roman" w:hAnsi="Times New Roman"/>
          <w:sz w:val="24"/>
        </w:rPr>
        <w:t>Wang</w:t>
      </w:r>
      <w:r>
        <w:rPr>
          <w:rFonts w:hint="eastAsia" w:ascii="Times New Roman" w:hAnsi="Times New Roman"/>
          <w:sz w:val="24"/>
          <w:lang w:val="en-US" w:eastAsia="zh-CN"/>
        </w:rPr>
        <w:t xml:space="preserve"> </w:t>
      </w:r>
      <w:r>
        <w:rPr>
          <w:rFonts w:ascii="Times New Roman" w:hAnsi="Times New Roman"/>
          <w:sz w:val="24"/>
        </w:rPr>
        <w:t>H</w:t>
      </w:r>
      <w:r>
        <w:rPr>
          <w:rFonts w:hint="eastAsia" w:ascii="Times New Roman" w:hAnsi="Times New Roman"/>
          <w:sz w:val="24"/>
          <w:lang w:val="en-US" w:eastAsia="zh-CN"/>
        </w:rPr>
        <w:t>,</w:t>
      </w:r>
      <w:r>
        <w:rPr>
          <w:rFonts w:ascii="Times New Roman" w:hAnsi="Times New Roman"/>
          <w:sz w:val="24"/>
        </w:rPr>
        <w:t xml:space="preserve"> Eberhardt</w:t>
      </w:r>
      <w:r>
        <w:rPr>
          <w:rFonts w:hint="eastAsia" w:ascii="Times New Roman" w:hAnsi="Times New Roman"/>
          <w:sz w:val="24"/>
          <w:lang w:val="en-US" w:eastAsia="zh-CN"/>
        </w:rPr>
        <w:t xml:space="preserve"> </w:t>
      </w:r>
      <w:r>
        <w:rPr>
          <w:rFonts w:ascii="Times New Roman" w:hAnsi="Times New Roman"/>
          <w:sz w:val="24"/>
        </w:rPr>
        <w:t>T</w:t>
      </w:r>
      <w:r>
        <w:rPr>
          <w:rFonts w:hint="eastAsia" w:ascii="Times New Roman" w:hAnsi="Times New Roman"/>
          <w:sz w:val="24"/>
          <w:lang w:val="en-US" w:eastAsia="zh-CN"/>
        </w:rPr>
        <w:t xml:space="preserve"> </w:t>
      </w:r>
      <w:r>
        <w:rPr>
          <w:rFonts w:ascii="Times New Roman" w:hAnsi="Times New Roman"/>
          <w:sz w:val="24"/>
        </w:rPr>
        <w:t>L</w:t>
      </w:r>
      <w:r>
        <w:rPr>
          <w:rFonts w:hint="eastAsia" w:ascii="Times New Roman" w:hAnsi="Times New Roman"/>
          <w:sz w:val="24"/>
          <w:lang w:val="en-US" w:eastAsia="zh-CN"/>
        </w:rPr>
        <w:t>,</w:t>
      </w:r>
      <w:r>
        <w:rPr>
          <w:rFonts w:ascii="Times New Roman" w:hAnsi="Times New Roman"/>
          <w:sz w:val="24"/>
        </w:rPr>
        <w:t xml:space="preserve"> Wang</w:t>
      </w:r>
      <w:r>
        <w:rPr>
          <w:rFonts w:hint="eastAsia" w:ascii="Times New Roman" w:hAnsi="Times New Roman"/>
          <w:sz w:val="24"/>
          <w:lang w:val="en-US" w:eastAsia="zh-CN"/>
        </w:rPr>
        <w:t xml:space="preserve"> </w:t>
      </w:r>
      <w:r>
        <w:rPr>
          <w:rFonts w:ascii="Times New Roman" w:hAnsi="Times New Roman"/>
          <w:sz w:val="24"/>
        </w:rPr>
        <w:t>C</w:t>
      </w:r>
      <w:r>
        <w:rPr>
          <w:rFonts w:hint="eastAsia" w:ascii="Times New Roman" w:hAnsi="Times New Roman"/>
          <w:sz w:val="24"/>
          <w:lang w:val="en-US" w:eastAsia="zh-CN"/>
        </w:rPr>
        <w:t xml:space="preserve"> </w:t>
      </w:r>
      <w:r>
        <w:rPr>
          <w:rFonts w:ascii="Times New Roman" w:hAnsi="Times New Roman"/>
          <w:sz w:val="24"/>
        </w:rPr>
        <w:t>P</w:t>
      </w:r>
      <w:r>
        <w:rPr>
          <w:rFonts w:hint="eastAsia" w:ascii="Times New Roman" w:hAnsi="Times New Roman"/>
          <w:sz w:val="24"/>
          <w:lang w:val="en-US" w:eastAsia="zh-CN"/>
        </w:rPr>
        <w:t>,</w:t>
      </w:r>
      <w:r>
        <w:rPr>
          <w:rFonts w:ascii="Times New Roman" w:hAnsi="Times New Roman"/>
          <w:sz w:val="24"/>
        </w:rPr>
        <w:t xml:space="preserve"> Gao</w:t>
      </w:r>
      <w:r>
        <w:rPr>
          <w:rFonts w:hint="eastAsia" w:ascii="Times New Roman" w:hAnsi="Times New Roman"/>
          <w:sz w:val="24"/>
          <w:lang w:val="en-US" w:eastAsia="zh-CN"/>
        </w:rPr>
        <w:t xml:space="preserve"> </w:t>
      </w:r>
      <w:r>
        <w:rPr>
          <w:rFonts w:ascii="Times New Roman" w:hAnsi="Times New Roman"/>
          <w:sz w:val="24"/>
        </w:rPr>
        <w:t>S</w:t>
      </w:r>
      <w:r>
        <w:rPr>
          <w:rFonts w:hint="eastAsia" w:ascii="Times New Roman" w:hAnsi="Times New Roman"/>
          <w:sz w:val="24"/>
          <w:lang w:val="en-US" w:eastAsia="zh-CN"/>
        </w:rPr>
        <w:t xml:space="preserve"> </w:t>
      </w:r>
      <w:r>
        <w:rPr>
          <w:rFonts w:ascii="Times New Roman" w:hAnsi="Times New Roman"/>
          <w:sz w:val="24"/>
        </w:rPr>
        <w:t>S</w:t>
      </w:r>
      <w:r>
        <w:rPr>
          <w:rFonts w:hint="eastAsia" w:ascii="Times New Roman" w:hAnsi="Times New Roman"/>
          <w:sz w:val="24"/>
          <w:lang w:val="en-US" w:eastAsia="zh-CN"/>
        </w:rPr>
        <w:t>,</w:t>
      </w:r>
      <w:r>
        <w:rPr>
          <w:rFonts w:ascii="Times New Roman" w:hAnsi="Times New Roman"/>
          <w:sz w:val="24"/>
        </w:rPr>
        <w:t xml:space="preserve"> Pan</w:t>
      </w:r>
      <w:r>
        <w:rPr>
          <w:rFonts w:hint="eastAsia" w:ascii="Times New Roman" w:hAnsi="Times New Roman"/>
          <w:sz w:val="24"/>
          <w:lang w:val="en-US" w:eastAsia="zh-CN"/>
        </w:rPr>
        <w:t xml:space="preserve"> </w:t>
      </w:r>
      <w:r>
        <w:rPr>
          <w:rFonts w:ascii="Times New Roman" w:hAnsi="Times New Roman"/>
          <w:sz w:val="24"/>
        </w:rPr>
        <w:t>H</w:t>
      </w:r>
      <w:r>
        <w:rPr>
          <w:rFonts w:hint="eastAsia" w:ascii="Times New Roman" w:hAnsi="Times New Roman"/>
          <w:sz w:val="24"/>
          <w:lang w:val="en-US" w:eastAsia="zh-CN"/>
        </w:rPr>
        <w:t xml:space="preserve"> (2019)</w:t>
      </w:r>
      <w:r>
        <w:rPr>
          <w:rFonts w:ascii="Times New Roman" w:hAnsi="Times New Roman"/>
          <w:sz w:val="24"/>
        </w:rPr>
        <w:t xml:space="preserve"> Demethylation of </w:t>
      </w:r>
      <w:r>
        <w:rPr>
          <w:rFonts w:hint="eastAsia" w:ascii="Times New Roman" w:hAnsi="Times New Roman"/>
          <w:sz w:val="24"/>
          <w:lang w:val="en-US" w:eastAsia="zh-CN"/>
        </w:rPr>
        <w:t>a</w:t>
      </w:r>
      <w:r>
        <w:rPr>
          <w:rFonts w:ascii="Times New Roman" w:hAnsi="Times New Roman"/>
          <w:sz w:val="24"/>
        </w:rPr>
        <w:t xml:space="preserve">lkali </w:t>
      </w:r>
      <w:r>
        <w:rPr>
          <w:rFonts w:hint="eastAsia" w:ascii="Times New Roman" w:hAnsi="Times New Roman"/>
          <w:sz w:val="24"/>
          <w:lang w:val="en-US" w:eastAsia="zh-CN"/>
        </w:rPr>
        <w:t>l</w:t>
      </w:r>
      <w:r>
        <w:rPr>
          <w:rFonts w:ascii="Times New Roman" w:hAnsi="Times New Roman"/>
          <w:sz w:val="24"/>
        </w:rPr>
        <w:t xml:space="preserve">ignin with </w:t>
      </w:r>
      <w:r>
        <w:rPr>
          <w:rFonts w:hint="eastAsia" w:ascii="Times New Roman" w:hAnsi="Times New Roman"/>
          <w:sz w:val="24"/>
          <w:lang w:val="en-US" w:eastAsia="zh-CN"/>
        </w:rPr>
        <w:t>h</w:t>
      </w:r>
      <w:r>
        <w:rPr>
          <w:rFonts w:ascii="Times New Roman" w:hAnsi="Times New Roman"/>
          <w:sz w:val="24"/>
        </w:rPr>
        <w:t xml:space="preserve">alogen </w:t>
      </w:r>
      <w:r>
        <w:rPr>
          <w:rFonts w:hint="eastAsia" w:ascii="Times New Roman" w:hAnsi="Times New Roman"/>
          <w:sz w:val="24"/>
          <w:lang w:val="en-US" w:eastAsia="zh-CN"/>
        </w:rPr>
        <w:t>a</w:t>
      </w:r>
      <w:r>
        <w:rPr>
          <w:rFonts w:ascii="Times New Roman" w:hAnsi="Times New Roman"/>
          <w:sz w:val="24"/>
        </w:rPr>
        <w:t xml:space="preserve">cids and </w:t>
      </w:r>
      <w:r>
        <w:rPr>
          <w:rFonts w:hint="eastAsia" w:ascii="Times New Roman" w:hAnsi="Times New Roman"/>
          <w:sz w:val="24"/>
          <w:lang w:val="en-US" w:eastAsia="zh-CN"/>
        </w:rPr>
        <w:t>i</w:t>
      </w:r>
      <w:r>
        <w:rPr>
          <w:rFonts w:ascii="Times New Roman" w:hAnsi="Times New Roman"/>
          <w:sz w:val="24"/>
        </w:rPr>
        <w:t xml:space="preserve">ts </w:t>
      </w:r>
      <w:r>
        <w:rPr>
          <w:rFonts w:hint="eastAsia" w:ascii="Times New Roman" w:hAnsi="Times New Roman"/>
          <w:sz w:val="24"/>
          <w:lang w:val="en-US" w:eastAsia="zh-CN"/>
        </w:rPr>
        <w:t>a</w:t>
      </w:r>
      <w:r>
        <w:rPr>
          <w:rFonts w:ascii="Times New Roman" w:hAnsi="Times New Roman"/>
          <w:sz w:val="24"/>
        </w:rPr>
        <w:t xml:space="preserve">pplication to </w:t>
      </w:r>
      <w:r>
        <w:rPr>
          <w:rFonts w:hint="eastAsia" w:ascii="Times New Roman" w:hAnsi="Times New Roman"/>
          <w:sz w:val="24"/>
          <w:lang w:val="en-US" w:eastAsia="zh-CN"/>
        </w:rPr>
        <w:t>p</w:t>
      </w:r>
      <w:r>
        <w:rPr>
          <w:rFonts w:ascii="Times New Roman" w:hAnsi="Times New Roman"/>
          <w:sz w:val="24"/>
        </w:rPr>
        <w:t xml:space="preserve">henolic </w:t>
      </w:r>
      <w:r>
        <w:rPr>
          <w:rFonts w:hint="eastAsia" w:ascii="Times New Roman" w:hAnsi="Times New Roman"/>
          <w:sz w:val="24"/>
          <w:lang w:val="en-US" w:eastAsia="zh-CN"/>
        </w:rPr>
        <w:t>r</w:t>
      </w:r>
      <w:r>
        <w:rPr>
          <w:rFonts w:ascii="Times New Roman" w:hAnsi="Times New Roman"/>
          <w:sz w:val="24"/>
        </w:rPr>
        <w:t>esins. P</w:t>
      </w:r>
      <w:r>
        <w:rPr>
          <w:rFonts w:hint="eastAsia" w:ascii="Times New Roman" w:hAnsi="Times New Roman"/>
          <w:sz w:val="24"/>
          <w:lang w:val="en-US" w:eastAsia="zh-CN"/>
        </w:rPr>
        <w:t>olymers</w:t>
      </w:r>
      <w:r>
        <w:rPr>
          <w:rFonts w:ascii="Times New Roman" w:hAnsi="Times New Roman"/>
          <w:sz w:val="24"/>
        </w:rPr>
        <w:t xml:space="preserve"> 11 (11)</w:t>
      </w:r>
    </w:p>
    <w:p>
      <w:pPr>
        <w:pStyle w:val="9"/>
        <w:rPr>
          <w:rFonts w:ascii="Times New Roman" w:hAnsi="Times New Roman"/>
          <w:sz w:val="24"/>
        </w:rPr>
      </w:pPr>
      <w:r>
        <w:rPr>
          <w:rFonts w:ascii="Times New Roman" w:hAnsi="Times New Roman"/>
          <w:sz w:val="24"/>
        </w:rPr>
        <w:t>4.</w:t>
      </w:r>
      <w:r>
        <w:rPr>
          <w:rFonts w:ascii="Times New Roman" w:hAnsi="Times New Roman"/>
          <w:sz w:val="24"/>
        </w:rPr>
        <w:tab/>
      </w:r>
      <w:r>
        <w:rPr>
          <w:rFonts w:ascii="Times New Roman" w:hAnsi="Times New Roman"/>
          <w:sz w:val="24"/>
        </w:rPr>
        <w:t>Yang W J</w:t>
      </w:r>
      <w:r>
        <w:rPr>
          <w:rFonts w:hint="eastAsia" w:ascii="Times New Roman" w:hAnsi="Times New Roman"/>
          <w:sz w:val="24"/>
          <w:lang w:val="en-US" w:eastAsia="zh-CN"/>
        </w:rPr>
        <w:t>,</w:t>
      </w:r>
      <w:r>
        <w:rPr>
          <w:rFonts w:ascii="Times New Roman" w:hAnsi="Times New Roman"/>
          <w:sz w:val="24"/>
        </w:rPr>
        <w:t xml:space="preserve"> Fortunati E</w:t>
      </w:r>
      <w:r>
        <w:rPr>
          <w:rFonts w:hint="eastAsia" w:ascii="Times New Roman" w:hAnsi="Times New Roman"/>
          <w:sz w:val="24"/>
          <w:lang w:val="en-US" w:eastAsia="zh-CN"/>
        </w:rPr>
        <w:t>,</w:t>
      </w:r>
      <w:r>
        <w:rPr>
          <w:rFonts w:ascii="Times New Roman" w:hAnsi="Times New Roman"/>
          <w:sz w:val="24"/>
        </w:rPr>
        <w:t xml:space="preserve"> Gao</w:t>
      </w:r>
      <w:r>
        <w:rPr>
          <w:rFonts w:hint="eastAsia" w:ascii="Times New Roman" w:hAnsi="Times New Roman"/>
          <w:sz w:val="24"/>
          <w:lang w:val="en-US" w:eastAsia="zh-CN"/>
        </w:rPr>
        <w:t xml:space="preserve"> </w:t>
      </w:r>
      <w:r>
        <w:rPr>
          <w:rFonts w:ascii="Times New Roman" w:hAnsi="Times New Roman"/>
          <w:sz w:val="24"/>
        </w:rPr>
        <w:t>D Q</w:t>
      </w:r>
      <w:r>
        <w:rPr>
          <w:rFonts w:hint="eastAsia" w:ascii="Times New Roman" w:hAnsi="Times New Roman"/>
          <w:sz w:val="24"/>
          <w:lang w:val="en-US" w:eastAsia="zh-CN"/>
        </w:rPr>
        <w:t>,</w:t>
      </w:r>
      <w:r>
        <w:rPr>
          <w:rFonts w:ascii="Times New Roman" w:hAnsi="Times New Roman"/>
          <w:sz w:val="24"/>
        </w:rPr>
        <w:t xml:space="preserve"> Balestra</w:t>
      </w:r>
      <w:r>
        <w:rPr>
          <w:rFonts w:hint="eastAsia" w:ascii="Times New Roman" w:hAnsi="Times New Roman"/>
          <w:sz w:val="24"/>
          <w:lang w:val="en-US" w:eastAsia="zh-CN"/>
        </w:rPr>
        <w:t xml:space="preserve"> </w:t>
      </w:r>
      <w:r>
        <w:rPr>
          <w:rFonts w:ascii="Times New Roman" w:hAnsi="Times New Roman"/>
          <w:sz w:val="24"/>
        </w:rPr>
        <w:t>G</w:t>
      </w:r>
      <w:r>
        <w:rPr>
          <w:rFonts w:hint="eastAsia" w:ascii="Times New Roman" w:hAnsi="Times New Roman"/>
          <w:sz w:val="24"/>
          <w:lang w:val="en-US" w:eastAsia="zh-CN"/>
        </w:rPr>
        <w:t xml:space="preserve"> </w:t>
      </w:r>
      <w:r>
        <w:rPr>
          <w:rFonts w:ascii="Times New Roman" w:hAnsi="Times New Roman"/>
          <w:sz w:val="24"/>
        </w:rPr>
        <w:t>M</w:t>
      </w:r>
      <w:r>
        <w:rPr>
          <w:rFonts w:hint="eastAsia" w:ascii="Times New Roman" w:hAnsi="Times New Roman"/>
          <w:sz w:val="24"/>
          <w:lang w:val="en-US" w:eastAsia="zh-CN"/>
        </w:rPr>
        <w:t>,</w:t>
      </w:r>
      <w:r>
        <w:rPr>
          <w:rFonts w:ascii="Times New Roman" w:hAnsi="Times New Roman"/>
          <w:sz w:val="24"/>
        </w:rPr>
        <w:t xml:space="preserve"> Giovanale G</w:t>
      </w:r>
      <w:r>
        <w:rPr>
          <w:rFonts w:hint="eastAsia" w:ascii="Times New Roman" w:hAnsi="Times New Roman"/>
          <w:sz w:val="24"/>
          <w:lang w:val="en-US" w:eastAsia="zh-CN"/>
        </w:rPr>
        <w:t>,</w:t>
      </w:r>
      <w:r>
        <w:rPr>
          <w:rFonts w:ascii="Times New Roman" w:hAnsi="Times New Roman"/>
          <w:sz w:val="24"/>
        </w:rPr>
        <w:t xml:space="preserve"> He X Y</w:t>
      </w:r>
      <w:r>
        <w:rPr>
          <w:rFonts w:hint="eastAsia" w:ascii="Times New Roman" w:hAnsi="Times New Roman"/>
          <w:sz w:val="24"/>
          <w:lang w:val="en-US" w:eastAsia="zh-CN"/>
        </w:rPr>
        <w:t>,</w:t>
      </w:r>
      <w:r>
        <w:rPr>
          <w:rFonts w:ascii="Times New Roman" w:hAnsi="Times New Roman"/>
          <w:sz w:val="24"/>
        </w:rPr>
        <w:t xml:space="preserve"> Torre</w:t>
      </w:r>
      <w:r>
        <w:rPr>
          <w:rFonts w:hint="eastAsia" w:ascii="Times New Roman" w:hAnsi="Times New Roman"/>
          <w:sz w:val="24"/>
          <w:lang w:val="en-US" w:eastAsia="zh-CN"/>
        </w:rPr>
        <w:t xml:space="preserve"> </w:t>
      </w:r>
      <w:r>
        <w:rPr>
          <w:rFonts w:ascii="Times New Roman" w:hAnsi="Times New Roman"/>
          <w:sz w:val="24"/>
        </w:rPr>
        <w:t>L</w:t>
      </w:r>
      <w:r>
        <w:rPr>
          <w:rFonts w:hint="eastAsia" w:ascii="Times New Roman" w:hAnsi="Times New Roman"/>
          <w:sz w:val="24"/>
          <w:lang w:val="en-US" w:eastAsia="zh-CN"/>
        </w:rPr>
        <w:t>,</w:t>
      </w:r>
      <w:r>
        <w:rPr>
          <w:rFonts w:ascii="Times New Roman" w:hAnsi="Times New Roman"/>
          <w:sz w:val="24"/>
        </w:rPr>
        <w:t xml:space="preserve"> Kenny</w:t>
      </w:r>
      <w:r>
        <w:rPr>
          <w:rFonts w:hint="eastAsia" w:ascii="Times New Roman" w:hAnsi="Times New Roman"/>
          <w:sz w:val="24"/>
          <w:lang w:val="en-US" w:eastAsia="zh-CN"/>
        </w:rPr>
        <w:t xml:space="preserve"> </w:t>
      </w:r>
      <w:r>
        <w:rPr>
          <w:rFonts w:ascii="Times New Roman" w:hAnsi="Times New Roman"/>
          <w:sz w:val="24"/>
        </w:rPr>
        <w:t>J</w:t>
      </w:r>
      <w:r>
        <w:rPr>
          <w:rFonts w:hint="eastAsia" w:ascii="Times New Roman" w:hAnsi="Times New Roman"/>
          <w:sz w:val="24"/>
          <w:lang w:val="en-US" w:eastAsia="zh-CN"/>
        </w:rPr>
        <w:t xml:space="preserve"> </w:t>
      </w:r>
      <w:r>
        <w:rPr>
          <w:rFonts w:ascii="Times New Roman" w:hAnsi="Times New Roman"/>
          <w:sz w:val="24"/>
        </w:rPr>
        <w:t>M</w:t>
      </w:r>
      <w:r>
        <w:rPr>
          <w:rFonts w:hint="eastAsia" w:ascii="Times New Roman" w:hAnsi="Times New Roman"/>
          <w:sz w:val="24"/>
          <w:lang w:val="en-US" w:eastAsia="zh-CN"/>
        </w:rPr>
        <w:t xml:space="preserve">, </w:t>
      </w:r>
      <w:r>
        <w:rPr>
          <w:rFonts w:ascii="Times New Roman" w:hAnsi="Times New Roman"/>
          <w:sz w:val="24"/>
        </w:rPr>
        <w:t>Puglia</w:t>
      </w:r>
      <w:r>
        <w:rPr>
          <w:rFonts w:hint="eastAsia" w:ascii="Times New Roman" w:hAnsi="Times New Roman"/>
          <w:sz w:val="24"/>
          <w:lang w:val="en-US" w:eastAsia="zh-CN"/>
        </w:rPr>
        <w:t xml:space="preserve"> </w:t>
      </w:r>
      <w:r>
        <w:rPr>
          <w:rFonts w:ascii="Times New Roman" w:hAnsi="Times New Roman"/>
          <w:sz w:val="24"/>
        </w:rPr>
        <w:t>D</w:t>
      </w:r>
      <w:r>
        <w:rPr>
          <w:rFonts w:hint="eastAsia" w:ascii="Times New Roman" w:hAnsi="Times New Roman"/>
          <w:sz w:val="24"/>
          <w:lang w:val="en-US" w:eastAsia="zh-CN"/>
        </w:rPr>
        <w:t xml:space="preserve"> (2018) </w:t>
      </w:r>
      <w:r>
        <w:rPr>
          <w:rFonts w:ascii="Times New Roman" w:hAnsi="Times New Roman"/>
          <w:sz w:val="24"/>
        </w:rPr>
        <w:t xml:space="preserve">Valorization of </w:t>
      </w:r>
      <w:r>
        <w:rPr>
          <w:rFonts w:hint="eastAsia" w:ascii="Times New Roman" w:hAnsi="Times New Roman"/>
          <w:sz w:val="24"/>
          <w:lang w:val="en-US" w:eastAsia="zh-CN"/>
        </w:rPr>
        <w:t>a</w:t>
      </w:r>
      <w:r>
        <w:rPr>
          <w:rFonts w:ascii="Times New Roman" w:hAnsi="Times New Roman"/>
          <w:sz w:val="24"/>
        </w:rPr>
        <w:t xml:space="preserve">cid </w:t>
      </w:r>
      <w:r>
        <w:rPr>
          <w:rFonts w:hint="eastAsia" w:ascii="Times New Roman" w:hAnsi="Times New Roman"/>
          <w:sz w:val="24"/>
          <w:lang w:val="en-US" w:eastAsia="zh-CN"/>
        </w:rPr>
        <w:t>i</w:t>
      </w:r>
      <w:r>
        <w:rPr>
          <w:rFonts w:ascii="Times New Roman" w:hAnsi="Times New Roman"/>
          <w:sz w:val="24"/>
        </w:rPr>
        <w:t xml:space="preserve">solated </w:t>
      </w:r>
      <w:r>
        <w:rPr>
          <w:rFonts w:hint="eastAsia" w:ascii="Times New Roman" w:hAnsi="Times New Roman"/>
          <w:sz w:val="24"/>
          <w:lang w:val="en-US" w:eastAsia="zh-CN"/>
        </w:rPr>
        <w:t>h</w:t>
      </w:r>
      <w:r>
        <w:rPr>
          <w:rFonts w:ascii="Times New Roman" w:hAnsi="Times New Roman"/>
          <w:sz w:val="24"/>
        </w:rPr>
        <w:t xml:space="preserve">igh </w:t>
      </w:r>
      <w:r>
        <w:rPr>
          <w:rFonts w:hint="eastAsia" w:ascii="Times New Roman" w:hAnsi="Times New Roman"/>
          <w:sz w:val="24"/>
          <w:lang w:val="en-US" w:eastAsia="zh-CN"/>
        </w:rPr>
        <w:t>y</w:t>
      </w:r>
      <w:r>
        <w:rPr>
          <w:rFonts w:ascii="Times New Roman" w:hAnsi="Times New Roman"/>
          <w:sz w:val="24"/>
        </w:rPr>
        <w:t xml:space="preserve">ield </w:t>
      </w:r>
      <w:r>
        <w:rPr>
          <w:rFonts w:hint="eastAsia" w:ascii="Times New Roman" w:hAnsi="Times New Roman"/>
          <w:sz w:val="24"/>
          <w:lang w:val="en-US" w:eastAsia="zh-CN"/>
        </w:rPr>
        <w:t>l</w:t>
      </w:r>
      <w:r>
        <w:rPr>
          <w:rFonts w:ascii="Times New Roman" w:hAnsi="Times New Roman"/>
          <w:sz w:val="24"/>
        </w:rPr>
        <w:t xml:space="preserve">ignin </w:t>
      </w:r>
      <w:r>
        <w:rPr>
          <w:rFonts w:hint="eastAsia" w:ascii="Times New Roman" w:hAnsi="Times New Roman"/>
          <w:sz w:val="24"/>
          <w:lang w:val="en-US" w:eastAsia="zh-CN"/>
        </w:rPr>
        <w:t>n</w:t>
      </w:r>
      <w:r>
        <w:rPr>
          <w:rFonts w:ascii="Times New Roman" w:hAnsi="Times New Roman"/>
          <w:sz w:val="24"/>
        </w:rPr>
        <w:t xml:space="preserve">anoparticles as </w:t>
      </w:r>
      <w:r>
        <w:rPr>
          <w:rFonts w:hint="eastAsia" w:ascii="Times New Roman" w:hAnsi="Times New Roman"/>
          <w:sz w:val="24"/>
          <w:lang w:val="en-US" w:eastAsia="zh-CN"/>
        </w:rPr>
        <w:t>i</w:t>
      </w:r>
      <w:r>
        <w:rPr>
          <w:rFonts w:ascii="Times New Roman" w:hAnsi="Times New Roman"/>
          <w:sz w:val="24"/>
        </w:rPr>
        <w:t xml:space="preserve">nnovative </w:t>
      </w:r>
      <w:r>
        <w:rPr>
          <w:rFonts w:hint="eastAsia" w:ascii="Times New Roman" w:hAnsi="Times New Roman"/>
          <w:sz w:val="24"/>
          <w:lang w:val="en-US" w:eastAsia="zh-CN"/>
        </w:rPr>
        <w:t>a</w:t>
      </w:r>
      <w:r>
        <w:rPr>
          <w:rFonts w:ascii="Times New Roman" w:hAnsi="Times New Roman"/>
          <w:sz w:val="24"/>
        </w:rPr>
        <w:t>ntioxidant/</w:t>
      </w:r>
      <w:r>
        <w:rPr>
          <w:rFonts w:hint="eastAsia" w:ascii="Times New Roman" w:hAnsi="Times New Roman"/>
          <w:sz w:val="24"/>
          <w:lang w:val="en-US" w:eastAsia="zh-CN"/>
        </w:rPr>
        <w:t>a</w:t>
      </w:r>
      <w:r>
        <w:rPr>
          <w:rFonts w:ascii="Times New Roman" w:hAnsi="Times New Roman"/>
          <w:sz w:val="24"/>
        </w:rPr>
        <w:t xml:space="preserve">ntimicrobial </w:t>
      </w:r>
      <w:r>
        <w:rPr>
          <w:rFonts w:hint="eastAsia" w:ascii="Times New Roman" w:hAnsi="Times New Roman"/>
          <w:sz w:val="24"/>
          <w:lang w:val="en-US" w:eastAsia="zh-CN"/>
        </w:rPr>
        <w:t>o</w:t>
      </w:r>
      <w:r>
        <w:rPr>
          <w:rFonts w:ascii="Times New Roman" w:hAnsi="Times New Roman"/>
          <w:sz w:val="24"/>
        </w:rPr>
        <w:t xml:space="preserve">rganic </w:t>
      </w:r>
      <w:r>
        <w:rPr>
          <w:rFonts w:hint="eastAsia" w:ascii="Times New Roman" w:hAnsi="Times New Roman"/>
          <w:sz w:val="24"/>
          <w:lang w:val="en-US" w:eastAsia="zh-CN"/>
        </w:rPr>
        <w:t>m</w:t>
      </w:r>
      <w:r>
        <w:rPr>
          <w:rFonts w:ascii="Times New Roman" w:hAnsi="Times New Roman"/>
          <w:sz w:val="24"/>
        </w:rPr>
        <w:t>aterials. ACS S</w:t>
      </w:r>
      <w:r>
        <w:rPr>
          <w:rFonts w:hint="eastAsia" w:ascii="Times New Roman" w:hAnsi="Times New Roman"/>
          <w:sz w:val="24"/>
          <w:lang w:val="en-US" w:eastAsia="zh-CN"/>
        </w:rPr>
        <w:t>ustainable</w:t>
      </w:r>
      <w:r>
        <w:rPr>
          <w:rFonts w:ascii="Times New Roman" w:hAnsi="Times New Roman"/>
          <w:sz w:val="24"/>
        </w:rPr>
        <w:t xml:space="preserve"> C</w:t>
      </w:r>
      <w:r>
        <w:rPr>
          <w:rFonts w:hint="eastAsia" w:ascii="Times New Roman" w:hAnsi="Times New Roman"/>
          <w:sz w:val="24"/>
          <w:lang w:val="en-US" w:eastAsia="zh-CN"/>
        </w:rPr>
        <w:t>hemistry</w:t>
      </w:r>
      <w:r>
        <w:rPr>
          <w:rFonts w:ascii="Times New Roman" w:hAnsi="Times New Roman"/>
          <w:sz w:val="24"/>
        </w:rPr>
        <w:t xml:space="preserve"> &amp; E</w:t>
      </w:r>
      <w:r>
        <w:rPr>
          <w:rFonts w:hint="eastAsia" w:ascii="Times New Roman" w:hAnsi="Times New Roman"/>
          <w:sz w:val="24"/>
          <w:lang w:val="en-US" w:eastAsia="zh-CN"/>
        </w:rPr>
        <w:t>ngineering</w:t>
      </w:r>
      <w:r>
        <w:rPr>
          <w:rFonts w:ascii="Times New Roman" w:hAnsi="Times New Roman"/>
          <w:sz w:val="24"/>
        </w:rPr>
        <w:t xml:space="preserve"> 6 (3), 3502-3514</w:t>
      </w:r>
    </w:p>
    <w:p>
      <w:pPr>
        <w:pStyle w:val="9"/>
        <w:rPr>
          <w:rFonts w:ascii="Times New Roman" w:hAnsi="Times New Roman"/>
          <w:sz w:val="24"/>
        </w:rPr>
      </w:pPr>
      <w:r>
        <w:rPr>
          <w:rFonts w:ascii="Times New Roman" w:hAnsi="Times New Roman"/>
          <w:sz w:val="24"/>
        </w:rPr>
        <w:t>5.</w:t>
      </w:r>
      <w:r>
        <w:rPr>
          <w:rFonts w:ascii="Times New Roman" w:hAnsi="Times New Roman"/>
          <w:sz w:val="24"/>
        </w:rPr>
        <w:tab/>
      </w:r>
      <w:r>
        <w:rPr>
          <w:rFonts w:ascii="Times New Roman" w:hAnsi="Times New Roman"/>
          <w:sz w:val="24"/>
        </w:rPr>
        <w:t>Hong</w:t>
      </w:r>
      <w:r>
        <w:rPr>
          <w:rFonts w:hint="eastAsia" w:ascii="Times New Roman" w:hAnsi="Times New Roman"/>
          <w:sz w:val="24"/>
          <w:lang w:val="en-US" w:eastAsia="zh-CN"/>
        </w:rPr>
        <w:t xml:space="preserve"> </w:t>
      </w:r>
      <w:r>
        <w:rPr>
          <w:rFonts w:ascii="Times New Roman" w:hAnsi="Times New Roman"/>
          <w:sz w:val="24"/>
        </w:rPr>
        <w:t>S</w:t>
      </w:r>
      <w:r>
        <w:rPr>
          <w:rFonts w:hint="eastAsia" w:ascii="Times New Roman" w:hAnsi="Times New Roman"/>
          <w:sz w:val="24"/>
          <w:lang w:val="en-US" w:eastAsia="zh-CN"/>
        </w:rPr>
        <w:t>,</w:t>
      </w:r>
      <w:r>
        <w:rPr>
          <w:rFonts w:ascii="Times New Roman" w:hAnsi="Times New Roman"/>
          <w:sz w:val="24"/>
        </w:rPr>
        <w:t xml:space="preserve"> Lian H L</w:t>
      </w:r>
      <w:r>
        <w:rPr>
          <w:rFonts w:hint="eastAsia" w:ascii="Times New Roman" w:hAnsi="Times New Roman"/>
          <w:sz w:val="24"/>
          <w:lang w:val="en-US" w:eastAsia="zh-CN"/>
        </w:rPr>
        <w:t>,</w:t>
      </w:r>
      <w:r>
        <w:rPr>
          <w:rFonts w:ascii="Times New Roman" w:hAnsi="Times New Roman"/>
          <w:sz w:val="24"/>
        </w:rPr>
        <w:t xml:space="preserve"> Sun</w:t>
      </w:r>
      <w:r>
        <w:rPr>
          <w:rFonts w:hint="eastAsia" w:ascii="Times New Roman" w:hAnsi="Times New Roman"/>
          <w:sz w:val="24"/>
          <w:lang w:val="en-US" w:eastAsia="zh-CN"/>
        </w:rPr>
        <w:t xml:space="preserve"> </w:t>
      </w:r>
      <w:r>
        <w:rPr>
          <w:rFonts w:ascii="Times New Roman" w:hAnsi="Times New Roman"/>
          <w:sz w:val="24"/>
        </w:rPr>
        <w:t>X</w:t>
      </w:r>
      <w:r>
        <w:rPr>
          <w:rFonts w:hint="eastAsia" w:ascii="Times New Roman" w:hAnsi="Times New Roman"/>
          <w:sz w:val="24"/>
          <w:lang w:val="en-US" w:eastAsia="zh-CN"/>
        </w:rPr>
        <w:t>,</w:t>
      </w:r>
      <w:r>
        <w:rPr>
          <w:rFonts w:ascii="Times New Roman" w:hAnsi="Times New Roman"/>
          <w:sz w:val="24"/>
        </w:rPr>
        <w:t xml:space="preserve"> Pan</w:t>
      </w:r>
      <w:r>
        <w:rPr>
          <w:rFonts w:hint="eastAsia" w:ascii="Times New Roman" w:hAnsi="Times New Roman"/>
          <w:sz w:val="24"/>
          <w:lang w:val="en-US" w:eastAsia="zh-CN"/>
        </w:rPr>
        <w:t xml:space="preserve"> </w:t>
      </w:r>
      <w:r>
        <w:rPr>
          <w:rFonts w:ascii="Times New Roman" w:hAnsi="Times New Roman"/>
          <w:sz w:val="24"/>
        </w:rPr>
        <w:t>D</w:t>
      </w:r>
      <w:r>
        <w:rPr>
          <w:rFonts w:hint="eastAsia" w:ascii="Times New Roman" w:hAnsi="Times New Roman"/>
          <w:sz w:val="24"/>
          <w:lang w:val="en-US" w:eastAsia="zh-CN"/>
        </w:rPr>
        <w:t>,</w:t>
      </w:r>
      <w:r>
        <w:rPr>
          <w:rFonts w:ascii="Times New Roman" w:hAnsi="Times New Roman"/>
          <w:sz w:val="24"/>
        </w:rPr>
        <w:t xml:space="preserve"> Carranza</w:t>
      </w:r>
      <w:r>
        <w:rPr>
          <w:rFonts w:hint="eastAsia" w:ascii="Times New Roman" w:hAnsi="Times New Roman"/>
          <w:sz w:val="24"/>
          <w:lang w:val="en-US" w:eastAsia="zh-CN"/>
        </w:rPr>
        <w:t xml:space="preserve"> </w:t>
      </w:r>
      <w:r>
        <w:rPr>
          <w:rFonts w:ascii="Times New Roman" w:hAnsi="Times New Roman"/>
          <w:sz w:val="24"/>
        </w:rPr>
        <w:t>A</w:t>
      </w:r>
      <w:r>
        <w:rPr>
          <w:rFonts w:hint="eastAsia" w:ascii="Times New Roman" w:hAnsi="Times New Roman"/>
          <w:sz w:val="24"/>
          <w:lang w:val="en-US" w:eastAsia="zh-CN"/>
        </w:rPr>
        <w:t>,</w:t>
      </w:r>
      <w:r>
        <w:rPr>
          <w:rFonts w:ascii="Times New Roman" w:hAnsi="Times New Roman"/>
          <w:sz w:val="24"/>
        </w:rPr>
        <w:t xml:space="preserve"> Pojman</w:t>
      </w:r>
      <w:r>
        <w:rPr>
          <w:rFonts w:hint="eastAsia" w:ascii="Times New Roman" w:hAnsi="Times New Roman"/>
          <w:sz w:val="24"/>
          <w:lang w:val="en-US" w:eastAsia="zh-CN"/>
        </w:rPr>
        <w:t xml:space="preserve"> </w:t>
      </w:r>
      <w:r>
        <w:rPr>
          <w:rFonts w:ascii="Times New Roman" w:hAnsi="Times New Roman"/>
          <w:sz w:val="24"/>
        </w:rPr>
        <w:t>J</w:t>
      </w:r>
      <w:r>
        <w:rPr>
          <w:rFonts w:hint="eastAsia" w:ascii="Times New Roman" w:hAnsi="Times New Roman"/>
          <w:sz w:val="24"/>
          <w:lang w:val="en-US" w:eastAsia="zh-CN"/>
        </w:rPr>
        <w:t xml:space="preserve"> </w:t>
      </w:r>
      <w:r>
        <w:rPr>
          <w:rFonts w:ascii="Times New Roman" w:hAnsi="Times New Roman"/>
          <w:sz w:val="24"/>
        </w:rPr>
        <w:t>A</w:t>
      </w:r>
      <w:r>
        <w:rPr>
          <w:rFonts w:hint="eastAsia" w:ascii="Times New Roman" w:hAnsi="Times New Roman"/>
          <w:sz w:val="24"/>
          <w:lang w:val="en-US" w:eastAsia="zh-CN"/>
        </w:rPr>
        <w:t xml:space="preserve">, </w:t>
      </w:r>
      <w:r>
        <w:rPr>
          <w:rFonts w:ascii="Times New Roman" w:hAnsi="Times New Roman"/>
          <w:sz w:val="24"/>
        </w:rPr>
        <w:t>Mota-Morales J D</w:t>
      </w:r>
      <w:r>
        <w:rPr>
          <w:rFonts w:hint="eastAsia" w:ascii="Times New Roman" w:hAnsi="Times New Roman"/>
          <w:sz w:val="24"/>
          <w:lang w:val="en-US" w:eastAsia="zh-CN"/>
        </w:rPr>
        <w:t xml:space="preserve"> (2016) </w:t>
      </w:r>
      <w:r>
        <w:rPr>
          <w:rFonts w:ascii="Times New Roman" w:hAnsi="Times New Roman"/>
          <w:sz w:val="24"/>
        </w:rPr>
        <w:t>Zinc-based deep eutectic solvent-mediated hydroxylation and demethoxylation of lignin for the production of wood adhesive. RSC A</w:t>
      </w:r>
      <w:r>
        <w:rPr>
          <w:rFonts w:hint="eastAsia" w:ascii="Times New Roman" w:hAnsi="Times New Roman"/>
          <w:sz w:val="24"/>
          <w:lang w:val="en-US" w:eastAsia="zh-CN"/>
        </w:rPr>
        <w:t>dvances</w:t>
      </w:r>
      <w:r>
        <w:rPr>
          <w:rFonts w:ascii="Times New Roman" w:hAnsi="Times New Roman"/>
          <w:sz w:val="24"/>
        </w:rPr>
        <w:t xml:space="preserve"> 6 (92), 89599-89608</w:t>
      </w:r>
    </w:p>
    <w:p>
      <w:pPr>
        <w:pStyle w:val="9"/>
        <w:rPr>
          <w:rFonts w:ascii="Times New Roman" w:hAnsi="Times New Roman"/>
          <w:sz w:val="24"/>
        </w:rPr>
      </w:pPr>
      <w:r>
        <w:rPr>
          <w:rFonts w:ascii="Times New Roman" w:hAnsi="Times New Roman"/>
          <w:sz w:val="24"/>
        </w:rPr>
        <w:t>6.</w:t>
      </w:r>
      <w:r>
        <w:rPr>
          <w:rFonts w:ascii="Times New Roman" w:hAnsi="Times New Roman"/>
          <w:sz w:val="24"/>
        </w:rPr>
        <w:tab/>
      </w:r>
      <w:r>
        <w:rPr>
          <w:rFonts w:ascii="Times New Roman" w:hAnsi="Times New Roman"/>
          <w:sz w:val="24"/>
        </w:rPr>
        <w:t>Zhang</w:t>
      </w:r>
      <w:r>
        <w:rPr>
          <w:rFonts w:hint="eastAsia" w:ascii="Times New Roman" w:hAnsi="Times New Roman"/>
          <w:sz w:val="24"/>
          <w:lang w:val="en-US" w:eastAsia="zh-CN"/>
        </w:rPr>
        <w:t xml:space="preserve"> </w:t>
      </w:r>
      <w:r>
        <w:rPr>
          <w:rFonts w:ascii="Times New Roman" w:hAnsi="Times New Roman"/>
          <w:sz w:val="24"/>
        </w:rPr>
        <w:t>W</w:t>
      </w:r>
      <w:r>
        <w:rPr>
          <w:rFonts w:hint="eastAsia" w:ascii="Times New Roman" w:hAnsi="Times New Roman"/>
          <w:sz w:val="24"/>
          <w:lang w:val="en-US" w:eastAsia="zh-CN"/>
        </w:rPr>
        <w:t>,</w:t>
      </w:r>
      <w:r>
        <w:rPr>
          <w:rFonts w:ascii="Times New Roman" w:hAnsi="Times New Roman"/>
          <w:sz w:val="24"/>
        </w:rPr>
        <w:t xml:space="preserve"> Ma</w:t>
      </w:r>
      <w:r>
        <w:rPr>
          <w:rFonts w:hint="eastAsia" w:ascii="Times New Roman" w:hAnsi="Times New Roman"/>
          <w:sz w:val="24"/>
          <w:lang w:val="en-US" w:eastAsia="zh-CN"/>
        </w:rPr>
        <w:t xml:space="preserve"> </w:t>
      </w:r>
      <w:r>
        <w:rPr>
          <w:rFonts w:ascii="Times New Roman" w:hAnsi="Times New Roman"/>
          <w:sz w:val="24"/>
        </w:rPr>
        <w:t>Y F</w:t>
      </w:r>
      <w:r>
        <w:rPr>
          <w:rFonts w:hint="eastAsia" w:ascii="Times New Roman" w:hAnsi="Times New Roman"/>
          <w:sz w:val="24"/>
          <w:lang w:val="en-US" w:eastAsia="zh-CN"/>
        </w:rPr>
        <w:t>,</w:t>
      </w:r>
      <w:r>
        <w:rPr>
          <w:rFonts w:ascii="Times New Roman" w:hAnsi="Times New Roman"/>
          <w:sz w:val="24"/>
        </w:rPr>
        <w:t xml:space="preserve"> Wang</w:t>
      </w:r>
      <w:r>
        <w:rPr>
          <w:rFonts w:hint="eastAsia" w:ascii="Times New Roman" w:hAnsi="Times New Roman"/>
          <w:sz w:val="24"/>
          <w:lang w:val="en-US" w:eastAsia="zh-CN"/>
        </w:rPr>
        <w:t xml:space="preserve"> </w:t>
      </w:r>
      <w:r>
        <w:rPr>
          <w:rFonts w:ascii="Times New Roman" w:hAnsi="Times New Roman"/>
          <w:sz w:val="24"/>
        </w:rPr>
        <w:t>C P</w:t>
      </w:r>
      <w:r>
        <w:rPr>
          <w:rFonts w:hint="eastAsia" w:ascii="Times New Roman" w:hAnsi="Times New Roman"/>
          <w:sz w:val="24"/>
          <w:lang w:val="en-US" w:eastAsia="zh-CN"/>
        </w:rPr>
        <w:t>,</w:t>
      </w:r>
      <w:r>
        <w:rPr>
          <w:rFonts w:ascii="Times New Roman" w:hAnsi="Times New Roman"/>
          <w:sz w:val="24"/>
        </w:rPr>
        <w:t xml:space="preserve"> Li S H</w:t>
      </w:r>
      <w:r>
        <w:rPr>
          <w:rFonts w:hint="eastAsia" w:ascii="Times New Roman" w:hAnsi="Times New Roman"/>
          <w:sz w:val="24"/>
          <w:lang w:val="en-US" w:eastAsia="zh-CN"/>
        </w:rPr>
        <w:t>,</w:t>
      </w:r>
      <w:r>
        <w:rPr>
          <w:rFonts w:ascii="Times New Roman" w:hAnsi="Times New Roman"/>
          <w:sz w:val="24"/>
        </w:rPr>
        <w:t xml:space="preserve"> Zhang M M</w:t>
      </w:r>
      <w:r>
        <w:rPr>
          <w:rFonts w:hint="eastAsia" w:ascii="Times New Roman" w:hAnsi="Times New Roman"/>
          <w:sz w:val="24"/>
          <w:lang w:val="en-US" w:eastAsia="zh-CN"/>
        </w:rPr>
        <w:t>,</w:t>
      </w:r>
      <w:r>
        <w:rPr>
          <w:rFonts w:ascii="Times New Roman" w:hAnsi="Times New Roman"/>
          <w:sz w:val="24"/>
        </w:rPr>
        <w:t xml:space="preserve"> Chu F X</w:t>
      </w:r>
      <w:r>
        <w:rPr>
          <w:rFonts w:hint="eastAsia" w:ascii="Times New Roman" w:hAnsi="Times New Roman"/>
          <w:sz w:val="24"/>
          <w:lang w:val="en-US" w:eastAsia="zh-CN"/>
        </w:rPr>
        <w:t xml:space="preserve"> (2013)</w:t>
      </w:r>
      <w:r>
        <w:rPr>
          <w:rFonts w:ascii="Times New Roman" w:hAnsi="Times New Roman"/>
          <w:sz w:val="24"/>
        </w:rPr>
        <w:t xml:space="preserve"> Preparation and properties of lignin-phenol-formaldehyde resins based on different biorefinery residues of agricultural biomass. I</w:t>
      </w:r>
      <w:r>
        <w:rPr>
          <w:rFonts w:hint="eastAsia" w:ascii="Times New Roman" w:hAnsi="Times New Roman"/>
          <w:sz w:val="24"/>
          <w:lang w:val="en-US" w:eastAsia="zh-CN"/>
        </w:rPr>
        <w:t>ndustrial</w:t>
      </w:r>
      <w:r>
        <w:rPr>
          <w:rFonts w:ascii="Times New Roman" w:hAnsi="Times New Roman"/>
          <w:sz w:val="24"/>
        </w:rPr>
        <w:t xml:space="preserve"> C</w:t>
      </w:r>
      <w:r>
        <w:rPr>
          <w:rFonts w:hint="eastAsia" w:ascii="Times New Roman" w:hAnsi="Times New Roman"/>
          <w:sz w:val="24"/>
          <w:lang w:val="en-US" w:eastAsia="zh-CN"/>
        </w:rPr>
        <w:t>rops</w:t>
      </w:r>
      <w:r>
        <w:rPr>
          <w:rFonts w:ascii="Times New Roman" w:hAnsi="Times New Roman"/>
          <w:sz w:val="24"/>
        </w:rPr>
        <w:t xml:space="preserve"> </w:t>
      </w:r>
      <w:r>
        <w:rPr>
          <w:rFonts w:hint="eastAsia" w:ascii="Times New Roman" w:hAnsi="Times New Roman"/>
          <w:sz w:val="24"/>
          <w:lang w:val="en-US" w:eastAsia="zh-CN"/>
        </w:rPr>
        <w:t>and</w:t>
      </w:r>
      <w:r>
        <w:rPr>
          <w:rFonts w:ascii="Times New Roman" w:hAnsi="Times New Roman"/>
          <w:sz w:val="24"/>
        </w:rPr>
        <w:t xml:space="preserve"> P</w:t>
      </w:r>
      <w:r>
        <w:rPr>
          <w:rFonts w:hint="eastAsia" w:ascii="Times New Roman" w:hAnsi="Times New Roman"/>
          <w:sz w:val="24"/>
          <w:lang w:val="en-US" w:eastAsia="zh-CN"/>
        </w:rPr>
        <w:t>roducts</w:t>
      </w:r>
      <w:r>
        <w:rPr>
          <w:rFonts w:ascii="Times New Roman" w:hAnsi="Times New Roman"/>
          <w:sz w:val="24"/>
        </w:rPr>
        <w:t xml:space="preserve"> 43, 326-333</w:t>
      </w:r>
    </w:p>
    <w:p>
      <w:pPr>
        <w:pStyle w:val="9"/>
        <w:rPr>
          <w:rFonts w:ascii="Times New Roman" w:hAnsi="Times New Roman"/>
          <w:sz w:val="24"/>
        </w:rPr>
      </w:pPr>
      <w:r>
        <w:rPr>
          <w:rFonts w:ascii="Times New Roman" w:hAnsi="Times New Roman"/>
          <w:sz w:val="24"/>
        </w:rPr>
        <w:t>7.</w:t>
      </w:r>
      <w:r>
        <w:rPr>
          <w:rFonts w:ascii="Times New Roman" w:hAnsi="Times New Roman"/>
          <w:sz w:val="24"/>
        </w:rPr>
        <w:tab/>
      </w:r>
      <w:r>
        <w:rPr>
          <w:rFonts w:ascii="Times New Roman" w:hAnsi="Times New Roman"/>
          <w:sz w:val="24"/>
        </w:rPr>
        <w:t>Zhang</w:t>
      </w:r>
      <w:r>
        <w:rPr>
          <w:rFonts w:hint="eastAsia" w:ascii="Times New Roman" w:hAnsi="Times New Roman"/>
          <w:sz w:val="24"/>
          <w:lang w:val="en-US" w:eastAsia="zh-CN"/>
        </w:rPr>
        <w:t xml:space="preserve"> </w:t>
      </w:r>
      <w:r>
        <w:rPr>
          <w:rFonts w:ascii="Times New Roman" w:hAnsi="Times New Roman"/>
          <w:sz w:val="24"/>
        </w:rPr>
        <w:t>W</w:t>
      </w:r>
      <w:r>
        <w:rPr>
          <w:rFonts w:hint="eastAsia" w:ascii="Times New Roman" w:hAnsi="Times New Roman"/>
          <w:sz w:val="24"/>
          <w:lang w:val="en-US" w:eastAsia="zh-CN"/>
        </w:rPr>
        <w:t>,</w:t>
      </w:r>
      <w:r>
        <w:rPr>
          <w:rFonts w:ascii="Times New Roman" w:hAnsi="Times New Roman"/>
          <w:sz w:val="24"/>
        </w:rPr>
        <w:t xml:space="preserve"> Ma</w:t>
      </w:r>
      <w:r>
        <w:rPr>
          <w:rFonts w:hint="eastAsia" w:ascii="Times New Roman" w:hAnsi="Times New Roman"/>
          <w:sz w:val="24"/>
          <w:lang w:val="en-US" w:eastAsia="zh-CN"/>
        </w:rPr>
        <w:t xml:space="preserve"> </w:t>
      </w:r>
      <w:r>
        <w:rPr>
          <w:rFonts w:ascii="Times New Roman" w:hAnsi="Times New Roman"/>
          <w:sz w:val="24"/>
        </w:rPr>
        <w:t>Y F</w:t>
      </w:r>
      <w:r>
        <w:rPr>
          <w:rFonts w:hint="eastAsia" w:ascii="Times New Roman" w:hAnsi="Times New Roman"/>
          <w:sz w:val="24"/>
          <w:lang w:val="en-US" w:eastAsia="zh-CN"/>
        </w:rPr>
        <w:t>,</w:t>
      </w:r>
      <w:r>
        <w:rPr>
          <w:rFonts w:ascii="Times New Roman" w:hAnsi="Times New Roman"/>
          <w:sz w:val="24"/>
        </w:rPr>
        <w:t xml:space="preserve"> Xu</w:t>
      </w:r>
      <w:r>
        <w:rPr>
          <w:rFonts w:hint="eastAsia" w:ascii="Times New Roman" w:hAnsi="Times New Roman"/>
          <w:sz w:val="24"/>
          <w:lang w:val="en-US" w:eastAsia="zh-CN"/>
        </w:rPr>
        <w:t xml:space="preserve"> </w:t>
      </w:r>
      <w:r>
        <w:rPr>
          <w:rFonts w:ascii="Times New Roman" w:hAnsi="Times New Roman"/>
          <w:sz w:val="24"/>
        </w:rPr>
        <w:t>Y Z</w:t>
      </w:r>
      <w:r>
        <w:rPr>
          <w:rFonts w:hint="eastAsia" w:ascii="Times New Roman" w:hAnsi="Times New Roman"/>
          <w:sz w:val="24"/>
          <w:lang w:val="en-US" w:eastAsia="zh-CN"/>
        </w:rPr>
        <w:t>,</w:t>
      </w:r>
      <w:r>
        <w:rPr>
          <w:rFonts w:ascii="Times New Roman" w:hAnsi="Times New Roman"/>
          <w:sz w:val="24"/>
        </w:rPr>
        <w:t xml:space="preserve"> Wang C P</w:t>
      </w:r>
      <w:r>
        <w:rPr>
          <w:rFonts w:hint="eastAsia" w:ascii="Times New Roman" w:hAnsi="Times New Roman"/>
          <w:sz w:val="24"/>
          <w:lang w:val="en-US" w:eastAsia="zh-CN"/>
        </w:rPr>
        <w:t>,</w:t>
      </w:r>
      <w:r>
        <w:rPr>
          <w:rFonts w:ascii="Times New Roman" w:hAnsi="Times New Roman"/>
          <w:sz w:val="24"/>
        </w:rPr>
        <w:t xml:space="preserve"> Chu F X</w:t>
      </w:r>
      <w:r>
        <w:rPr>
          <w:rFonts w:hint="eastAsia" w:ascii="Times New Roman" w:hAnsi="Times New Roman"/>
          <w:sz w:val="24"/>
          <w:lang w:val="en-US" w:eastAsia="zh-CN"/>
        </w:rPr>
        <w:t xml:space="preserve"> (2013)</w:t>
      </w:r>
      <w:r>
        <w:rPr>
          <w:rFonts w:ascii="Times New Roman" w:hAnsi="Times New Roman"/>
          <w:sz w:val="24"/>
        </w:rPr>
        <w:t xml:space="preserve"> Lignocellulosic ethanol residue-based lignin-phenol-formaldehyde resin adhesive. I</w:t>
      </w:r>
      <w:r>
        <w:rPr>
          <w:rFonts w:hint="eastAsia" w:ascii="Times New Roman" w:hAnsi="Times New Roman"/>
          <w:sz w:val="24"/>
          <w:lang w:val="en-US" w:eastAsia="zh-CN"/>
        </w:rPr>
        <w:t>nternational</w:t>
      </w:r>
      <w:r>
        <w:rPr>
          <w:rFonts w:ascii="Times New Roman" w:hAnsi="Times New Roman"/>
          <w:sz w:val="24"/>
        </w:rPr>
        <w:t xml:space="preserve"> J</w:t>
      </w:r>
      <w:r>
        <w:rPr>
          <w:rFonts w:hint="eastAsia" w:ascii="Times New Roman" w:hAnsi="Times New Roman"/>
          <w:sz w:val="24"/>
          <w:lang w:val="en-US" w:eastAsia="zh-CN"/>
        </w:rPr>
        <w:t>ournal</w:t>
      </w:r>
      <w:r>
        <w:rPr>
          <w:rFonts w:ascii="Times New Roman" w:hAnsi="Times New Roman"/>
          <w:sz w:val="24"/>
        </w:rPr>
        <w:t xml:space="preserve"> </w:t>
      </w:r>
      <w:r>
        <w:rPr>
          <w:rFonts w:hint="eastAsia" w:ascii="Times New Roman" w:hAnsi="Times New Roman"/>
          <w:sz w:val="24"/>
          <w:lang w:val="en-US" w:eastAsia="zh-CN"/>
        </w:rPr>
        <w:t>of</w:t>
      </w:r>
      <w:r>
        <w:rPr>
          <w:rFonts w:ascii="Times New Roman" w:hAnsi="Times New Roman"/>
          <w:sz w:val="24"/>
        </w:rPr>
        <w:t xml:space="preserve"> A</w:t>
      </w:r>
      <w:r>
        <w:rPr>
          <w:rFonts w:hint="eastAsia" w:ascii="Times New Roman" w:hAnsi="Times New Roman"/>
          <w:sz w:val="24"/>
          <w:lang w:val="en-US" w:eastAsia="zh-CN"/>
        </w:rPr>
        <w:t>dhesion</w:t>
      </w:r>
      <w:r>
        <w:rPr>
          <w:rFonts w:ascii="Times New Roman" w:hAnsi="Times New Roman"/>
          <w:sz w:val="24"/>
        </w:rPr>
        <w:t xml:space="preserve"> </w:t>
      </w:r>
      <w:r>
        <w:rPr>
          <w:rFonts w:hint="eastAsia" w:ascii="Times New Roman" w:hAnsi="Times New Roman"/>
          <w:sz w:val="24"/>
          <w:lang w:val="en-US" w:eastAsia="zh-CN"/>
        </w:rPr>
        <w:t>and</w:t>
      </w:r>
      <w:r>
        <w:rPr>
          <w:rFonts w:ascii="Times New Roman" w:hAnsi="Times New Roman"/>
          <w:sz w:val="24"/>
        </w:rPr>
        <w:t xml:space="preserve"> A</w:t>
      </w:r>
      <w:r>
        <w:rPr>
          <w:rFonts w:hint="eastAsia" w:ascii="Times New Roman" w:hAnsi="Times New Roman"/>
          <w:sz w:val="24"/>
          <w:lang w:val="en-US" w:eastAsia="zh-CN"/>
        </w:rPr>
        <w:t>dhesives</w:t>
      </w:r>
      <w:r>
        <w:rPr>
          <w:rFonts w:ascii="Times New Roman" w:hAnsi="Times New Roman"/>
          <w:sz w:val="24"/>
        </w:rPr>
        <w:t xml:space="preserve"> 40, 11-18</w:t>
      </w:r>
    </w:p>
    <w:p>
      <w:pPr>
        <w:pStyle w:val="9"/>
        <w:rPr>
          <w:rFonts w:hint="eastAsia" w:ascii="Times New Roman" w:hAnsi="Times New Roman"/>
          <w:sz w:val="24"/>
        </w:rPr>
      </w:pPr>
      <w:r>
        <w:rPr>
          <w:rFonts w:hint="eastAsia" w:ascii="Times New Roman" w:hAnsi="Times New Roman"/>
          <w:sz w:val="24"/>
        </w:rPr>
        <w:t>8.</w:t>
      </w:r>
      <w:r>
        <w:rPr>
          <w:rFonts w:hint="eastAsia" w:ascii="Times New Roman" w:hAnsi="Times New Roman"/>
          <w:sz w:val="24"/>
        </w:rPr>
        <w:tab/>
      </w:r>
      <w:r>
        <w:rPr>
          <w:rFonts w:ascii="Times New Roman" w:hAnsi="Times New Roman"/>
          <w:sz w:val="24"/>
        </w:rPr>
        <w:t>Tang S</w:t>
      </w:r>
      <w:r>
        <w:rPr>
          <w:rFonts w:hint="eastAsia" w:ascii="Times New Roman" w:hAnsi="Times New Roman"/>
          <w:sz w:val="24"/>
          <w:lang w:val="en-US" w:eastAsia="zh-CN"/>
        </w:rPr>
        <w:t xml:space="preserve">, </w:t>
      </w:r>
      <w:r>
        <w:rPr>
          <w:rFonts w:ascii="Times New Roman" w:hAnsi="Times New Roman"/>
          <w:sz w:val="24"/>
        </w:rPr>
        <w:t>Mcfarlane C M, Paul G C</w:t>
      </w:r>
      <w:r>
        <w:rPr>
          <w:rFonts w:hint="eastAsia" w:ascii="Times New Roman" w:hAnsi="Times New Roman"/>
          <w:sz w:val="24"/>
          <w:lang w:val="en-US" w:eastAsia="zh-CN"/>
        </w:rPr>
        <w:t xml:space="preserve"> (1999) </w:t>
      </w:r>
      <w:r>
        <w:rPr>
          <w:rFonts w:ascii="Times New Roman" w:hAnsi="Times New Roman"/>
          <w:sz w:val="24"/>
        </w:rPr>
        <w:t>Characterising latex particles and fractal aggregates using image analysis. Colloid and Polymer Science 277(4): 325-333</w:t>
      </w:r>
    </w:p>
    <w:p>
      <w:pPr>
        <w:pStyle w:val="9"/>
        <w:rPr>
          <w:rFonts w:ascii="Times New Roman" w:hAnsi="Times New Roman"/>
          <w:sz w:val="24"/>
        </w:rPr>
      </w:pPr>
      <w:r>
        <w:rPr>
          <w:rFonts w:ascii="Times New Roman" w:hAnsi="Times New Roman"/>
          <w:sz w:val="24"/>
        </w:rPr>
        <w:t>9.</w:t>
      </w:r>
      <w:r>
        <w:rPr>
          <w:rFonts w:ascii="Times New Roman" w:hAnsi="Times New Roman"/>
          <w:sz w:val="24"/>
        </w:rPr>
        <w:tab/>
      </w:r>
      <w:r>
        <w:rPr>
          <w:rFonts w:ascii="Times New Roman" w:hAnsi="Times New Roman"/>
          <w:sz w:val="24"/>
        </w:rPr>
        <w:t>Tang</w:t>
      </w:r>
      <w:r>
        <w:rPr>
          <w:rFonts w:hint="eastAsia" w:ascii="Times New Roman" w:hAnsi="Times New Roman"/>
          <w:sz w:val="24"/>
          <w:lang w:val="en-US" w:eastAsia="zh-CN"/>
        </w:rPr>
        <w:t xml:space="preserve"> </w:t>
      </w:r>
      <w:r>
        <w:rPr>
          <w:rFonts w:ascii="Times New Roman" w:hAnsi="Times New Roman"/>
          <w:sz w:val="24"/>
        </w:rPr>
        <w:t>S</w:t>
      </w:r>
      <w:r>
        <w:rPr>
          <w:rFonts w:hint="eastAsia" w:ascii="Times New Roman" w:hAnsi="Times New Roman"/>
          <w:sz w:val="24"/>
          <w:lang w:val="en-US" w:eastAsia="zh-CN"/>
        </w:rPr>
        <w:t>,</w:t>
      </w:r>
      <w:r>
        <w:rPr>
          <w:rFonts w:ascii="Times New Roman" w:hAnsi="Times New Roman"/>
          <w:sz w:val="24"/>
        </w:rPr>
        <w:t xml:space="preserve"> Preece</w:t>
      </w:r>
      <w:r>
        <w:rPr>
          <w:rFonts w:hint="eastAsia" w:ascii="Times New Roman" w:hAnsi="Times New Roman"/>
          <w:sz w:val="24"/>
          <w:lang w:val="en-US" w:eastAsia="zh-CN"/>
        </w:rPr>
        <w:t xml:space="preserve"> </w:t>
      </w:r>
      <w:r>
        <w:rPr>
          <w:rFonts w:ascii="Times New Roman" w:hAnsi="Times New Roman"/>
          <w:sz w:val="24"/>
        </w:rPr>
        <w:t>J</w:t>
      </w:r>
      <w:r>
        <w:rPr>
          <w:rFonts w:hint="eastAsia" w:ascii="Times New Roman" w:hAnsi="Times New Roman"/>
          <w:sz w:val="24"/>
          <w:lang w:val="en-US" w:eastAsia="zh-CN"/>
        </w:rPr>
        <w:t xml:space="preserve"> </w:t>
      </w:r>
      <w:r>
        <w:rPr>
          <w:rFonts w:ascii="Times New Roman" w:hAnsi="Times New Roman"/>
          <w:sz w:val="24"/>
        </w:rPr>
        <w:t>M</w:t>
      </w:r>
      <w:r>
        <w:rPr>
          <w:rFonts w:hint="eastAsia" w:ascii="Times New Roman" w:hAnsi="Times New Roman"/>
          <w:sz w:val="24"/>
          <w:lang w:val="en-US" w:eastAsia="zh-CN"/>
        </w:rPr>
        <w:t>,</w:t>
      </w:r>
      <w:r>
        <w:rPr>
          <w:rFonts w:ascii="Times New Roman" w:hAnsi="Times New Roman"/>
          <w:sz w:val="24"/>
        </w:rPr>
        <w:t xml:space="preserve"> McFarlane</w:t>
      </w:r>
      <w:r>
        <w:rPr>
          <w:rFonts w:hint="eastAsia" w:ascii="Times New Roman" w:hAnsi="Times New Roman"/>
          <w:sz w:val="24"/>
          <w:lang w:val="en-US" w:eastAsia="zh-CN"/>
        </w:rPr>
        <w:t xml:space="preserve"> </w:t>
      </w:r>
      <w:r>
        <w:rPr>
          <w:rFonts w:ascii="Times New Roman" w:hAnsi="Times New Roman"/>
          <w:sz w:val="24"/>
        </w:rPr>
        <w:t>C</w:t>
      </w:r>
      <w:r>
        <w:rPr>
          <w:rFonts w:hint="eastAsia" w:ascii="Times New Roman" w:hAnsi="Times New Roman"/>
          <w:sz w:val="24"/>
          <w:lang w:val="en-US" w:eastAsia="zh-CN"/>
        </w:rPr>
        <w:t xml:space="preserve"> </w:t>
      </w:r>
      <w:r>
        <w:rPr>
          <w:rFonts w:ascii="Times New Roman" w:hAnsi="Times New Roman"/>
          <w:sz w:val="24"/>
        </w:rPr>
        <w:t>M</w:t>
      </w:r>
      <w:r>
        <w:rPr>
          <w:rFonts w:hint="eastAsia" w:ascii="Times New Roman" w:hAnsi="Times New Roman"/>
          <w:sz w:val="24"/>
          <w:lang w:val="en-US" w:eastAsia="zh-CN"/>
        </w:rPr>
        <w:t xml:space="preserve">, </w:t>
      </w:r>
      <w:r>
        <w:rPr>
          <w:rFonts w:ascii="Times New Roman" w:hAnsi="Times New Roman"/>
          <w:sz w:val="24"/>
        </w:rPr>
        <w:t>Zhang</w:t>
      </w:r>
      <w:r>
        <w:rPr>
          <w:rFonts w:hint="eastAsia" w:ascii="Times New Roman" w:hAnsi="Times New Roman"/>
          <w:sz w:val="24"/>
          <w:lang w:val="en-US" w:eastAsia="zh-CN"/>
        </w:rPr>
        <w:t xml:space="preserve"> </w:t>
      </w:r>
      <w:r>
        <w:rPr>
          <w:rFonts w:ascii="Times New Roman" w:hAnsi="Times New Roman"/>
          <w:sz w:val="24"/>
        </w:rPr>
        <w:t>Z</w:t>
      </w:r>
      <w:r>
        <w:rPr>
          <w:rFonts w:hint="eastAsia" w:ascii="Times New Roman" w:hAnsi="Times New Roman"/>
          <w:sz w:val="24"/>
          <w:lang w:val="en-US" w:eastAsia="zh-CN"/>
        </w:rPr>
        <w:t xml:space="preserve"> (2000) </w:t>
      </w:r>
      <w:r>
        <w:rPr>
          <w:rFonts w:ascii="Times New Roman" w:hAnsi="Times New Roman"/>
          <w:sz w:val="24"/>
        </w:rPr>
        <w:t xml:space="preserve">Fractal </w:t>
      </w:r>
      <w:r>
        <w:rPr>
          <w:rFonts w:hint="eastAsia" w:ascii="Times New Roman" w:hAnsi="Times New Roman"/>
          <w:sz w:val="24"/>
          <w:lang w:val="en-US" w:eastAsia="zh-CN"/>
        </w:rPr>
        <w:t>m</w:t>
      </w:r>
      <w:r>
        <w:rPr>
          <w:rFonts w:ascii="Times New Roman" w:hAnsi="Times New Roman"/>
          <w:sz w:val="24"/>
        </w:rPr>
        <w:t xml:space="preserve">orphology and </w:t>
      </w:r>
      <w:r>
        <w:rPr>
          <w:rFonts w:hint="eastAsia" w:ascii="Times New Roman" w:hAnsi="Times New Roman"/>
          <w:sz w:val="24"/>
          <w:lang w:val="en-US" w:eastAsia="zh-CN"/>
        </w:rPr>
        <w:t>b</w:t>
      </w:r>
      <w:r>
        <w:rPr>
          <w:rFonts w:ascii="Times New Roman" w:hAnsi="Times New Roman"/>
          <w:sz w:val="24"/>
        </w:rPr>
        <w:t xml:space="preserve">reakage of DLCA and RLCA </w:t>
      </w:r>
      <w:r>
        <w:rPr>
          <w:rFonts w:hint="eastAsia" w:ascii="Times New Roman" w:hAnsi="Times New Roman"/>
          <w:sz w:val="24"/>
          <w:lang w:val="en-US" w:eastAsia="zh-CN"/>
        </w:rPr>
        <w:t>a</w:t>
      </w:r>
      <w:r>
        <w:rPr>
          <w:rFonts w:ascii="Times New Roman" w:hAnsi="Times New Roman"/>
          <w:sz w:val="24"/>
        </w:rPr>
        <w:t>ggregates. Journal of Colloid and Interface Science</w:t>
      </w:r>
      <w:r>
        <w:rPr>
          <w:rFonts w:hint="eastAsia" w:ascii="Times New Roman" w:hAnsi="Times New Roman"/>
          <w:sz w:val="24"/>
          <w:lang w:val="en-US" w:eastAsia="zh-CN"/>
        </w:rPr>
        <w:t xml:space="preserve"> </w:t>
      </w:r>
      <w:r>
        <w:rPr>
          <w:rFonts w:ascii="Times New Roman" w:hAnsi="Times New Roman"/>
          <w:sz w:val="24"/>
        </w:rPr>
        <w:t>221 (1), 114-123</w:t>
      </w:r>
    </w:p>
    <w:p>
      <w:pPr>
        <w:ind w:firstLine="422"/>
        <w:rPr>
          <w:rFonts w:ascii="Times New Roman" w:hAnsi="Times New Roman" w:eastAsia="宋体" w:cs="Times New Roman"/>
          <w:sz w:val="24"/>
        </w:rPr>
      </w:pPr>
      <w:r>
        <w:rPr>
          <w:rFonts w:ascii="Times New Roman" w:hAnsi="Times New Roman" w:eastAsia="宋体" w:cs="Times New Roman"/>
          <w:sz w:val="24"/>
        </w:rPr>
        <w:fldChar w:fldCharType="end"/>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14B5E6"/>
    <w:multiLevelType w:val="singleLevel"/>
    <w:tmpl w:val="D614B5E6"/>
    <w:lvl w:ilvl="0" w:tentative="0">
      <w:start w:val="1"/>
      <w:numFmt w:val="decimal"/>
      <w:suff w:val="space"/>
      <w:lvlText w:val="%1."/>
      <w:lvlJc w:val="left"/>
    </w:lvl>
  </w:abstractNum>
  <w:abstractNum w:abstractNumId="1">
    <w:nsid w:val="3D7E5A0D"/>
    <w:multiLevelType w:val="singleLevel"/>
    <w:tmpl w:val="3D7E5A0D"/>
    <w:lvl w:ilvl="0" w:tentative="0">
      <w:start w:val="5"/>
      <w:numFmt w:val="upperLetter"/>
      <w:suff w:val="nothing"/>
      <w:lvlText w:val="%1-"/>
      <w:lvlJc w:val="left"/>
      <w:rPr>
        <w:rFonts w:hint="default" w:ascii="Times New Roman" w:hAnsi="Times New Roman" w:cs="Times New Roman"/>
        <w:b/>
        <w:bCs/>
        <w:sz w:val="24"/>
        <w:szCs w:val="24"/>
      </w:rPr>
    </w:lvl>
  </w:abstractNum>
  <w:abstractNum w:abstractNumId="2">
    <w:nsid w:val="5C389119"/>
    <w:multiLevelType w:val="singleLevel"/>
    <w:tmpl w:val="5C389119"/>
    <w:lvl w:ilvl="0" w:tentative="0">
      <w:start w:val="1"/>
      <w:numFmt w:val="upperLetter"/>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YjFlMTdiNTI4NjVlNjdlNDhlMDUxM2RiNmMxYzEifQ=="/>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x5dsdx5r5pfwee9sbppzai5fzfwvet20r0&quot;&gt;我的EndNote库&lt;record-ids&gt;&lt;item&gt;25&lt;/item&gt;&lt;item&gt;134&lt;/item&gt;&lt;item&gt;135&lt;/item&gt;&lt;item&gt;136&lt;/item&gt;&lt;item&gt;137&lt;/item&gt;&lt;item&gt;138&lt;/item&gt;&lt;item&gt;139&lt;/item&gt;&lt;item&gt;140&lt;/item&gt;&lt;item&gt;164&lt;/item&gt;&lt;/record-ids&gt;&lt;/item&gt;&lt;/Libraries&gt;"/>
  </w:docVars>
  <w:rsids>
    <w:rsidRoot w:val="003903AE"/>
    <w:rsid w:val="0031555E"/>
    <w:rsid w:val="003903AE"/>
    <w:rsid w:val="00602130"/>
    <w:rsid w:val="0072691E"/>
    <w:rsid w:val="00CA7908"/>
    <w:rsid w:val="049C1B9D"/>
    <w:rsid w:val="06A905A2"/>
    <w:rsid w:val="085207C5"/>
    <w:rsid w:val="09736C45"/>
    <w:rsid w:val="0A8D3D36"/>
    <w:rsid w:val="0DF727AB"/>
    <w:rsid w:val="0FC63F72"/>
    <w:rsid w:val="17A977D2"/>
    <w:rsid w:val="1AB62E35"/>
    <w:rsid w:val="1B9C027D"/>
    <w:rsid w:val="1D383FD6"/>
    <w:rsid w:val="1EF04B68"/>
    <w:rsid w:val="213E6742"/>
    <w:rsid w:val="26964247"/>
    <w:rsid w:val="2BB331A5"/>
    <w:rsid w:val="2CEE0C8F"/>
    <w:rsid w:val="2D572256"/>
    <w:rsid w:val="2DED6716"/>
    <w:rsid w:val="325F5E35"/>
    <w:rsid w:val="38825605"/>
    <w:rsid w:val="3BFF41E4"/>
    <w:rsid w:val="3C681D8A"/>
    <w:rsid w:val="3E3839DE"/>
    <w:rsid w:val="46584C1D"/>
    <w:rsid w:val="46CB53EF"/>
    <w:rsid w:val="48B54498"/>
    <w:rsid w:val="4CCC1EC1"/>
    <w:rsid w:val="585925CF"/>
    <w:rsid w:val="58A14202"/>
    <w:rsid w:val="58ED488E"/>
    <w:rsid w:val="5B0171D9"/>
    <w:rsid w:val="5B2F1F99"/>
    <w:rsid w:val="5B3F7D02"/>
    <w:rsid w:val="5CCB5CF1"/>
    <w:rsid w:val="6255678B"/>
    <w:rsid w:val="641E2BAA"/>
    <w:rsid w:val="6C663340"/>
    <w:rsid w:val="6E083B65"/>
    <w:rsid w:val="6E873A42"/>
    <w:rsid w:val="7A1E34AC"/>
    <w:rsid w:val="7C5F2D74"/>
    <w:rsid w:val="7E2146A1"/>
    <w:rsid w:val="7EEF5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7">
    <w:name w:val="EndNote Bibliography Title"/>
    <w:basedOn w:val="1"/>
    <w:link w:val="8"/>
    <w:autoRedefine/>
    <w:qFormat/>
    <w:uiPriority w:val="0"/>
    <w:pPr>
      <w:jc w:val="center"/>
    </w:pPr>
    <w:rPr>
      <w:rFonts w:ascii="Calibri" w:hAnsi="Calibri" w:cs="Calibri"/>
      <w:sz w:val="20"/>
    </w:rPr>
  </w:style>
  <w:style w:type="character" w:customStyle="1" w:styleId="8">
    <w:name w:val="EndNote Bibliography Title 字符"/>
    <w:basedOn w:val="6"/>
    <w:link w:val="7"/>
    <w:autoRedefine/>
    <w:qFormat/>
    <w:uiPriority w:val="0"/>
    <w:rPr>
      <w:rFonts w:ascii="Calibri" w:hAnsi="Calibri" w:cs="Calibri"/>
      <w:kern w:val="2"/>
      <w:szCs w:val="24"/>
    </w:rPr>
  </w:style>
  <w:style w:type="paragraph" w:customStyle="1" w:styleId="9">
    <w:name w:val="EndNote Bibliography"/>
    <w:basedOn w:val="1"/>
    <w:link w:val="10"/>
    <w:autoRedefine/>
    <w:qFormat/>
    <w:uiPriority w:val="0"/>
    <w:rPr>
      <w:rFonts w:ascii="Calibri" w:hAnsi="Calibri" w:cs="Calibri"/>
      <w:sz w:val="20"/>
    </w:rPr>
  </w:style>
  <w:style w:type="character" w:customStyle="1" w:styleId="10">
    <w:name w:val="EndNote Bibliography 字符"/>
    <w:basedOn w:val="6"/>
    <w:link w:val="9"/>
    <w:autoRedefine/>
    <w:qFormat/>
    <w:uiPriority w:val="0"/>
    <w:rPr>
      <w:rFonts w:ascii="Calibri" w:hAnsi="Calibri" w:cs="Calibri"/>
      <w:kern w:val="2"/>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wmf"/><Relationship Id="rId27" Type="http://schemas.openxmlformats.org/officeDocument/2006/relationships/oleObject" Target="embeddings/oleObject3.bin"/><Relationship Id="rId26" Type="http://schemas.openxmlformats.org/officeDocument/2006/relationships/image" Target="media/image20.wmf"/><Relationship Id="rId25" Type="http://schemas.openxmlformats.org/officeDocument/2006/relationships/oleObject" Target="embeddings/oleObject2.bin"/><Relationship Id="rId24" Type="http://schemas.openxmlformats.org/officeDocument/2006/relationships/image" Target="media/image19.wmf"/><Relationship Id="rId23" Type="http://schemas.openxmlformats.org/officeDocument/2006/relationships/oleObject" Target="embeddings/oleObject1.bin"/><Relationship Id="rId22" Type="http://schemas.openxmlformats.org/officeDocument/2006/relationships/image" Target="media/image18.GIF"/><Relationship Id="rId21" Type="http://schemas.openxmlformats.org/officeDocument/2006/relationships/image" Target="media/image17.GIF"/><Relationship Id="rId20" Type="http://schemas.openxmlformats.org/officeDocument/2006/relationships/image" Target="media/image16.GIF"/><Relationship Id="rId2" Type="http://schemas.openxmlformats.org/officeDocument/2006/relationships/settings" Target="settings.xml"/><Relationship Id="rId19" Type="http://schemas.openxmlformats.org/officeDocument/2006/relationships/image" Target="media/image15.GIF"/><Relationship Id="rId18" Type="http://schemas.openxmlformats.org/officeDocument/2006/relationships/image" Target="media/image14.GIF"/><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4359</Words>
  <Characters>24851</Characters>
  <Lines>207</Lines>
  <Paragraphs>58</Paragraphs>
  <TotalTime>12</TotalTime>
  <ScaleCrop>false</ScaleCrop>
  <LinksUpToDate>false</LinksUpToDate>
  <CharactersWithSpaces>29152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2024-05-12T10:26:00Z</dcterms:created>
  <dc:creator>丽</dc:creator>
  <cp:lastModifiedBy>嘻嘻*^_^*</cp:lastModifiedBy>
  <dcterms:modified xsi:type="dcterms:W3CDTF">2024-05-14T01:51:37Z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0CDAC4073FC14B1F8C89E022EF8722EB_12</vt:lpwstr>
  </property>
</Properties>
</file>