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AD65888" w14:textId="306D33F3" w:rsidR="00950E50" w:rsidRDefault="006111D5">
      <w:pPr>
        <w:ind w:left="1600" w:hanging="1600"/>
        <w:rPr>
          <w:rFonts w:ascii="Times New Roman" w:hAnsi="Times New Roman" w:cs="Times New Roman"/>
          <w:sz w:val="20"/>
          <w:szCs w:val="20"/>
        </w:rPr>
      </w:pPr>
      <w:r w:rsidRPr="00253CAA">
        <w:rPr>
          <w:rFonts w:ascii="Times New Roman" w:hAnsi="Times New Roman" w:cs="Times New Roman"/>
          <w:b/>
          <w:bCs/>
          <w:noProof/>
          <w:sz w:val="20"/>
          <w:szCs w:val="20"/>
        </w:rPr>
        <w:drawing>
          <wp:inline distT="0" distB="0" distL="0" distR="0" wp14:anchorId="686EAE91" wp14:editId="435E815B">
            <wp:extent cx="5274310" cy="3506064"/>
            <wp:effectExtent l="0" t="0" r="2540" b="0"/>
            <wp:docPr id="836709580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5060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1469CCE" w14:textId="77777777" w:rsidR="006111D5" w:rsidRDefault="006111D5">
      <w:pPr>
        <w:ind w:left="1600" w:hanging="1600"/>
        <w:rPr>
          <w:rFonts w:ascii="Times New Roman" w:hAnsi="Times New Roman" w:cs="Times New Roman"/>
          <w:sz w:val="20"/>
          <w:szCs w:val="20"/>
        </w:rPr>
      </w:pPr>
    </w:p>
    <w:p w14:paraId="3765D827" w14:textId="77777777" w:rsidR="006111D5" w:rsidRPr="00253CAA" w:rsidRDefault="006111D5" w:rsidP="006111D5">
      <w:pPr>
        <w:ind w:left="0" w:firstLineChars="0" w:firstLine="0"/>
        <w:rPr>
          <w:rFonts w:ascii="Times New Roman" w:hAnsi="Times New Roman" w:cs="Times New Roman"/>
          <w:sz w:val="20"/>
          <w:szCs w:val="20"/>
        </w:rPr>
      </w:pPr>
      <w:r w:rsidRPr="00253CAA">
        <w:rPr>
          <w:rFonts w:ascii="Times New Roman" w:hAnsi="Times New Roman" w:cs="Times New Roman"/>
          <w:b/>
          <w:bCs/>
          <w:sz w:val="20"/>
          <w:szCs w:val="20"/>
        </w:rPr>
        <w:t xml:space="preserve">Fig. S1 (A) </w:t>
      </w:r>
      <w:r w:rsidRPr="00253CAA">
        <w:rPr>
          <w:rFonts w:ascii="Times New Roman" w:hAnsi="Times New Roman" w:cs="Times New Roman"/>
          <w:sz w:val="20"/>
          <w:szCs w:val="20"/>
        </w:rPr>
        <w:t xml:space="preserve">IHC negative control (NC) of </w:t>
      </w:r>
      <w:r w:rsidRPr="00253CAA">
        <w:rPr>
          <w:rFonts w:ascii="Times New Roman" w:hAnsi="Times New Roman" w:cs="Times New Roman"/>
          <w:b/>
          <w:bCs/>
          <w:sz w:val="20"/>
          <w:szCs w:val="20"/>
        </w:rPr>
        <w:t>Fig. 1A</w:t>
      </w:r>
      <w:r w:rsidRPr="00253CAA">
        <w:rPr>
          <w:rFonts w:ascii="Times New Roman" w:hAnsi="Times New Roman" w:cs="Times New Roman"/>
          <w:sz w:val="20"/>
          <w:szCs w:val="20"/>
        </w:rPr>
        <w:t xml:space="preserve">. </w:t>
      </w:r>
      <w:r w:rsidRPr="00253CAA">
        <w:rPr>
          <w:rFonts w:ascii="Times New Roman" w:hAnsi="Times New Roman" w:cs="Times New Roman"/>
          <w:b/>
          <w:bCs/>
          <w:sz w:val="20"/>
          <w:szCs w:val="20"/>
        </w:rPr>
        <w:t>(B)</w:t>
      </w:r>
      <w:r w:rsidRPr="00253CAA">
        <w:rPr>
          <w:rFonts w:ascii="Times New Roman" w:hAnsi="Times New Roman" w:cs="Times New Roman"/>
          <w:sz w:val="20"/>
          <w:szCs w:val="20"/>
        </w:rPr>
        <w:t xml:space="preserve"> Dose-dependent morphological changes and cell survival of Verteporfin treatment in </w:t>
      </w:r>
      <w:proofErr w:type="spellStart"/>
      <w:r w:rsidRPr="00253CAA">
        <w:rPr>
          <w:rFonts w:ascii="Times New Roman" w:hAnsi="Times New Roman" w:cs="Times New Roman"/>
          <w:sz w:val="20"/>
          <w:szCs w:val="20"/>
        </w:rPr>
        <w:t>mDFs</w:t>
      </w:r>
      <w:proofErr w:type="spellEnd"/>
      <w:r w:rsidRPr="00253CAA">
        <w:rPr>
          <w:rFonts w:ascii="Times New Roman" w:hAnsi="Times New Roman" w:cs="Times New Roman"/>
          <w:sz w:val="20"/>
          <w:szCs w:val="20"/>
        </w:rPr>
        <w:t xml:space="preserve"> were observed under bright field at 0, 24, 48, and 72 h after treatment. Representative gross images are shown </w:t>
      </w:r>
      <w:r w:rsidRPr="00253CAA">
        <w:rPr>
          <w:rFonts w:ascii="Times New Roman" w:hAnsi="Times New Roman" w:cs="Times New Roman"/>
          <w:b/>
          <w:bCs/>
          <w:sz w:val="20"/>
          <w:szCs w:val="20"/>
        </w:rPr>
        <w:t>(a)</w:t>
      </w:r>
      <w:r w:rsidRPr="00253CAA">
        <w:rPr>
          <w:rFonts w:ascii="Times New Roman" w:hAnsi="Times New Roman" w:cs="Times New Roman"/>
          <w:sz w:val="20"/>
          <w:szCs w:val="20"/>
        </w:rPr>
        <w:t xml:space="preserve">, while WST-1 assay was used to assess </w:t>
      </w:r>
      <w:proofErr w:type="spellStart"/>
      <w:r w:rsidRPr="00253CAA">
        <w:rPr>
          <w:rFonts w:ascii="Times New Roman" w:hAnsi="Times New Roman" w:cs="Times New Roman"/>
          <w:sz w:val="20"/>
          <w:szCs w:val="20"/>
        </w:rPr>
        <w:t>mDFs</w:t>
      </w:r>
      <w:proofErr w:type="spellEnd"/>
      <w:r w:rsidRPr="00253CAA">
        <w:rPr>
          <w:rFonts w:ascii="Times New Roman" w:hAnsi="Times New Roman" w:cs="Times New Roman"/>
          <w:sz w:val="20"/>
          <w:szCs w:val="20"/>
        </w:rPr>
        <w:t xml:space="preserve"> proliferation at 0, 24, 48, and 72 h. “&amp;&amp;” p &lt; 0.01, 0.5µmol Verteporfin group </w:t>
      </w:r>
      <w:r w:rsidRPr="00253CAA">
        <w:rPr>
          <w:rFonts w:ascii="Times New Roman" w:hAnsi="Times New Roman" w:cs="Times New Roman"/>
          <w:i/>
          <w:iCs/>
          <w:sz w:val="20"/>
          <w:szCs w:val="20"/>
        </w:rPr>
        <w:t>vs</w:t>
      </w:r>
      <w:r w:rsidRPr="00253CAA">
        <w:rPr>
          <w:rFonts w:ascii="Times New Roman" w:hAnsi="Times New Roman" w:cs="Times New Roman"/>
          <w:sz w:val="20"/>
          <w:szCs w:val="20"/>
        </w:rPr>
        <w:t xml:space="preserve"> DMSO group; “%%” p &lt; 0.01, 1μmol Verteporfin group </w:t>
      </w:r>
      <w:r w:rsidRPr="00253CAA">
        <w:rPr>
          <w:rFonts w:ascii="Times New Roman" w:hAnsi="Times New Roman" w:cs="Times New Roman"/>
          <w:i/>
          <w:iCs/>
          <w:sz w:val="20"/>
          <w:szCs w:val="20"/>
        </w:rPr>
        <w:t>vs</w:t>
      </w:r>
      <w:r w:rsidRPr="00253CAA">
        <w:rPr>
          <w:rFonts w:ascii="Times New Roman" w:hAnsi="Times New Roman" w:cs="Times New Roman"/>
          <w:sz w:val="20"/>
          <w:szCs w:val="20"/>
        </w:rPr>
        <w:t xml:space="preserve"> DMSO group; “##” p &lt; 0.01, 5μmol Verteporfin group </w:t>
      </w:r>
      <w:r w:rsidRPr="00253CAA">
        <w:rPr>
          <w:rFonts w:ascii="Times New Roman" w:hAnsi="Times New Roman" w:cs="Times New Roman"/>
          <w:i/>
          <w:iCs/>
          <w:sz w:val="20"/>
          <w:szCs w:val="20"/>
        </w:rPr>
        <w:t>vs</w:t>
      </w:r>
      <w:r w:rsidRPr="00253CAA">
        <w:rPr>
          <w:rFonts w:ascii="Times New Roman" w:hAnsi="Times New Roman" w:cs="Times New Roman"/>
          <w:sz w:val="20"/>
          <w:szCs w:val="20"/>
        </w:rPr>
        <w:t xml:space="preserve"> DMSO group; “**” p &lt; 0.01, 20μmol Verteporfin group </w:t>
      </w:r>
      <w:r w:rsidRPr="00253CAA">
        <w:rPr>
          <w:rFonts w:ascii="Times New Roman" w:hAnsi="Times New Roman" w:cs="Times New Roman"/>
          <w:i/>
          <w:iCs/>
          <w:sz w:val="20"/>
          <w:szCs w:val="20"/>
        </w:rPr>
        <w:t>vs</w:t>
      </w:r>
      <w:r w:rsidRPr="00253CAA">
        <w:rPr>
          <w:rFonts w:ascii="Times New Roman" w:hAnsi="Times New Roman" w:cs="Times New Roman"/>
          <w:sz w:val="20"/>
          <w:szCs w:val="20"/>
        </w:rPr>
        <w:t xml:space="preserve"> DMSO group </w:t>
      </w:r>
      <w:r w:rsidRPr="00253CAA">
        <w:rPr>
          <w:rFonts w:ascii="Times New Roman" w:hAnsi="Times New Roman" w:cs="Times New Roman"/>
          <w:b/>
          <w:bCs/>
          <w:sz w:val="20"/>
          <w:szCs w:val="20"/>
        </w:rPr>
        <w:t>(b)</w:t>
      </w:r>
      <w:r w:rsidRPr="00253CAA">
        <w:rPr>
          <w:rFonts w:ascii="Times New Roman" w:hAnsi="Times New Roman" w:cs="Times New Roman"/>
          <w:sz w:val="20"/>
          <w:szCs w:val="20"/>
        </w:rPr>
        <w:t xml:space="preserve">. </w:t>
      </w:r>
      <w:r w:rsidRPr="00253CAA">
        <w:rPr>
          <w:rFonts w:ascii="Times New Roman" w:hAnsi="Times New Roman" w:cs="Times New Roman"/>
          <w:b/>
          <w:bCs/>
          <w:sz w:val="20"/>
          <w:szCs w:val="20"/>
        </w:rPr>
        <w:t xml:space="preserve">(C) </w:t>
      </w:r>
      <w:r w:rsidRPr="00253CAA">
        <w:rPr>
          <w:rFonts w:ascii="Times New Roman" w:hAnsi="Times New Roman" w:cs="Times New Roman"/>
          <w:sz w:val="20"/>
          <w:szCs w:val="20"/>
        </w:rPr>
        <w:t xml:space="preserve">IF staining was used to evaluate the expression of COL1A2, COL3A1, SPARC, and TSP in ECM. </w:t>
      </w:r>
      <w:r w:rsidRPr="00253CAA">
        <w:rPr>
          <w:rFonts w:ascii="Times New Roman" w:hAnsi="Times New Roman" w:cs="Times New Roman"/>
          <w:b/>
          <w:bCs/>
          <w:sz w:val="20"/>
          <w:szCs w:val="20"/>
        </w:rPr>
        <w:t>(D)</w:t>
      </w:r>
      <w:r w:rsidRPr="00253CAA">
        <w:rPr>
          <w:rFonts w:ascii="Times New Roman" w:hAnsi="Times New Roman" w:cs="Times New Roman"/>
          <w:sz w:val="20"/>
          <w:szCs w:val="20"/>
        </w:rPr>
        <w:t xml:space="preserve"> IF negative control (NC) of </w:t>
      </w:r>
      <w:r w:rsidRPr="00253CAA">
        <w:rPr>
          <w:rFonts w:ascii="Times New Roman" w:hAnsi="Times New Roman" w:cs="Times New Roman"/>
          <w:b/>
          <w:bCs/>
          <w:sz w:val="20"/>
          <w:szCs w:val="20"/>
        </w:rPr>
        <w:t>Fig. 2D, panel c</w:t>
      </w:r>
      <w:r w:rsidRPr="00253CAA">
        <w:rPr>
          <w:rFonts w:ascii="Times New Roman" w:hAnsi="Times New Roman" w:cs="Times New Roman"/>
          <w:sz w:val="20"/>
          <w:szCs w:val="20"/>
        </w:rPr>
        <w:t>.</w:t>
      </w:r>
      <w:r w:rsidRPr="00253CAA">
        <w:rPr>
          <w:rFonts w:ascii="Times New Roman" w:hAnsi="Times New Roman" w:cs="Times New Roman"/>
          <w:b/>
          <w:bCs/>
          <w:sz w:val="20"/>
          <w:szCs w:val="20"/>
        </w:rPr>
        <w:t xml:space="preserve"> (E)</w:t>
      </w:r>
      <w:r w:rsidRPr="00253CAA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253CAA">
        <w:rPr>
          <w:rFonts w:ascii="Times New Roman" w:hAnsi="Times New Roman" w:cs="Times New Roman"/>
          <w:sz w:val="20"/>
          <w:szCs w:val="20"/>
        </w:rPr>
        <w:t>mDFs</w:t>
      </w:r>
      <w:proofErr w:type="spellEnd"/>
      <w:r w:rsidRPr="00253CAA">
        <w:rPr>
          <w:rFonts w:ascii="Times New Roman" w:hAnsi="Times New Roman" w:cs="Times New Roman"/>
          <w:sz w:val="20"/>
          <w:szCs w:val="20"/>
        </w:rPr>
        <w:t xml:space="preserve"> were infected with Ad-RFP or Ad-simEn1, respectively. The fluorescence signals were observed at 36 h after infection</w:t>
      </w:r>
      <w:r w:rsidRPr="00253CAA">
        <w:rPr>
          <w:rFonts w:ascii="Times New Roman" w:hAnsi="Times New Roman" w:cs="Times New Roman"/>
          <w:b/>
          <w:bCs/>
          <w:sz w:val="20"/>
          <w:szCs w:val="20"/>
        </w:rPr>
        <w:t xml:space="preserve"> (a)</w:t>
      </w:r>
      <w:r w:rsidRPr="00253CAA">
        <w:rPr>
          <w:rFonts w:ascii="Times New Roman" w:hAnsi="Times New Roman" w:cs="Times New Roman"/>
          <w:sz w:val="20"/>
          <w:szCs w:val="20"/>
        </w:rPr>
        <w:t xml:space="preserve">, and total RNA was isolated for </w:t>
      </w:r>
      <w:proofErr w:type="spellStart"/>
      <w:r w:rsidRPr="00253CAA">
        <w:rPr>
          <w:rFonts w:ascii="Times New Roman" w:hAnsi="Times New Roman" w:cs="Times New Roman"/>
          <w:sz w:val="20"/>
          <w:szCs w:val="20"/>
        </w:rPr>
        <w:t>TqPCR</w:t>
      </w:r>
      <w:proofErr w:type="spellEnd"/>
      <w:r w:rsidRPr="00253CAA">
        <w:rPr>
          <w:rFonts w:ascii="Times New Roman" w:hAnsi="Times New Roman" w:cs="Times New Roman"/>
          <w:sz w:val="20"/>
          <w:szCs w:val="20"/>
        </w:rPr>
        <w:t xml:space="preserve"> analysis of the expression of </w:t>
      </w:r>
      <w:r w:rsidRPr="00253CAA">
        <w:rPr>
          <w:rFonts w:ascii="Times New Roman" w:hAnsi="Times New Roman" w:cs="Times New Roman"/>
          <w:i/>
          <w:iCs/>
          <w:sz w:val="20"/>
          <w:szCs w:val="20"/>
        </w:rPr>
        <w:t>En-1</w:t>
      </w:r>
      <w:r w:rsidRPr="00253CAA">
        <w:rPr>
          <w:rFonts w:ascii="Times New Roman" w:hAnsi="Times New Roman" w:cs="Times New Roman"/>
          <w:sz w:val="20"/>
          <w:szCs w:val="20"/>
        </w:rPr>
        <w:t xml:space="preserve"> in </w:t>
      </w:r>
      <w:proofErr w:type="spellStart"/>
      <w:r w:rsidRPr="00253CAA">
        <w:rPr>
          <w:rFonts w:ascii="Times New Roman" w:hAnsi="Times New Roman" w:cs="Times New Roman"/>
          <w:sz w:val="20"/>
          <w:szCs w:val="20"/>
        </w:rPr>
        <w:t>mDFs</w:t>
      </w:r>
      <w:proofErr w:type="spellEnd"/>
      <w:r w:rsidRPr="00253CAA">
        <w:rPr>
          <w:rFonts w:ascii="Times New Roman" w:hAnsi="Times New Roman" w:cs="Times New Roman"/>
          <w:sz w:val="20"/>
          <w:szCs w:val="20"/>
        </w:rPr>
        <w:t xml:space="preserve"> at 48 h after infection </w:t>
      </w:r>
      <w:r w:rsidRPr="00253CAA">
        <w:rPr>
          <w:rFonts w:ascii="Times New Roman" w:hAnsi="Times New Roman" w:cs="Times New Roman"/>
          <w:b/>
          <w:bCs/>
          <w:sz w:val="20"/>
          <w:szCs w:val="20"/>
        </w:rPr>
        <w:t>(b)</w:t>
      </w:r>
      <w:r w:rsidRPr="00253CAA">
        <w:rPr>
          <w:rFonts w:ascii="Times New Roman" w:hAnsi="Times New Roman" w:cs="Times New Roman"/>
          <w:sz w:val="20"/>
          <w:szCs w:val="20"/>
        </w:rPr>
        <w:t xml:space="preserve">. </w:t>
      </w:r>
      <w:r w:rsidRPr="00253CAA">
        <w:rPr>
          <w:rFonts w:ascii="Times New Roman" w:hAnsi="Times New Roman" w:cs="Times New Roman"/>
          <w:b/>
          <w:bCs/>
          <w:sz w:val="20"/>
          <w:szCs w:val="20"/>
        </w:rPr>
        <w:t xml:space="preserve">(F) </w:t>
      </w:r>
      <w:r w:rsidRPr="00253CAA">
        <w:rPr>
          <w:rFonts w:ascii="Times New Roman" w:hAnsi="Times New Roman" w:cs="Times New Roman"/>
          <w:sz w:val="20"/>
          <w:szCs w:val="20"/>
        </w:rPr>
        <w:t xml:space="preserve">IF staining was used to evaluate the expression of SPARC, TSP and TNC in ECM. </w:t>
      </w:r>
      <w:r w:rsidRPr="00253CAA">
        <w:rPr>
          <w:rFonts w:ascii="Times New Roman" w:hAnsi="Times New Roman" w:cs="Times New Roman"/>
          <w:b/>
          <w:bCs/>
          <w:sz w:val="20"/>
          <w:szCs w:val="20"/>
        </w:rPr>
        <w:t xml:space="preserve">(G) </w:t>
      </w:r>
      <w:r w:rsidRPr="00253CAA">
        <w:rPr>
          <w:rFonts w:ascii="Times New Roman" w:hAnsi="Times New Roman" w:cs="Times New Roman"/>
          <w:sz w:val="20"/>
          <w:szCs w:val="20"/>
        </w:rPr>
        <w:t xml:space="preserve">IF negative control (NC) of </w:t>
      </w:r>
      <w:r w:rsidRPr="00253CAA">
        <w:rPr>
          <w:rFonts w:ascii="Times New Roman" w:hAnsi="Times New Roman" w:cs="Times New Roman"/>
          <w:b/>
          <w:bCs/>
          <w:sz w:val="20"/>
          <w:szCs w:val="20"/>
        </w:rPr>
        <w:t>Fig. 3D, panel</w:t>
      </w:r>
      <w:r w:rsidRPr="00253CAA">
        <w:rPr>
          <w:rFonts w:ascii="Times New Roman" w:hAnsi="Times New Roman" w:cs="Times New Roman"/>
          <w:sz w:val="20"/>
          <w:szCs w:val="20"/>
        </w:rPr>
        <w:t xml:space="preserve"> </w:t>
      </w:r>
      <w:r w:rsidRPr="00253CAA">
        <w:rPr>
          <w:rFonts w:ascii="Times New Roman" w:hAnsi="Times New Roman" w:cs="Times New Roman"/>
          <w:b/>
          <w:bCs/>
          <w:sz w:val="20"/>
          <w:szCs w:val="20"/>
        </w:rPr>
        <w:t>c</w:t>
      </w:r>
      <w:r w:rsidRPr="00253CAA">
        <w:rPr>
          <w:rFonts w:ascii="Times New Roman" w:hAnsi="Times New Roman" w:cs="Times New Roman"/>
          <w:sz w:val="20"/>
          <w:szCs w:val="20"/>
        </w:rPr>
        <w:t xml:space="preserve">. </w:t>
      </w:r>
      <w:r w:rsidRPr="00253CAA">
        <w:rPr>
          <w:rFonts w:ascii="Times New Roman" w:hAnsi="Times New Roman" w:cs="Times New Roman"/>
          <w:b/>
          <w:bCs/>
          <w:sz w:val="20"/>
          <w:szCs w:val="20"/>
        </w:rPr>
        <w:t>(H)</w:t>
      </w:r>
      <w:r w:rsidRPr="00253CAA">
        <w:rPr>
          <w:rFonts w:ascii="Times New Roman" w:hAnsi="Times New Roman" w:cs="Times New Roman"/>
          <w:sz w:val="20"/>
          <w:szCs w:val="20"/>
        </w:rPr>
        <w:t xml:space="preserve"> Ad-simEn1 and Ad-RFP were purified by using </w:t>
      </w:r>
      <w:proofErr w:type="spellStart"/>
      <w:r w:rsidRPr="00253CAA">
        <w:rPr>
          <w:rFonts w:ascii="Times New Roman" w:hAnsi="Times New Roman" w:cs="Times New Roman"/>
          <w:sz w:val="20"/>
          <w:szCs w:val="20"/>
        </w:rPr>
        <w:t>CsCl</w:t>
      </w:r>
      <w:proofErr w:type="spellEnd"/>
      <w:r w:rsidRPr="00253CAA">
        <w:rPr>
          <w:rFonts w:ascii="Times New Roman" w:hAnsi="Times New Roman" w:cs="Times New Roman"/>
          <w:sz w:val="20"/>
          <w:szCs w:val="20"/>
        </w:rPr>
        <w:t xml:space="preserve"> gradient ultracentrifugation for the </w:t>
      </w:r>
      <w:r w:rsidRPr="00253CAA">
        <w:rPr>
          <w:rFonts w:ascii="Times New Roman" w:hAnsi="Times New Roman" w:cs="Times New Roman"/>
          <w:i/>
          <w:iCs/>
          <w:sz w:val="20"/>
          <w:szCs w:val="20"/>
        </w:rPr>
        <w:t>in vivo</w:t>
      </w:r>
      <w:r w:rsidRPr="00253CAA">
        <w:rPr>
          <w:rFonts w:ascii="Times New Roman" w:hAnsi="Times New Roman" w:cs="Times New Roman"/>
          <w:sz w:val="20"/>
          <w:szCs w:val="20"/>
        </w:rPr>
        <w:t xml:space="preserve"> treatment of the rabbit model of ear skin injury model. </w:t>
      </w:r>
      <w:r w:rsidRPr="00253CAA">
        <w:rPr>
          <w:rFonts w:ascii="Times New Roman" w:hAnsi="Times New Roman" w:cs="Times New Roman"/>
          <w:b/>
          <w:bCs/>
          <w:sz w:val="20"/>
          <w:szCs w:val="20"/>
        </w:rPr>
        <w:t>(I)</w:t>
      </w:r>
      <w:r w:rsidRPr="00253CAA">
        <w:rPr>
          <w:rFonts w:ascii="Times New Roman" w:hAnsi="Times New Roman" w:cs="Times New Roman"/>
          <w:sz w:val="20"/>
          <w:szCs w:val="20"/>
        </w:rPr>
        <w:t xml:space="preserve"> Calculation formula and schematic diagram for the determination of scar elevation index used in the study.</w:t>
      </w:r>
    </w:p>
    <w:p w14:paraId="07E1CCFB" w14:textId="77777777" w:rsidR="006111D5" w:rsidRPr="006111D5" w:rsidRDefault="006111D5">
      <w:pPr>
        <w:ind w:left="1600" w:hanging="1600"/>
        <w:rPr>
          <w:rFonts w:ascii="Times New Roman" w:hAnsi="Times New Roman" w:cs="Times New Roman" w:hint="eastAsia"/>
          <w:sz w:val="20"/>
          <w:szCs w:val="20"/>
        </w:rPr>
      </w:pPr>
    </w:p>
    <w:sectPr w:rsidR="006111D5" w:rsidRPr="006111D5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3EEB5F69" w14:textId="77777777" w:rsidR="00450370" w:rsidRDefault="00450370" w:rsidP="006111D5">
      <w:pPr>
        <w:spacing w:line="240" w:lineRule="auto"/>
        <w:ind w:left="1680" w:hanging="1680"/>
      </w:pPr>
      <w:r>
        <w:separator/>
      </w:r>
    </w:p>
  </w:endnote>
  <w:endnote w:type="continuationSeparator" w:id="0">
    <w:p w14:paraId="40BD008C" w14:textId="77777777" w:rsidR="00450370" w:rsidRDefault="00450370" w:rsidP="006111D5">
      <w:pPr>
        <w:spacing w:line="240" w:lineRule="auto"/>
        <w:ind w:left="1680" w:hanging="168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0D8AA50" w14:textId="77777777" w:rsidR="006111D5" w:rsidRDefault="006111D5">
    <w:pPr>
      <w:pStyle w:val="a5"/>
      <w:ind w:left="1440" w:hanging="144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781D422" w14:textId="77777777" w:rsidR="006111D5" w:rsidRDefault="006111D5">
    <w:pPr>
      <w:pStyle w:val="a5"/>
      <w:ind w:left="1440" w:hanging="1440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BBAACCE" w14:textId="77777777" w:rsidR="006111D5" w:rsidRDefault="006111D5">
    <w:pPr>
      <w:pStyle w:val="a5"/>
      <w:ind w:left="1440" w:hanging="144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14E49C8F" w14:textId="77777777" w:rsidR="00450370" w:rsidRDefault="00450370" w:rsidP="006111D5">
      <w:pPr>
        <w:spacing w:line="240" w:lineRule="auto"/>
        <w:ind w:left="1680" w:hanging="1680"/>
      </w:pPr>
      <w:r>
        <w:separator/>
      </w:r>
    </w:p>
  </w:footnote>
  <w:footnote w:type="continuationSeparator" w:id="0">
    <w:p w14:paraId="18C90F25" w14:textId="77777777" w:rsidR="00450370" w:rsidRDefault="00450370" w:rsidP="006111D5">
      <w:pPr>
        <w:spacing w:line="240" w:lineRule="auto"/>
        <w:ind w:left="1680" w:hanging="168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655C802" w14:textId="77777777" w:rsidR="006111D5" w:rsidRDefault="006111D5">
    <w:pPr>
      <w:pStyle w:val="a3"/>
      <w:ind w:left="1440" w:hanging="144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40336BB" w14:textId="77777777" w:rsidR="006111D5" w:rsidRDefault="006111D5">
    <w:pPr>
      <w:pStyle w:val="a3"/>
      <w:ind w:left="1440" w:hanging="1440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7514C71" w14:textId="77777777" w:rsidR="006111D5" w:rsidRDefault="006111D5">
    <w:pPr>
      <w:pStyle w:val="a3"/>
      <w:ind w:left="1440" w:hanging="144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98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E6998"/>
    <w:rsid w:val="000E6998"/>
    <w:rsid w:val="00450370"/>
    <w:rsid w:val="00601B89"/>
    <w:rsid w:val="006111D5"/>
    <w:rsid w:val="00950E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445D152"/>
  <w15:chartTrackingRefBased/>
  <w15:docId w15:val="{24FDCAC4-CCD4-470D-A7E3-146D862D08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50E50"/>
    <w:pPr>
      <w:spacing w:line="360" w:lineRule="auto"/>
      <w:ind w:left="1928" w:hangingChars="800" w:hanging="1928"/>
      <w:jc w:val="both"/>
    </w:pPr>
    <w:rPr>
      <w:szCs w:val="24"/>
      <w14:ligatures w14:val="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111D5"/>
    <w:pP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6111D5"/>
    <w:rPr>
      <w:sz w:val="18"/>
      <w:szCs w:val="18"/>
      <w14:ligatures w14:val="none"/>
    </w:rPr>
  </w:style>
  <w:style w:type="paragraph" w:styleId="a5">
    <w:name w:val="footer"/>
    <w:basedOn w:val="a"/>
    <w:link w:val="a6"/>
    <w:uiPriority w:val="99"/>
    <w:unhideWhenUsed/>
    <w:rsid w:val="006111D5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6111D5"/>
    <w:rPr>
      <w:sz w:val="18"/>
      <w:szCs w:val="18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header" Target="header3.xml"/><Relationship Id="rId5" Type="http://schemas.openxmlformats.org/officeDocument/2006/relationships/endnotes" Target="endnotes.xml"/><Relationship Id="rId10" Type="http://schemas.openxmlformats.org/officeDocument/2006/relationships/footer" Target="footer2.xml"/><Relationship Id="rId4" Type="http://schemas.openxmlformats.org/officeDocument/2006/relationships/footnotes" Target="footnote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200</Words>
  <Characters>1146</Characters>
  <Application>Microsoft Office Word</Application>
  <DocSecurity>0</DocSecurity>
  <Lines>9</Lines>
  <Paragraphs>2</Paragraphs>
  <ScaleCrop>false</ScaleCrop>
  <Company/>
  <LinksUpToDate>false</LinksUpToDate>
  <CharactersWithSpaces>1344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ailinghao1999@163.com</dc:creator>
  <cp:keywords/>
  <dc:description/>
  <cp:lastModifiedBy>ailinghao1999@163.com</cp:lastModifiedBy>
  <cp:revision>2</cp:revision>
  <dcterms:created xsi:type="dcterms:W3CDTF">2024-05-13T13:07:00Z</dcterms:created>
  <dcterms:modified xsi:type="dcterms:W3CDTF">2024-05-13T13:09:00Z</dcterms:modified>
</cp:coreProperties>
</file>