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300F3" w14:textId="77777777" w:rsidR="002822E7" w:rsidRDefault="002822E7" w:rsidP="002822E7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6659B8CF" wp14:editId="1B13B970">
            <wp:extent cx="5943600" cy="3157220"/>
            <wp:effectExtent l="0" t="0" r="0" b="5080"/>
            <wp:docPr id="97559970" name="Picture 7" descr="A collage of images of different colo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59970" name="Picture 7" descr="A collage of images of different color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83475" w14:textId="77777777" w:rsidR="002822E7" w:rsidRDefault="002822E7" w:rsidP="002822E7">
      <w:pPr>
        <w:spacing w:line="48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Supplementary</w:t>
      </w:r>
      <w:r w:rsidRPr="00E573FD">
        <w:rPr>
          <w:rFonts w:asciiTheme="minorHAnsi" w:hAnsiTheme="minorHAnsi" w:cstheme="minorHAnsi"/>
          <w:b/>
        </w:rPr>
        <w:t xml:space="preserve"> Figure </w:t>
      </w:r>
      <w:r>
        <w:rPr>
          <w:rFonts w:asciiTheme="minorHAnsi" w:hAnsiTheme="minorHAnsi" w:cstheme="minorHAnsi"/>
          <w:b/>
        </w:rPr>
        <w:t xml:space="preserve">1: </w:t>
      </w:r>
      <w:r w:rsidRPr="00E573FD">
        <w:rPr>
          <w:rFonts w:asciiTheme="minorHAnsi" w:hAnsiTheme="minorHAnsi" w:cstheme="minorHAnsi"/>
          <w:b/>
        </w:rPr>
        <w:t>OPC</w:t>
      </w:r>
      <w:r>
        <w:rPr>
          <w:rFonts w:asciiTheme="minorHAnsi" w:hAnsiTheme="minorHAnsi" w:cstheme="minorHAnsi"/>
          <w:b/>
        </w:rPr>
        <w:t>s</w:t>
      </w:r>
      <w:r w:rsidRPr="00E573FD"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/>
        </w:rPr>
        <w:t xml:space="preserve">contribute to the </w:t>
      </w:r>
      <w:r w:rsidRPr="00E573FD">
        <w:rPr>
          <w:rFonts w:asciiTheme="minorHAnsi" w:hAnsiTheme="minorHAnsi" w:cstheme="minorHAnsi"/>
          <w:b/>
        </w:rPr>
        <w:t>phagocytosis of Aβ</w:t>
      </w:r>
      <w:r>
        <w:rPr>
          <w:rFonts w:asciiTheme="minorHAnsi" w:hAnsiTheme="minorHAnsi" w:cstheme="minorHAnsi"/>
          <w:b/>
        </w:rPr>
        <w:t>.</w:t>
      </w:r>
      <w:r w:rsidRPr="00E573FD">
        <w:rPr>
          <w:rFonts w:asciiTheme="minorHAnsi" w:hAnsiTheme="minorHAnsi" w:cstheme="minorHAnsi"/>
          <w:b/>
        </w:rPr>
        <w:t xml:space="preserve"> </w:t>
      </w:r>
    </w:p>
    <w:p w14:paraId="3B513F9A" w14:textId="77777777" w:rsidR="002822E7" w:rsidRPr="001076ED" w:rsidRDefault="002822E7" w:rsidP="002822E7">
      <w:pPr>
        <w:spacing w:line="480" w:lineRule="auto"/>
        <w:jc w:val="both"/>
        <w:rPr>
          <w:rFonts w:asciiTheme="minorHAnsi" w:hAnsiTheme="minorHAnsi" w:cstheme="minorHAnsi"/>
          <w:b/>
        </w:rPr>
      </w:pPr>
      <w:r w:rsidRPr="00E573FD">
        <w:rPr>
          <w:rFonts w:asciiTheme="minorHAnsi" w:hAnsiTheme="minorHAnsi" w:cstheme="minorHAnsi"/>
        </w:rPr>
        <w:t xml:space="preserve">Low magnification image of OPCs (PDGFRα in green, Olig2 in red) surrounding CypHer5e-labeled Aβ oligomers 12 hours after they were injected into the parenchyma (representative image of </w:t>
      </w:r>
      <w:r w:rsidRPr="00E573FD">
        <w:rPr>
          <w:rFonts w:asciiTheme="minorHAnsi" w:hAnsiTheme="minorHAnsi" w:cstheme="minorHAnsi"/>
          <w:i/>
        </w:rPr>
        <w:t>n</w:t>
      </w:r>
      <w:r w:rsidRPr="00E573FD">
        <w:rPr>
          <w:rFonts w:asciiTheme="minorHAnsi" w:hAnsiTheme="minorHAnsi" w:cstheme="minorHAnsi"/>
        </w:rPr>
        <w:t xml:space="preserve">=6; from one independent experiment). </w:t>
      </w:r>
    </w:p>
    <w:p w14:paraId="3701BB48" w14:textId="77777777" w:rsidR="002822E7" w:rsidRDefault="002822E7" w:rsidP="002822E7">
      <w:pPr>
        <w:spacing w:after="160" w:line="259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br w:type="page"/>
      </w:r>
    </w:p>
    <w:p w14:paraId="587A85CF" w14:textId="77777777" w:rsidR="002822E7" w:rsidRDefault="002822E7" w:rsidP="002822E7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5EBDC82A" wp14:editId="31B4E23A">
            <wp:extent cx="5943600" cy="2169795"/>
            <wp:effectExtent l="0" t="0" r="0" b="1905"/>
            <wp:docPr id="370516049" name="Picture 8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516049" name="Picture 8" descr="A graph of different colored bar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C2911" w14:textId="77777777" w:rsidR="002822E7" w:rsidRPr="00E573FD" w:rsidRDefault="002822E7" w:rsidP="002822E7">
      <w:pPr>
        <w:spacing w:line="48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Supplementary</w:t>
      </w:r>
      <w:r w:rsidRPr="00E573FD">
        <w:rPr>
          <w:rFonts w:asciiTheme="minorHAnsi" w:hAnsiTheme="minorHAnsi" w:cstheme="minorHAnsi"/>
          <w:b/>
        </w:rPr>
        <w:t xml:space="preserve"> Figure </w:t>
      </w:r>
      <w:r>
        <w:rPr>
          <w:rFonts w:asciiTheme="minorHAnsi" w:hAnsiTheme="minorHAnsi" w:cstheme="minorHAnsi"/>
          <w:b/>
        </w:rPr>
        <w:t>2</w:t>
      </w:r>
      <w:r w:rsidRPr="00E573FD">
        <w:rPr>
          <w:rFonts w:asciiTheme="minorHAnsi" w:hAnsiTheme="minorHAnsi" w:cstheme="minorHAnsi"/>
          <w:b/>
        </w:rPr>
        <w:t>: VEGF does not mediate the effect of clusterin on OPC differentiation</w:t>
      </w:r>
      <w:r>
        <w:rPr>
          <w:rFonts w:asciiTheme="minorHAnsi" w:hAnsiTheme="minorHAnsi" w:cstheme="minorHAnsi"/>
          <w:b/>
        </w:rPr>
        <w:t>.</w:t>
      </w:r>
    </w:p>
    <w:p w14:paraId="23706D56" w14:textId="77777777" w:rsidR="002822E7" w:rsidRPr="00505275" w:rsidRDefault="002822E7" w:rsidP="002822E7">
      <w:pPr>
        <w:spacing w:line="480" w:lineRule="auto"/>
        <w:jc w:val="both"/>
        <w:rPr>
          <w:rFonts w:asciiTheme="minorHAnsi" w:hAnsiTheme="minorHAnsi" w:cstheme="minorHAnsi"/>
        </w:rPr>
      </w:pPr>
      <w:r w:rsidRPr="00E573FD">
        <w:rPr>
          <w:rFonts w:asciiTheme="minorHAnsi" w:hAnsiTheme="minorHAnsi" w:cstheme="minorHAnsi"/>
        </w:rPr>
        <w:t xml:space="preserve">Expression of </w:t>
      </w:r>
      <w:r w:rsidRPr="00E573FD">
        <w:rPr>
          <w:rFonts w:asciiTheme="minorHAnsi" w:hAnsiTheme="minorHAnsi" w:cstheme="minorHAnsi"/>
          <w:i/>
        </w:rPr>
        <w:t>Mbp</w:t>
      </w:r>
      <w:r w:rsidRPr="00E573FD">
        <w:rPr>
          <w:rFonts w:asciiTheme="minorHAnsi" w:hAnsiTheme="minorHAnsi" w:cstheme="minorHAnsi"/>
        </w:rPr>
        <w:t xml:space="preserve"> (</w:t>
      </w:r>
      <w:r>
        <w:rPr>
          <w:rFonts w:asciiTheme="minorHAnsi" w:hAnsiTheme="minorHAnsi" w:cstheme="minorHAnsi"/>
          <w:b/>
        </w:rPr>
        <w:t>A</w:t>
      </w:r>
      <w:r w:rsidRPr="00E573FD">
        <w:rPr>
          <w:rFonts w:asciiTheme="minorHAnsi" w:hAnsiTheme="minorHAnsi" w:cstheme="minorHAnsi"/>
        </w:rPr>
        <w:t xml:space="preserve">), </w:t>
      </w:r>
      <w:r w:rsidRPr="00E573FD">
        <w:rPr>
          <w:rFonts w:asciiTheme="minorHAnsi" w:hAnsiTheme="minorHAnsi" w:cstheme="minorHAnsi"/>
          <w:i/>
        </w:rPr>
        <w:t>Plp1</w:t>
      </w:r>
      <w:r w:rsidRPr="00E573FD">
        <w:rPr>
          <w:rFonts w:asciiTheme="minorHAnsi" w:hAnsiTheme="minorHAnsi" w:cstheme="minorHAnsi"/>
        </w:rPr>
        <w:t xml:space="preserve"> (</w:t>
      </w:r>
      <w:r>
        <w:rPr>
          <w:rFonts w:asciiTheme="minorHAnsi" w:hAnsiTheme="minorHAnsi" w:cstheme="minorHAnsi"/>
          <w:b/>
        </w:rPr>
        <w:t>B</w:t>
      </w:r>
      <w:r w:rsidRPr="00E573FD">
        <w:rPr>
          <w:rFonts w:asciiTheme="minorHAnsi" w:hAnsiTheme="minorHAnsi" w:cstheme="minorHAnsi"/>
        </w:rPr>
        <w:t xml:space="preserve">), and </w:t>
      </w:r>
      <w:r w:rsidRPr="00E573FD">
        <w:rPr>
          <w:rFonts w:asciiTheme="minorHAnsi" w:hAnsiTheme="minorHAnsi" w:cstheme="minorHAnsi"/>
          <w:i/>
        </w:rPr>
        <w:t>Myrf</w:t>
      </w:r>
      <w:r w:rsidRPr="00E573FD">
        <w:rPr>
          <w:rFonts w:asciiTheme="minorHAnsi" w:hAnsiTheme="minorHAnsi" w:cstheme="minorHAnsi"/>
        </w:rPr>
        <w:t xml:space="preserve"> (</w:t>
      </w:r>
      <w:r>
        <w:rPr>
          <w:rFonts w:asciiTheme="minorHAnsi" w:hAnsiTheme="minorHAnsi" w:cstheme="minorHAnsi"/>
          <w:b/>
        </w:rPr>
        <w:t>C</w:t>
      </w:r>
      <w:r w:rsidRPr="00E573FD">
        <w:rPr>
          <w:rFonts w:asciiTheme="minorHAnsi" w:hAnsiTheme="minorHAnsi" w:cstheme="minorHAnsi"/>
        </w:rPr>
        <w:t>), measured by qPCR in OPCs cultured in proliferation media (OPC CTL), differentiation media (OLG CTL), differentiation media supplemented with 8µg/ml of clusterin (OLG CLU), differentiation media supplemented with 10µg/ml VEGF function-blocking antibody (OLG α-VEGF), or differentiation media supplemented with 8µg/ml of clusterin and 10µg/ml VEGF function-blocking antibody (OLG CLU α-VEGF) for 72 hours (</w:t>
      </w:r>
      <w:r w:rsidRPr="00E573FD">
        <w:rPr>
          <w:rFonts w:asciiTheme="minorHAnsi" w:hAnsiTheme="minorHAnsi" w:cstheme="minorHAnsi"/>
          <w:i/>
        </w:rPr>
        <w:t>n</w:t>
      </w:r>
      <w:r w:rsidRPr="00E573FD">
        <w:rPr>
          <w:rFonts w:asciiTheme="minorHAnsi" w:hAnsiTheme="minorHAnsi" w:cstheme="minorHAnsi"/>
        </w:rPr>
        <w:t xml:space="preserve">=5 for all conditions; from one independent experiment). Statistics calculated using a repeated measures one-way ANOVA with a Tukey’s post-hoc analysis; </w:t>
      </w:r>
      <w:r w:rsidRPr="00E573FD">
        <w:rPr>
          <w:rFonts w:asciiTheme="minorHAnsi" w:hAnsiTheme="minorHAnsi" w:cstheme="minorHAnsi"/>
          <w:i/>
        </w:rPr>
        <w:t xml:space="preserve">Mbp </w:t>
      </w:r>
      <w:r w:rsidRPr="00E573FD">
        <w:rPr>
          <w:rFonts w:asciiTheme="minorHAnsi" w:hAnsiTheme="minorHAnsi" w:cstheme="minorHAnsi"/>
        </w:rPr>
        <w:t xml:space="preserve">F(4,16)=28.66, </w:t>
      </w:r>
      <w:r w:rsidRPr="00E573FD">
        <w:rPr>
          <w:rFonts w:asciiTheme="minorHAnsi" w:hAnsiTheme="minorHAnsi" w:cstheme="minorHAnsi"/>
          <w:i/>
        </w:rPr>
        <w:t xml:space="preserve">Plp1 </w:t>
      </w:r>
      <w:r w:rsidRPr="00E573FD">
        <w:rPr>
          <w:rFonts w:asciiTheme="minorHAnsi" w:hAnsiTheme="minorHAnsi" w:cstheme="minorHAnsi"/>
        </w:rPr>
        <w:t xml:space="preserve">F(4,16)=49.31,  </w:t>
      </w:r>
      <w:r w:rsidRPr="00E573FD">
        <w:rPr>
          <w:rFonts w:asciiTheme="minorHAnsi" w:hAnsiTheme="minorHAnsi" w:cstheme="minorHAnsi"/>
          <w:i/>
        </w:rPr>
        <w:t>Myrf</w:t>
      </w:r>
      <w:r w:rsidRPr="00E573FD">
        <w:rPr>
          <w:rFonts w:asciiTheme="minorHAnsi" w:hAnsiTheme="minorHAnsi" w:cstheme="minorHAnsi"/>
        </w:rPr>
        <w:t xml:space="preserve"> F(4,16)=74.58. *p&lt;0.05, **p&lt;0.01, ***p&lt;0.001 ****p&lt;0.0001. All error bars represent SEM.</w:t>
      </w:r>
      <w:r>
        <w:rPr>
          <w:rFonts w:asciiTheme="minorHAnsi" w:hAnsiTheme="minorHAnsi" w:cstheme="minorHAnsi"/>
          <w:b/>
          <w:bCs/>
        </w:rPr>
        <w:br w:type="page"/>
      </w:r>
    </w:p>
    <w:p w14:paraId="3AD379DD" w14:textId="2B1F2EF8" w:rsidR="00755780" w:rsidRDefault="002822E7" w:rsidP="002822E7">
      <w:r w:rsidRPr="00E573FD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357A54A" wp14:editId="546CAFAB">
            <wp:simplePos x="0" y="0"/>
            <wp:positionH relativeFrom="margin">
              <wp:posOffset>0</wp:posOffset>
            </wp:positionH>
            <wp:positionV relativeFrom="margin">
              <wp:posOffset>182880</wp:posOffset>
            </wp:positionV>
            <wp:extent cx="6113124" cy="4426745"/>
            <wp:effectExtent l="0" t="0" r="2540" b="0"/>
            <wp:wrapSquare wrapText="bothSides"/>
            <wp:docPr id="12" name="Picture 12" descr="A table of medical reco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table of medical records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3124" cy="4426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73FD">
        <w:rPr>
          <w:rFonts w:asciiTheme="minorHAnsi" w:hAnsiTheme="minorHAnsi" w:cstheme="minorHAnsi"/>
          <w:b/>
          <w:bCs/>
        </w:rPr>
        <w:t>S</w:t>
      </w:r>
      <w:r>
        <w:rPr>
          <w:rFonts w:asciiTheme="minorHAnsi" w:hAnsiTheme="minorHAnsi" w:cstheme="minorHAnsi"/>
          <w:b/>
          <w:bCs/>
        </w:rPr>
        <w:t>upplementary</w:t>
      </w:r>
      <w:r w:rsidRPr="00E573FD">
        <w:rPr>
          <w:rFonts w:asciiTheme="minorHAnsi" w:hAnsiTheme="minorHAnsi" w:cstheme="minorHAnsi"/>
          <w:b/>
          <w:bCs/>
        </w:rPr>
        <w:t xml:space="preserve"> </w:t>
      </w:r>
      <w:r>
        <w:rPr>
          <w:rFonts w:asciiTheme="minorHAnsi" w:hAnsiTheme="minorHAnsi" w:cstheme="minorHAnsi"/>
          <w:b/>
          <w:bCs/>
        </w:rPr>
        <w:t>Table 1</w:t>
      </w:r>
      <w:r w:rsidRPr="00E573FD">
        <w:rPr>
          <w:rFonts w:asciiTheme="minorHAnsi" w:hAnsiTheme="minorHAnsi" w:cstheme="minorHAnsi"/>
          <w:b/>
        </w:rPr>
        <w:t>: List of human cases used for Clusterin analysis (Fig 1</w:t>
      </w:r>
      <w:r>
        <w:rPr>
          <w:rFonts w:asciiTheme="minorHAnsi" w:hAnsiTheme="minorHAnsi" w:cstheme="minorHAnsi"/>
          <w:b/>
        </w:rPr>
        <w:t>A-B</w:t>
      </w:r>
      <w:r w:rsidRPr="00E573FD">
        <w:rPr>
          <w:rFonts w:asciiTheme="minorHAnsi" w:hAnsiTheme="minorHAnsi" w:cstheme="minorHAnsi"/>
          <w:b/>
        </w:rPr>
        <w:t>)</w:t>
      </w:r>
      <w:r w:rsidRPr="00E573FD">
        <w:rPr>
          <w:rFonts w:asciiTheme="minorHAnsi" w:hAnsiTheme="minorHAnsi" w:cstheme="minorHAnsi"/>
        </w:rPr>
        <w:t xml:space="preserve">. Cases were analyzed by a board-certified neuropathologist according to current diagnostic guidelines for Alzheimer’s disease neuropathologic change (ADNC, PMID: 22101365, 22265587), Cerebral amyloid angiopathy (CAA, PMID: 25716356), Aging-related tau astrogliopathy (ARTAG, PMID: 26659578), Limbic-predominant age-related TDP-43 encephalopathy neuropathologic change (LATE NC, PMID: 31039256) and primary age-related tauopathy (PART, PMID: 25348064). Additional abbreviations used in the table: Braak – Braak stage; CVD – Cerebrovascular disease; Thal – Thal phase; </w:t>
      </w:r>
      <w:r w:rsidRPr="00E573FD">
        <w:rPr>
          <w:rFonts w:asciiTheme="minorHAnsi" w:hAnsiTheme="minorHAnsi" w:cstheme="minorHAnsi"/>
          <w:color w:val="000000"/>
        </w:rPr>
        <w:t>CERAD - Consortium to establish a registry for Alzheimer's disease</w:t>
      </w:r>
      <w:r>
        <w:rPr>
          <w:rFonts w:asciiTheme="minorHAnsi" w:hAnsiTheme="minorHAnsi" w:cstheme="minorHAnsi"/>
          <w:color w:val="000000"/>
        </w:rPr>
        <w:t>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2E7"/>
    <w:rsid w:val="002822E7"/>
    <w:rsid w:val="00331A6B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DF4AD"/>
  <w15:chartTrackingRefBased/>
  <w15:docId w15:val="{644EC56E-420E-4F40-B449-02A79BDEF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2E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2E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2E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2E7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2E7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2E7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2E7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2E7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E7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E7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2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2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2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22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2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2E7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2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22E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2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22E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2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22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276</Words>
  <Characters>1575</Characters>
  <Application>Microsoft Office Word</Application>
  <DocSecurity>0</DocSecurity>
  <Lines>13</Lines>
  <Paragraphs>3</Paragraphs>
  <ScaleCrop>false</ScaleCrop>
  <Company>Springer Nature</Company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2024-05-23T12:26:00Z</dcterms:created>
  <dcterms:modified xsi:type="dcterms:W3CDTF">2024-05-23T12:27:00Z</dcterms:modified>
</cp:coreProperties>
</file>