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69F77" w14:textId="77777777" w:rsidR="00440D9A" w:rsidRPr="00E73AF3" w:rsidRDefault="00440D9A" w:rsidP="00440D9A">
      <w:pPr>
        <w:spacing w:line="480" w:lineRule="auto"/>
        <w:jc w:val="both"/>
        <w:rPr>
          <w:lang w:val="en-US"/>
        </w:rPr>
      </w:pPr>
    </w:p>
    <w:p w14:paraId="47106C00" w14:textId="77777777" w:rsidR="00440D9A" w:rsidRPr="00E73AF3" w:rsidRDefault="00440D9A" w:rsidP="00440D9A">
      <w:pPr>
        <w:spacing w:line="480" w:lineRule="auto"/>
        <w:jc w:val="both"/>
        <w:rPr>
          <w:b/>
          <w:lang w:val="en-US"/>
        </w:rPr>
      </w:pPr>
      <w:r w:rsidRPr="00E73AF3">
        <w:rPr>
          <w:b/>
          <w:lang w:val="en-US"/>
        </w:rPr>
        <w:t>Supplementary Table 1. Lists of DEGs relative to Fig. 2 and Supplementary Fig. 4.</w:t>
      </w:r>
    </w:p>
    <w:p w14:paraId="5C0C18AF" w14:textId="77777777" w:rsidR="00440D9A" w:rsidRPr="00E73AF3" w:rsidRDefault="00440D9A" w:rsidP="00440D9A">
      <w:pPr>
        <w:spacing w:line="480" w:lineRule="auto"/>
        <w:jc w:val="both"/>
        <w:rPr>
          <w:b/>
          <w:lang w:val="en-US"/>
        </w:rPr>
      </w:pPr>
    </w:p>
    <w:p w14:paraId="571BE5DD" w14:textId="77777777" w:rsidR="00440D9A" w:rsidRPr="00E73AF3" w:rsidRDefault="00440D9A" w:rsidP="00440D9A">
      <w:pPr>
        <w:spacing w:line="480" w:lineRule="auto"/>
        <w:jc w:val="both"/>
        <w:rPr>
          <w:lang w:val="en-US"/>
        </w:rPr>
      </w:pPr>
      <w:r w:rsidRPr="00E73AF3">
        <w:rPr>
          <w:b/>
          <w:lang w:val="en-US"/>
        </w:rPr>
        <w:t xml:space="preserve">Supplementary Table 2. Lists of filtered and grouped KEGG pathways relative to Fig. 2c and Fig. 4c. </w:t>
      </w:r>
      <w:r w:rsidRPr="00E73AF3">
        <w:rPr>
          <w:lang w:val="en-US"/>
        </w:rPr>
        <w:t>Enrichment values and p-values are given for each individual pathway (“Individual KEGG pathway” sheet), and the calculated means for grouped pathways are given in the “Grouped KEGG pathway” sheet.</w:t>
      </w:r>
    </w:p>
    <w:p w14:paraId="644E2587" w14:textId="77777777" w:rsidR="00440D9A" w:rsidRPr="00E73AF3" w:rsidRDefault="00440D9A" w:rsidP="00440D9A">
      <w:pPr>
        <w:spacing w:line="480" w:lineRule="auto"/>
        <w:jc w:val="both"/>
        <w:rPr>
          <w:lang w:val="en-US"/>
        </w:rPr>
      </w:pPr>
    </w:p>
    <w:p w14:paraId="25028882" w14:textId="77777777" w:rsidR="00440D9A" w:rsidRPr="00E73AF3" w:rsidRDefault="00440D9A" w:rsidP="00440D9A">
      <w:pPr>
        <w:spacing w:line="480" w:lineRule="auto"/>
        <w:jc w:val="both"/>
        <w:rPr>
          <w:lang w:val="en-US"/>
        </w:rPr>
      </w:pPr>
      <w:r w:rsidRPr="00E73AF3">
        <w:rPr>
          <w:b/>
          <w:lang w:val="en-US"/>
        </w:rPr>
        <w:t xml:space="preserve">Supplementary Table 3. Lists of DEGs in each KEGG pathway, relative to Fig. 2c. </w:t>
      </w:r>
      <w:r w:rsidRPr="00E73AF3">
        <w:rPr>
          <w:lang w:val="en-US"/>
        </w:rPr>
        <w:t>All genes annotated in each KEGG pathway are listed, and those retrieved among the DEGs in our dataset are highlighted in grey. For grouped pathways, the “Total” column summarizes all genes from the individual grouped pathways.</w:t>
      </w:r>
    </w:p>
    <w:p w14:paraId="6D3B9C3F" w14:textId="77777777" w:rsidR="00440D9A" w:rsidRPr="00E73AF3" w:rsidRDefault="00440D9A" w:rsidP="00440D9A">
      <w:pPr>
        <w:spacing w:line="480" w:lineRule="auto"/>
        <w:jc w:val="both"/>
        <w:rPr>
          <w:b/>
          <w:lang w:val="en-US"/>
        </w:rPr>
      </w:pPr>
    </w:p>
    <w:p w14:paraId="22E5FF7F" w14:textId="77777777" w:rsidR="00440D9A" w:rsidRPr="00E73AF3" w:rsidRDefault="00440D9A" w:rsidP="00440D9A">
      <w:pPr>
        <w:spacing w:line="480" w:lineRule="auto"/>
        <w:jc w:val="both"/>
        <w:rPr>
          <w:b/>
          <w:lang w:val="en-US"/>
        </w:rPr>
      </w:pPr>
      <w:r w:rsidRPr="00E73AF3">
        <w:rPr>
          <w:b/>
          <w:lang w:val="en-US"/>
        </w:rPr>
        <w:t>Supplementary Table 4. Lists of DEGs relative to Fig. 4.</w:t>
      </w:r>
    </w:p>
    <w:p w14:paraId="6C87601C" w14:textId="77777777" w:rsidR="00440D9A" w:rsidRPr="00E73AF3" w:rsidRDefault="00440D9A" w:rsidP="00440D9A">
      <w:pPr>
        <w:spacing w:line="480" w:lineRule="auto"/>
        <w:jc w:val="both"/>
        <w:rPr>
          <w:b/>
          <w:lang w:val="en-US"/>
        </w:rPr>
      </w:pPr>
    </w:p>
    <w:p w14:paraId="207EFC1F" w14:textId="77777777" w:rsidR="00440D9A" w:rsidRPr="00E73AF3" w:rsidRDefault="00440D9A" w:rsidP="00440D9A">
      <w:pPr>
        <w:spacing w:line="480" w:lineRule="auto"/>
        <w:jc w:val="both"/>
        <w:rPr>
          <w:lang w:val="en-US"/>
        </w:rPr>
      </w:pPr>
      <w:r w:rsidRPr="00E73AF3">
        <w:rPr>
          <w:b/>
          <w:lang w:val="en-US"/>
        </w:rPr>
        <w:t xml:space="preserve">Supplementary Table 5. List of downregulated DEGs in each KEGG pathway, relative to Fig. 4c. </w:t>
      </w:r>
      <w:r w:rsidRPr="00E73AF3">
        <w:rPr>
          <w:lang w:val="en-US"/>
        </w:rPr>
        <w:t>All genes annotated in each KEGG pathway are listed, and those retrieved among the downregulated DEGs in our dataset are highlighted in grey. For grouped pathways, the “Total” column summarizes all genes from the individual grouped pathways.</w:t>
      </w:r>
    </w:p>
    <w:p w14:paraId="429B051B" w14:textId="77777777" w:rsidR="00440D9A" w:rsidRPr="00E73AF3" w:rsidRDefault="00440D9A" w:rsidP="00440D9A">
      <w:pPr>
        <w:spacing w:line="480" w:lineRule="auto"/>
        <w:jc w:val="both"/>
        <w:rPr>
          <w:b/>
          <w:lang w:val="en-US"/>
        </w:rPr>
      </w:pPr>
    </w:p>
    <w:p w14:paraId="501FC076" w14:textId="77777777" w:rsidR="00440D9A" w:rsidRPr="00E73AF3" w:rsidRDefault="00440D9A" w:rsidP="00440D9A">
      <w:pPr>
        <w:spacing w:line="480" w:lineRule="auto"/>
        <w:jc w:val="both"/>
        <w:rPr>
          <w:lang w:val="en-US"/>
        </w:rPr>
      </w:pPr>
      <w:r w:rsidRPr="00E73AF3">
        <w:rPr>
          <w:b/>
          <w:lang w:val="en-US"/>
        </w:rPr>
        <w:t xml:space="preserve">Supplementary Table 6. List of upregulated DEGs in each KEGG pathway, relative to Fig. 4c. </w:t>
      </w:r>
      <w:r w:rsidRPr="00E73AF3">
        <w:rPr>
          <w:lang w:val="en-US"/>
        </w:rPr>
        <w:t xml:space="preserve">All genes annotated in each KEGG pathway are listed, and those retrieved among the </w:t>
      </w:r>
      <w:r w:rsidRPr="00E73AF3">
        <w:rPr>
          <w:lang w:val="en-US"/>
        </w:rPr>
        <w:lastRenderedPageBreak/>
        <w:t>upregulated DEGs in our dataset are highlighted in grey. For grouped pathways, the “Total” column summarizes all genes from the individual grouped pathways.</w:t>
      </w:r>
    </w:p>
    <w:p w14:paraId="6D275F08" w14:textId="77777777" w:rsidR="00440D9A" w:rsidRPr="00E73AF3" w:rsidRDefault="00440D9A" w:rsidP="00440D9A">
      <w:pPr>
        <w:spacing w:line="480" w:lineRule="auto"/>
        <w:jc w:val="both"/>
        <w:rPr>
          <w:lang w:val="en-US"/>
        </w:rPr>
      </w:pPr>
    </w:p>
    <w:p w14:paraId="1A75B2E4" w14:textId="77777777" w:rsidR="00440D9A" w:rsidRPr="00E73AF3" w:rsidRDefault="00440D9A" w:rsidP="00440D9A">
      <w:pPr>
        <w:spacing w:line="480" w:lineRule="auto"/>
        <w:jc w:val="both"/>
        <w:rPr>
          <w:b/>
          <w:lang w:val="en-US"/>
        </w:rPr>
      </w:pPr>
      <w:r w:rsidRPr="00E73AF3">
        <w:rPr>
          <w:b/>
          <w:lang w:val="en-US"/>
        </w:rPr>
        <w:t xml:space="preserve">Supplementary Table 7. </w:t>
      </w:r>
      <w:r w:rsidRPr="00E73AF3">
        <w:rPr>
          <w:bCs/>
          <w:lang w:val="en-US"/>
        </w:rPr>
        <w:t>List of Source data relative to figures. All raw data corresponding to the MFI or % for each gating defined by FlowJo, as well as statistical analyses, tests used and degree of freedom are listed for each individual panel in each figure, with the exception of RNAseq data from figures 2 and 4.</w:t>
      </w:r>
      <w:r w:rsidRPr="00E73AF3">
        <w:rPr>
          <w:b/>
          <w:lang w:val="en-US"/>
        </w:rPr>
        <w:t xml:space="preserve"> </w:t>
      </w:r>
    </w:p>
    <w:p w14:paraId="305C8768" w14:textId="77777777" w:rsidR="00440D9A" w:rsidRPr="00E73AF3" w:rsidRDefault="00440D9A" w:rsidP="00440D9A">
      <w:pPr>
        <w:spacing w:line="480" w:lineRule="auto"/>
        <w:jc w:val="both"/>
        <w:rPr>
          <w:b/>
          <w:lang w:val="en-US"/>
        </w:rPr>
      </w:pPr>
    </w:p>
    <w:p w14:paraId="68C36B8F" w14:textId="77777777" w:rsidR="00440D9A" w:rsidRPr="00E73AF3" w:rsidRDefault="00440D9A" w:rsidP="00440D9A">
      <w:pPr>
        <w:spacing w:line="480" w:lineRule="auto"/>
        <w:jc w:val="both"/>
        <w:rPr>
          <w:bCs/>
          <w:lang w:val="en-US"/>
        </w:rPr>
      </w:pPr>
      <w:r w:rsidRPr="00E73AF3">
        <w:rPr>
          <w:b/>
          <w:lang w:val="en-US"/>
        </w:rPr>
        <w:t xml:space="preserve">Supplementary Table 8. </w:t>
      </w:r>
      <w:r w:rsidRPr="00E73AF3">
        <w:rPr>
          <w:bCs/>
          <w:lang w:val="en-US"/>
        </w:rPr>
        <w:t xml:space="preserve">List of Source data relative to supplementary figures. All raw data corresponding to the MFI or % for each gating defined by FlowJo, as well as statistical analyses, tests used and degree of freedom are listed for each individual panel in each figure, with the exception of RNAseq data from supplementary figures 4 and 7. </w:t>
      </w:r>
    </w:p>
    <w:p w14:paraId="727A0265"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D9A"/>
    <w:rsid w:val="00331A6B"/>
    <w:rsid w:val="00440D9A"/>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63512"/>
  <w15:chartTrackingRefBased/>
  <w15:docId w15:val="{32C3FCFB-3D1D-429F-974F-F3E50BE4D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D9A"/>
    <w:pPr>
      <w:spacing w:after="0" w:line="240" w:lineRule="auto"/>
    </w:pPr>
    <w:rPr>
      <w:rFonts w:ascii="Times New Roman" w:eastAsia="Times New Roman" w:hAnsi="Times New Roman" w:cs="Times New Roman"/>
      <w:kern w:val="0"/>
      <w:sz w:val="24"/>
      <w:szCs w:val="24"/>
      <w:lang w:val="fr-FR" w:eastAsia="fr-FR"/>
      <w14:ligatures w14:val="none"/>
    </w:rPr>
  </w:style>
  <w:style w:type="paragraph" w:styleId="Heading1">
    <w:name w:val="heading 1"/>
    <w:basedOn w:val="Normal"/>
    <w:next w:val="Normal"/>
    <w:link w:val="Heading1Char"/>
    <w:uiPriority w:val="9"/>
    <w:qFormat/>
    <w:rsid w:val="00440D9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440D9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440D9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440D9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440D9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440D9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440D9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440D9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440D9A"/>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D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0D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0D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0D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0D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0D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0D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0D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0D9A"/>
    <w:rPr>
      <w:rFonts w:eastAsiaTheme="majorEastAsia" w:cstheme="majorBidi"/>
      <w:color w:val="272727" w:themeColor="text1" w:themeTint="D8"/>
    </w:rPr>
  </w:style>
  <w:style w:type="paragraph" w:styleId="Title">
    <w:name w:val="Title"/>
    <w:basedOn w:val="Normal"/>
    <w:next w:val="Normal"/>
    <w:link w:val="TitleChar"/>
    <w:uiPriority w:val="10"/>
    <w:qFormat/>
    <w:rsid w:val="00440D9A"/>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440D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D9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440D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D9A"/>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440D9A"/>
    <w:rPr>
      <w:i/>
      <w:iCs/>
      <w:color w:val="404040" w:themeColor="text1" w:themeTint="BF"/>
    </w:rPr>
  </w:style>
  <w:style w:type="paragraph" w:styleId="ListParagraph">
    <w:name w:val="List Paragraph"/>
    <w:basedOn w:val="Normal"/>
    <w:uiPriority w:val="34"/>
    <w:qFormat/>
    <w:rsid w:val="00440D9A"/>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440D9A"/>
    <w:rPr>
      <w:i/>
      <w:iCs/>
      <w:color w:val="0F4761" w:themeColor="accent1" w:themeShade="BF"/>
    </w:rPr>
  </w:style>
  <w:style w:type="paragraph" w:styleId="IntenseQuote">
    <w:name w:val="Intense Quote"/>
    <w:basedOn w:val="Normal"/>
    <w:next w:val="Normal"/>
    <w:link w:val="IntenseQuoteChar"/>
    <w:uiPriority w:val="30"/>
    <w:qFormat/>
    <w:rsid w:val="00440D9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440D9A"/>
    <w:rPr>
      <w:i/>
      <w:iCs/>
      <w:color w:val="0F4761" w:themeColor="accent1" w:themeShade="BF"/>
    </w:rPr>
  </w:style>
  <w:style w:type="character" w:styleId="IntenseReference">
    <w:name w:val="Intense Reference"/>
    <w:basedOn w:val="DefaultParagraphFont"/>
    <w:uiPriority w:val="32"/>
    <w:qFormat/>
    <w:rsid w:val="00440D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310</Words>
  <Characters>1773</Characters>
  <Application>Microsoft Office Word</Application>
  <DocSecurity>0</DocSecurity>
  <Lines>14</Lines>
  <Paragraphs>4</Paragraphs>
  <ScaleCrop>false</ScaleCrop>
  <Company>Springer Nature</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2024-05-27T03:17:00Z</dcterms:created>
  <dcterms:modified xsi:type="dcterms:W3CDTF">2024-05-27T03:18:00Z</dcterms:modified>
</cp:coreProperties>
</file>