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9CA30" w14:textId="7947AD44" w:rsidR="00281C85" w:rsidRPr="006B3DBC" w:rsidRDefault="006B3DBC" w:rsidP="003331CC">
      <w:pPr>
        <w:pStyle w:val="Title"/>
      </w:pPr>
      <w:r w:rsidRPr="006B3DBC">
        <w:t xml:space="preserve">Prenatal maternal stress: triangulating evidence for intrauterine exposure effects on birth and early childhood outcomes across multiple approaches </w:t>
      </w:r>
      <w:r w:rsidR="003331CC" w:rsidRPr="006B3DBC">
        <w:t>–</w:t>
      </w:r>
      <w:r w:rsidRPr="006B3DBC">
        <w:t xml:space="preserve"> </w:t>
      </w:r>
      <w:r w:rsidR="003331CC" w:rsidRPr="006B3DBC">
        <w:t>additional files</w:t>
      </w:r>
    </w:p>
    <w:p w14:paraId="1682F56C" w14:textId="77777777" w:rsidR="00553CD5" w:rsidRPr="006B3DBC" w:rsidRDefault="00553CD5" w:rsidP="00553CD5">
      <w:pPr>
        <w:pStyle w:val="BodyText"/>
        <w:rPr>
          <w:b/>
          <w:bCs/>
          <w:sz w:val="22"/>
          <w:szCs w:val="32"/>
        </w:rPr>
      </w:pPr>
      <w:bookmarkStart w:id="0" w:name="Xfda5475719f6828cdd91fe1e25290db653c65b5"/>
    </w:p>
    <w:p w14:paraId="68D68165" w14:textId="77777777" w:rsidR="00553CD5" w:rsidRPr="006B3DBC" w:rsidRDefault="00553CD5" w:rsidP="00553CD5">
      <w:pPr>
        <w:pStyle w:val="BodyText"/>
        <w:rPr>
          <w:b/>
          <w:bCs/>
          <w:sz w:val="22"/>
          <w:szCs w:val="32"/>
        </w:rPr>
      </w:pPr>
    </w:p>
    <w:p w14:paraId="10EA961C" w14:textId="390DFE03" w:rsidR="00281C85" w:rsidRPr="006B3DBC" w:rsidRDefault="006B3DBC" w:rsidP="00553CD5">
      <w:pPr>
        <w:pStyle w:val="BodyText"/>
        <w:rPr>
          <w:b/>
          <w:bCs/>
          <w:sz w:val="22"/>
          <w:szCs w:val="32"/>
        </w:rPr>
      </w:pPr>
      <w:r w:rsidRPr="006B3DBC">
        <w:rPr>
          <w:b/>
          <w:bCs/>
          <w:sz w:val="22"/>
          <w:szCs w:val="32"/>
        </w:rPr>
        <w:t xml:space="preserve">Additional file 2: Supplementary information about the use and assumptions of testing </w:t>
      </w:r>
      <w:proofErr w:type="spellStart"/>
      <w:r w:rsidRPr="006B3DBC">
        <w:rPr>
          <w:b/>
          <w:bCs/>
          <w:sz w:val="22"/>
          <w:szCs w:val="32"/>
        </w:rPr>
        <w:t>GxE</w:t>
      </w:r>
      <w:proofErr w:type="spellEnd"/>
      <w:r w:rsidRPr="006B3DBC">
        <w:rPr>
          <w:b/>
          <w:bCs/>
          <w:sz w:val="22"/>
          <w:szCs w:val="32"/>
        </w:rPr>
        <w:t xml:space="preserve"> to infer causality in observational </w:t>
      </w:r>
      <w:proofErr w:type="gramStart"/>
      <w:r w:rsidRPr="006B3DBC">
        <w:rPr>
          <w:b/>
          <w:bCs/>
          <w:sz w:val="22"/>
          <w:szCs w:val="32"/>
        </w:rPr>
        <w:t>relationships</w:t>
      </w:r>
      <w:proofErr w:type="gramEnd"/>
    </w:p>
    <w:p w14:paraId="09FCD554" w14:textId="77777777" w:rsidR="00553CD5" w:rsidRPr="006B3DBC" w:rsidRDefault="00553CD5" w:rsidP="00553CD5">
      <w:pPr>
        <w:pStyle w:val="BodyText"/>
        <w:rPr>
          <w:b/>
          <w:bCs/>
          <w:sz w:val="22"/>
          <w:szCs w:val="32"/>
        </w:rPr>
      </w:pPr>
    </w:p>
    <w:p w14:paraId="238D9CED" w14:textId="77777777" w:rsidR="00553CD5" w:rsidRPr="006B3DBC" w:rsidRDefault="00553CD5" w:rsidP="00553CD5">
      <w:pPr>
        <w:pStyle w:val="BodyText"/>
        <w:rPr>
          <w:b/>
          <w:bCs/>
          <w:sz w:val="22"/>
          <w:szCs w:val="32"/>
        </w:rPr>
      </w:pPr>
    </w:p>
    <w:p w14:paraId="128D6D2B" w14:textId="77777777" w:rsidR="00281C85" w:rsidRPr="006B3DBC" w:rsidRDefault="006B3DBC">
      <w:pPr>
        <w:pStyle w:val="FirstParagraph"/>
      </w:pPr>
      <w:r w:rsidRPr="006B3DBC">
        <w:t xml:space="preserve">The inclusion of polygenic </w:t>
      </w:r>
      <w:proofErr w:type="spellStart"/>
      <w:r w:rsidRPr="006B3DBC">
        <w:t>GxE</w:t>
      </w:r>
      <w:proofErr w:type="spellEnd"/>
      <w:r w:rsidRPr="006B3DBC">
        <w:t xml:space="preserve"> analysis as an approach to infer causality in observed relationships between prenatal exposures and offspring outcomes warrants some additional explanation. It relies on several assumptions of varying strength:</w:t>
      </w:r>
    </w:p>
    <w:p w14:paraId="56A1B88D" w14:textId="77777777" w:rsidR="00281C85" w:rsidRPr="006B3DBC" w:rsidRDefault="006B3DBC">
      <w:pPr>
        <w:pStyle w:val="Compact"/>
        <w:numPr>
          <w:ilvl w:val="0"/>
          <w:numId w:val="4"/>
        </w:numPr>
      </w:pPr>
      <w:r w:rsidRPr="006B3DBC">
        <w:t xml:space="preserve">It is assumed that the polygenic scores included as moderators index (at least partially) mothers’ genetic sensitivity to environmental </w:t>
      </w:r>
      <w:proofErr w:type="gramStart"/>
      <w:r w:rsidRPr="006B3DBC">
        <w:t>stress</w:t>
      </w:r>
      <w:proofErr w:type="gramEnd"/>
    </w:p>
    <w:p w14:paraId="1531E054" w14:textId="77777777" w:rsidR="00281C85" w:rsidRPr="006B3DBC" w:rsidRDefault="006B3DBC">
      <w:pPr>
        <w:pStyle w:val="Compact"/>
        <w:numPr>
          <w:ilvl w:val="0"/>
          <w:numId w:val="4"/>
        </w:numPr>
      </w:pPr>
      <w:r w:rsidRPr="006B3DBC">
        <w:t xml:space="preserve">It is assumed that the intrauterine environment will be more negatively influenced by prenatal stress experienced by mothers with greater genetic sensitivity to environmental </w:t>
      </w:r>
      <w:proofErr w:type="gramStart"/>
      <w:r w:rsidRPr="006B3DBC">
        <w:t>stress</w:t>
      </w:r>
      <w:proofErr w:type="gramEnd"/>
    </w:p>
    <w:p w14:paraId="3577A798" w14:textId="77777777" w:rsidR="00281C85" w:rsidRPr="006B3DBC" w:rsidRDefault="006B3DBC">
      <w:pPr>
        <w:pStyle w:val="Compact"/>
        <w:numPr>
          <w:ilvl w:val="0"/>
          <w:numId w:val="4"/>
        </w:numPr>
      </w:pPr>
      <w:r w:rsidRPr="006B3DBC">
        <w:t xml:space="preserve">It is assumed that the intrauterine environment will never be made more </w:t>
      </w:r>
      <w:proofErr w:type="spellStart"/>
      <w:r w:rsidRPr="006B3DBC">
        <w:t>favourable</w:t>
      </w:r>
      <w:proofErr w:type="spellEnd"/>
      <w:r w:rsidRPr="006B3DBC">
        <w:t xml:space="preserve"> by maternal exposure to prenatal stress, even among those with lower genetic sensitivity to environmental stress (i.e., no cross-over interactions)</w:t>
      </w:r>
    </w:p>
    <w:p w14:paraId="4A654B15" w14:textId="77777777" w:rsidR="00281C85" w:rsidRPr="006B3DBC" w:rsidRDefault="006B3DBC">
      <w:pPr>
        <w:pStyle w:val="Compact"/>
        <w:numPr>
          <w:ilvl w:val="0"/>
          <w:numId w:val="4"/>
        </w:numPr>
      </w:pPr>
      <w:r w:rsidRPr="006B3DBC">
        <w:t xml:space="preserve">It is assumed that genetic sensitivity to environmental stress, as indexed by selected polygenic scores, will not moderate exposure-outcome </w:t>
      </w:r>
      <w:proofErr w:type="spellStart"/>
      <w:r w:rsidRPr="006B3DBC">
        <w:t>assocations</w:t>
      </w:r>
      <w:proofErr w:type="spellEnd"/>
      <w:r w:rsidRPr="006B3DBC">
        <w:t xml:space="preserve"> arising due to non-causal mechanisms (e.g., shared genes, environments)</w:t>
      </w:r>
    </w:p>
    <w:p w14:paraId="2AFE4ECE" w14:textId="77777777" w:rsidR="00281C85" w:rsidRPr="006B3DBC" w:rsidRDefault="006B3DBC">
      <w:pPr>
        <w:pStyle w:val="FirstParagraph"/>
      </w:pPr>
      <w:r w:rsidRPr="006B3DBC">
        <w:t>Assumption #1 is a particularly strong assumption, because the method cannot provide indirect evidence of a causal effect - even if one exists - unless the selected moderators influence individual responsivity to stress. Assumption #4 is also quite strong, since it assumes there are no non-causal mechanisms that can produce a multiplicative interaction between an exposure and a moderator.</w:t>
      </w:r>
    </w:p>
    <w:p w14:paraId="7921F712" w14:textId="77777777" w:rsidR="00281C85" w:rsidRPr="006B3DBC" w:rsidRDefault="006B3DBC">
      <w:pPr>
        <w:pStyle w:val="BodyText"/>
      </w:pPr>
      <w:r w:rsidRPr="006B3DBC">
        <w:t xml:space="preserve">If each of these assumptions holds true, then evidence of a </w:t>
      </w:r>
      <w:proofErr w:type="spellStart"/>
      <w:r w:rsidRPr="006B3DBC">
        <w:t>GxE</w:t>
      </w:r>
      <w:proofErr w:type="spellEnd"/>
      <w:r w:rsidRPr="006B3DBC">
        <w:t xml:space="preserve"> interaction effect from these models would provide indirect evidence of a causal effect underpinning the observed exposure-outcome relationship. This is because the combination of #1, #2, and #3 above </w:t>
      </w:r>
      <w:proofErr w:type="gramStart"/>
      <w:r w:rsidRPr="006B3DBC">
        <w:t>necessitate</w:t>
      </w:r>
      <w:proofErr w:type="gramEnd"/>
      <w:r w:rsidRPr="006B3DBC">
        <w:t xml:space="preserve"> a main exposure-outcome effect in scenarios where a moderation effect is observed, and #4 necessitates that such an effect has a non-zero causal component.</w:t>
      </w:r>
    </w:p>
    <w:p w14:paraId="63874D97" w14:textId="725F5C55" w:rsidR="00281C85" w:rsidRPr="006B3DBC" w:rsidRDefault="006B3DBC" w:rsidP="008D0F4C">
      <w:pPr>
        <w:pStyle w:val="BodyText"/>
      </w:pPr>
      <w:r w:rsidRPr="006B3DBC">
        <w:t xml:space="preserve">These assumptions are difficult to test empirically, because doing so would require a “positive control” exposure - i.e., data on an environmental stressor that definitively causally impacts the outcomes in question. Identifying such stressors from within measures of the environment typically available in cohort studies is an ongoing epidemiological challenge. </w:t>
      </w:r>
      <w:bookmarkStart w:id="1" w:name="X2b138b266136b5d2be537618a38fe6bf11fb3b5"/>
    </w:p>
    <w:bookmarkEnd w:id="0"/>
    <w:bookmarkEnd w:id="1"/>
    <w:p w14:paraId="58B893EA" w14:textId="23A60686" w:rsidR="00281C85" w:rsidRDefault="00281C85"/>
    <w:sectPr w:rsidR="00281C85">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4CDF0" w14:textId="77777777" w:rsidR="00E918E1" w:rsidRPr="006B3DBC" w:rsidRDefault="00E918E1">
      <w:pPr>
        <w:spacing w:after="0"/>
      </w:pPr>
      <w:r w:rsidRPr="006B3DBC">
        <w:separator/>
      </w:r>
    </w:p>
  </w:endnote>
  <w:endnote w:type="continuationSeparator" w:id="0">
    <w:p w14:paraId="00F7EBAC" w14:textId="77777777" w:rsidR="00E918E1" w:rsidRPr="006B3DBC" w:rsidRDefault="00E918E1">
      <w:pPr>
        <w:spacing w:after="0"/>
      </w:pPr>
      <w:r w:rsidRPr="006B3D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52D3B" w14:textId="77777777" w:rsidR="00E918E1" w:rsidRPr="006B3DBC" w:rsidRDefault="00E918E1">
      <w:r w:rsidRPr="006B3DBC">
        <w:separator/>
      </w:r>
    </w:p>
  </w:footnote>
  <w:footnote w:type="continuationSeparator" w:id="0">
    <w:p w14:paraId="48D67BF7" w14:textId="77777777" w:rsidR="00E918E1" w:rsidRPr="006B3DBC" w:rsidRDefault="00E918E1">
      <w:r w:rsidRPr="006B3DB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7F69BA"/>
    <w:multiLevelType w:val="multilevel"/>
    <w:tmpl w:val="6428E96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88DF93C"/>
    <w:multiLevelType w:val="multilevel"/>
    <w:tmpl w:val="5BDEE3B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EA454B4C"/>
    <w:multiLevelType w:val="multilevel"/>
    <w:tmpl w:val="04DAA208"/>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2C1AE401"/>
    <w:multiLevelType w:val="multilevel"/>
    <w:tmpl w:val="3696760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163155959">
    <w:abstractNumId w:val="0"/>
  </w:num>
  <w:num w:numId="2" w16cid:durableId="1944527684">
    <w:abstractNumId w:val="1"/>
  </w:num>
  <w:num w:numId="3" w16cid:durableId="208492017">
    <w:abstractNumId w:val="3"/>
  </w:num>
  <w:num w:numId="4" w16cid:durableId="856181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NotDisplayPageBoundaries/>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bQwMDG3sDQ3tDAyNTRV0lEKTi0uzszPAykwqgUAJ5J84ywAAAA="/>
  </w:docVars>
  <w:rsids>
    <w:rsidRoot w:val="00590D07"/>
    <w:rsid w:val="00011C8B"/>
    <w:rsid w:val="00082773"/>
    <w:rsid w:val="00281C85"/>
    <w:rsid w:val="003331CC"/>
    <w:rsid w:val="004E29B3"/>
    <w:rsid w:val="00553CD5"/>
    <w:rsid w:val="00590D07"/>
    <w:rsid w:val="006B3DBC"/>
    <w:rsid w:val="00782C91"/>
    <w:rsid w:val="00784D58"/>
    <w:rsid w:val="008D0F4C"/>
    <w:rsid w:val="008D6863"/>
    <w:rsid w:val="009D79D1"/>
    <w:rsid w:val="00B86B75"/>
    <w:rsid w:val="00BC48D5"/>
    <w:rsid w:val="00C36279"/>
    <w:rsid w:val="00CA51CA"/>
    <w:rsid w:val="00DA6548"/>
    <w:rsid w:val="00E315A3"/>
    <w:rsid w:val="00E45CC3"/>
    <w:rsid w:val="00E918E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7F320"/>
  <w15:docId w15:val="{8F329CAC-BCA6-084B-9706-2471A8FCB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rsid w:val="00EE1F98"/>
    <w:pPr>
      <w:keepNext/>
      <w:keepLines/>
      <w:spacing w:before="480" w:after="0"/>
      <w:outlineLvl w:val="0"/>
    </w:pPr>
    <w:rPr>
      <w:rFonts w:ascii="Times New Roman" w:eastAsiaTheme="majorEastAsia" w:hAnsi="Times New Roman" w:cstheme="majorBidi"/>
      <w:b/>
      <w:bCs/>
      <w:color w:val="345A8A" w:themeColor="accent1" w:themeShade="B5"/>
      <w:szCs w:val="32"/>
    </w:rPr>
  </w:style>
  <w:style w:type="paragraph" w:styleId="Heading2">
    <w:name w:val="heading 2"/>
    <w:basedOn w:val="Normal"/>
    <w:next w:val="BodyText"/>
    <w:uiPriority w:val="9"/>
    <w:unhideWhenUsed/>
    <w:qFormat/>
    <w:rsid w:val="00EE1F98"/>
    <w:pPr>
      <w:keepNext/>
      <w:keepLines/>
      <w:spacing w:before="200" w:after="0"/>
      <w:outlineLvl w:val="1"/>
    </w:pPr>
    <w:rPr>
      <w:rFonts w:ascii="Times New Roman" w:eastAsiaTheme="majorEastAsia" w:hAnsi="Times New Roman" w:cstheme="majorBidi"/>
      <w:bCs/>
      <w:color w:val="4F81BD" w:themeColor="accent1"/>
      <w:sz w:val="20"/>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EE1F98"/>
    <w:pPr>
      <w:spacing w:before="180" w:after="180"/>
    </w:pPr>
    <w:rPr>
      <w:rFonts w:ascii="Times New Roman" w:hAnsi="Times New Roman"/>
      <w:sz w:val="20"/>
    </w:rPr>
  </w:style>
  <w:style w:type="paragraph" w:customStyle="1" w:styleId="FirstParagraph">
    <w:name w:val="First Paragraph"/>
    <w:basedOn w:val="BodyText"/>
    <w:next w:val="BodyText"/>
    <w:qFormat/>
    <w:rsid w:val="00EE1F98"/>
  </w:style>
  <w:style w:type="paragraph" w:customStyle="1" w:styleId="Compact">
    <w:name w:val="Compact"/>
    <w:basedOn w:val="BodyText"/>
    <w:qFormat/>
    <w:pPr>
      <w:spacing w:before="36" w:after="36"/>
    </w:pPr>
  </w:style>
  <w:style w:type="paragraph" w:styleId="Title">
    <w:name w:val="Title"/>
    <w:basedOn w:val="Normal"/>
    <w:next w:val="BodyText"/>
    <w:qFormat/>
    <w:rsid w:val="00EE1F98"/>
    <w:pPr>
      <w:keepNext/>
      <w:keepLines/>
      <w:spacing w:before="480" w:after="240"/>
      <w:jc w:val="center"/>
    </w:pPr>
    <w:rPr>
      <w:rFonts w:ascii="Times New Roman" w:eastAsiaTheme="majorEastAsia" w:hAnsi="Times New Roman" w:cstheme="majorBidi"/>
      <w:bCs/>
      <w:color w:val="345A8A" w:themeColor="accent1" w:themeShade="B5"/>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rsid w:val="00EE1F98"/>
    <w:pPr>
      <w:keepNext/>
      <w:keepLines/>
      <w:jc w:val="center"/>
    </w:pPr>
    <w:rPr>
      <w:rFonts w:ascii="Times New Roman" w:hAnsi="Times New Roman"/>
      <w:sz w:val="20"/>
    </w:rPr>
  </w:style>
  <w:style w:type="paragraph" w:styleId="Date">
    <w:name w:val="Date"/>
    <w:next w:val="BodyText"/>
    <w:qFormat/>
    <w:rsid w:val="00EE1F98"/>
    <w:pPr>
      <w:keepNext/>
      <w:keepLines/>
      <w:jc w:val="center"/>
    </w:pPr>
    <w:rPr>
      <w:rFonts w:ascii="Times New Roman" w:hAnsi="Times New Roman"/>
      <w:sz w:val="20"/>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table" w:styleId="PlainTable4">
    <w:name w:val="Plain Table 4"/>
    <w:basedOn w:val="TableNormal"/>
    <w:rsid w:val="00EE1F98"/>
    <w:pPr>
      <w:spacing w:after="0"/>
    </w:pPr>
    <w:rPr>
      <w:rFonts w:ascii="Times New Roman" w:hAnsi="Times New Roman"/>
      <w:sz w:val="20"/>
    </w:rPr>
    <w:tblPr>
      <w:tblStyleRowBandSize w:val="1"/>
      <w:tblStyleColBandSize w:val="1"/>
      <w:tblBorders>
        <w:top w:val="single" w:sz="4" w:space="0" w:color="auto"/>
        <w:bottom w:val="single" w:sz="4" w:space="0" w:color="auto"/>
      </w:tblBorders>
    </w:tblPr>
    <w:tblStylePr w:type="firstRow">
      <w:rPr>
        <w:rFonts w:ascii="Times New Roman" w:hAnsi="Times New Roman"/>
        <w:b/>
        <w:bCs/>
        <w:sz w:val="20"/>
      </w:rPr>
      <w:tblPr/>
      <w:tcPr>
        <w:tcBorders>
          <w:bottom w:val="nil"/>
        </w:tcBorders>
      </w:tcPr>
    </w:tblStylePr>
    <w:tblStylePr w:type="lastRow">
      <w:rPr>
        <w:rFonts w:ascii="Times New Roman" w:hAnsi="Times New Roman"/>
        <w:b w:val="0"/>
        <w:bCs/>
        <w:sz w:val="20"/>
      </w:rPr>
    </w:tblStylePr>
    <w:tblStylePr w:type="firstCol">
      <w:rPr>
        <w:b/>
        <w:bCs/>
      </w:rPr>
    </w:tblStylePr>
    <w:tblStylePr w:type="lastCol">
      <w:rPr>
        <w:rFonts w:ascii="Times New Roman" w:hAnsi="Times New Roman"/>
        <w:b w:val="0"/>
        <w:bCs/>
        <w:sz w:val="20"/>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EE1F9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rsid w:val="00EE1F9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2147</Characters>
  <Application>Microsoft Office Word</Application>
  <DocSecurity>0</DocSecurity>
  <Lines>17</Lines>
  <Paragraphs>5</Paragraphs>
  <ScaleCrop>false</ScaleCrop>
  <Company>Universitetet i Oslo</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Prenatal maternal stress: triangulating evidence for intrauterine exposure effects on birth and early childhood outcomes across multiple approaches - additional files</dc:title>
  <dc:creator>Laurie Hannigan</dc:creator>
  <cp:keywords/>
  <cp:lastModifiedBy>Ingunn Olea Lund</cp:lastModifiedBy>
  <cp:revision>3</cp:revision>
  <dcterms:created xsi:type="dcterms:W3CDTF">2024-05-10T08:54:00Z</dcterms:created>
  <dcterms:modified xsi:type="dcterms:W3CDTF">2024-05-10T12:28:00Z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17 april, 2024</vt:lpwstr>
  </property>
  <property fmtid="{D5CDD505-2E9C-101B-9397-08002B2CF9AE}" pid="3" name="editor_options">
    <vt:lpwstr/>
  </property>
  <property fmtid="{D5CDD505-2E9C-101B-9397-08002B2CF9AE}" pid="4" name="output">
    <vt:lpwstr/>
  </property>
</Properties>
</file>