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Cs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lang w:val="en-US" w:eastAsia="zh-CN"/>
        </w:rPr>
        <w:t>S1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bCs/>
          <w:kern w:val="0"/>
          <w:sz w:val="24"/>
          <w:szCs w:val="24"/>
        </w:rPr>
        <w:t>The oligonucleotides used in this study.</w:t>
      </w:r>
    </w:p>
    <w:tbl>
      <w:tblPr>
        <w:tblStyle w:val="3"/>
        <w:tblpPr w:leftFromText="180" w:rightFromText="180" w:vertAnchor="page" w:horzAnchor="page" w:tblpX="1655" w:tblpY="2351"/>
        <w:tblOverlap w:val="never"/>
        <w:tblW w:w="88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6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IL-6 F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TAGTCCTTCCTACCCCAATTTCC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IL-6 R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TTGGTCCTTAGCCACTCCTTC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TNF-α F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CCCTCACACTCAGATCATCTTCT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TNF-α R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GCTACGACGTGGGCTACAG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TGR5 F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 xml:space="preserve"> CCTGGCAAGCCTCATCGTC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TGR5 R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AGCAGCCCGGCTAGTAGTAG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FXR F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GCTTGATGTGCTACAAAAGCTG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FXR R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CGTGGTGATGGTTGAATGTCC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IL-1β F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CCTGGGCTGTCCTGATGAGAG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IL-1β R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TCCACGGGAAAGACACAGGTA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  <w:t>GAPDH F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  <w:t>CAATGTGTCCGTCGTGGATCT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  <w:t>GAPDH R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val="en-US" w:eastAsia="zh-CN" w:bidi="ar"/>
              </w:rPr>
              <w:t>GTCCTCAGTGTAGCCCAAGATG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Cs/>
          <w:kern w:val="0"/>
          <w:sz w:val="24"/>
          <w:szCs w:val="24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Cs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lang w:val="en-US" w:eastAsia="zh-CN"/>
        </w:rPr>
        <w:t>S2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bCs/>
          <w:kern w:val="0"/>
          <w:sz w:val="24"/>
          <w:szCs w:val="24"/>
        </w:rPr>
        <w:t xml:space="preserve">OPLS-DA model parameter. </w:t>
      </w:r>
    </w:p>
    <w:tbl>
      <w:tblPr>
        <w:tblStyle w:val="3"/>
        <w:tblpPr w:leftFromText="180" w:rightFromText="180" w:vertAnchor="text" w:horzAnchor="page" w:tblpX="2072" w:tblpY="133"/>
        <w:tblOverlap w:val="never"/>
        <w:tblW w:w="714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990"/>
        <w:gridCol w:w="1243"/>
        <w:gridCol w:w="990"/>
        <w:gridCol w:w="1243"/>
        <w:gridCol w:w="990"/>
        <w:gridCol w:w="1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R2X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R2X(cum)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R2Y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R2Y(cum)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Q2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Q2(cum)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p1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0.237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0.237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0.918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0.918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0.786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o1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0.144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0.381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0.0713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0.0713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0.0556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0.0556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sum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0.381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0.989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0.841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3. </w:t>
      </w:r>
      <w:r>
        <w:rPr>
          <w:rFonts w:hint="default" w:ascii="Times New Roman" w:hAnsi="Times New Roman" w:cs="Times New Roman"/>
          <w:sz w:val="24"/>
          <w:szCs w:val="24"/>
        </w:rPr>
        <w:t>Identified number of differential metabolites in GP.100 and LPS samples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Compared Sample</w:t>
            </w:r>
          </w:p>
        </w:tc>
        <w:tc>
          <w:tcPr>
            <w:tcW w:w="99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Number of total identified</w:t>
            </w:r>
          </w:p>
        </w:tc>
        <w:tc>
          <w:tcPr>
            <w:tcW w:w="99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Number of total significant</w:t>
            </w:r>
          </w:p>
        </w:tc>
        <w:tc>
          <w:tcPr>
            <w:tcW w:w="1000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Number of significant Up</w:t>
            </w:r>
          </w:p>
        </w:tc>
        <w:tc>
          <w:tcPr>
            <w:tcW w:w="1000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Number of significant 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GP.100 vs LPS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1447 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4.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  <w:t>Metabolites significantly up-regulated in SARA cows and ranked according to the P-value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1429"/>
        <w:gridCol w:w="1400"/>
        <w:gridCol w:w="1154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Name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FC</w:t>
            </w:r>
          </w:p>
        </w:tc>
        <w:tc>
          <w:tcPr>
            <w:tcW w:w="1400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log2FC</w:t>
            </w:r>
          </w:p>
        </w:tc>
        <w:tc>
          <w:tcPr>
            <w:tcW w:w="1154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P-value</w:t>
            </w:r>
          </w:p>
        </w:tc>
        <w:tc>
          <w:tcPr>
            <w:tcW w:w="1419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VIP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1-Stearoyl-2-linoleoyl-sn-glycero-3-phosphocholine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2.251042348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1.170593198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0.004393406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1.021326835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5-Hydroxyindole-3-acetic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2.461246532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1.299389173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0.004971844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1.546549894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(2E)-4-Anilino-4-oxo-2-butenoic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2.461246532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1.299389173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0.004971844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1.546549894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Hypoxanthine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2.685224603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1.425042766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0.010023775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2.446270595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Allopurinol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2.685224603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1.425042766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0.010023775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2.446270595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3,4-Dihydro-3-oxo-2H-(1,4)-benzoxazin-2-ylacetic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2.894994042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1.533560379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0.000912501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2.739207878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Ganoderic acid A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3.957703563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1.984663557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0.040548064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1.036389041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PC(18:0)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4.455951255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2.155733451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0.017327894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1.443843174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2'-Deoxyuridine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5.399943605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2.43294434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0.02394675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1.393462302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Chenodeoxycholic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8.635526396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3.110284123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0.015889169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1.965049059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Deoxycholic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10.21898459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3.353179945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0.003912285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4.285381049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kern w:val="0"/>
          <w:szCs w:val="21"/>
        </w:rPr>
        <w:t xml:space="preserve"> FC, fold change; VIP,</w:t>
      </w:r>
      <w:r>
        <w:rPr>
          <w:rFonts w:hint="default" w:ascii="Times New Roman" w:hAnsi="Times New Roman" w:cs="Times New Roman"/>
        </w:rPr>
        <w:t xml:space="preserve"> variable importance in the projection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5.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  <w:t>Metabolites significantly down-regulated in SARA cows and ranked according to the P-value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1429"/>
        <w:gridCol w:w="1400"/>
        <w:gridCol w:w="1154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Name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FC</w:t>
            </w:r>
          </w:p>
        </w:tc>
        <w:tc>
          <w:tcPr>
            <w:tcW w:w="1400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log2FC</w:t>
            </w:r>
          </w:p>
        </w:tc>
        <w:tc>
          <w:tcPr>
            <w:tcW w:w="1154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P-value</w:t>
            </w:r>
          </w:p>
        </w:tc>
        <w:tc>
          <w:tcPr>
            <w:tcW w:w="1419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VIP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3-Hydroxy-4,4,6a,9,12b-pentamethyl-3,4,4a,6,6a,12,12a,12b-octahydro-2H,9H-benzo[f]pyrano[2,3-b]chromene-1,11(5H,10H)-dione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0.014626732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-6.095248722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0.028062818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1.022019937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M363T99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0.014626732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-6.095248722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0.028062818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1.022019937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D-Pinitol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0.024786318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-5.334312224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0.014655035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1.37600308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Prolylhydroxyproline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0.034232492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-4.868489864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0.003970493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2.558746525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M243T119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0.040433162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-4.628317152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0.003338093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1.192720896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PyroGlu-Val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0.076217508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-3.713733745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0.023059769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1.036605889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Indoxyl sulfate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0.078313275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-3.674599308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0.006968889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9.043530541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alpha-Ketoisovaleric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0.082384627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-3.601481037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0.047643272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4.563901217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Pyruvate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0.087401984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-3.516190157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0.003248306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8.978685046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3-Methoxy-4-hydroxyphenylglycol sulfate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0.09352945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-3.418435491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0.014830997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1.137267459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Hydroxyphenyllactic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0.101288563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-3.303456819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0.00283589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1.644657324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3,4-Dimethoxybenzoic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0.101288563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-3.303456819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0.00283589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1.644657324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4-Ethoxybenzoic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0.109494803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-3.191065693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0.000132329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5.321294176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Desaminotyrosine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0.109494803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-3.191065693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0.000132329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5.321294176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2-Phenyllactic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0.109494803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-3.191065693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0.000132329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5.321294176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Tropic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0.109494803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-3.191065693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0.000132329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5.321294176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Acetylcarnitine (Car(2:0))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0.109588695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-3.189829116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0.005623244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1.186779889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Formiminoglutamic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0.11123995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-3.168253095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0.00908866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1.089587322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Name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FC</w:t>
            </w:r>
          </w:p>
        </w:tc>
        <w:tc>
          <w:tcPr>
            <w:tcW w:w="1400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log2FC</w:t>
            </w:r>
          </w:p>
        </w:tc>
        <w:tc>
          <w:tcPr>
            <w:tcW w:w="1154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P-value</w:t>
            </w:r>
          </w:p>
        </w:tc>
        <w:tc>
          <w:tcPr>
            <w:tcW w:w="1419" w:type="dxa"/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VIP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Trigonelline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0.128871483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-2.955995044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0.001099468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1.622519208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3-Pyridylacetic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0.128871483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-2.955995044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0.001099468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1.622519208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Allantoin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0.145042942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-2.785448001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0.002716901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4.419460154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N1-Methyl-2-pyridone-5-carboxamide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0.148655838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-2.749951973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0.016128497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1.812989117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N1-Methyl-4-pyridone-3-carboxamide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0.148655838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-2.749951973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0.016128497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1.812989117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Hydroxyisocaproic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0.149923906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-2.737697649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0.000148353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9.375418381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2-Ethyl-2-hydroxybutyric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0.149923906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-2.737697649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0.000148353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9.375418381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2-Hydroxyhexanoic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0.149923906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-2.737697649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0.000148353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9.375418381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Carnitine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0.172310613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-2.536916528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0.004309171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3.167945887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2-Hydroxyethanesulfonic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0.186831844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-2.420187725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0.027499537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3.001216823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Hippuric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0.189523555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-2.399550933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0.013801373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2.371329175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3-Succinoylpyridine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0.189523555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-2.399550933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0.013801373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2.371329175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2-Hydroxy-2-methylbutyric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0.192403251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-2.377794922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0.00151841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4.135525905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2-Hydroxy-3-methylbutyric acid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0.192403251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-2.377794922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0.00151841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4.135525905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Tryptophan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0.200088612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-2.321289033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0.001544669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1.412939776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5-(Hydroxymethyl)-1-methyl-2-phenyl-2,3-dihydro-1H-pyrazol-3-one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0.200088612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-2.321289033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0.001544669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1.412939776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Proline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0.200604783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-2.317572088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8.83E-08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1.559560051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80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M432T234</w:t>
            </w:r>
          </w:p>
        </w:tc>
        <w:tc>
          <w:tcPr>
            <w:tcW w:w="14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0.201173535</w:t>
            </w:r>
          </w:p>
        </w:tc>
        <w:tc>
          <w:tcPr>
            <w:tcW w:w="14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-2.313487569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0.003347355</w:t>
            </w:r>
          </w:p>
        </w:tc>
        <w:tc>
          <w:tcPr>
            <w:tcW w:w="141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1.39922231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kern w:val="0"/>
          <w:szCs w:val="21"/>
        </w:rPr>
        <w:t xml:space="preserve"> FC, fold change; VIP,</w:t>
      </w:r>
      <w:r>
        <w:rPr>
          <w:rFonts w:hint="default" w:ascii="Times New Roman" w:hAnsi="Times New Roman" w:cs="Times New Roman"/>
        </w:rPr>
        <w:t xml:space="preserve"> variable importance in the projection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</w:pPr>
    </w:p>
    <w:p>
      <w:pPr>
        <w:pStyle w:val="7"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7"/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-234950</wp:posOffset>
            </wp:positionH>
            <wp:positionV relativeFrom="paragraph">
              <wp:posOffset>184785</wp:posOffset>
            </wp:positionV>
            <wp:extent cx="5267325" cy="3881755"/>
            <wp:effectExtent l="0" t="0" r="0" b="0"/>
            <wp:wrapSquare wrapText="bothSides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88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t xml:space="preserve">: Gut dysbiosis caused by LPS-induced mastitis.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 xml:space="preserve">Relative abundance at the level of 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bidi="ar"/>
          <w14:ligatures w14:val="standardContextual"/>
        </w:rPr>
        <w:t xml:space="preserve">Firmicutes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 xml:space="preserve">in each group </w:t>
      </w:r>
      <w:r>
        <w:rPr>
          <w:rFonts w:hint="default" w:ascii="Times New Roman" w:hAnsi="Times New Roman" w:cs="Times New Roman"/>
          <w:sz w:val="24"/>
          <w:szCs w:val="24"/>
        </w:rPr>
        <w:t>(n = 5).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 xml:space="preserve">.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bidi="ar"/>
          <w14:ligatures w14:val="standardContextual"/>
        </w:rPr>
        <w:t xml:space="preserve">Bacteroidetes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 xml:space="preserve">ratio in each group </w:t>
      </w:r>
      <w:r>
        <w:rPr>
          <w:rFonts w:hint="default" w:ascii="Times New Roman" w:hAnsi="Times New Roman" w:cs="Times New Roman"/>
          <w:sz w:val="24"/>
          <w:szCs w:val="24"/>
        </w:rPr>
        <w:t xml:space="preserve">(n = 5)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C.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bidi="ar"/>
          <w14:ligatures w14:val="standardContextual"/>
        </w:rPr>
        <w:t xml:space="preserve">Firmicutes/Bacteroidetes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 xml:space="preserve">ratio in each group </w:t>
      </w:r>
      <w:r>
        <w:rPr>
          <w:rFonts w:hint="default" w:ascii="Times New Roman" w:hAnsi="Times New Roman" w:cs="Times New Roman"/>
          <w:sz w:val="24"/>
          <w:szCs w:val="24"/>
        </w:rPr>
        <w:t>(n = 5)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D. </w:t>
      </w:r>
      <w:bookmarkStart w:id="0" w:name="OLE_LINK1"/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bidi="ar"/>
          <w14:ligatures w14:val="standardContextual"/>
        </w:rPr>
        <w:t>Escherichia-Shigella</w:t>
      </w:r>
      <w:bookmarkEnd w:id="0"/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bidi="ar"/>
          <w14:ligatures w14:val="standardContextual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>ratio in each group</w:t>
      </w:r>
      <w:r>
        <w:rPr>
          <w:rFonts w:hint="default" w:ascii="Times New Roman" w:hAnsi="Times New Roman" w:cs="Times New Roman"/>
          <w:sz w:val="24"/>
          <w:szCs w:val="24"/>
        </w:rPr>
        <w:t>(n = 5).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E-F. </w:t>
      </w:r>
      <w:r>
        <w:rPr>
          <w:rFonts w:hint="default" w:ascii="Times New Roman" w:hAnsi="Times New Roman" w:cs="Times New Roman"/>
          <w:sz w:val="24"/>
          <w:szCs w:val="24"/>
        </w:rPr>
        <w:t xml:space="preserve">Richness and Shanon_e index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in each</w:t>
      </w:r>
      <w:r>
        <w:rPr>
          <w:rFonts w:hint="default" w:ascii="Times New Roman" w:hAnsi="Times New Roman" w:cs="Times New Roman"/>
          <w:sz w:val="24"/>
          <w:szCs w:val="24"/>
        </w:rPr>
        <w:t xml:space="preserve"> group (n = 5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69865" cy="4312920"/>
            <wp:effectExtent l="0" t="0" r="0" b="5080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31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 xml:space="preserve">DCA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was</w:t>
      </w:r>
      <w:r>
        <w:rPr>
          <w:rFonts w:hint="default" w:ascii="Times New Roman" w:hAnsi="Times New Roman" w:cs="Times New Roman"/>
          <w:sz w:val="24"/>
          <w:szCs w:val="24"/>
        </w:rPr>
        <w:t xml:space="preserve"> the key differentiator in GP experiment.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A-C. </w:t>
      </w:r>
      <w:r>
        <w:rPr>
          <w:rFonts w:hint="default" w:ascii="Times New Roman" w:hAnsi="Times New Roman" w:cs="Times New Roman"/>
          <w:sz w:val="24"/>
          <w:szCs w:val="24"/>
        </w:rPr>
        <w:t xml:space="preserve">DCA levels in each group compared with LPS group.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D.</w:t>
      </w:r>
      <w:r>
        <w:rPr>
          <w:rFonts w:hint="default" w:ascii="Times New Roman" w:hAnsi="Times New Roman" w:cs="Times New Roman"/>
          <w:sz w:val="24"/>
          <w:szCs w:val="24"/>
        </w:rPr>
        <w:t xml:space="preserve"> PCA data quality check. The PCA score plots for six groups samples containing QC samples (n=6). QC, quality control; PCA, Principal component analysis.</w:t>
      </w: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67325" cy="2444115"/>
            <wp:effectExtent l="0" t="0" r="0" b="0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 xml:space="preserve">FMT.LPS induced Gut dysbiosis.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 xml:space="preserve">Relative abundance at the level of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bidi="ar"/>
          <w14:ligatures w14:val="standardContextual"/>
        </w:rPr>
        <w:t xml:space="preserve">Firmicutes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 xml:space="preserve">in each group </w:t>
      </w:r>
      <w:r>
        <w:rPr>
          <w:rFonts w:hint="default" w:ascii="Times New Roman" w:hAnsi="Times New Roman" w:cs="Times New Roman"/>
          <w:sz w:val="24"/>
          <w:szCs w:val="24"/>
        </w:rPr>
        <w:t xml:space="preserve">(n = 5).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B-C. </w:t>
      </w:r>
      <w:r>
        <w:rPr>
          <w:rFonts w:hint="default" w:ascii="Times New Roman" w:hAnsi="Times New Roman" w:cs="Times New Roman"/>
          <w:sz w:val="24"/>
          <w:szCs w:val="24"/>
        </w:rPr>
        <w:t xml:space="preserve">Richness and Shanon_e index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in each </w:t>
      </w:r>
      <w:r>
        <w:rPr>
          <w:rFonts w:hint="default" w:ascii="Times New Roman" w:hAnsi="Times New Roman" w:cs="Times New Roman"/>
          <w:sz w:val="24"/>
          <w:szCs w:val="24"/>
        </w:rPr>
        <w:t>group (n = 5).</w:t>
      </w: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80645</wp:posOffset>
            </wp:positionV>
            <wp:extent cx="5264785" cy="3535680"/>
            <wp:effectExtent l="0" t="0" r="5715" b="7620"/>
            <wp:wrapTopAndBottom/>
            <wp:docPr id="5" name="图片 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>DCA inhibit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ed</w:t>
      </w:r>
      <w:r>
        <w:rPr>
          <w:rFonts w:hint="default" w:ascii="Times New Roman" w:hAnsi="Times New Roman" w:cs="Times New Roman"/>
          <w:sz w:val="24"/>
          <w:szCs w:val="24"/>
        </w:rPr>
        <w:t xml:space="preserve"> NF-κB expression. ZO-1 and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P65</w:t>
      </w:r>
      <w:r>
        <w:rPr>
          <w:rFonts w:hint="default" w:ascii="Times New Roman" w:hAnsi="Times New Roman" w:cs="Times New Roman"/>
          <w:sz w:val="24"/>
          <w:szCs w:val="24"/>
        </w:rPr>
        <w:t xml:space="preserve"> antibody staining  immunofluorescence. Scale bar: 20 μm.</w:t>
      </w: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-288290</wp:posOffset>
            </wp:positionH>
            <wp:positionV relativeFrom="paragraph">
              <wp:posOffset>29210</wp:posOffset>
            </wp:positionV>
            <wp:extent cx="6258560" cy="4245610"/>
            <wp:effectExtent l="0" t="0" r="0" b="8890"/>
            <wp:wrapTopAndBottom/>
            <wp:docPr id="6" name="图片 6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856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S5</w:t>
      </w:r>
      <w:r>
        <w:rPr>
          <w:rFonts w:hint="default" w:ascii="Times New Roman" w:hAnsi="Times New Roman" w:cs="Times New Roman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DCA relieved LPS-induced inflammation in MMECs by activating TGR5</w:t>
      </w:r>
      <w:r>
        <w:rPr>
          <w:rFonts w:hint="default" w:ascii="Times New Roman" w:hAnsi="Times New Roman" w:cs="Times New Roman"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A-C.</w:t>
      </w:r>
      <w:r>
        <w:rPr>
          <w:rFonts w:hint="default" w:ascii="Times New Roman" w:hAnsi="Times New Roman" w:cs="Times New Roman"/>
          <w:sz w:val="24"/>
          <w:szCs w:val="24"/>
        </w:rPr>
        <w:t xml:space="preserve"> Cells were pretreated with DCA (10, 20 and 30 μM) and mRNA levels of pro-inflammatory related factors IL-1β, IL-6, and TNF-α were detected by qRT-PCR.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D. </w:t>
      </w:r>
      <w:r>
        <w:rPr>
          <w:rFonts w:hint="default" w:ascii="Times New Roman" w:hAnsi="Times New Roman" w:cs="Times New Roman"/>
          <w:sz w:val="24"/>
          <w:szCs w:val="24"/>
        </w:rPr>
        <w:t xml:space="preserve">Cells were treated with DCA (30 μM) and the relative mRNA levels of TGR5 and FXR were determined by qRT-PCR.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E-G.</w:t>
      </w:r>
      <w:r>
        <w:rPr>
          <w:rFonts w:hint="default" w:ascii="Times New Roman" w:hAnsi="Times New Roman" w:cs="Times New Roman"/>
          <w:sz w:val="24"/>
          <w:szCs w:val="24"/>
        </w:rPr>
        <w:t xml:space="preserve"> Cells were pretreated with H89 and the relative mRNA levels of pro-inflammatory IL-1β, IL-6 and TNF-α were detected by qRT-PCR.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H-J. </w:t>
      </w:r>
      <w:r>
        <w:rPr>
          <w:rFonts w:hint="default" w:ascii="Times New Roman" w:hAnsi="Times New Roman" w:cs="Times New Roman"/>
          <w:sz w:val="24"/>
          <w:szCs w:val="24"/>
        </w:rPr>
        <w:t xml:space="preserve">Cells were pretreated with siRNA-TGR5, MDL12330A, and H89 and the relative mRNA levels of pro-inflammatory IL-1β, IL-6 and TNF-α levels were detected by qRT-PCR.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bidi="ar"/>
          <w14:ligatures w14:val="standardContextual"/>
        </w:rPr>
        <w:t>All data are expressed as mean ± SD, and</w:t>
      </w:r>
      <w:r>
        <w:rPr>
          <w:rFonts w:hint="default" w:ascii="Times New Roman" w:hAnsi="Times New Roman" w:cs="Times New Roman"/>
          <w:sz w:val="24"/>
          <w:szCs w:val="24"/>
        </w:rPr>
        <w:t xml:space="preserve"> One-way analysis of variance (ANOVA) was performed, followed by Tukey’s test. *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cs="Times New Roman"/>
          <w:sz w:val="24"/>
          <w:szCs w:val="24"/>
        </w:rPr>
        <w:t xml:space="preserve"> &lt; 0.05, **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p</w:t>
      </w:r>
      <w:r>
        <w:rPr>
          <w:rFonts w:hint="default" w:ascii="Times New Roman" w:hAnsi="Times New Roman" w:cs="Times New Roman"/>
          <w:sz w:val="24"/>
          <w:szCs w:val="24"/>
        </w:rPr>
        <w:t xml:space="preserve"> &lt; 0.01, ***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hint="default" w:ascii="Times New Roman" w:hAnsi="Times New Roman" w:cs="Times New Roman"/>
          <w:sz w:val="24"/>
          <w:szCs w:val="24"/>
        </w:rPr>
        <w:t>&lt; 0.001 indicate significance.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center"/>
        <w:rPr>
          <w:rFonts w:hint="default" w:ascii="Times New Roman" w:hAnsi="Times New Roman" w:cs="Times New Roman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center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3NDhhNjE2YzFmNWQ4MDNlM2VjMmUxYWIwYjdjMGYifQ=="/>
  </w:docVars>
  <w:rsids>
    <w:rsidRoot w:val="346B6DD8"/>
    <w:rsid w:val="00241D7E"/>
    <w:rsid w:val="00612F3F"/>
    <w:rsid w:val="08952E6C"/>
    <w:rsid w:val="0B31400D"/>
    <w:rsid w:val="1CB176F0"/>
    <w:rsid w:val="22B225DA"/>
    <w:rsid w:val="279A7F25"/>
    <w:rsid w:val="29485BC7"/>
    <w:rsid w:val="2BCB7954"/>
    <w:rsid w:val="2C0B34AE"/>
    <w:rsid w:val="346B6DD8"/>
    <w:rsid w:val="39DA15DF"/>
    <w:rsid w:val="3A197909"/>
    <w:rsid w:val="4A497FC2"/>
    <w:rsid w:val="54887944"/>
    <w:rsid w:val="56571396"/>
    <w:rsid w:val="6D8B7745"/>
    <w:rsid w:val="72550836"/>
    <w:rsid w:val="792C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rPr>
      <w:sz w:val="24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7">
    <w:name w:val="EndNote Bibliography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png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858</Words>
  <Characters>4891</Characters>
  <Lines>40</Lines>
  <Paragraphs>11</Paragraphs>
  <TotalTime>0</TotalTime>
  <ScaleCrop>false</ScaleCrop>
  <LinksUpToDate>false</LinksUpToDate>
  <CharactersWithSpaces>5738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2024-04-22T04:06:00Z</dcterms:created>
  <dc:creator>Você existe Na</dc:creator>
  <cp:lastModifiedBy>Você existe Na</cp:lastModifiedBy>
  <dcterms:modified xsi:type="dcterms:W3CDTF">2024-05-13T01:50:45Z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7DB058603C254862A6BC9B757347EECC_13</vt:lpwstr>
  </property>
</Properties>
</file>