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rPr>
          <w:rFonts w:ascii="Arial" w:hAnsi="Arial"/>
          <w:b/>
          <w:i w:val="false"/>
          <w:i w:val="false"/>
          <w:strike w:val="false"/>
          <w:dstrike w:val="false"/>
          <w:outline w:val="false"/>
          <w:shadow w:val="false"/>
          <w:sz w:val="20"/>
          <w:u w:val="none"/>
          <w:em w:val="none"/>
        </w:rPr>
      </w:pPr>
      <w:r>
        <w:rPr>
          <w:rFonts w:ascii="Arial" w:hAnsi="Arial"/>
          <w:b/>
          <w:i w:val="false"/>
          <w:strike w:val="false"/>
          <w:dstrike w:val="false"/>
          <w:outline w:val="false"/>
          <w:shadow w:val="false"/>
          <w:sz w:val="16"/>
          <w:szCs w:val="16"/>
          <w:u w:val="none"/>
          <w:em w:val="none"/>
        </w:rPr>
        <w:t xml:space="preserve">Supplementary Table 5 – </w:t>
      </w:r>
      <w:r>
        <w:rPr>
          <w:rFonts w:ascii="Arial" w:hAnsi="Arial"/>
          <w:b w:val="false"/>
          <w:bCs w:val="false"/>
          <w:i w:val="false"/>
          <w:strike w:val="false"/>
          <w:dstrike w:val="false"/>
          <w:outline w:val="false"/>
          <w:shadow w:val="false"/>
          <w:sz w:val="16"/>
          <w:szCs w:val="16"/>
          <w:u w:val="none"/>
          <w:em w:val="none"/>
        </w:rPr>
        <w:t>Univariable and multivariable logistic regression analyses of postoperative complications associated with IUI and delayed IUI</w:t>
      </w:r>
    </w:p>
    <w:p>
      <w:pPr>
        <w:pStyle w:val="Normal"/>
        <w:bidi w:val="0"/>
        <w:rPr>
          <w:rFonts w:ascii="Arial" w:hAnsi="Arial"/>
          <w:b/>
          <w:i w:val="false"/>
          <w:i w:val="false"/>
          <w:strike w:val="false"/>
          <w:dstrike w:val="false"/>
          <w:outline w:val="false"/>
          <w:shadow w:val="false"/>
          <w:sz w:val="20"/>
          <w:u w:val="none"/>
          <w:em w:val="none"/>
        </w:rPr>
      </w:pPr>
      <w:r>
        <w:rPr>
          <w:rFonts w:ascii="Arial" w:hAnsi="Arial"/>
          <w:b/>
          <w:i w:val="false"/>
          <w:strike w:val="false"/>
          <w:dstrike w:val="false"/>
          <w:outline w:val="false"/>
          <w:shadow w:val="false"/>
          <w:sz w:val="20"/>
          <w:u w:val="none"/>
          <w:em w:val="none"/>
        </w:rPr>
      </w:r>
    </w:p>
    <w:tbl>
      <w:tblPr>
        <w:tblW w:w="10197" w:type="dxa"/>
        <w:jc w:val="start"/>
        <w:tblInd w:w="0" w:type="dxa"/>
        <w:tblLayout w:type="fixed"/>
        <w:tblCellMar>
          <w:top w:w="0" w:type="dxa"/>
          <w:start w:w="30" w:type="dxa"/>
          <w:bottom w:w="0" w:type="dxa"/>
          <w:end w:w="30" w:type="dxa"/>
        </w:tblCellMar>
      </w:tblPr>
      <w:tblGrid>
        <w:gridCol w:w="2163"/>
        <w:gridCol w:w="600"/>
        <w:gridCol w:w="775"/>
        <w:gridCol w:w="590"/>
        <w:gridCol w:w="625"/>
        <w:gridCol w:w="775"/>
        <w:gridCol w:w="625"/>
        <w:gridCol w:w="571"/>
        <w:gridCol w:w="848"/>
        <w:gridCol w:w="570"/>
        <w:gridCol w:w="603"/>
        <w:gridCol w:w="853"/>
        <w:gridCol w:w="598"/>
      </w:tblGrid>
      <w:tr>
        <w:trPr/>
        <w:tc>
          <w:tcPr>
            <w:tcW w:w="2163" w:type="dxa"/>
            <w:tcBorders/>
            <w:vAlign w:val="bottom"/>
          </w:tcPr>
          <w:p>
            <w:pPr>
              <w:pStyle w:val="Normal"/>
              <w:tabs>
                <w:tab w:val="clear" w:pos="709"/>
              </w:tabs>
              <w:bidi w:val="0"/>
              <w:jc w:val="start"/>
              <w:rPr>
                <w:rFonts w:ascii="Liberation Sans" w:hAnsi="Liberation Sans"/>
              </w:rPr>
            </w:pPr>
            <w:r>
              <w:rPr>
                <w:rFonts w:ascii="Liberation Sans" w:hAnsi="Liberation Sans"/>
              </w:rPr>
            </w:r>
          </w:p>
        </w:tc>
        <w:tc>
          <w:tcPr>
            <w:tcW w:w="3990" w:type="dxa"/>
            <w:gridSpan w:val="6"/>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No IUI vs. IUI</w:t>
              <w:br/>
              <w:t>(</w:t>
            </w:r>
            <w:r>
              <w:rPr>
                <w:rFonts w:ascii="Arial" w:hAnsi="Arial"/>
                <w:i/>
                <w:iCs/>
                <w:sz w:val="13"/>
                <w:szCs w:val="13"/>
              </w:rPr>
              <w:t>n</w:t>
            </w:r>
            <w:r>
              <w:rPr>
                <w:rFonts w:ascii="Arial" w:hAnsi="Arial"/>
                <w:sz w:val="13"/>
                <w:szCs w:val="13"/>
              </w:rPr>
              <w:t xml:space="preserve"> = 566,036)</w:t>
            </w:r>
          </w:p>
        </w:tc>
        <w:tc>
          <w:tcPr>
            <w:tcW w:w="4043" w:type="dxa"/>
            <w:gridSpan w:val="6"/>
            <w:tcBorders>
              <w:start w:val="single" w:sz="2" w:space="0" w:color="000000"/>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Early IUI vs. Delayed IUI</w:t>
              <w:br/>
              <w:t>(</w:t>
            </w:r>
            <w:r>
              <w:rPr>
                <w:rFonts w:ascii="Arial" w:hAnsi="Arial"/>
                <w:i/>
                <w:iCs/>
                <w:sz w:val="13"/>
                <w:szCs w:val="13"/>
              </w:rPr>
              <w:t>n</w:t>
            </w:r>
            <w:r>
              <w:rPr>
                <w:rFonts w:ascii="Arial" w:hAnsi="Arial"/>
                <w:sz w:val="13"/>
                <w:szCs w:val="13"/>
              </w:rPr>
              <w:t xml:space="preserve"> = 5,836)</w:t>
            </w:r>
          </w:p>
        </w:tc>
      </w:tr>
      <w:tr>
        <w:trPr/>
        <w:tc>
          <w:tcPr>
            <w:tcW w:w="2163" w:type="dxa"/>
            <w:tcBorders/>
            <w:vAlign w:val="bottom"/>
          </w:tcPr>
          <w:p>
            <w:pPr>
              <w:pStyle w:val="Normal"/>
              <w:tabs>
                <w:tab w:val="clear" w:pos="709"/>
              </w:tabs>
              <w:bidi w:val="0"/>
              <w:jc w:val="start"/>
              <w:rPr>
                <w:rFonts w:ascii="Liberation Sans" w:hAnsi="Liberation Sans"/>
              </w:rPr>
            </w:pPr>
            <w:r>
              <w:rPr>
                <w:rFonts w:ascii="Liberation Sans" w:hAnsi="Liberation Sans"/>
              </w:rPr>
            </w:r>
          </w:p>
        </w:tc>
        <w:tc>
          <w:tcPr>
            <w:tcW w:w="1965" w:type="dxa"/>
            <w:gridSpan w:val="3"/>
            <w:tcBorders>
              <w:top w:val="single" w:sz="2" w:space="0" w:color="000000"/>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Univariable Logistic Regression</w:t>
            </w:r>
          </w:p>
        </w:tc>
        <w:tc>
          <w:tcPr>
            <w:tcW w:w="2025" w:type="dxa"/>
            <w:gridSpan w:val="3"/>
            <w:tcBorders>
              <w:top w:val="single" w:sz="2" w:space="0" w:color="000000"/>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Multivariable Logistic Regression</w:t>
            </w:r>
          </w:p>
        </w:tc>
        <w:tc>
          <w:tcPr>
            <w:tcW w:w="1989" w:type="dxa"/>
            <w:gridSpan w:val="3"/>
            <w:tcBorders>
              <w:top w:val="single" w:sz="2" w:space="0" w:color="000000"/>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Univariable Logistic Regression</w:t>
            </w:r>
          </w:p>
        </w:tc>
        <w:tc>
          <w:tcPr>
            <w:tcW w:w="2054" w:type="dxa"/>
            <w:gridSpan w:val="3"/>
            <w:tcBorders>
              <w:top w:val="single" w:sz="2" w:space="0" w:color="000000"/>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Multivariable Logistic Regression</w:t>
            </w:r>
          </w:p>
        </w:tc>
      </w:tr>
      <w:tr>
        <w:trPr/>
        <w:tc>
          <w:tcPr>
            <w:tcW w:w="2163" w:type="dxa"/>
            <w:tcBorders/>
            <w:vAlign w:val="bottom"/>
          </w:tcPr>
          <w:p>
            <w:pPr>
              <w:pStyle w:val="Normal"/>
              <w:tabs>
                <w:tab w:val="clear" w:pos="709"/>
              </w:tabs>
              <w:bidi w:val="0"/>
              <w:jc w:val="start"/>
              <w:rPr>
                <w:rFonts w:ascii="Liberation Sans" w:hAnsi="Liberation Sans"/>
              </w:rPr>
            </w:pPr>
            <w:r>
              <w:rPr>
                <w:rFonts w:ascii="Liberation Sans" w:hAnsi="Liberation Sans"/>
              </w:rPr>
            </w:r>
          </w:p>
        </w:tc>
        <w:tc>
          <w:tcPr>
            <w:tcW w:w="600" w:type="dxa"/>
            <w:tcBorders>
              <w:start w:val="single" w:sz="2" w:space="0" w:color="000000"/>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OR</w:t>
            </w:r>
          </w:p>
        </w:tc>
        <w:tc>
          <w:tcPr>
            <w:tcW w:w="775"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95% CI</w:t>
            </w:r>
          </w:p>
        </w:tc>
        <w:tc>
          <w:tcPr>
            <w:tcW w:w="590"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i/>
                <w:sz w:val="13"/>
                <w:szCs w:val="13"/>
              </w:rPr>
              <w:t>p value</w:t>
            </w:r>
          </w:p>
        </w:tc>
        <w:tc>
          <w:tcPr>
            <w:tcW w:w="625"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aOR</w:t>
            </w:r>
          </w:p>
        </w:tc>
        <w:tc>
          <w:tcPr>
            <w:tcW w:w="775"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95% CI</w:t>
            </w:r>
          </w:p>
        </w:tc>
        <w:tc>
          <w:tcPr>
            <w:tcW w:w="625" w:type="dxa"/>
            <w:tcBorders>
              <w:bottom w:val="single" w:sz="2" w:space="0" w:color="000000"/>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i/>
                <w:sz w:val="13"/>
                <w:szCs w:val="13"/>
              </w:rPr>
              <w:t>p value</w:t>
            </w:r>
          </w:p>
        </w:tc>
        <w:tc>
          <w:tcPr>
            <w:tcW w:w="571" w:type="dxa"/>
            <w:tcBorders>
              <w:start w:val="single" w:sz="2" w:space="0" w:color="000000"/>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OR</w:t>
            </w:r>
          </w:p>
        </w:tc>
        <w:tc>
          <w:tcPr>
            <w:tcW w:w="848"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95% CI</w:t>
            </w:r>
          </w:p>
        </w:tc>
        <w:tc>
          <w:tcPr>
            <w:tcW w:w="570"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i/>
                <w:sz w:val="13"/>
                <w:szCs w:val="13"/>
              </w:rPr>
              <w:t>p value</w:t>
            </w:r>
          </w:p>
        </w:tc>
        <w:tc>
          <w:tcPr>
            <w:tcW w:w="603"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aOR</w:t>
            </w:r>
          </w:p>
        </w:tc>
        <w:tc>
          <w:tcPr>
            <w:tcW w:w="853" w:type="dxa"/>
            <w:tcBorders>
              <w:bottom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95% CI</w:t>
            </w:r>
          </w:p>
        </w:tc>
        <w:tc>
          <w:tcPr>
            <w:tcW w:w="598" w:type="dxa"/>
            <w:tcBorders>
              <w:bottom w:val="single" w:sz="2" w:space="0" w:color="000000"/>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i/>
                <w:sz w:val="13"/>
                <w:szCs w:val="13"/>
              </w:rPr>
              <w:t>p value</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Superficial SSI</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1.461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1.313-1.625</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1.042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0.917-1.184</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0.529</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0.869</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0.492-1.536</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0.629</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1.491</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0.824-2.699</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0.186</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Deep SSI</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1.641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1.333-2.020</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0.986</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0.777-1.252</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0.910</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0.797</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0.250-2.538</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0.701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0.407</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0.055-3.005</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0.378</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Organ space SSI</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1.503</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1.372-1.647</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1.025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0.918-1.145</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0.661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2.347</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1.659-3.319</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2.712</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1.752-4.197</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Wound dehiscence</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1.722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1.439-2.061</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1.085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0.865-1.360</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0.480</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1.433</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0.661-3.106</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0.363</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1.313</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0.426-4.047</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0.635</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Pneumonia</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1.041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0.899-1.206</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0.591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1.072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0.898-1.279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0.441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1.990</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1.136-3.488</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0.016</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2.357</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1.183-4.697</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0.015</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Unplanned reintubation</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1.018</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0.848-1.222</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0.849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0.859</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0.689-1.073</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0.181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2.486</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1.318-4.689</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0.005</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3.038</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1.348-6.843</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0.007</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Pulmonary embolism</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1.551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1.210-1.988</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1.027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0.753-1.400</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0.868</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3.474</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1.637-7.373</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6.741</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2.792-16.275</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Failure to wean vent in &lt; 48 hours</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0.942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0.815-1.089</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0.419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1.061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0.880-1.279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0.534</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2.104</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1.221-3.626</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0.007</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2.229</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0.986-5.040</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0.054</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Renal insufficiency</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2.077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1.687-2.558</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1.354</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1.074-1.707</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0.010</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11.186</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6.975-17.940</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14.623</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8.208-26.052</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Renal failure</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1.522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1.210-1.914</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1.635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1.233-2.170</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4.229</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2.200-8.129</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2.042</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0.635-6.569</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0.231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Urinary tract infection</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3.835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3.483-4.224</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2.874</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2.561-3.227</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2.175</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1.505-3.144</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2.465</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1.583-3.840</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Cerebrovascular accident*</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0.839</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0.504-1.396</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0.499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1.015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0.583-1.767</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0.957</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Cardiac arrest</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1.015</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0.758-1.359</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0.919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1.073</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0.746-1.542</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0.705</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2.282</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0.811-6.416</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0.118</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4.221</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1.183-15.063</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0.027</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Myocardial infarction</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1.258</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0.970-1.633</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0.083</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1.167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0.842-1.619</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0.354</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1.298</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0.403-4.180</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0.662</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1.565</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0.349-7.015</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0.559</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Bleeding requiring transfusion</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2.481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2.333-2.640</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1.699</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1.566-1.842</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0.821</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0.592-1.140</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0.239</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1.254</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0.822-1.912</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0.294</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Deep venous thrombosis</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1.140</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0.934-1.393</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0.198</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0.894</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0.710-1.126</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0.342</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1.545</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0.670-3.564</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t>0.308</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0.863</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0.247-3.016</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0.818</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Sepsis</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1.716</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1.568-1.879</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1.281</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1.146-1.432</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1.952</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1.358-2.806</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2.554</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1.603-4.069</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Septic shock</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1.027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0.905-1.165</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sz w:val="13"/>
                <w:szCs w:val="13"/>
              </w:rPr>
              <w:t>0.684</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1.144</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0.965-1.356</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0.121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1.990</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1.223-3.238</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0.006</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1.620</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0.728-3.605</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0.237</w:t>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Unplanned reoperation</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2.197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2.025-2.385</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1.759</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1.596-1.940</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570"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r>
          </w:p>
        </w:tc>
      </w:tr>
      <w:tr>
        <w:trPr/>
        <w:tc>
          <w:tcPr>
            <w:tcW w:w="2163" w:type="dxa"/>
            <w:tcBorders/>
            <w:vAlign w:val="bottom"/>
          </w:tcPr>
          <w:p>
            <w:pPr>
              <w:pStyle w:val="Normal"/>
              <w:tabs>
                <w:tab w:val="clear" w:pos="709"/>
              </w:tabs>
              <w:bidi w:val="0"/>
              <w:jc w:val="start"/>
              <w:rPr>
                <w:rFonts w:ascii="Arial" w:hAnsi="Arial"/>
                <w:sz w:val="13"/>
                <w:szCs w:val="13"/>
              </w:rPr>
            </w:pPr>
            <w:r>
              <w:rPr>
                <w:rFonts w:ascii="Arial" w:hAnsi="Arial"/>
                <w:b/>
                <w:sz w:val="13"/>
                <w:szCs w:val="13"/>
              </w:rPr>
              <w:t>Postoperative days to discharge</w:t>
            </w:r>
            <w:r>
              <w:rPr>
                <w:rFonts w:ascii="Arial" w:hAnsi="Arial"/>
                <w:b/>
                <w:sz w:val="13"/>
                <w:szCs w:val="13"/>
                <w:vertAlign w:val="superscript"/>
              </w:rPr>
              <w:t>†</w:t>
            </w:r>
          </w:p>
        </w:tc>
        <w:tc>
          <w:tcPr>
            <w:tcW w:w="600"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7.992</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6.811-9.378</w:t>
            </w:r>
          </w:p>
        </w:tc>
        <w:tc>
          <w:tcPr>
            <w:tcW w:w="59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sz w:val="13"/>
                <w:szCs w:val="13"/>
              </w:rPr>
              <w:t>1.847</w:t>
            </w:r>
          </w:p>
        </w:tc>
        <w:tc>
          <w:tcPr>
            <w:tcW w:w="775" w:type="dxa"/>
            <w:tcBorders/>
            <w:vAlign w:val="bottom"/>
          </w:tcPr>
          <w:p>
            <w:pPr>
              <w:pStyle w:val="Normal"/>
              <w:tabs>
                <w:tab w:val="clear" w:pos="709"/>
              </w:tabs>
              <w:bidi w:val="0"/>
              <w:jc w:val="center"/>
              <w:rPr>
                <w:rFonts w:ascii="Arial" w:hAnsi="Arial"/>
                <w:sz w:val="13"/>
                <w:szCs w:val="13"/>
              </w:rPr>
            </w:pPr>
            <w:r>
              <w:rPr>
                <w:rFonts w:ascii="Arial" w:hAnsi="Arial"/>
                <w:sz w:val="13"/>
                <w:szCs w:val="13"/>
              </w:rPr>
              <w:t>1.569-2.174</w:t>
            </w:r>
          </w:p>
        </w:tc>
        <w:tc>
          <w:tcPr>
            <w:tcW w:w="625"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571" w:type="dxa"/>
            <w:tcBorders>
              <w:start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sz w:val="13"/>
                <w:szCs w:val="13"/>
              </w:rPr>
              <w:t>16.064</w:t>
            </w:r>
          </w:p>
        </w:tc>
        <w:tc>
          <w:tcPr>
            <w:tcW w:w="848" w:type="dxa"/>
            <w:tcBorders/>
            <w:vAlign w:val="bottom"/>
          </w:tcPr>
          <w:p>
            <w:pPr>
              <w:pStyle w:val="Normal"/>
              <w:tabs>
                <w:tab w:val="clear" w:pos="709"/>
              </w:tabs>
              <w:bidi w:val="0"/>
              <w:jc w:val="center"/>
              <w:rPr>
                <w:rFonts w:ascii="Arial" w:hAnsi="Arial"/>
                <w:sz w:val="13"/>
                <w:szCs w:val="13"/>
              </w:rPr>
            </w:pPr>
            <w:r>
              <w:rPr>
                <w:rFonts w:ascii="Arial" w:hAnsi="Arial"/>
                <w:sz w:val="13"/>
                <w:szCs w:val="13"/>
              </w:rPr>
              <w:t>6.181-41.747</w:t>
            </w:r>
          </w:p>
        </w:tc>
        <w:tc>
          <w:tcPr>
            <w:tcW w:w="570" w:type="dxa"/>
            <w:tcBorders/>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c>
          <w:tcPr>
            <w:tcW w:w="603" w:type="dxa"/>
            <w:tcBorders/>
            <w:vAlign w:val="bottom"/>
          </w:tcPr>
          <w:p>
            <w:pPr>
              <w:pStyle w:val="Normal"/>
              <w:tabs>
                <w:tab w:val="clear" w:pos="709"/>
              </w:tabs>
              <w:bidi w:val="0"/>
              <w:jc w:val="center"/>
              <w:rPr>
                <w:rFonts w:ascii="Arial" w:hAnsi="Arial"/>
                <w:sz w:val="13"/>
                <w:szCs w:val="13"/>
              </w:rPr>
            </w:pPr>
            <w:r>
              <w:rPr>
                <w:rFonts w:ascii="Arial" w:hAnsi="Arial"/>
                <w:sz w:val="13"/>
                <w:szCs w:val="13"/>
              </w:rPr>
              <w:t>24.137</w:t>
            </w:r>
          </w:p>
        </w:tc>
        <w:tc>
          <w:tcPr>
            <w:tcW w:w="853" w:type="dxa"/>
            <w:tcBorders/>
            <w:vAlign w:val="bottom"/>
          </w:tcPr>
          <w:p>
            <w:pPr>
              <w:pStyle w:val="Normal"/>
              <w:tabs>
                <w:tab w:val="clear" w:pos="709"/>
              </w:tabs>
              <w:bidi w:val="0"/>
              <w:jc w:val="center"/>
              <w:rPr>
                <w:rFonts w:ascii="Arial" w:hAnsi="Arial"/>
                <w:sz w:val="13"/>
                <w:szCs w:val="13"/>
              </w:rPr>
            </w:pPr>
            <w:r>
              <w:rPr>
                <w:rFonts w:ascii="Arial" w:hAnsi="Arial"/>
                <w:sz w:val="13"/>
                <w:szCs w:val="13"/>
              </w:rPr>
              <w:t>8.751-66.571</w:t>
            </w:r>
          </w:p>
        </w:tc>
        <w:tc>
          <w:tcPr>
            <w:tcW w:w="598" w:type="dxa"/>
            <w:tcBorders>
              <w:end w:val="single" w:sz="2" w:space="0" w:color="000000"/>
            </w:tcBorders>
            <w:tcMar>
              <w:start w:w="29" w:type="dxa"/>
              <w:end w:w="29" w:type="dxa"/>
            </w:tcMar>
            <w:vAlign w:val="bottom"/>
          </w:tcPr>
          <w:p>
            <w:pPr>
              <w:pStyle w:val="Normal"/>
              <w:tabs>
                <w:tab w:val="clear" w:pos="709"/>
              </w:tabs>
              <w:bidi w:val="0"/>
              <w:jc w:val="center"/>
              <w:rPr>
                <w:rFonts w:ascii="Arial" w:hAnsi="Arial"/>
                <w:sz w:val="13"/>
                <w:szCs w:val="13"/>
              </w:rPr>
            </w:pPr>
            <w:r>
              <w:rPr>
                <w:rFonts w:ascii="Arial" w:hAnsi="Arial"/>
                <w:b/>
                <w:sz w:val="13"/>
                <w:szCs w:val="13"/>
              </w:rPr>
              <w:t>&lt; 0.001</w:t>
            </w:r>
          </w:p>
        </w:tc>
      </w:tr>
    </w:tbl>
    <w:p>
      <w:pPr>
        <w:pStyle w:val="Normal"/>
        <w:bidi w:val="0"/>
        <w:jc w:val="start"/>
        <w:rPr>
          <w:b w:val="false"/>
          <w:bCs w:val="false"/>
          <w:sz w:val="13"/>
          <w:szCs w:val="13"/>
        </w:rPr>
      </w:pPr>
      <w:r>
        <w:rPr/>
      </w:r>
    </w:p>
    <w:p>
      <w:pPr>
        <w:pStyle w:val="Normal"/>
        <w:bidi w:val="0"/>
        <w:jc w:val="start"/>
        <w:rPr>
          <w:b w:val="false"/>
          <w:bCs w:val="false"/>
          <w:sz w:val="13"/>
          <w:szCs w:val="13"/>
        </w:rPr>
      </w:pPr>
      <w:r>
        <w:rPr>
          <w:rFonts w:ascii="Arial" w:hAnsi="Arial"/>
          <w:b w:val="false"/>
          <w:bCs w:val="false"/>
          <w:i w:val="false"/>
          <w:strike w:val="false"/>
          <w:dstrike w:val="false"/>
          <w:outline w:val="false"/>
          <w:shadow w:val="false"/>
          <w:sz w:val="13"/>
          <w:szCs w:val="13"/>
          <w:u w:val="none"/>
          <w:em w:val="none"/>
        </w:rPr>
        <w:t>Covariates: age (years), sex, race, ethnicity, BMI ≥ 30 kg/m</w:t>
      </w:r>
      <w:r>
        <w:rPr>
          <w:rFonts w:ascii="Arial" w:hAnsi="Arial"/>
          <w:b w:val="false"/>
          <w:bCs w:val="false"/>
          <w:i w:val="false"/>
          <w:strike w:val="false"/>
          <w:dstrike w:val="false"/>
          <w:outline w:val="false"/>
          <w:shadow w:val="false"/>
          <w:sz w:val="13"/>
          <w:szCs w:val="13"/>
          <w:u w:val="none"/>
          <w:vertAlign w:val="superscript"/>
          <w:em w:val="none"/>
        </w:rPr>
        <w:t>2</w:t>
      </w:r>
      <w:r>
        <w:rPr>
          <w:rFonts w:ascii="Arial" w:hAnsi="Arial"/>
          <w:b w:val="false"/>
          <w:bCs w:val="false"/>
          <w:i w:val="false"/>
          <w:strike w:val="false"/>
          <w:dstrike w:val="false"/>
          <w:outline w:val="false"/>
          <w:shadow w:val="false"/>
          <w:position w:val="0"/>
          <w:sz w:val="13"/>
          <w:sz w:val="13"/>
          <w:szCs w:val="13"/>
          <w:u w:val="none"/>
          <w:vertAlign w:val="baseline"/>
          <w:em w:val="none"/>
        </w:rPr>
        <w:t>, diabetes mellitus, smoking history, dyspnea on exertion, functional status, mechanical ventilation, chronic obstructive pulmonary disease, ascites, congestive heart failure, hypertension, renal failure, dialysis dependency, disseminated cancer, wound infection, steroid use, recent weight loss, bleeding disorder, preoperative transfusion requirement, SIRS/sepsis, ASA Physical Status Classification, emergency procedure, indication for procedure, surgical approach, surgical site, wound classification, operative duration</w:t>
      </w:r>
    </w:p>
    <w:p>
      <w:pPr>
        <w:pStyle w:val="Normal"/>
        <w:bidi w:val="0"/>
        <w:jc w:val="start"/>
        <w:rPr>
          <w:b w:val="false"/>
          <w:bCs w:val="false"/>
          <w:sz w:val="13"/>
          <w:szCs w:val="13"/>
        </w:rPr>
      </w:pPr>
      <w:r>
        <w:rPr/>
      </w:r>
    </w:p>
    <w:p>
      <w:pPr>
        <w:pStyle w:val="Normal"/>
        <w:bidi w:val="0"/>
        <w:jc w:val="start"/>
        <w:rPr>
          <w:b w:val="false"/>
          <w:bCs w:val="false"/>
          <w:sz w:val="13"/>
          <w:szCs w:val="13"/>
        </w:rPr>
      </w:pPr>
      <w:r>
        <w:rPr>
          <w:rFonts w:ascii="Arial" w:hAnsi="Arial"/>
          <w:b w:val="false"/>
          <w:bCs w:val="false"/>
          <w:i w:val="false"/>
          <w:strike w:val="false"/>
          <w:dstrike w:val="false"/>
          <w:outline w:val="false"/>
          <w:shadow w:val="false"/>
          <w:sz w:val="13"/>
          <w:szCs w:val="13"/>
          <w:u w:val="none"/>
          <w:em w:val="none"/>
        </w:rPr>
        <w:t>*No occurrence in delayed IUI cohort</w:t>
      </w:r>
    </w:p>
    <w:p>
      <w:pPr>
        <w:pStyle w:val="Normal"/>
        <w:tabs>
          <w:tab w:val="clear" w:pos="709"/>
        </w:tabs>
        <w:bidi w:val="0"/>
        <w:jc w:val="start"/>
        <w:rPr>
          <w:rFonts w:ascii="Arial" w:hAnsi="Arial"/>
          <w:b w:val="false"/>
          <w:bCs w:val="false"/>
          <w:sz w:val="13"/>
          <w:szCs w:val="13"/>
        </w:rPr>
      </w:pPr>
      <w:r>
        <w:rPr>
          <w:rFonts w:ascii="Arial" w:hAnsi="Arial"/>
          <w:b w:val="false"/>
          <w:bCs w:val="false"/>
          <w:i w:val="false"/>
          <w:strike w:val="false"/>
          <w:dstrike w:val="false"/>
          <w:outline w:val="false"/>
          <w:shadow w:val="false"/>
          <w:sz w:val="13"/>
          <w:szCs w:val="13"/>
          <w:u w:val="none"/>
          <w:vertAlign w:val="superscript"/>
          <w:em w:val="none"/>
        </w:rPr>
        <w:t>†</w:t>
      </w:r>
      <w:r>
        <w:rPr>
          <w:rFonts w:ascii="Arial" w:hAnsi="Arial"/>
          <w:b w:val="false"/>
          <w:bCs w:val="false"/>
          <w:i w:val="false"/>
          <w:strike w:val="false"/>
          <w:dstrike w:val="false"/>
          <w:outline w:val="false"/>
          <w:shadow w:val="false"/>
          <w:sz w:val="13"/>
          <w:szCs w:val="13"/>
          <w:u w:val="none"/>
          <w:em w:val="none"/>
        </w:rPr>
        <w:t>Linear model used for continuous variable</w:t>
      </w:r>
    </w:p>
    <w:p>
      <w:pPr>
        <w:pStyle w:val="Normal"/>
        <w:tabs>
          <w:tab w:val="clear" w:pos="709"/>
        </w:tabs>
        <w:bidi w:val="0"/>
        <w:jc w:val="start"/>
        <w:rPr>
          <w:rFonts w:ascii="Arial" w:hAnsi="Arial"/>
          <w:b w:val="false"/>
          <w:bCs w:val="false"/>
          <w:sz w:val="13"/>
          <w:szCs w:val="13"/>
        </w:rPr>
      </w:pPr>
      <w:r>
        <w:rPr/>
      </w:r>
    </w:p>
    <w:p>
      <w:pPr>
        <w:pStyle w:val="Normal"/>
        <w:bidi w:val="0"/>
        <w:jc w:val="start"/>
        <w:rPr>
          <w:sz w:val="13"/>
          <w:szCs w:val="13"/>
        </w:rPr>
      </w:pPr>
      <w:r>
        <w:rPr>
          <w:rFonts w:ascii="Arial" w:hAnsi="Arial"/>
          <w:sz w:val="13"/>
          <w:szCs w:val="13"/>
        </w:rPr>
        <w:t>IUI = iatrogenic urinary injury</w:t>
      </w:r>
    </w:p>
    <w:p>
      <w:pPr>
        <w:pStyle w:val="Normal"/>
        <w:bidi w:val="0"/>
        <w:jc w:val="start"/>
        <w:rPr>
          <w:sz w:val="13"/>
          <w:szCs w:val="13"/>
        </w:rPr>
      </w:pPr>
      <w:r>
        <w:rPr>
          <w:rFonts w:ascii="Arial" w:hAnsi="Arial"/>
          <w:b w:val="false"/>
          <w:bCs w:val="false"/>
          <w:sz w:val="13"/>
          <w:szCs w:val="13"/>
        </w:rPr>
        <w:t>OR = odds ratio</w:t>
      </w:r>
    </w:p>
    <w:p>
      <w:pPr>
        <w:pStyle w:val="Normal"/>
        <w:bidi w:val="0"/>
        <w:jc w:val="start"/>
        <w:rPr>
          <w:sz w:val="13"/>
          <w:szCs w:val="13"/>
        </w:rPr>
      </w:pPr>
      <w:r>
        <w:rPr>
          <w:rFonts w:ascii="Arial" w:hAnsi="Arial"/>
          <w:b w:val="false"/>
          <w:bCs w:val="false"/>
          <w:sz w:val="13"/>
          <w:szCs w:val="13"/>
        </w:rPr>
        <w:t>aOR = adjusted odds ratio</w:t>
      </w:r>
    </w:p>
    <w:p>
      <w:pPr>
        <w:pStyle w:val="Normal"/>
        <w:bidi w:val="0"/>
        <w:jc w:val="start"/>
        <w:rPr>
          <w:sz w:val="13"/>
          <w:szCs w:val="13"/>
        </w:rPr>
      </w:pPr>
      <w:r>
        <w:rPr>
          <w:rFonts w:ascii="Arial" w:hAnsi="Arial"/>
          <w:b w:val="false"/>
          <w:bCs w:val="false"/>
          <w:sz w:val="13"/>
          <w:szCs w:val="13"/>
        </w:rPr>
        <w:t>CI = confidence interval</w:t>
      </w:r>
    </w:p>
    <w:p>
      <w:pPr>
        <w:pStyle w:val="Normal"/>
        <w:bidi w:val="0"/>
        <w:jc w:val="start"/>
        <w:rPr>
          <w:sz w:val="13"/>
          <w:szCs w:val="13"/>
        </w:rPr>
      </w:pPr>
      <w:r>
        <w:rPr>
          <w:rFonts w:ascii="Arial" w:hAnsi="Arial"/>
          <w:b w:val="false"/>
          <w:bCs w:val="false"/>
          <w:i w:val="false"/>
          <w:strike w:val="false"/>
          <w:dstrike w:val="false"/>
          <w:outline w:val="false"/>
          <w:shadow w:val="false"/>
          <w:sz w:val="13"/>
          <w:szCs w:val="13"/>
          <w:u w:val="none"/>
          <w:em w:val="none"/>
        </w:rPr>
        <w:t>SSI = surgical site infection</w:t>
      </w:r>
    </w:p>
    <w:p>
      <w:pPr>
        <w:pStyle w:val="Normal"/>
        <w:bidi w:val="0"/>
        <w:jc w:val="start"/>
        <w:rPr>
          <w:sz w:val="13"/>
          <w:szCs w:val="13"/>
        </w:rPr>
      </w:pPr>
      <w:r>
        <w:rPr>
          <w:rFonts w:ascii="Arial" w:hAnsi="Arial"/>
          <w:b w:val="false"/>
          <w:bCs w:val="false"/>
          <w:i w:val="false"/>
          <w:strike w:val="false"/>
          <w:dstrike w:val="false"/>
          <w:outline w:val="false"/>
          <w:shadow w:val="false"/>
          <w:sz w:val="13"/>
          <w:szCs w:val="13"/>
          <w:u w:val="none"/>
          <w:em w:val="none"/>
        </w:rPr>
        <w:t>BMI = body mass index</w:t>
      </w:r>
    </w:p>
    <w:p>
      <w:pPr>
        <w:pStyle w:val="Normal"/>
        <w:bidi w:val="0"/>
        <w:jc w:val="start"/>
        <w:rPr>
          <w:sz w:val="13"/>
          <w:szCs w:val="13"/>
        </w:rPr>
      </w:pPr>
      <w:r>
        <w:rPr>
          <w:rFonts w:ascii="Arial" w:hAnsi="Arial"/>
          <w:b w:val="false"/>
          <w:bCs w:val="false"/>
          <w:i w:val="false"/>
          <w:strike w:val="false"/>
          <w:dstrike w:val="false"/>
          <w:outline w:val="false"/>
          <w:shadow w:val="false"/>
          <w:sz w:val="13"/>
          <w:szCs w:val="13"/>
          <w:u w:val="none"/>
          <w:em w:val="none"/>
        </w:rPr>
        <w:t>SIRS = systemic inflammatory response syndrome</w:t>
      </w:r>
    </w:p>
    <w:p>
      <w:pPr>
        <w:pStyle w:val="Normal"/>
        <w:bidi w:val="0"/>
        <w:jc w:val="start"/>
        <w:rPr>
          <w:sz w:val="13"/>
          <w:szCs w:val="13"/>
        </w:rPr>
      </w:pPr>
      <w:r>
        <w:rPr>
          <w:rFonts w:ascii="Arial" w:hAnsi="Arial"/>
          <w:b w:val="false"/>
          <w:bCs w:val="false"/>
          <w:i w:val="false"/>
          <w:strike w:val="false"/>
          <w:dstrike w:val="false"/>
          <w:outline w:val="false"/>
          <w:shadow w:val="false"/>
          <w:sz w:val="13"/>
          <w:szCs w:val="13"/>
          <w:u w:val="none"/>
          <w:em w:val="none"/>
        </w:rPr>
        <w:t>ASA = American Society of Anesthesiologists</w:t>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Arial">
    <w:charset w:val="01" w:characterSet="utf-8"/>
    <w:family w:val="roman"/>
    <w:pitch w:val="variable"/>
  </w:font>
</w:fonts>
</file>

<file path=word/settings.xml><?xml version="1.0" encoding="utf-8"?>
<w:settings xmlns:w="http://schemas.openxmlformats.org/wordprocessingml/2006/main">
  <w:zoom w:percent="160"/>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Free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99</TotalTime>
  <Application>LibreOffice/24.2.2.2$Linux_X86_64 LibreOffice_project/420$Build-2</Application>
  <AppVersion>15.0000</AppVersion>
  <Pages>1</Pages>
  <Words>489</Words>
  <Characters>3126</Characters>
  <CharactersWithSpaces>3338</CharactersWithSpaces>
  <Paragraphs>278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2024-04-21T05:06:37Z</dcterms:created>
  <dc:creator/>
  <dc:description/>
  <dc:language>en-US</dc:language>
  <cp:lastModifiedBy/>
  <dcterms:modified xsi:type="dcterms:W3CDTF">2024-05-12T16:31:28Z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