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BEF1B" w14:textId="77777777" w:rsidR="00866675" w:rsidRDefault="00866675" w:rsidP="00866675">
      <w:pPr>
        <w:rPr>
          <w:b/>
          <w:bCs/>
        </w:rPr>
      </w:pPr>
      <w:r>
        <w:rPr>
          <w:rFonts w:ascii="PingFang SC" w:eastAsia="PingFang SC" w:hAnsi="PingFang SC" w:hint="eastAsia"/>
          <w:b/>
          <w:bCs/>
          <w:color w:val="101214"/>
          <w:shd w:val="clear" w:color="auto" w:fill="FCFDFE"/>
        </w:rPr>
        <w:t>Supplementary Material</w:t>
      </w:r>
    </w:p>
    <w:p w14:paraId="61A0B6C6" w14:textId="77777777" w:rsidR="00866675" w:rsidRDefault="00866675" w:rsidP="00866675">
      <w:pPr>
        <w:rPr>
          <w:rFonts w:ascii="Arial" w:hAnsi="Arial" w:cs="Arial"/>
          <w:b/>
          <w:bCs/>
          <w:szCs w:val="21"/>
        </w:rPr>
      </w:pPr>
    </w:p>
    <w:p w14:paraId="6D90AD35" w14:textId="77777777" w:rsidR="00866675" w:rsidRDefault="00866675" w:rsidP="00866675">
      <w:pPr>
        <w:jc w:val="center"/>
        <w:rPr>
          <w:rFonts w:ascii="Arial" w:hAnsi="Arial" w:cs="Arial"/>
          <w:b/>
          <w:bCs/>
          <w:szCs w:val="21"/>
        </w:rPr>
      </w:pPr>
      <w:r>
        <w:rPr>
          <w:rFonts w:ascii="Arial" w:hAnsi="Arial" w:cs="Arial" w:hint="eastAsia"/>
          <w:b/>
          <w:bCs/>
          <w:noProof/>
          <w:szCs w:val="21"/>
        </w:rPr>
        <w:drawing>
          <wp:inline distT="0" distB="0" distL="0" distR="0" wp14:anchorId="1D386F6C" wp14:editId="1917406D">
            <wp:extent cx="5270500" cy="3205480"/>
            <wp:effectExtent l="0" t="0" r="6350" b="0"/>
            <wp:docPr id="1430021328" name="图片 9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021328" name="图片 9" descr="A close-up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1BDF1" w14:textId="77777777" w:rsidR="00866675" w:rsidRDefault="00866675" w:rsidP="00866675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S1.</w:t>
      </w:r>
      <w:r>
        <w:rPr>
          <w:rFonts w:ascii="Arial" w:hAnsi="Arial" w:cs="Arial"/>
          <w:szCs w:val="21"/>
        </w:rPr>
        <w:t xml:space="preserve"> Survival analysis of ESTIMATE, immune and stromal score in TCGA-gliomas, and differentially expressed genes among low and high-</w:t>
      </w:r>
      <w:r>
        <w:rPr>
          <w:rFonts w:ascii="Arial" w:hAnsi="Arial" w:cs="Arial" w:hint="eastAsia"/>
          <w:szCs w:val="21"/>
        </w:rPr>
        <w:t>risk</w:t>
      </w:r>
      <w:r>
        <w:rPr>
          <w:rFonts w:ascii="Arial" w:hAnsi="Arial" w:cs="Arial"/>
          <w:szCs w:val="21"/>
        </w:rPr>
        <w:t xml:space="preserve"> scores groups.</w:t>
      </w:r>
    </w:p>
    <w:p w14:paraId="74F0B1C5" w14:textId="77777777" w:rsidR="00866675" w:rsidRDefault="00866675" w:rsidP="00866675">
      <w:pPr>
        <w:rPr>
          <w:rFonts w:ascii="Arial" w:hAnsi="Arial" w:cs="Arial"/>
          <w:szCs w:val="21"/>
        </w:rPr>
      </w:pPr>
    </w:p>
    <w:p w14:paraId="50E0CFFF" w14:textId="77777777" w:rsidR="00866675" w:rsidRDefault="00866675" w:rsidP="00866675">
      <w:pPr>
        <w:jc w:val="center"/>
        <w:rPr>
          <w:rFonts w:ascii="Arial" w:hAnsi="Arial" w:cs="Arial"/>
          <w:szCs w:val="21"/>
        </w:rPr>
      </w:pPr>
      <w:r>
        <w:rPr>
          <w:rFonts w:ascii="Arial" w:hAnsi="Arial" w:cs="Arial" w:hint="eastAsia"/>
          <w:noProof/>
          <w:szCs w:val="21"/>
        </w:rPr>
        <w:drawing>
          <wp:inline distT="0" distB="0" distL="0" distR="0" wp14:anchorId="2C0F664C" wp14:editId="65D43D23">
            <wp:extent cx="5270500" cy="2937510"/>
            <wp:effectExtent l="0" t="0" r="6350" b="0"/>
            <wp:docPr id="1803685952" name="图片 10" descr="A collage of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685952" name="图片 10" descr="A collage of diagrams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8462C" w14:textId="77777777" w:rsidR="00866675" w:rsidRDefault="00866675" w:rsidP="00866675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szCs w:val="21"/>
        </w:rPr>
        <w:t>F</w:t>
      </w:r>
      <w:r>
        <w:rPr>
          <w:rFonts w:ascii="Arial" w:hAnsi="Arial" w:cs="Arial"/>
          <w:b/>
          <w:szCs w:val="21"/>
        </w:rPr>
        <w:t>igure S2.</w:t>
      </w:r>
      <w:r>
        <w:rPr>
          <w:rFonts w:ascii="Arial" w:hAnsi="Arial" w:cs="Arial"/>
          <w:szCs w:val="21"/>
        </w:rPr>
        <w:t xml:space="preserve"> Lipid metabolism typing based on other clustering methods. (A) hierarchical clustering; (B) partioning around medoids.</w:t>
      </w:r>
    </w:p>
    <w:p w14:paraId="7BC8EC55" w14:textId="77777777" w:rsidR="00866675" w:rsidRDefault="00866675" w:rsidP="00866675">
      <w:pPr>
        <w:rPr>
          <w:rFonts w:ascii="Arial" w:hAnsi="Arial" w:cs="Arial"/>
          <w:szCs w:val="21"/>
        </w:rPr>
      </w:pPr>
    </w:p>
    <w:p w14:paraId="661F7DBA" w14:textId="77777777" w:rsidR="00866675" w:rsidRDefault="00866675" w:rsidP="00866675">
      <w:pPr>
        <w:jc w:val="center"/>
        <w:rPr>
          <w:rFonts w:ascii="Arial" w:hAnsi="Arial" w:cs="Arial"/>
          <w:szCs w:val="21"/>
        </w:rPr>
      </w:pPr>
      <w:r>
        <w:rPr>
          <w:rFonts w:ascii="Arial" w:hAnsi="Arial" w:cs="Arial" w:hint="eastAsia"/>
          <w:noProof/>
          <w:szCs w:val="21"/>
        </w:rPr>
        <w:lastRenderedPageBreak/>
        <w:drawing>
          <wp:inline distT="0" distB="0" distL="0" distR="0" wp14:anchorId="1A3A4527" wp14:editId="487BB00D">
            <wp:extent cx="4293108" cy="3500628"/>
            <wp:effectExtent l="0" t="0" r="0" b="5080"/>
            <wp:docPr id="291111553" name="图片 11" descr="A collage of graphs and diagr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11553" name="图片 11" descr="A collage of graphs and diagram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108" cy="3500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7245B" w14:textId="77777777" w:rsidR="00866675" w:rsidRDefault="00866675" w:rsidP="00866675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szCs w:val="21"/>
        </w:rPr>
        <w:t>Figure</w:t>
      </w:r>
      <w:r>
        <w:rPr>
          <w:rFonts w:ascii="Arial" w:hAnsi="Arial" w:cs="Arial"/>
          <w:b/>
          <w:szCs w:val="21"/>
        </w:rPr>
        <w:t xml:space="preserve"> S3.</w:t>
      </w:r>
      <w:r>
        <w:rPr>
          <w:rFonts w:ascii="Arial" w:hAnsi="Arial" w:cs="Arial"/>
          <w:szCs w:val="21"/>
        </w:rPr>
        <w:t xml:space="preserve"> Lipid metabolism typing in CGGA cohort.</w:t>
      </w:r>
    </w:p>
    <w:p w14:paraId="35AAA474" w14:textId="77777777" w:rsidR="00866675" w:rsidRDefault="00866675" w:rsidP="00866675">
      <w:pPr>
        <w:rPr>
          <w:rFonts w:ascii="Arial" w:hAnsi="Arial" w:cs="Arial"/>
          <w:szCs w:val="21"/>
        </w:rPr>
      </w:pPr>
    </w:p>
    <w:p w14:paraId="6E73D778" w14:textId="77777777" w:rsidR="00866675" w:rsidRDefault="00866675" w:rsidP="00866675">
      <w:pPr>
        <w:jc w:val="center"/>
        <w:rPr>
          <w:rFonts w:ascii="Arial" w:hAnsi="Arial" w:cs="Arial"/>
          <w:szCs w:val="21"/>
        </w:rPr>
      </w:pPr>
      <w:r>
        <w:rPr>
          <w:rFonts w:ascii="Arial" w:hAnsi="Arial" w:cs="Arial" w:hint="eastAsia"/>
          <w:noProof/>
          <w:szCs w:val="21"/>
        </w:rPr>
        <w:lastRenderedPageBreak/>
        <w:drawing>
          <wp:inline distT="0" distB="0" distL="0" distR="0" wp14:anchorId="4C1DB61E" wp14:editId="2AE07D1C">
            <wp:extent cx="5270500" cy="7165975"/>
            <wp:effectExtent l="0" t="0" r="6350" b="0"/>
            <wp:docPr id="28421397" name="图片 12" descr="A group of graphs showing different types of canc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21397" name="图片 12" descr="A group of graphs showing different types of cancer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16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E14EC" w14:textId="77777777" w:rsidR="00866675" w:rsidRDefault="00866675" w:rsidP="00866675">
      <w:pPr>
        <w:rPr>
          <w:rFonts w:ascii="Arial" w:hAnsi="Arial" w:cs="Arial"/>
          <w:szCs w:val="21"/>
        </w:rPr>
      </w:pPr>
      <w:r>
        <w:rPr>
          <w:rFonts w:ascii="Arial" w:hAnsi="Arial" w:cs="Arial"/>
          <w:b/>
          <w:bCs/>
          <w:szCs w:val="21"/>
        </w:rPr>
        <w:t>Figure S4.</w:t>
      </w:r>
      <w:r>
        <w:rPr>
          <w:rFonts w:ascii="Arial" w:hAnsi="Arial" w:cs="Arial"/>
          <w:szCs w:val="21"/>
        </w:rPr>
        <w:t xml:space="preserve"> Associations between the risk signature and other clinical features in TCGA and CGGA-B cohorts. </w:t>
      </w:r>
    </w:p>
    <w:p w14:paraId="3615852A" w14:textId="77777777" w:rsidR="00866675" w:rsidRDefault="00866675" w:rsidP="00866675">
      <w:pPr>
        <w:rPr>
          <w:rFonts w:ascii="Arial" w:hAnsi="Arial" w:cs="Arial"/>
          <w:szCs w:val="21"/>
        </w:rPr>
      </w:pPr>
    </w:p>
    <w:p w14:paraId="72A27798" w14:textId="77777777" w:rsidR="00866675" w:rsidRDefault="00866675" w:rsidP="00866675">
      <w:pPr>
        <w:jc w:val="center"/>
        <w:rPr>
          <w:rFonts w:ascii="Arial" w:hAnsi="Arial" w:cs="Arial"/>
          <w:szCs w:val="21"/>
        </w:rPr>
      </w:pPr>
      <w:r>
        <w:rPr>
          <w:rFonts w:ascii="Arial" w:hAnsi="Arial" w:cs="Arial" w:hint="eastAsia"/>
          <w:noProof/>
          <w:szCs w:val="21"/>
        </w:rPr>
        <w:lastRenderedPageBreak/>
        <w:drawing>
          <wp:inline distT="0" distB="0" distL="0" distR="0" wp14:anchorId="012C5758" wp14:editId="1D1F78FA">
            <wp:extent cx="3671316" cy="3714082"/>
            <wp:effectExtent l="0" t="0" r="5715" b="1270"/>
            <wp:docPr id="658359233" name="图片 13" descr="A comparison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59233" name="图片 13" descr="A comparison of a graph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1316" cy="3714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2EC2A" w14:textId="77777777" w:rsidR="00866675" w:rsidRDefault="00866675" w:rsidP="00866675">
      <w:pPr>
        <w:rPr>
          <w:rFonts w:ascii="Arial" w:hAnsi="Arial" w:cs="Arial"/>
          <w:szCs w:val="21"/>
        </w:rPr>
      </w:pPr>
      <w:r>
        <w:rPr>
          <w:rFonts w:ascii="Arial" w:hAnsi="Arial" w:cs="Arial" w:hint="eastAsia"/>
          <w:b/>
          <w:szCs w:val="21"/>
        </w:rPr>
        <w:t>F</w:t>
      </w:r>
      <w:r>
        <w:rPr>
          <w:rFonts w:ascii="Arial" w:hAnsi="Arial" w:cs="Arial"/>
          <w:b/>
          <w:szCs w:val="21"/>
        </w:rPr>
        <w:t>igure S5.</w:t>
      </w:r>
      <w:r>
        <w:rPr>
          <w:rFonts w:ascii="Arial" w:hAnsi="Arial" w:cs="Arial"/>
          <w:szCs w:val="21"/>
        </w:rPr>
        <w:t xml:space="preserve"> The TIICs proportion among low and high risk groups in CGGA cohort.</w:t>
      </w:r>
    </w:p>
    <w:p w14:paraId="7FBB0176" w14:textId="77777777" w:rsidR="00866675" w:rsidRDefault="00866675" w:rsidP="00866675">
      <w:pPr>
        <w:rPr>
          <w:rFonts w:ascii="Arial" w:hAnsi="Arial" w:cs="Arial"/>
          <w:szCs w:val="21"/>
        </w:rPr>
      </w:pPr>
    </w:p>
    <w:p w14:paraId="443415E3" w14:textId="77777777" w:rsidR="00866675" w:rsidRDefault="00866675" w:rsidP="00866675">
      <w:pPr>
        <w:jc w:val="both"/>
        <w:rPr>
          <w:rFonts w:ascii="Arial" w:hAnsi="Arial" w:cs="Arial"/>
          <w:szCs w:val="21"/>
        </w:rPr>
      </w:pPr>
    </w:p>
    <w:p w14:paraId="5209C340" w14:textId="77777777" w:rsidR="00755780" w:rsidRDefault="00755780"/>
    <w:sectPr w:rsidR="00755780" w:rsidSect="00866675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altName w:val="SimSun"/>
    <w:charset w:val="86"/>
    <w:family w:val="swiss"/>
    <w:pitch w:val="default"/>
    <w:sig w:usb0="00000000" w:usb1="00000000" w:usb2="00000017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75"/>
    <w:rsid w:val="00331A6B"/>
    <w:rsid w:val="00755780"/>
    <w:rsid w:val="00857596"/>
    <w:rsid w:val="0086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F6A17"/>
  <w15:chartTrackingRefBased/>
  <w15:docId w15:val="{DAA3C134-B1BA-487B-80EB-14BA6876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675"/>
    <w:pPr>
      <w:spacing w:after="0" w:line="240" w:lineRule="auto"/>
    </w:pPr>
    <w:rPr>
      <w:rFonts w:ascii="SimSun" w:eastAsia="SimSun" w:hAnsi="SimSun" w:cs="SimSu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667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67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67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67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67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67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67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67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67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6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6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6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6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6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6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6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6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6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6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66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67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66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667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66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67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66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6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6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6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tif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</Words>
  <Characters>483</Characters>
  <Application>Microsoft Office Word</Application>
  <DocSecurity>0</DocSecurity>
  <Lines>4</Lines>
  <Paragraphs>1</Paragraphs>
  <ScaleCrop>false</ScaleCrop>
  <Company>Springer Nature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2024-05-27T09:55:00Z</dcterms:created>
  <dcterms:modified xsi:type="dcterms:W3CDTF">2024-05-27T09:55:00Z</dcterms:modified>
</cp:coreProperties>
</file>