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5890A68E" w:rsidR="00D04BCF" w:rsidRDefault="00BB2D2A" w:rsidP="00FA1481">
      <w:pPr>
        <w:jc w:val="center"/>
        <w:rPr>
          <w:rFonts w:ascii="Arial" w:hAnsi="Arial" w:cs="Arial"/>
          <w:sz w:val="36"/>
          <w:szCs w:val="36"/>
        </w:rPr>
      </w:pPr>
      <w:r w:rsidRPr="00F1117B">
        <w:rPr>
          <w:rFonts w:ascii="Arial" w:hAnsi="Arial" w:cs="Arial"/>
          <w:sz w:val="36"/>
          <w:szCs w:val="36"/>
        </w:rPr>
        <w:t>Supplementary Materials</w:t>
      </w:r>
      <w:r w:rsidR="009743A9" w:rsidRPr="00F1117B">
        <w:rPr>
          <w:rFonts w:ascii="Arial" w:hAnsi="Arial" w:cs="Arial"/>
          <w:sz w:val="36"/>
          <w:szCs w:val="36"/>
        </w:rPr>
        <w:t xml:space="preserve"> for</w:t>
      </w:r>
    </w:p>
    <w:p w14:paraId="405285AE" w14:textId="77777777" w:rsidR="00F1117B" w:rsidRPr="00F1117B" w:rsidRDefault="00F1117B" w:rsidP="00FA1481">
      <w:pPr>
        <w:jc w:val="center"/>
        <w:rPr>
          <w:rFonts w:ascii="Arial" w:hAnsi="Arial" w:cs="Arial"/>
          <w:sz w:val="36"/>
          <w:szCs w:val="36"/>
        </w:rPr>
      </w:pPr>
    </w:p>
    <w:p w14:paraId="29411C5A" w14:textId="77777777" w:rsidR="005001AC" w:rsidRDefault="005001AC"/>
    <w:p w14:paraId="4AF9A1E7" w14:textId="77777777" w:rsidR="00F1117B" w:rsidRDefault="00F1117B" w:rsidP="00F1117B">
      <w:pPr>
        <w:pStyle w:val="Head"/>
        <w:spacing w:line="360" w:lineRule="auto"/>
        <w:rPr>
          <w:rFonts w:asciiTheme="minorHAnsi" w:hAnsiTheme="minorHAnsi"/>
        </w:rPr>
      </w:pPr>
      <w:r w:rsidRPr="00355A64">
        <w:rPr>
          <w:rFonts w:asciiTheme="minorHAnsi" w:hAnsiTheme="minorHAnsi"/>
        </w:rPr>
        <w:t xml:space="preserve">Efficient Combinatorial Adaptor-Mediated Targeting of </w:t>
      </w:r>
    </w:p>
    <w:p w14:paraId="65C4FE59" w14:textId="799D872A" w:rsidR="00F1117B" w:rsidRPr="00355A64" w:rsidRDefault="00F1117B" w:rsidP="00F1117B">
      <w:pPr>
        <w:pStyle w:val="Head"/>
        <w:spacing w:line="360" w:lineRule="auto"/>
        <w:rPr>
          <w:rFonts w:asciiTheme="minorHAnsi" w:hAnsiTheme="minorHAnsi"/>
          <w:color w:val="FF0000"/>
        </w:rPr>
      </w:pPr>
      <w:r w:rsidRPr="00355A64">
        <w:rPr>
          <w:rFonts w:asciiTheme="minorHAnsi" w:hAnsiTheme="minorHAnsi"/>
        </w:rPr>
        <w:t>Acute Myeloid Leukemia with CAR T-Cells</w:t>
      </w:r>
    </w:p>
    <w:p w14:paraId="515E7798" w14:textId="77777777" w:rsidR="00F1117B" w:rsidRPr="00355A64" w:rsidRDefault="00F1117B" w:rsidP="00F1117B">
      <w:pPr>
        <w:spacing w:line="360" w:lineRule="auto"/>
        <w:rPr>
          <w:rFonts w:asciiTheme="minorHAnsi" w:hAnsiTheme="minorHAnsi"/>
          <w:b/>
          <w:szCs w:val="24"/>
        </w:rPr>
      </w:pPr>
    </w:p>
    <w:p w14:paraId="301EE533" w14:textId="77777777" w:rsidR="00F1117B" w:rsidRPr="00355A64" w:rsidRDefault="00F1117B" w:rsidP="00F1117B">
      <w:pPr>
        <w:spacing w:line="360" w:lineRule="auto"/>
        <w:rPr>
          <w:rFonts w:asciiTheme="minorHAnsi" w:hAnsiTheme="minorHAnsi"/>
          <w:szCs w:val="24"/>
        </w:rPr>
      </w:pPr>
      <w:r w:rsidRPr="00355A64">
        <w:rPr>
          <w:rFonts w:asciiTheme="minorHAnsi" w:hAnsiTheme="minorHAnsi"/>
          <w:b/>
          <w:szCs w:val="24"/>
        </w:rPr>
        <w:t>Authors:</w:t>
      </w:r>
      <w:r w:rsidRPr="00355A64">
        <w:rPr>
          <w:rFonts w:asciiTheme="minorHAnsi" w:hAnsiTheme="minorHAnsi"/>
          <w:szCs w:val="24"/>
        </w:rPr>
        <w:t xml:space="preserve"> </w:t>
      </w:r>
    </w:p>
    <w:p w14:paraId="2C4BAD58" w14:textId="26CB213C" w:rsidR="00F1117B" w:rsidRPr="00355A64" w:rsidRDefault="00F1117B" w:rsidP="00F1117B">
      <w:pPr>
        <w:spacing w:line="360" w:lineRule="auto"/>
        <w:jc w:val="both"/>
        <w:rPr>
          <w:rFonts w:asciiTheme="minorHAnsi" w:hAnsiTheme="minorHAnsi"/>
          <w:szCs w:val="24"/>
          <w:lang w:eastAsia="de-CH"/>
        </w:rPr>
      </w:pPr>
      <w:r w:rsidRPr="00355A64">
        <w:rPr>
          <w:rFonts w:asciiTheme="minorHAnsi" w:hAnsiTheme="minorHAnsi"/>
          <w:szCs w:val="24"/>
        </w:rPr>
        <w:t>Laura Volta</w:t>
      </w:r>
      <w:r w:rsidRPr="00355A64">
        <w:rPr>
          <w:rFonts w:asciiTheme="minorHAnsi" w:hAnsiTheme="minorHAnsi"/>
          <w:szCs w:val="24"/>
          <w:vertAlign w:val="superscript"/>
        </w:rPr>
        <w:t>1,2</w:t>
      </w:r>
      <w:r w:rsidRPr="00355A64">
        <w:rPr>
          <w:rFonts w:asciiTheme="minorHAnsi" w:hAnsiTheme="minorHAnsi"/>
          <w:szCs w:val="24"/>
        </w:rPr>
        <w:t>, Renier Myburgh</w:t>
      </w:r>
      <w:r w:rsidRPr="00355A64">
        <w:rPr>
          <w:rFonts w:asciiTheme="minorHAnsi" w:hAnsiTheme="minorHAnsi"/>
          <w:szCs w:val="24"/>
          <w:vertAlign w:val="superscript"/>
        </w:rPr>
        <w:t>2</w:t>
      </w:r>
      <w:r w:rsidRPr="00355A64">
        <w:rPr>
          <w:rFonts w:asciiTheme="minorHAnsi" w:hAnsiTheme="minorHAnsi"/>
          <w:szCs w:val="24"/>
        </w:rPr>
        <w:t>, Christian Pellegrino</w:t>
      </w:r>
      <w:r w:rsidR="00D72EB3">
        <w:rPr>
          <w:rFonts w:asciiTheme="minorHAnsi" w:hAnsiTheme="minorHAnsi"/>
          <w:szCs w:val="24"/>
          <w:vertAlign w:val="superscript"/>
        </w:rPr>
        <w:t>1,2</w:t>
      </w:r>
      <w:r w:rsidRPr="00355A64">
        <w:rPr>
          <w:rFonts w:asciiTheme="minorHAnsi" w:hAnsiTheme="minorHAnsi"/>
          <w:szCs w:val="24"/>
        </w:rPr>
        <w:t>, Christian Koch</w:t>
      </w:r>
      <w:r w:rsidRPr="00355A64">
        <w:rPr>
          <w:rFonts w:asciiTheme="minorHAnsi" w:hAnsiTheme="minorHAnsi"/>
          <w:szCs w:val="24"/>
          <w:vertAlign w:val="superscript"/>
        </w:rPr>
        <w:t>2,5</w:t>
      </w:r>
      <w:r w:rsidRPr="00355A64">
        <w:rPr>
          <w:rFonts w:asciiTheme="minorHAnsi" w:hAnsiTheme="minorHAnsi"/>
          <w:szCs w:val="24"/>
        </w:rPr>
        <w:t>, Monique Maurer</w:t>
      </w:r>
      <w:r w:rsidRPr="00355A64">
        <w:rPr>
          <w:rFonts w:asciiTheme="minorHAnsi" w:hAnsiTheme="minorHAnsi"/>
          <w:szCs w:val="24"/>
          <w:vertAlign w:val="superscript"/>
        </w:rPr>
        <w:t>2</w:t>
      </w:r>
      <w:r w:rsidRPr="00355A64">
        <w:rPr>
          <w:rFonts w:asciiTheme="minorHAnsi" w:hAnsiTheme="minorHAnsi"/>
          <w:szCs w:val="24"/>
        </w:rPr>
        <w:t>, Francesco Manfredi</w:t>
      </w:r>
      <w:r w:rsidRPr="00355A64">
        <w:rPr>
          <w:rFonts w:asciiTheme="minorHAnsi" w:hAnsiTheme="minorHAnsi"/>
          <w:szCs w:val="24"/>
          <w:vertAlign w:val="superscript"/>
        </w:rPr>
        <w:t>2</w:t>
      </w:r>
      <w:r w:rsidRPr="00355A64">
        <w:rPr>
          <w:rFonts w:asciiTheme="minorHAnsi" w:hAnsiTheme="minorHAnsi"/>
          <w:szCs w:val="24"/>
        </w:rPr>
        <w:t>, Mara Hofstetter</w:t>
      </w:r>
      <w:r w:rsidRPr="00355A64">
        <w:rPr>
          <w:rFonts w:asciiTheme="minorHAnsi" w:hAnsiTheme="minorHAnsi"/>
          <w:szCs w:val="24"/>
          <w:vertAlign w:val="superscript"/>
        </w:rPr>
        <w:t>2</w:t>
      </w:r>
      <w:r w:rsidRPr="00355A64">
        <w:rPr>
          <w:rFonts w:asciiTheme="minorHAnsi" w:hAnsiTheme="minorHAnsi"/>
          <w:szCs w:val="24"/>
        </w:rPr>
        <w:t>, Anne Kaiser</w:t>
      </w:r>
      <w:r w:rsidRPr="00355A64">
        <w:rPr>
          <w:rFonts w:asciiTheme="minorHAnsi" w:hAnsiTheme="minorHAnsi"/>
          <w:szCs w:val="24"/>
          <w:vertAlign w:val="superscript"/>
        </w:rPr>
        <w:t>2</w:t>
      </w:r>
      <w:r w:rsidRPr="00355A64">
        <w:rPr>
          <w:rFonts w:asciiTheme="minorHAnsi" w:hAnsiTheme="minorHAnsi"/>
          <w:szCs w:val="24"/>
        </w:rPr>
        <w:t>, Florin Schneiter</w:t>
      </w:r>
      <w:r w:rsidRPr="00355A64">
        <w:rPr>
          <w:rFonts w:asciiTheme="minorHAnsi" w:hAnsiTheme="minorHAnsi"/>
          <w:szCs w:val="24"/>
          <w:vertAlign w:val="superscript"/>
        </w:rPr>
        <w:t>5</w:t>
      </w:r>
      <w:r w:rsidRPr="00355A64">
        <w:rPr>
          <w:rFonts w:asciiTheme="minorHAnsi" w:hAnsiTheme="minorHAnsi"/>
          <w:szCs w:val="24"/>
        </w:rPr>
        <w:t>, Jan Müller</w:t>
      </w:r>
      <w:r w:rsidRPr="00355A64">
        <w:rPr>
          <w:rFonts w:asciiTheme="minorHAnsi" w:hAnsiTheme="minorHAnsi"/>
          <w:szCs w:val="24"/>
          <w:vertAlign w:val="superscript"/>
        </w:rPr>
        <w:t>2</w:t>
      </w:r>
      <w:r w:rsidRPr="00355A64">
        <w:rPr>
          <w:rFonts w:asciiTheme="minorHAnsi" w:hAnsiTheme="minorHAnsi"/>
          <w:szCs w:val="24"/>
        </w:rPr>
        <w:t>, Marco M. Buehler</w:t>
      </w:r>
      <w:r w:rsidRPr="00355A64">
        <w:rPr>
          <w:rFonts w:asciiTheme="minorHAnsi" w:hAnsiTheme="minorHAnsi"/>
          <w:szCs w:val="24"/>
          <w:vertAlign w:val="superscript"/>
        </w:rPr>
        <w:t>3</w:t>
      </w:r>
      <w:r w:rsidRPr="00355A64">
        <w:rPr>
          <w:rFonts w:asciiTheme="minorHAnsi" w:hAnsiTheme="minorHAnsi"/>
          <w:szCs w:val="24"/>
        </w:rPr>
        <w:t>, Roberto De Luca</w:t>
      </w:r>
      <w:r w:rsidRPr="00355A64">
        <w:rPr>
          <w:rFonts w:asciiTheme="minorHAnsi" w:hAnsiTheme="minorHAnsi"/>
          <w:szCs w:val="24"/>
          <w:vertAlign w:val="superscript"/>
        </w:rPr>
        <w:t>6</w:t>
      </w:r>
      <w:r w:rsidRPr="00355A64">
        <w:rPr>
          <w:rFonts w:asciiTheme="minorHAnsi" w:hAnsiTheme="minorHAnsi"/>
          <w:szCs w:val="24"/>
        </w:rPr>
        <w:t>, Nicholas Favalli</w:t>
      </w:r>
      <w:r w:rsidRPr="00355A64">
        <w:rPr>
          <w:rFonts w:asciiTheme="minorHAnsi" w:hAnsiTheme="minorHAnsi"/>
          <w:szCs w:val="24"/>
          <w:vertAlign w:val="superscript"/>
        </w:rPr>
        <w:t>6</w:t>
      </w:r>
      <w:r w:rsidRPr="00355A64">
        <w:rPr>
          <w:rFonts w:asciiTheme="minorHAnsi" w:hAnsiTheme="minorHAnsi"/>
          <w:szCs w:val="24"/>
        </w:rPr>
        <w:t>, Chiara F. Magnani</w:t>
      </w:r>
      <w:r w:rsidRPr="00355A64">
        <w:rPr>
          <w:rFonts w:asciiTheme="minorHAnsi" w:hAnsiTheme="minorHAnsi"/>
          <w:szCs w:val="24"/>
          <w:vertAlign w:val="superscript"/>
        </w:rPr>
        <w:t>2,4</w:t>
      </w:r>
      <w:r w:rsidRPr="00355A64">
        <w:rPr>
          <w:rFonts w:asciiTheme="minorHAnsi" w:hAnsiTheme="minorHAnsi"/>
          <w:szCs w:val="24"/>
        </w:rPr>
        <w:t>, Timm Schroeder</w:t>
      </w:r>
      <w:r w:rsidRPr="00355A64">
        <w:rPr>
          <w:rFonts w:asciiTheme="minorHAnsi" w:hAnsiTheme="minorHAnsi"/>
          <w:szCs w:val="24"/>
          <w:vertAlign w:val="superscript"/>
        </w:rPr>
        <w:t>5</w:t>
      </w:r>
      <w:r w:rsidRPr="00355A64">
        <w:rPr>
          <w:rFonts w:asciiTheme="minorHAnsi" w:hAnsiTheme="minorHAnsi"/>
          <w:szCs w:val="24"/>
        </w:rPr>
        <w:t>, Dario Neri</w:t>
      </w:r>
      <w:r w:rsidRPr="00355A64">
        <w:rPr>
          <w:rFonts w:asciiTheme="minorHAnsi" w:hAnsiTheme="minorHAnsi"/>
          <w:szCs w:val="24"/>
          <w:vertAlign w:val="superscript"/>
        </w:rPr>
        <w:t xml:space="preserve">1,6, </w:t>
      </w:r>
      <w:r>
        <w:rPr>
          <w:rFonts w:asciiTheme="minorHAnsi" w:hAnsiTheme="minorHAnsi"/>
          <w:szCs w:val="24"/>
          <w:vertAlign w:val="superscript"/>
        </w:rPr>
        <w:t>#</w:t>
      </w:r>
      <w:r w:rsidRPr="00355A64">
        <w:rPr>
          <w:rFonts w:asciiTheme="minorHAnsi" w:hAnsiTheme="minorHAnsi"/>
          <w:szCs w:val="24"/>
        </w:rPr>
        <w:t>, Markus G. Manz</w:t>
      </w:r>
      <w:r w:rsidRPr="00355A64">
        <w:rPr>
          <w:rFonts w:asciiTheme="minorHAnsi" w:hAnsiTheme="minorHAnsi"/>
          <w:szCs w:val="24"/>
          <w:vertAlign w:val="superscript"/>
        </w:rPr>
        <w:t>2,4,*,</w:t>
      </w:r>
      <w:r>
        <w:rPr>
          <w:rFonts w:asciiTheme="minorHAnsi" w:hAnsiTheme="minorHAnsi"/>
          <w:szCs w:val="24"/>
          <w:vertAlign w:val="superscript"/>
        </w:rPr>
        <w:t>#</w:t>
      </w:r>
      <w:r w:rsidRPr="00355A64">
        <w:rPr>
          <w:rFonts w:asciiTheme="minorHAnsi" w:hAnsiTheme="minorHAnsi"/>
          <w:szCs w:val="24"/>
          <w:lang w:eastAsia="de-CH"/>
        </w:rPr>
        <w:t xml:space="preserve"> </w:t>
      </w:r>
    </w:p>
    <w:p w14:paraId="0648E06D" w14:textId="77777777" w:rsidR="000F0DCE" w:rsidRPr="00F1117B" w:rsidRDefault="000F0DCE" w:rsidP="005001AC">
      <w:pPr>
        <w:jc w:val="center"/>
        <w:rPr>
          <w:rFonts w:ascii="Arial" w:hAnsi="Arial" w:cs="Arial"/>
          <w:sz w:val="22"/>
          <w:szCs w:val="22"/>
        </w:rPr>
      </w:pPr>
    </w:p>
    <w:p w14:paraId="34D67477" w14:textId="41F7D7E6" w:rsidR="004779CB" w:rsidRPr="00F1117B" w:rsidRDefault="00533910" w:rsidP="005001AC">
      <w:pPr>
        <w:jc w:val="center"/>
        <w:rPr>
          <w:rFonts w:ascii="Arial" w:hAnsi="Arial" w:cs="Arial"/>
          <w:sz w:val="22"/>
          <w:szCs w:val="22"/>
        </w:rPr>
      </w:pPr>
      <w:r w:rsidRPr="00F1117B">
        <w:rPr>
          <w:rFonts w:ascii="Arial" w:hAnsi="Arial" w:cs="Arial"/>
          <w:sz w:val="22"/>
          <w:szCs w:val="22"/>
        </w:rPr>
        <w:t>*</w:t>
      </w:r>
      <w:r w:rsidR="00E4519A" w:rsidRPr="00F1117B">
        <w:rPr>
          <w:rFonts w:ascii="Arial" w:hAnsi="Arial" w:cs="Arial"/>
          <w:sz w:val="22"/>
          <w:szCs w:val="22"/>
        </w:rPr>
        <w:t>Correspond</w:t>
      </w:r>
      <w:r w:rsidRPr="00F1117B">
        <w:rPr>
          <w:rFonts w:ascii="Arial" w:hAnsi="Arial" w:cs="Arial"/>
          <w:sz w:val="22"/>
          <w:szCs w:val="22"/>
        </w:rPr>
        <w:t>ing author</w:t>
      </w:r>
      <w:r w:rsidR="00392402" w:rsidRPr="00F1117B">
        <w:rPr>
          <w:rFonts w:ascii="Arial" w:hAnsi="Arial" w:cs="Arial"/>
          <w:sz w:val="22"/>
          <w:szCs w:val="22"/>
        </w:rPr>
        <w:t>. Email</w:t>
      </w:r>
      <w:r w:rsidR="005872DB" w:rsidRPr="00F1117B">
        <w:rPr>
          <w:rFonts w:ascii="Arial" w:hAnsi="Arial" w:cs="Arial"/>
          <w:sz w:val="22"/>
          <w:szCs w:val="22"/>
        </w:rPr>
        <w:t>: markus.manz@usz.ch</w:t>
      </w:r>
    </w:p>
    <w:p w14:paraId="23718CE0" w14:textId="559FCACF" w:rsidR="00015F74" w:rsidRPr="00F1117B" w:rsidRDefault="00015F74" w:rsidP="00C4174E">
      <w:pPr>
        <w:autoSpaceDE w:val="0"/>
        <w:autoSpaceDN w:val="0"/>
        <w:adjustRightInd w:val="0"/>
        <w:spacing w:line="360" w:lineRule="auto"/>
        <w:rPr>
          <w:rFonts w:ascii="Arial" w:eastAsiaTheme="minorHAnsi" w:hAnsi="Arial" w:cs="Arial"/>
          <w:sz w:val="22"/>
          <w:szCs w:val="22"/>
          <w:lang w:val="en-GB"/>
        </w:rPr>
      </w:pPr>
    </w:p>
    <w:p w14:paraId="625C9E71" w14:textId="77777777" w:rsidR="00EF43EA" w:rsidRDefault="00EF43EA">
      <w:pPr>
        <w:rPr>
          <w:rFonts w:ascii="Arial" w:hAnsi="Arial" w:cs="Arial"/>
          <w:b/>
          <w:bCs/>
          <w:sz w:val="22"/>
          <w:szCs w:val="22"/>
          <w:lang w:val="en-GB"/>
        </w:rPr>
      </w:pPr>
      <w:r>
        <w:rPr>
          <w:rFonts w:ascii="Arial" w:hAnsi="Arial" w:cs="Arial"/>
          <w:b/>
          <w:bCs/>
          <w:sz w:val="22"/>
          <w:szCs w:val="22"/>
          <w:lang w:val="en-GB"/>
        </w:rPr>
        <w:br w:type="page"/>
      </w:r>
    </w:p>
    <w:p w14:paraId="1BC5828C" w14:textId="1795E083" w:rsidR="00F3057A" w:rsidRPr="00F1117B" w:rsidRDefault="00F3057A" w:rsidP="00F3057A">
      <w:pPr>
        <w:spacing w:line="360" w:lineRule="auto"/>
        <w:rPr>
          <w:rFonts w:ascii="Arial" w:hAnsi="Arial" w:cs="Arial"/>
          <w:sz w:val="22"/>
          <w:szCs w:val="22"/>
        </w:rPr>
      </w:pPr>
      <w:r w:rsidRPr="00F1117B">
        <w:rPr>
          <w:rFonts w:ascii="Arial" w:hAnsi="Arial" w:cs="Arial"/>
          <w:b/>
          <w:bCs/>
          <w:sz w:val="22"/>
          <w:szCs w:val="22"/>
        </w:rPr>
        <w:lastRenderedPageBreak/>
        <w:t>Supplementary Figure 1</w:t>
      </w:r>
    </w:p>
    <w:p w14:paraId="032DFB72" w14:textId="77777777" w:rsidR="00F3057A" w:rsidRPr="00F1117B" w:rsidRDefault="00F3057A" w:rsidP="00F3057A">
      <w:pPr>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5398D147" wp14:editId="6CB0CB5A">
            <wp:extent cx="6174319" cy="7921952"/>
            <wp:effectExtent l="0" t="0" r="0" b="3175"/>
            <wp:docPr id="1669484640"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484640" name="Picture 1" descr="A screenshot of a computer screen&#10;&#10;Description automatically generated"/>
                    <pic:cNvPicPr/>
                  </pic:nvPicPr>
                  <pic:blipFill rotWithShape="1">
                    <a:blip r:embed="rId11" cstate="print">
                      <a:extLst>
                        <a:ext uri="{28A0092B-C50C-407E-A947-70E740481C1C}">
                          <a14:useLocalDpi xmlns:a14="http://schemas.microsoft.com/office/drawing/2010/main"/>
                        </a:ext>
                      </a:extLst>
                    </a:blip>
                    <a:srcRect/>
                    <a:stretch/>
                  </pic:blipFill>
                  <pic:spPr bwMode="auto">
                    <a:xfrm>
                      <a:off x="0" y="0"/>
                      <a:ext cx="6213539" cy="7972273"/>
                    </a:xfrm>
                    <a:prstGeom prst="rect">
                      <a:avLst/>
                    </a:prstGeom>
                    <a:ln>
                      <a:noFill/>
                    </a:ln>
                    <a:extLst>
                      <a:ext uri="{53640926-AAD7-44D8-BBD7-CCE9431645EC}">
                        <a14:shadowObscured xmlns:a14="http://schemas.microsoft.com/office/drawing/2010/main"/>
                      </a:ext>
                    </a:extLst>
                  </pic:spPr>
                </pic:pic>
              </a:graphicData>
            </a:graphic>
          </wp:inline>
        </w:drawing>
      </w:r>
    </w:p>
    <w:p w14:paraId="1613FBF0" w14:textId="77777777" w:rsidR="00F3057A" w:rsidRPr="00F1117B" w:rsidRDefault="00F3057A" w:rsidP="00F3057A">
      <w:pPr>
        <w:jc w:val="both"/>
        <w:rPr>
          <w:rFonts w:ascii="Arial" w:hAnsi="Arial" w:cs="Arial"/>
          <w:b/>
          <w:bCs/>
          <w:sz w:val="22"/>
          <w:szCs w:val="22"/>
        </w:rPr>
      </w:pPr>
    </w:p>
    <w:p w14:paraId="17B4F086"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t xml:space="preserve">Supplementary Figure </w:t>
      </w:r>
      <w:r w:rsidRPr="00F1117B">
        <w:rPr>
          <w:rFonts w:ascii="Arial" w:hAnsi="Arial" w:cs="Arial"/>
          <w:b/>
          <w:bCs/>
          <w:sz w:val="22"/>
          <w:szCs w:val="22"/>
        </w:rPr>
        <w:fldChar w:fldCharType="begin"/>
      </w:r>
      <w:r w:rsidRPr="00F1117B">
        <w:rPr>
          <w:rFonts w:ascii="Arial" w:hAnsi="Arial" w:cs="Arial"/>
          <w:b/>
          <w:bCs/>
          <w:sz w:val="22"/>
          <w:szCs w:val="22"/>
        </w:rPr>
        <w:instrText xml:space="preserve"> SEQ Supplementary_Figure \* ARABIC </w:instrText>
      </w:r>
      <w:r w:rsidRPr="00F1117B">
        <w:rPr>
          <w:rFonts w:ascii="Arial" w:hAnsi="Arial" w:cs="Arial"/>
          <w:b/>
          <w:bCs/>
          <w:sz w:val="22"/>
          <w:szCs w:val="22"/>
        </w:rPr>
        <w:fldChar w:fldCharType="separate"/>
      </w:r>
      <w:r w:rsidRPr="00F1117B">
        <w:rPr>
          <w:rFonts w:ascii="Arial" w:hAnsi="Arial" w:cs="Arial"/>
          <w:b/>
          <w:bCs/>
          <w:sz w:val="22"/>
          <w:szCs w:val="22"/>
        </w:rPr>
        <w:t>1</w:t>
      </w:r>
      <w:r w:rsidRPr="00F1117B">
        <w:rPr>
          <w:rFonts w:ascii="Arial" w:hAnsi="Arial" w:cs="Arial"/>
          <w:sz w:val="22"/>
          <w:szCs w:val="22"/>
        </w:rPr>
        <w:fldChar w:fldCharType="end"/>
      </w:r>
      <w:r w:rsidRPr="00F1117B">
        <w:rPr>
          <w:rFonts w:ascii="Arial" w:hAnsi="Arial" w:cs="Arial"/>
          <w:b/>
          <w:bCs/>
          <w:sz w:val="22"/>
          <w:szCs w:val="22"/>
        </w:rPr>
        <w:t>.</w:t>
      </w:r>
      <w:r w:rsidRPr="00F1117B">
        <w:rPr>
          <w:rFonts w:ascii="Arial" w:hAnsi="Arial" w:cs="Arial"/>
          <w:sz w:val="22"/>
          <w:szCs w:val="22"/>
        </w:rPr>
        <w:t xml:space="preserve"> </w:t>
      </w:r>
      <w:r w:rsidRPr="00F1117B">
        <w:rPr>
          <w:rFonts w:ascii="Arial" w:hAnsi="Arial" w:cs="Arial"/>
          <w:b/>
          <w:bCs/>
          <w:sz w:val="22"/>
          <w:szCs w:val="22"/>
        </w:rPr>
        <w:t xml:space="preserve">Cell surface expression of immune-therapeutically targetable antigens on human AML cell lines, patient-derived AML blasts, healthy donor bone marrow cells, and healthy donor T-cells. </w:t>
      </w:r>
    </w:p>
    <w:p w14:paraId="137BEFFE" w14:textId="77777777" w:rsidR="00F3057A" w:rsidRPr="00F1117B" w:rsidRDefault="00F3057A" w:rsidP="00F3057A">
      <w:pPr>
        <w:jc w:val="both"/>
        <w:rPr>
          <w:rFonts w:ascii="Arial" w:hAnsi="Arial" w:cs="Arial"/>
          <w:b/>
          <w:sz w:val="22"/>
          <w:szCs w:val="22"/>
        </w:rPr>
      </w:pPr>
      <w:r w:rsidRPr="00F1117B">
        <w:rPr>
          <w:rFonts w:ascii="Arial" w:hAnsi="Arial" w:cs="Arial"/>
          <w:b/>
          <w:bCs/>
          <w:sz w:val="22"/>
          <w:szCs w:val="22"/>
        </w:rPr>
        <w:t>(</w:t>
      </w:r>
      <w:r w:rsidRPr="00F1117B">
        <w:rPr>
          <w:rFonts w:ascii="Arial" w:hAnsi="Arial" w:cs="Arial"/>
          <w:b/>
          <w:sz w:val="22"/>
          <w:szCs w:val="22"/>
        </w:rPr>
        <w:t xml:space="preserve">A) </w:t>
      </w:r>
      <w:r w:rsidRPr="00F1117B">
        <w:rPr>
          <w:rFonts w:ascii="Arial" w:hAnsi="Arial" w:cs="Arial"/>
          <w:sz w:val="22"/>
          <w:szCs w:val="22"/>
        </w:rPr>
        <w:t xml:space="preserve">Flow cytometry histograms showing cell surface expression of human CD33, CD38, CD117, CD123, and CD371 on 14 human AML cell lines. Expression was compared to an unstained control (HL60, dashed grey line). </w:t>
      </w:r>
      <w:r w:rsidRPr="00F1117B">
        <w:rPr>
          <w:rFonts w:ascii="Arial" w:hAnsi="Arial" w:cs="Arial"/>
          <w:b/>
          <w:sz w:val="22"/>
          <w:szCs w:val="22"/>
        </w:rPr>
        <w:t>(B)</w:t>
      </w:r>
      <w:r w:rsidRPr="00F1117B">
        <w:rPr>
          <w:rFonts w:ascii="Arial" w:hAnsi="Arial" w:cs="Arial"/>
          <w:sz w:val="22"/>
          <w:szCs w:val="22"/>
        </w:rPr>
        <w:t xml:space="preserve"> Representative FC plots showing the gating strategy applied to 17 AML/MDS/CMML patient CD3/CD19 depleted peripheral blood and bone marrow samples. Cell surface expression of human CD33, CD38, CD117, CD123, and CD371 on gated CD45</w:t>
      </w:r>
      <w:r w:rsidRPr="00F1117B">
        <w:rPr>
          <w:rFonts w:ascii="Arial" w:hAnsi="Arial" w:cs="Arial"/>
          <w:sz w:val="22"/>
          <w:szCs w:val="22"/>
          <w:vertAlign w:val="superscript"/>
        </w:rPr>
        <w:t>dim</w:t>
      </w:r>
      <w:r w:rsidRPr="00F1117B">
        <w:rPr>
          <w:rFonts w:ascii="Arial" w:hAnsi="Arial" w:cs="Arial"/>
          <w:sz w:val="22"/>
          <w:szCs w:val="22"/>
        </w:rPr>
        <w:t xml:space="preserve"> blast cells are reported as flow cytometry histograms. Expression of the antigens is compared to an unstained patient sample (dashed grey line) used as threshold level. </w:t>
      </w:r>
      <w:r w:rsidRPr="00F1117B">
        <w:rPr>
          <w:rFonts w:ascii="Arial" w:hAnsi="Arial" w:cs="Arial"/>
          <w:b/>
          <w:sz w:val="22"/>
          <w:szCs w:val="22"/>
        </w:rPr>
        <w:t xml:space="preserve">(C) </w:t>
      </w:r>
      <w:r w:rsidRPr="00F1117B">
        <w:rPr>
          <w:rFonts w:ascii="Arial" w:hAnsi="Arial" w:cs="Arial"/>
          <w:sz w:val="22"/>
          <w:szCs w:val="22"/>
        </w:rPr>
        <w:t>Representative flow cytometry plots displaying the gating strategy for analyzing healthy donor bone marrow samples (left panel). Cell surface expression of human CD33, CD123, CD117, and CD371 on Lin</w:t>
      </w:r>
      <w:r w:rsidRPr="00F1117B">
        <w:rPr>
          <w:rFonts w:ascii="Arial" w:hAnsi="Arial" w:cs="Arial"/>
          <w:sz w:val="22"/>
          <w:szCs w:val="22"/>
          <w:vertAlign w:val="superscript"/>
        </w:rPr>
        <w:t>-</w:t>
      </w:r>
      <w:r w:rsidRPr="00F1117B">
        <w:rPr>
          <w:rFonts w:ascii="Arial" w:hAnsi="Arial" w:cs="Arial"/>
          <w:sz w:val="22"/>
          <w:szCs w:val="22"/>
        </w:rPr>
        <w:t xml:space="preserve"> (CD3, CD14, CD16, CD19, CD20, CD56) CD34</w:t>
      </w:r>
      <w:r w:rsidRPr="00F1117B">
        <w:rPr>
          <w:rFonts w:ascii="Arial" w:hAnsi="Arial" w:cs="Arial"/>
          <w:sz w:val="22"/>
          <w:szCs w:val="22"/>
          <w:vertAlign w:val="superscript"/>
        </w:rPr>
        <w:t>+</w:t>
      </w:r>
      <w:r w:rsidRPr="00F1117B">
        <w:rPr>
          <w:rFonts w:ascii="Arial" w:hAnsi="Arial" w:cs="Arial"/>
          <w:sz w:val="22"/>
          <w:szCs w:val="22"/>
        </w:rPr>
        <w:t>CD38</w:t>
      </w:r>
      <w:r w:rsidRPr="00F1117B">
        <w:rPr>
          <w:rFonts w:ascii="Arial" w:hAnsi="Arial" w:cs="Arial"/>
          <w:sz w:val="22"/>
          <w:szCs w:val="22"/>
          <w:vertAlign w:val="superscript"/>
        </w:rPr>
        <w:t>-</w:t>
      </w:r>
      <w:r w:rsidRPr="00F1117B">
        <w:rPr>
          <w:rFonts w:ascii="Arial" w:hAnsi="Arial" w:cs="Arial"/>
          <w:sz w:val="22"/>
          <w:szCs w:val="22"/>
        </w:rPr>
        <w:t xml:space="preserve"> and Lin</w:t>
      </w:r>
      <w:r w:rsidRPr="00F1117B">
        <w:rPr>
          <w:rFonts w:ascii="Arial" w:hAnsi="Arial" w:cs="Arial"/>
          <w:sz w:val="22"/>
          <w:szCs w:val="22"/>
          <w:vertAlign w:val="superscript"/>
        </w:rPr>
        <w:t>-</w:t>
      </w:r>
      <w:r w:rsidRPr="00F1117B">
        <w:rPr>
          <w:rFonts w:ascii="Arial" w:hAnsi="Arial" w:cs="Arial"/>
          <w:sz w:val="22"/>
          <w:szCs w:val="22"/>
        </w:rPr>
        <w:t>CD34</w:t>
      </w:r>
      <w:r w:rsidRPr="00F1117B">
        <w:rPr>
          <w:rFonts w:ascii="Arial" w:hAnsi="Arial" w:cs="Arial"/>
          <w:sz w:val="22"/>
          <w:szCs w:val="22"/>
          <w:vertAlign w:val="superscript"/>
        </w:rPr>
        <w:t>+</w:t>
      </w:r>
      <w:r w:rsidRPr="00F1117B">
        <w:rPr>
          <w:rFonts w:ascii="Arial" w:hAnsi="Arial" w:cs="Arial"/>
          <w:sz w:val="22"/>
          <w:szCs w:val="22"/>
        </w:rPr>
        <w:t>CD38</w:t>
      </w:r>
      <w:r w:rsidRPr="00F1117B">
        <w:rPr>
          <w:rFonts w:ascii="Arial" w:hAnsi="Arial" w:cs="Arial"/>
          <w:sz w:val="22"/>
          <w:szCs w:val="22"/>
          <w:vertAlign w:val="superscript"/>
        </w:rPr>
        <w:t>+</w:t>
      </w:r>
      <w:r w:rsidRPr="00F1117B">
        <w:rPr>
          <w:rFonts w:ascii="Arial" w:hAnsi="Arial" w:cs="Arial"/>
          <w:sz w:val="22"/>
          <w:szCs w:val="22"/>
        </w:rPr>
        <w:t xml:space="preserve"> cells from 3 bone marrow samples and one CD34-enriched bone marrow sample (in blue) is shown in flow cytometry histograms (right panel). Expression was compared to an unstained BM sample (dashed grey line). </w:t>
      </w:r>
      <w:r w:rsidRPr="00F1117B">
        <w:rPr>
          <w:rFonts w:ascii="Arial" w:hAnsi="Arial" w:cs="Arial"/>
          <w:b/>
          <w:bCs/>
          <w:sz w:val="22"/>
          <w:szCs w:val="22"/>
        </w:rPr>
        <w:t>(D)</w:t>
      </w:r>
      <w:r w:rsidRPr="00F1117B">
        <w:rPr>
          <w:rFonts w:ascii="Arial" w:hAnsi="Arial" w:cs="Arial"/>
          <w:sz w:val="22"/>
          <w:szCs w:val="22"/>
        </w:rPr>
        <w:t xml:space="preserve"> FC histograms showing cell surface expression of human CD33, CD38, CD117, CD123, and CD371 on 5 healthy donor CD3</w:t>
      </w:r>
      <w:r w:rsidRPr="00F1117B">
        <w:rPr>
          <w:rFonts w:ascii="Arial" w:hAnsi="Arial" w:cs="Arial"/>
          <w:sz w:val="22"/>
          <w:szCs w:val="22"/>
          <w:vertAlign w:val="superscript"/>
        </w:rPr>
        <w:t>+</w:t>
      </w:r>
      <w:r w:rsidRPr="00F1117B">
        <w:rPr>
          <w:rFonts w:ascii="Arial" w:hAnsi="Arial" w:cs="Arial"/>
          <w:sz w:val="22"/>
          <w:szCs w:val="22"/>
        </w:rPr>
        <w:t xml:space="preserve"> T-cells, either not-stimulated (top panel) or stimulated for 24h in IL-2 (bottom panel).</w:t>
      </w:r>
      <w:r w:rsidRPr="00F1117B">
        <w:rPr>
          <w:rFonts w:ascii="Arial" w:hAnsi="Arial" w:cs="Arial"/>
          <w:b/>
          <w:sz w:val="22"/>
          <w:szCs w:val="22"/>
        </w:rPr>
        <w:t xml:space="preserve"> </w:t>
      </w:r>
      <w:r w:rsidRPr="00F1117B">
        <w:rPr>
          <w:rFonts w:ascii="Arial" w:hAnsi="Arial" w:cs="Arial"/>
          <w:sz w:val="22"/>
          <w:szCs w:val="22"/>
        </w:rPr>
        <w:t>Expression was compared to an unstained unstimulated T cell sample (dashed grey line).</w:t>
      </w:r>
    </w:p>
    <w:p w14:paraId="14B2964D"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223CD633"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2</w:t>
      </w:r>
    </w:p>
    <w:p w14:paraId="12F22E48" w14:textId="77777777" w:rsidR="00F3057A" w:rsidRPr="00F1117B" w:rsidRDefault="00F3057A" w:rsidP="00F3057A">
      <w:pPr>
        <w:jc w:val="both"/>
        <w:rPr>
          <w:rFonts w:ascii="Arial" w:hAnsi="Arial" w:cs="Arial"/>
          <w:b/>
          <w:bCs/>
          <w:sz w:val="22"/>
          <w:szCs w:val="22"/>
        </w:rPr>
      </w:pPr>
    </w:p>
    <w:p w14:paraId="6FE64C22"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54567115" wp14:editId="079B524B">
            <wp:extent cx="5870961" cy="3155932"/>
            <wp:effectExtent l="0" t="0" r="0" b="0"/>
            <wp:docPr id="1809557175" name="Picture 2" descr="A close-up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557175" name="Picture 2" descr="A close-up of a person's face&#10;&#10;Description automatically generated"/>
                    <pic:cNvPicPr/>
                  </pic:nvPicPr>
                  <pic:blipFill rotWithShape="1">
                    <a:blip r:embed="rId12" cstate="print">
                      <a:extLst>
                        <a:ext uri="{28A0092B-C50C-407E-A947-70E740481C1C}">
                          <a14:useLocalDpi xmlns:a14="http://schemas.microsoft.com/office/drawing/2010/main"/>
                        </a:ext>
                      </a:extLst>
                    </a:blip>
                    <a:srcRect/>
                    <a:stretch/>
                  </pic:blipFill>
                  <pic:spPr bwMode="auto">
                    <a:xfrm>
                      <a:off x="0" y="0"/>
                      <a:ext cx="5922633" cy="3183708"/>
                    </a:xfrm>
                    <a:prstGeom prst="rect">
                      <a:avLst/>
                    </a:prstGeom>
                    <a:ln>
                      <a:noFill/>
                    </a:ln>
                    <a:extLst>
                      <a:ext uri="{53640926-AAD7-44D8-BBD7-CCE9431645EC}">
                        <a14:shadowObscured xmlns:a14="http://schemas.microsoft.com/office/drawing/2010/main"/>
                      </a:ext>
                    </a:extLst>
                  </pic:spPr>
                </pic:pic>
              </a:graphicData>
            </a:graphic>
          </wp:inline>
        </w:drawing>
      </w:r>
    </w:p>
    <w:p w14:paraId="7103953B" w14:textId="77777777" w:rsidR="00F3057A" w:rsidRPr="00F1117B" w:rsidRDefault="00F3057A" w:rsidP="00F3057A">
      <w:pPr>
        <w:jc w:val="both"/>
        <w:rPr>
          <w:rFonts w:ascii="Arial" w:hAnsi="Arial" w:cs="Arial"/>
          <w:b/>
          <w:bCs/>
          <w:sz w:val="22"/>
          <w:szCs w:val="22"/>
        </w:rPr>
      </w:pPr>
    </w:p>
    <w:p w14:paraId="3180F364" w14:textId="77777777" w:rsidR="00F3057A" w:rsidRPr="00F1117B" w:rsidRDefault="00F3057A" w:rsidP="00F3057A">
      <w:pPr>
        <w:jc w:val="both"/>
        <w:rPr>
          <w:rFonts w:ascii="Arial" w:hAnsi="Arial" w:cs="Arial"/>
          <w:b/>
          <w:sz w:val="22"/>
          <w:szCs w:val="22"/>
        </w:rPr>
      </w:pPr>
      <w:r w:rsidRPr="00F1117B">
        <w:rPr>
          <w:rFonts w:ascii="Arial" w:hAnsi="Arial" w:cs="Arial"/>
          <w:b/>
          <w:bCs/>
          <w:sz w:val="22"/>
          <w:szCs w:val="22"/>
        </w:rPr>
        <w:t xml:space="preserve">Supplementary Figure </w:t>
      </w:r>
      <w:r w:rsidRPr="00F1117B">
        <w:rPr>
          <w:rFonts w:ascii="Arial" w:hAnsi="Arial" w:cs="Arial"/>
          <w:b/>
          <w:bCs/>
          <w:sz w:val="22"/>
          <w:szCs w:val="22"/>
        </w:rPr>
        <w:fldChar w:fldCharType="begin"/>
      </w:r>
      <w:r w:rsidRPr="00F1117B">
        <w:rPr>
          <w:rFonts w:ascii="Arial" w:hAnsi="Arial" w:cs="Arial"/>
          <w:b/>
          <w:bCs/>
          <w:sz w:val="22"/>
          <w:szCs w:val="22"/>
        </w:rPr>
        <w:instrText xml:space="preserve"> SEQ Supplementary_Figure \* ARABIC </w:instrText>
      </w:r>
      <w:r w:rsidRPr="00F1117B">
        <w:rPr>
          <w:rFonts w:ascii="Arial" w:hAnsi="Arial" w:cs="Arial"/>
          <w:b/>
          <w:bCs/>
          <w:sz w:val="22"/>
          <w:szCs w:val="22"/>
        </w:rPr>
        <w:fldChar w:fldCharType="separate"/>
      </w:r>
      <w:r w:rsidRPr="00F1117B">
        <w:rPr>
          <w:rFonts w:ascii="Arial" w:hAnsi="Arial" w:cs="Arial"/>
          <w:b/>
          <w:bCs/>
          <w:sz w:val="22"/>
          <w:szCs w:val="22"/>
        </w:rPr>
        <w:t>2</w:t>
      </w:r>
      <w:r w:rsidRPr="00F1117B">
        <w:rPr>
          <w:rFonts w:ascii="Arial" w:hAnsi="Arial" w:cs="Arial"/>
          <w:sz w:val="22"/>
          <w:szCs w:val="22"/>
        </w:rPr>
        <w:fldChar w:fldCharType="end"/>
      </w:r>
      <w:r w:rsidRPr="00F1117B">
        <w:rPr>
          <w:rFonts w:ascii="Arial" w:hAnsi="Arial" w:cs="Arial"/>
          <w:b/>
          <w:bCs/>
          <w:sz w:val="22"/>
          <w:szCs w:val="22"/>
        </w:rPr>
        <w:t>.</w:t>
      </w:r>
      <w:r w:rsidRPr="00F1117B">
        <w:rPr>
          <w:rFonts w:ascii="Arial" w:hAnsi="Arial" w:cs="Arial"/>
          <w:sz w:val="22"/>
          <w:szCs w:val="22"/>
        </w:rPr>
        <w:t xml:space="preserve"> </w:t>
      </w:r>
      <w:r w:rsidRPr="00F1117B">
        <w:rPr>
          <w:rFonts w:ascii="Arial" w:hAnsi="Arial" w:cs="Arial"/>
          <w:b/>
          <w:sz w:val="22"/>
          <w:szCs w:val="22"/>
        </w:rPr>
        <w:t xml:space="preserve">Sequences of antibodies against CD33 and CD117. </w:t>
      </w:r>
    </w:p>
    <w:p w14:paraId="3B062004" w14:textId="77777777" w:rsidR="00F3057A" w:rsidRPr="00F1117B" w:rsidRDefault="00F3057A" w:rsidP="00F3057A">
      <w:pPr>
        <w:jc w:val="both"/>
        <w:rPr>
          <w:rFonts w:ascii="Arial" w:hAnsi="Arial" w:cs="Arial"/>
          <w:bCs/>
          <w:sz w:val="22"/>
          <w:szCs w:val="22"/>
        </w:rPr>
      </w:pPr>
      <w:r w:rsidRPr="00F1117B">
        <w:rPr>
          <w:rFonts w:ascii="Arial" w:hAnsi="Arial" w:cs="Arial"/>
          <w:b/>
          <w:sz w:val="22"/>
          <w:szCs w:val="22"/>
        </w:rPr>
        <w:t xml:space="preserve">(A) </w:t>
      </w:r>
      <w:r w:rsidRPr="00F1117B">
        <w:rPr>
          <w:rFonts w:ascii="Arial" w:hAnsi="Arial" w:cs="Arial"/>
          <w:bCs/>
          <w:sz w:val="22"/>
          <w:szCs w:val="22"/>
        </w:rPr>
        <w:t>Variable light (VL) and variable heavy (VH) sequences of the parental anti-CD33 and CD117 antibodies.</w:t>
      </w:r>
    </w:p>
    <w:p w14:paraId="75070760"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0EB3841C" w14:textId="77777777" w:rsidR="00F1117B" w:rsidRDefault="00F1117B" w:rsidP="00F3057A">
      <w:pPr>
        <w:jc w:val="both"/>
        <w:rPr>
          <w:rFonts w:ascii="Arial" w:hAnsi="Arial" w:cs="Arial"/>
          <w:b/>
          <w:bCs/>
          <w:sz w:val="22"/>
          <w:szCs w:val="22"/>
        </w:rPr>
      </w:pPr>
    </w:p>
    <w:p w14:paraId="29B2EA7C" w14:textId="7AEDC535"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t>Supplementary Figure 3</w:t>
      </w:r>
    </w:p>
    <w:p w14:paraId="4FDA4D38"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28EBBF91" wp14:editId="7FA2120C">
            <wp:extent cx="5731510" cy="6043295"/>
            <wp:effectExtent l="0" t="0" r="0" b="1905"/>
            <wp:docPr id="980949067"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949067" name="Picture 1" descr="A close-up of a chart&#10;&#10;Description automatically generated"/>
                    <pic:cNvPicPr/>
                  </pic:nvPicPr>
                  <pic:blipFill>
                    <a:blip r:embed="rId13" cstate="print">
                      <a:extLst>
                        <a:ext uri="{28A0092B-C50C-407E-A947-70E740481C1C}">
                          <a14:useLocalDpi xmlns:a14="http://schemas.microsoft.com/office/drawing/2010/main"/>
                        </a:ext>
                      </a:extLst>
                    </a:blip>
                    <a:stretch>
                      <a:fillRect/>
                    </a:stretch>
                  </pic:blipFill>
                  <pic:spPr>
                    <a:xfrm>
                      <a:off x="0" y="0"/>
                      <a:ext cx="5731510" cy="6043295"/>
                    </a:xfrm>
                    <a:prstGeom prst="rect">
                      <a:avLst/>
                    </a:prstGeom>
                  </pic:spPr>
                </pic:pic>
              </a:graphicData>
            </a:graphic>
          </wp:inline>
        </w:drawing>
      </w:r>
    </w:p>
    <w:p w14:paraId="04D143B3" w14:textId="77777777" w:rsidR="00F3057A" w:rsidRPr="00F1117B" w:rsidRDefault="00F3057A" w:rsidP="00F3057A">
      <w:pPr>
        <w:jc w:val="both"/>
        <w:rPr>
          <w:rFonts w:ascii="Arial" w:hAnsi="Arial" w:cs="Arial"/>
          <w:b/>
          <w:bCs/>
          <w:sz w:val="22"/>
          <w:szCs w:val="22"/>
        </w:rPr>
      </w:pPr>
    </w:p>
    <w:p w14:paraId="6B1EE225"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t>Supplementary Figure 3</w:t>
      </w:r>
      <w:r w:rsidRPr="00F1117B">
        <w:rPr>
          <w:rFonts w:ascii="Arial" w:hAnsi="Arial" w:cs="Arial"/>
          <w:sz w:val="22"/>
          <w:szCs w:val="22"/>
        </w:rPr>
        <w:t xml:space="preserve">. </w:t>
      </w:r>
      <w:r w:rsidRPr="00F1117B">
        <w:rPr>
          <w:rFonts w:ascii="Arial" w:hAnsi="Arial" w:cs="Arial"/>
          <w:b/>
          <w:bCs/>
          <w:sz w:val="22"/>
          <w:szCs w:val="22"/>
        </w:rPr>
        <w:t>Live cell imaging of tumor cells with increasing target-antigen density and various effector cells.</w:t>
      </w:r>
      <w:r w:rsidRPr="00F1117B">
        <w:rPr>
          <w:rFonts w:ascii="Arial" w:hAnsi="Arial" w:cs="Arial"/>
          <w:sz w:val="22"/>
          <w:szCs w:val="22"/>
        </w:rPr>
        <w:t xml:space="preserve"> </w:t>
      </w:r>
    </w:p>
    <w:p w14:paraId="1AD6A785"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t>(A)</w:t>
      </w:r>
      <w:r w:rsidRPr="00F1117B">
        <w:rPr>
          <w:rFonts w:ascii="Arial" w:hAnsi="Arial" w:cs="Arial"/>
          <w:sz w:val="22"/>
          <w:szCs w:val="22"/>
        </w:rPr>
        <w:t xml:space="preserve"> Representative time-lapse images of MOLM14-CD117</w:t>
      </w:r>
      <w:r w:rsidRPr="00F1117B">
        <w:rPr>
          <w:rFonts w:ascii="Arial" w:hAnsi="Arial" w:cs="Arial"/>
          <w:sz w:val="22"/>
          <w:szCs w:val="22"/>
          <w:vertAlign w:val="superscript"/>
        </w:rPr>
        <w:t>high</w:t>
      </w:r>
      <w:r w:rsidRPr="00F1117B">
        <w:rPr>
          <w:rFonts w:ascii="Arial" w:hAnsi="Arial" w:cs="Arial"/>
          <w:sz w:val="22"/>
          <w:szCs w:val="22"/>
        </w:rPr>
        <w:t xml:space="preserve"> cells (grey) and untransduced T-cells, AdFITC-CAR T-cells (with or without 9nM anti-CD117 Db-FM), or direct anti-CD117 CAR T-cells (effector cells in red). Cells were cocultured at an </w:t>
      </w:r>
      <w:proofErr w:type="gramStart"/>
      <w:r w:rsidRPr="00F1117B">
        <w:rPr>
          <w:rFonts w:ascii="Arial" w:hAnsi="Arial" w:cs="Arial"/>
          <w:sz w:val="22"/>
          <w:szCs w:val="22"/>
        </w:rPr>
        <w:t>E:T</w:t>
      </w:r>
      <w:proofErr w:type="gramEnd"/>
      <w:r w:rsidRPr="00F1117B">
        <w:rPr>
          <w:rFonts w:ascii="Arial" w:hAnsi="Arial" w:cs="Arial"/>
          <w:sz w:val="22"/>
          <w:szCs w:val="22"/>
        </w:rPr>
        <w:t xml:space="preserve">=1:1 for up to 72h on microgrids to allow for quantification of single attachment and lysis events. Target cell lysis is marked by PI influx (blue). </w:t>
      </w:r>
      <w:r w:rsidRPr="00F1117B">
        <w:rPr>
          <w:rFonts w:ascii="Arial" w:hAnsi="Arial" w:cs="Arial"/>
          <w:b/>
          <w:bCs/>
          <w:sz w:val="22"/>
          <w:szCs w:val="22"/>
        </w:rPr>
        <w:t>(B)</w:t>
      </w:r>
      <w:r w:rsidRPr="00F1117B">
        <w:rPr>
          <w:rFonts w:ascii="Arial" w:hAnsi="Arial" w:cs="Arial"/>
          <w:sz w:val="22"/>
          <w:szCs w:val="22"/>
        </w:rPr>
        <w:t xml:space="preserve"> AdFITC-CAR T-cells and anti-CD117 Db-FM were compared to direct anti-CD117 CAR T-cells with respect to their lysis abilities against MOLM14-CD117</w:t>
      </w:r>
      <w:r w:rsidRPr="00F1117B">
        <w:rPr>
          <w:rFonts w:ascii="Arial" w:hAnsi="Arial" w:cs="Arial"/>
          <w:sz w:val="22"/>
          <w:szCs w:val="22"/>
          <w:vertAlign w:val="superscript"/>
        </w:rPr>
        <w:t>mid</w:t>
      </w:r>
      <w:r w:rsidRPr="00F1117B">
        <w:rPr>
          <w:rFonts w:ascii="Arial" w:hAnsi="Arial" w:cs="Arial"/>
          <w:sz w:val="22"/>
          <w:szCs w:val="22"/>
        </w:rPr>
        <w:t xml:space="preserve"> and MOLM14-CD117</w:t>
      </w:r>
      <w:r w:rsidRPr="00F1117B">
        <w:rPr>
          <w:rFonts w:ascii="Arial" w:hAnsi="Arial" w:cs="Arial"/>
          <w:sz w:val="22"/>
          <w:szCs w:val="22"/>
          <w:vertAlign w:val="superscript"/>
        </w:rPr>
        <w:t>high</w:t>
      </w:r>
      <w:r w:rsidRPr="00F1117B">
        <w:rPr>
          <w:rFonts w:ascii="Arial" w:hAnsi="Arial" w:cs="Arial"/>
          <w:sz w:val="22"/>
          <w:szCs w:val="22"/>
        </w:rPr>
        <w:t xml:space="preserve"> cells. The time to PI influx (left panel) was further divided into two components: the time to target-cell attachment (middle) and the time from effector-cell attachment to target-cell lysis </w:t>
      </w:r>
      <w:r w:rsidRPr="00F1117B">
        <w:rPr>
          <w:rFonts w:ascii="Arial" w:hAnsi="Arial" w:cs="Arial"/>
          <w:sz w:val="22"/>
          <w:szCs w:val="22"/>
        </w:rPr>
        <w:lastRenderedPageBreak/>
        <w:t xml:space="preserve">(right). </w:t>
      </w:r>
      <w:r w:rsidRPr="00F1117B">
        <w:rPr>
          <w:rFonts w:ascii="Arial" w:hAnsi="Arial" w:cs="Arial"/>
          <w:b/>
          <w:bCs/>
          <w:sz w:val="22"/>
          <w:szCs w:val="22"/>
        </w:rPr>
        <w:t>(C)</w:t>
      </w:r>
      <w:r w:rsidRPr="00F1117B">
        <w:rPr>
          <w:rFonts w:ascii="Arial" w:hAnsi="Arial" w:cs="Arial"/>
          <w:sz w:val="22"/>
          <w:szCs w:val="22"/>
        </w:rPr>
        <w:t xml:space="preserve"> Quantification of target-cell interaction showed effective and antigen-specific target cell attachment within 24h (left panel). After attachment, no lysis of target cells was observed in the absence of target antigen or adaptor molecules (right panel). T-cells without CAR showed some activation via alloreactivity over 72h. </w:t>
      </w:r>
      <w:r w:rsidRPr="00F1117B">
        <w:rPr>
          <w:rFonts w:ascii="Arial" w:hAnsi="Arial" w:cs="Arial"/>
          <w:b/>
          <w:bCs/>
          <w:sz w:val="22"/>
          <w:szCs w:val="22"/>
        </w:rPr>
        <w:t>(</w:t>
      </w:r>
      <w:r w:rsidRPr="00F1117B">
        <w:rPr>
          <w:rFonts w:ascii="Arial" w:hAnsi="Arial" w:cs="Arial"/>
          <w:b/>
          <w:sz w:val="22"/>
          <w:szCs w:val="22"/>
        </w:rPr>
        <w:t xml:space="preserve">D, E) </w:t>
      </w:r>
      <w:r w:rsidRPr="00F1117B">
        <w:rPr>
          <w:rFonts w:ascii="Arial" w:hAnsi="Arial" w:cs="Arial"/>
          <w:bCs/>
          <w:sz w:val="22"/>
          <w:szCs w:val="22"/>
        </w:rPr>
        <w:t>Time-lapse imaging showing attachment and time to lysis of MOLM14-CD117</w:t>
      </w:r>
      <w:r w:rsidRPr="00F1117B">
        <w:rPr>
          <w:rFonts w:ascii="Arial" w:hAnsi="Arial" w:cs="Arial"/>
          <w:bCs/>
          <w:sz w:val="22"/>
          <w:szCs w:val="22"/>
          <w:vertAlign w:val="superscript"/>
        </w:rPr>
        <w:t>mid</w:t>
      </w:r>
      <w:r w:rsidRPr="00F1117B">
        <w:rPr>
          <w:rFonts w:ascii="Arial" w:hAnsi="Arial" w:cs="Arial"/>
          <w:bCs/>
          <w:sz w:val="22"/>
          <w:szCs w:val="22"/>
        </w:rPr>
        <w:t>CD33</w:t>
      </w:r>
      <w:r w:rsidRPr="00F1117B">
        <w:rPr>
          <w:rFonts w:ascii="Arial" w:hAnsi="Arial" w:cs="Arial"/>
          <w:bCs/>
          <w:sz w:val="22"/>
          <w:szCs w:val="22"/>
          <w:vertAlign w:val="superscript"/>
        </w:rPr>
        <w:t>+</w:t>
      </w:r>
      <w:r w:rsidRPr="00F1117B">
        <w:rPr>
          <w:rFonts w:ascii="Arial" w:hAnsi="Arial" w:cs="Arial"/>
          <w:bCs/>
          <w:sz w:val="22"/>
          <w:szCs w:val="22"/>
        </w:rPr>
        <w:t xml:space="preserve"> cells in two independent experiments, each with AdFITC-CAR T-cells derived from two distinct healthy donors, in combination with CD33 and/or CD117 Db-FM</w:t>
      </w:r>
      <w:r w:rsidRPr="00F1117B">
        <w:rPr>
          <w:rFonts w:ascii="Arial" w:hAnsi="Arial" w:cs="Arial"/>
          <w:sz w:val="22"/>
          <w:szCs w:val="22"/>
        </w:rPr>
        <w:t>. S</w:t>
      </w:r>
      <w:r w:rsidRPr="00F1117B">
        <w:rPr>
          <w:rFonts w:ascii="Arial" w:hAnsi="Arial" w:cs="Arial"/>
          <w:bCs/>
          <w:sz w:val="22"/>
          <w:szCs w:val="22"/>
        </w:rPr>
        <w:t>ustained effector on the target-cell attachment but not the</w:t>
      </w:r>
      <w:r w:rsidRPr="00F1117B">
        <w:rPr>
          <w:rFonts w:ascii="Arial" w:hAnsi="Arial" w:cs="Arial"/>
          <w:sz w:val="22"/>
          <w:szCs w:val="22"/>
        </w:rPr>
        <w:t xml:space="preserve"> time from target-attachment to lysis was significantly shorter with the combinatorial adaptor approach when compared to single targeting. Statistical analysis was performed with one way ANOVA; * p &lt;0.05; ** p &lt;0.01; *** p &lt;0.001; **** p&lt; 0.0001. </w:t>
      </w:r>
    </w:p>
    <w:p w14:paraId="37E55962"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74A2C3B0"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4</w:t>
      </w:r>
    </w:p>
    <w:p w14:paraId="233A34E5" w14:textId="77777777" w:rsidR="00F3057A" w:rsidRPr="00F1117B" w:rsidRDefault="00F3057A" w:rsidP="00F3057A">
      <w:pPr>
        <w:jc w:val="both"/>
        <w:rPr>
          <w:rFonts w:ascii="Arial" w:hAnsi="Arial" w:cs="Arial"/>
          <w:b/>
          <w:bCs/>
          <w:sz w:val="22"/>
          <w:szCs w:val="22"/>
        </w:rPr>
      </w:pPr>
    </w:p>
    <w:p w14:paraId="0B0BF5B5" w14:textId="77777777" w:rsidR="00F3057A" w:rsidRPr="00F1117B" w:rsidRDefault="00F3057A" w:rsidP="00F3057A">
      <w:pPr>
        <w:jc w:val="both"/>
        <w:rPr>
          <w:rFonts w:ascii="Arial" w:hAnsi="Arial" w:cs="Arial"/>
          <w:b/>
          <w:bCs/>
          <w:sz w:val="22"/>
          <w:szCs w:val="22"/>
        </w:rPr>
      </w:pPr>
      <w:r w:rsidRPr="00F1117B">
        <w:rPr>
          <w:rFonts w:ascii="Arial" w:hAnsi="Arial" w:cs="Arial"/>
          <w:noProof/>
          <w:sz w:val="22"/>
          <w:szCs w:val="22"/>
          <w:lang w:val="de-CH" w:eastAsia="de-CH"/>
        </w:rPr>
        <w:drawing>
          <wp:inline distT="0" distB="0" distL="0" distR="0" wp14:anchorId="465FB927" wp14:editId="22505A39">
            <wp:extent cx="5731510" cy="7230804"/>
            <wp:effectExtent l="0" t="0" r="0" b="0"/>
            <wp:docPr id="968031574" name="Picture 4"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031574" name="Picture 4" descr="A screenshot of a chart&#10;&#10;Description automatically generated"/>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5731510" cy="7230804"/>
                    </a:xfrm>
                    <a:prstGeom prst="rect">
                      <a:avLst/>
                    </a:prstGeom>
                    <a:ln>
                      <a:noFill/>
                    </a:ln>
                    <a:extLst>
                      <a:ext uri="{53640926-AAD7-44D8-BBD7-CCE9431645EC}">
                        <a14:shadowObscured xmlns:a14="http://schemas.microsoft.com/office/drawing/2010/main"/>
                      </a:ext>
                    </a:extLst>
                  </pic:spPr>
                </pic:pic>
              </a:graphicData>
            </a:graphic>
          </wp:inline>
        </w:drawing>
      </w:r>
    </w:p>
    <w:p w14:paraId="64DDE34A" w14:textId="77777777" w:rsidR="00F3057A" w:rsidRPr="00F1117B" w:rsidRDefault="00F3057A" w:rsidP="00F3057A">
      <w:pPr>
        <w:jc w:val="both"/>
        <w:rPr>
          <w:rFonts w:ascii="Arial" w:hAnsi="Arial" w:cs="Arial"/>
          <w:b/>
          <w:bCs/>
          <w:sz w:val="22"/>
          <w:szCs w:val="22"/>
        </w:rPr>
      </w:pPr>
    </w:p>
    <w:p w14:paraId="2F65731D" w14:textId="77777777" w:rsidR="00F3057A" w:rsidRPr="00F1117B" w:rsidRDefault="00F3057A" w:rsidP="00F3057A">
      <w:pPr>
        <w:jc w:val="both"/>
        <w:rPr>
          <w:rFonts w:ascii="Arial" w:hAnsi="Arial" w:cs="Arial"/>
          <w:b/>
          <w:bCs/>
          <w:sz w:val="22"/>
          <w:szCs w:val="22"/>
          <w:lang w:val="en-GB"/>
        </w:rPr>
      </w:pPr>
      <w:r w:rsidRPr="00F1117B">
        <w:rPr>
          <w:rFonts w:ascii="Arial" w:hAnsi="Arial" w:cs="Arial"/>
          <w:b/>
          <w:bCs/>
          <w:sz w:val="22"/>
          <w:szCs w:val="22"/>
        </w:rPr>
        <w:t xml:space="preserve">Supplementary Figure 4. Activation status of </w:t>
      </w:r>
      <w:r w:rsidRPr="00F1117B">
        <w:rPr>
          <w:rFonts w:ascii="Arial" w:hAnsi="Arial" w:cs="Arial"/>
          <w:b/>
          <w:bCs/>
          <w:sz w:val="22"/>
          <w:szCs w:val="22"/>
          <w:lang w:val="en-GB"/>
        </w:rPr>
        <w:t xml:space="preserve">AdFITC-CAR T-cells in absence and presence of CD117 Db-FM with or without target cells. </w:t>
      </w:r>
    </w:p>
    <w:p w14:paraId="61FDE238"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lastRenderedPageBreak/>
        <w:t xml:space="preserve">(A) </w:t>
      </w:r>
      <w:r w:rsidRPr="00F1117B">
        <w:rPr>
          <w:rFonts w:ascii="Arial" w:hAnsi="Arial" w:cs="Arial"/>
          <w:sz w:val="22"/>
          <w:szCs w:val="22"/>
        </w:rPr>
        <w:t>Representative flow cytometry plots showing the activation status of RQR8</w:t>
      </w:r>
      <w:r w:rsidRPr="00F1117B">
        <w:rPr>
          <w:rFonts w:ascii="Arial" w:hAnsi="Arial" w:cs="Arial"/>
          <w:sz w:val="22"/>
          <w:szCs w:val="22"/>
          <w:vertAlign w:val="superscript"/>
        </w:rPr>
        <w:t>+</w:t>
      </w:r>
      <w:r w:rsidRPr="00F1117B">
        <w:rPr>
          <w:rFonts w:ascii="Arial" w:hAnsi="Arial" w:cs="Arial"/>
          <w:sz w:val="22"/>
          <w:szCs w:val="22"/>
        </w:rPr>
        <w:t xml:space="preserve"> and RQR8</w:t>
      </w:r>
      <w:r w:rsidRPr="00F1117B">
        <w:rPr>
          <w:rFonts w:ascii="Arial" w:hAnsi="Arial" w:cs="Arial"/>
          <w:sz w:val="22"/>
          <w:szCs w:val="22"/>
          <w:vertAlign w:val="superscript"/>
        </w:rPr>
        <w:t>-</w:t>
      </w:r>
      <w:r w:rsidRPr="00F1117B">
        <w:rPr>
          <w:rFonts w:ascii="Arial" w:hAnsi="Arial" w:cs="Arial"/>
          <w:sz w:val="22"/>
          <w:szCs w:val="22"/>
        </w:rPr>
        <w:t xml:space="preserve"> subpopulations of T-cells and AdFITC-CAR T-cells cultured with or without 10nM anti-CD117 Db-FM in absence of target cells at 0, 24, 48 and 72h. </w:t>
      </w:r>
      <w:r w:rsidRPr="00F1117B">
        <w:rPr>
          <w:rFonts w:ascii="Arial" w:hAnsi="Arial" w:cs="Arial"/>
          <w:b/>
          <w:bCs/>
          <w:sz w:val="22"/>
          <w:szCs w:val="22"/>
        </w:rPr>
        <w:t>(B)</w:t>
      </w:r>
      <w:r w:rsidRPr="00F1117B">
        <w:rPr>
          <w:rFonts w:ascii="Arial" w:hAnsi="Arial" w:cs="Arial"/>
          <w:sz w:val="22"/>
          <w:szCs w:val="22"/>
        </w:rPr>
        <w:t xml:space="preserve"> Quantification of the CD69 and CD25 single- and double-positive fractions. </w:t>
      </w:r>
      <w:r w:rsidRPr="00F1117B">
        <w:rPr>
          <w:rFonts w:ascii="Arial" w:hAnsi="Arial" w:cs="Arial"/>
          <w:b/>
          <w:bCs/>
          <w:sz w:val="22"/>
          <w:szCs w:val="22"/>
        </w:rPr>
        <w:t>(C, D)</w:t>
      </w:r>
      <w:r w:rsidRPr="00F1117B">
        <w:rPr>
          <w:rFonts w:ascii="Arial" w:hAnsi="Arial" w:cs="Arial"/>
          <w:sz w:val="22"/>
          <w:szCs w:val="22"/>
        </w:rPr>
        <w:t xml:space="preserve"> T-cells or </w:t>
      </w:r>
      <w:r w:rsidRPr="00F1117B">
        <w:rPr>
          <w:rFonts w:ascii="Arial" w:hAnsi="Arial" w:cs="Arial"/>
          <w:sz w:val="22"/>
          <w:szCs w:val="22"/>
          <w:lang w:val="en-GB"/>
        </w:rPr>
        <w:t xml:space="preserve">AdFITC-CAR T-cells were co-cultured with </w:t>
      </w:r>
      <w:r w:rsidRPr="00F1117B">
        <w:rPr>
          <w:rFonts w:ascii="Arial" w:hAnsi="Arial" w:cs="Arial"/>
          <w:sz w:val="22"/>
          <w:szCs w:val="22"/>
        </w:rPr>
        <w:t>MOLM14-CD117</w:t>
      </w:r>
      <w:r w:rsidRPr="00F1117B">
        <w:rPr>
          <w:rFonts w:ascii="Arial" w:hAnsi="Arial" w:cs="Arial"/>
          <w:sz w:val="22"/>
          <w:szCs w:val="22"/>
          <w:vertAlign w:val="superscript"/>
        </w:rPr>
        <w:t xml:space="preserve">high </w:t>
      </w:r>
      <w:r w:rsidRPr="00F1117B">
        <w:rPr>
          <w:rFonts w:ascii="Arial" w:hAnsi="Arial" w:cs="Arial"/>
          <w:sz w:val="22"/>
          <w:szCs w:val="22"/>
        </w:rPr>
        <w:t xml:space="preserve">cells at an </w:t>
      </w:r>
      <w:proofErr w:type="gramStart"/>
      <w:r w:rsidRPr="00F1117B">
        <w:rPr>
          <w:rFonts w:ascii="Arial" w:hAnsi="Arial" w:cs="Arial"/>
          <w:sz w:val="22"/>
          <w:szCs w:val="22"/>
        </w:rPr>
        <w:t>E:T</w:t>
      </w:r>
      <w:proofErr w:type="gramEnd"/>
      <w:r w:rsidRPr="00F1117B">
        <w:rPr>
          <w:rFonts w:ascii="Arial" w:hAnsi="Arial" w:cs="Arial"/>
          <w:sz w:val="22"/>
          <w:szCs w:val="22"/>
        </w:rPr>
        <w:t>=1:1 in presence or absence of anti-CD117 Db-FM and activation status was evaluated at 0, 24, 48 and 72h (representative</w:t>
      </w:r>
      <w:r w:rsidRPr="00F1117B">
        <w:rPr>
          <w:rFonts w:ascii="Arial" w:hAnsi="Arial" w:cs="Arial"/>
          <w:bCs/>
          <w:sz w:val="22"/>
          <w:szCs w:val="22"/>
        </w:rPr>
        <w:t xml:space="preserve"> FC in </w:t>
      </w:r>
      <w:r w:rsidRPr="00F1117B">
        <w:rPr>
          <w:rFonts w:ascii="Arial" w:hAnsi="Arial" w:cs="Arial"/>
          <w:b/>
          <w:bCs/>
          <w:sz w:val="22"/>
          <w:szCs w:val="22"/>
        </w:rPr>
        <w:t>C</w:t>
      </w:r>
      <w:r w:rsidRPr="00F1117B">
        <w:rPr>
          <w:rFonts w:ascii="Arial" w:hAnsi="Arial" w:cs="Arial"/>
          <w:sz w:val="22"/>
          <w:szCs w:val="22"/>
        </w:rPr>
        <w:t xml:space="preserve">, quantified in </w:t>
      </w:r>
      <w:r w:rsidRPr="00F1117B">
        <w:rPr>
          <w:rFonts w:ascii="Arial" w:hAnsi="Arial" w:cs="Arial"/>
          <w:b/>
          <w:bCs/>
          <w:sz w:val="22"/>
          <w:szCs w:val="22"/>
        </w:rPr>
        <w:t>D</w:t>
      </w:r>
      <w:r w:rsidRPr="00F1117B">
        <w:rPr>
          <w:rFonts w:ascii="Arial" w:hAnsi="Arial" w:cs="Arial"/>
          <w:sz w:val="22"/>
          <w:szCs w:val="22"/>
        </w:rPr>
        <w:t xml:space="preserve">). </w:t>
      </w:r>
      <w:r w:rsidRPr="00F1117B">
        <w:rPr>
          <w:rFonts w:ascii="Arial" w:hAnsi="Arial" w:cs="Arial"/>
          <w:b/>
          <w:bCs/>
          <w:sz w:val="22"/>
          <w:szCs w:val="22"/>
        </w:rPr>
        <w:t>(A-D)</w:t>
      </w:r>
      <w:r w:rsidRPr="00F1117B">
        <w:rPr>
          <w:rFonts w:ascii="Arial" w:hAnsi="Arial" w:cs="Arial"/>
          <w:sz w:val="22"/>
          <w:szCs w:val="22"/>
        </w:rPr>
        <w:t xml:space="preserve"> Experiment performed in duplicates with AdFITC-CAR T-cells and expanded T-cells derived from 3 matched healthy donors (mean ± SD).</w:t>
      </w:r>
    </w:p>
    <w:p w14:paraId="63DC7182"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39F94BD2" w14:textId="47025715"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5</w:t>
      </w:r>
    </w:p>
    <w:p w14:paraId="09AF327E" w14:textId="77777777" w:rsidR="00F3057A" w:rsidRPr="00F1117B" w:rsidRDefault="00F3057A" w:rsidP="00F3057A">
      <w:pPr>
        <w:jc w:val="both"/>
        <w:rPr>
          <w:rFonts w:ascii="Arial" w:hAnsi="Arial" w:cs="Arial"/>
          <w:b/>
          <w:bCs/>
          <w:sz w:val="22"/>
          <w:szCs w:val="22"/>
        </w:rPr>
      </w:pPr>
    </w:p>
    <w:p w14:paraId="2BDE910E"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299119F4" wp14:editId="10979589">
            <wp:extent cx="5540708" cy="7827342"/>
            <wp:effectExtent l="0" t="0" r="0" b="0"/>
            <wp:docPr id="664271115" name="Picture 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271115" name="Picture 5" descr="A close-up of a graph&#10;&#10;Description automatically generated"/>
                    <pic:cNvPicPr/>
                  </pic:nvPicPr>
                  <pic:blipFill>
                    <a:blip r:embed="rId15" cstate="print">
                      <a:extLst>
                        <a:ext uri="{28A0092B-C50C-407E-A947-70E740481C1C}">
                          <a14:useLocalDpi xmlns:a14="http://schemas.microsoft.com/office/drawing/2010/main"/>
                        </a:ext>
                      </a:extLst>
                    </a:blip>
                    <a:stretch>
                      <a:fillRect/>
                    </a:stretch>
                  </pic:blipFill>
                  <pic:spPr>
                    <a:xfrm>
                      <a:off x="0" y="0"/>
                      <a:ext cx="5598878" cy="7909519"/>
                    </a:xfrm>
                    <a:prstGeom prst="rect">
                      <a:avLst/>
                    </a:prstGeom>
                  </pic:spPr>
                </pic:pic>
              </a:graphicData>
            </a:graphic>
          </wp:inline>
        </w:drawing>
      </w:r>
    </w:p>
    <w:p w14:paraId="171272E5"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lastRenderedPageBreak/>
        <w:t xml:space="preserve">Supplementary Figure 5. Clustering, proliferation and cytokine release of </w:t>
      </w:r>
      <w:r w:rsidRPr="00F1117B">
        <w:rPr>
          <w:rFonts w:ascii="Arial" w:hAnsi="Arial" w:cs="Arial"/>
          <w:b/>
          <w:bCs/>
          <w:sz w:val="22"/>
          <w:szCs w:val="22"/>
          <w:lang w:val="en-GB"/>
        </w:rPr>
        <w:t>AdFITC-CAR T-cells in absence or presence of CD117 Db-FM with or without target cells.</w:t>
      </w:r>
    </w:p>
    <w:p w14:paraId="39CE890B" w14:textId="4668BCA5" w:rsidR="00F3057A" w:rsidRPr="00F1117B" w:rsidRDefault="00F3057A" w:rsidP="00F3057A">
      <w:pPr>
        <w:jc w:val="both"/>
        <w:rPr>
          <w:rFonts w:ascii="Arial" w:hAnsi="Arial" w:cs="Arial"/>
          <w:sz w:val="22"/>
          <w:szCs w:val="22"/>
        </w:rPr>
      </w:pPr>
      <w:r w:rsidRPr="00F1117B">
        <w:rPr>
          <w:rFonts w:ascii="Arial" w:hAnsi="Arial" w:cs="Arial"/>
          <w:sz w:val="22"/>
          <w:szCs w:val="22"/>
        </w:rPr>
        <w:t>T-cells and AdFITC-CAR T-cells were cultured for up to 72h with or without MOLM14-CD117</w:t>
      </w:r>
      <w:r w:rsidRPr="00F1117B">
        <w:rPr>
          <w:rFonts w:ascii="Arial" w:hAnsi="Arial" w:cs="Arial"/>
          <w:sz w:val="22"/>
          <w:szCs w:val="22"/>
          <w:vertAlign w:val="superscript"/>
        </w:rPr>
        <w:t xml:space="preserve">high </w:t>
      </w:r>
      <w:r w:rsidRPr="00F1117B">
        <w:rPr>
          <w:rFonts w:ascii="Arial" w:hAnsi="Arial" w:cs="Arial"/>
          <w:sz w:val="22"/>
          <w:szCs w:val="22"/>
        </w:rPr>
        <w:t xml:space="preserve">cells (E:T=1:1) in presence or absence of 10 nM anti-CD117 Db-FM. </w:t>
      </w:r>
      <w:r w:rsidRPr="00F1117B">
        <w:rPr>
          <w:rFonts w:ascii="Arial" w:hAnsi="Arial" w:cs="Arial"/>
          <w:b/>
          <w:bCs/>
          <w:sz w:val="22"/>
          <w:szCs w:val="22"/>
        </w:rPr>
        <w:t>(A)</w:t>
      </w:r>
      <w:r w:rsidRPr="00F1117B">
        <w:rPr>
          <w:rFonts w:ascii="Arial" w:hAnsi="Arial" w:cs="Arial"/>
          <w:sz w:val="22"/>
          <w:szCs w:val="22"/>
        </w:rPr>
        <w:t xml:space="preserve"> Bright field images of representative wells were taken 3, 24, 48, and 72 hours after the beginning of the experiment. </w:t>
      </w:r>
      <w:r w:rsidRPr="00F1117B">
        <w:rPr>
          <w:rFonts w:ascii="Arial" w:hAnsi="Arial" w:cs="Arial"/>
          <w:b/>
          <w:bCs/>
          <w:sz w:val="22"/>
          <w:szCs w:val="22"/>
        </w:rPr>
        <w:t>(B)</w:t>
      </w:r>
      <w:r w:rsidRPr="00F1117B">
        <w:rPr>
          <w:rFonts w:ascii="Arial" w:hAnsi="Arial" w:cs="Arial"/>
          <w:sz w:val="22"/>
          <w:szCs w:val="22"/>
        </w:rPr>
        <w:t xml:space="preserve"> Proliferation of T-cells or </w:t>
      </w:r>
      <w:r w:rsidRPr="00F1117B">
        <w:rPr>
          <w:rFonts w:ascii="Arial" w:hAnsi="Arial" w:cs="Arial"/>
          <w:sz w:val="22"/>
          <w:szCs w:val="22"/>
          <w:lang w:val="en-GB"/>
        </w:rPr>
        <w:t>AdFITC-CAR T-cells in the indicated conditions by means of CellVue Far-Red dye dilution</w:t>
      </w:r>
      <w:r w:rsidRPr="00F1117B">
        <w:rPr>
          <w:rFonts w:ascii="Arial" w:hAnsi="Arial" w:cs="Arial"/>
          <w:sz w:val="22"/>
          <w:szCs w:val="22"/>
        </w:rPr>
        <w:t>. (</w:t>
      </w:r>
      <w:r w:rsidRPr="00F1117B">
        <w:rPr>
          <w:rFonts w:ascii="Arial" w:hAnsi="Arial" w:cs="Arial"/>
          <w:b/>
          <w:bCs/>
          <w:sz w:val="22"/>
          <w:szCs w:val="22"/>
        </w:rPr>
        <w:t>C</w:t>
      </w:r>
      <w:r w:rsidRPr="00F1117B">
        <w:rPr>
          <w:rFonts w:ascii="Arial" w:hAnsi="Arial" w:cs="Arial"/>
          <w:sz w:val="22"/>
          <w:szCs w:val="22"/>
        </w:rPr>
        <w:t xml:space="preserve">) </w:t>
      </w:r>
      <w:r w:rsidRPr="00F1117B">
        <w:rPr>
          <w:rFonts w:ascii="Arial" w:hAnsi="Arial" w:cs="Arial"/>
          <w:sz w:val="22"/>
          <w:szCs w:val="22"/>
          <w:lang w:val="en-GB"/>
        </w:rPr>
        <w:t>IL-2 and IFN</w:t>
      </w:r>
      <w:r w:rsidR="00F1117B" w:rsidRPr="00F1117B">
        <w:rPr>
          <w:rFonts w:ascii="Arial" w:hAnsi="Arial" w:cs="Arial"/>
          <w:sz w:val="22"/>
          <w:szCs w:val="22"/>
          <w:lang w:val="en-GB"/>
        </w:rPr>
        <w:t>-</w:t>
      </w:r>
      <w:r w:rsidR="00F1117B" w:rsidRPr="00F10C5D">
        <w:rPr>
          <w:rFonts w:ascii="Symbol" w:hAnsi="Symbol" w:cs="Arial"/>
          <w:sz w:val="22"/>
          <w:szCs w:val="22"/>
          <w:lang w:val="en-GB"/>
        </w:rPr>
        <w:t></w:t>
      </w:r>
      <w:r w:rsidR="00F1117B" w:rsidRPr="00F1117B">
        <w:rPr>
          <w:rFonts w:ascii="Arial" w:hAnsi="Arial" w:cs="Arial"/>
          <w:sz w:val="22"/>
          <w:szCs w:val="22"/>
          <w:lang w:val="en-GB"/>
        </w:rPr>
        <w:t xml:space="preserve"> </w:t>
      </w:r>
      <w:r w:rsidRPr="00F1117B">
        <w:rPr>
          <w:rFonts w:ascii="Arial" w:hAnsi="Arial" w:cs="Arial"/>
          <w:sz w:val="22"/>
          <w:szCs w:val="22"/>
          <w:lang w:val="en-GB"/>
        </w:rPr>
        <w:t xml:space="preserve">levels in supernatants </w:t>
      </w:r>
      <w:r w:rsidRPr="00F1117B">
        <w:rPr>
          <w:rFonts w:ascii="Arial" w:hAnsi="Arial" w:cs="Arial"/>
          <w:sz w:val="22"/>
          <w:szCs w:val="22"/>
        </w:rPr>
        <w:t>after 24, 48, and 72h. Statistical analysis was conducted using two-way ANOVA</w:t>
      </w:r>
      <w:r w:rsidRPr="00F1117B">
        <w:rPr>
          <w:rFonts w:ascii="Arial" w:hAnsi="Arial" w:cs="Arial"/>
          <w:sz w:val="22"/>
          <w:szCs w:val="22"/>
          <w:lang w:val="en-GB"/>
        </w:rPr>
        <w:t xml:space="preserve">; </w:t>
      </w:r>
      <w:r w:rsidRPr="00F1117B">
        <w:rPr>
          <w:rFonts w:ascii="Arial" w:hAnsi="Arial" w:cs="Arial"/>
          <w:sz w:val="22"/>
          <w:szCs w:val="22"/>
        </w:rPr>
        <w:t xml:space="preserve">* p &lt;0.05; ** p &lt;0.01; *** p &lt;0.001; **** p&lt; 0.0001. </w:t>
      </w:r>
      <w:r w:rsidRPr="00F1117B">
        <w:rPr>
          <w:rFonts w:ascii="Arial" w:hAnsi="Arial" w:cs="Arial"/>
          <w:b/>
          <w:bCs/>
          <w:sz w:val="22"/>
          <w:szCs w:val="22"/>
        </w:rPr>
        <w:t>(A-C)</w:t>
      </w:r>
      <w:r w:rsidRPr="00F1117B">
        <w:rPr>
          <w:rFonts w:ascii="Arial" w:hAnsi="Arial" w:cs="Arial"/>
          <w:sz w:val="22"/>
          <w:szCs w:val="22"/>
        </w:rPr>
        <w:t xml:space="preserve"> Experiment performed in duplicates with donor-matched AdFITC-CAR T-cells and expanded T-cells derived from 3 different healthy donors (mean ± SD).</w:t>
      </w:r>
    </w:p>
    <w:p w14:paraId="436C3A45"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2A0449A7"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6</w:t>
      </w:r>
    </w:p>
    <w:p w14:paraId="018A4451" w14:textId="77777777" w:rsidR="00F3057A" w:rsidRPr="00F1117B" w:rsidRDefault="00F3057A" w:rsidP="00F3057A">
      <w:pPr>
        <w:jc w:val="both"/>
        <w:rPr>
          <w:rFonts w:ascii="Arial" w:hAnsi="Arial" w:cs="Arial"/>
          <w:b/>
          <w:bCs/>
          <w:sz w:val="22"/>
          <w:szCs w:val="22"/>
        </w:rPr>
      </w:pPr>
    </w:p>
    <w:p w14:paraId="306B9731"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39AF34B0" wp14:editId="5ECD99F1">
            <wp:extent cx="5731510" cy="2386330"/>
            <wp:effectExtent l="0" t="0" r="0" b="1270"/>
            <wp:docPr id="1855906511"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906511" name="Picture 1" descr="A graph of different colored bars&#10;&#10;Description automatically generated with medium confidence"/>
                    <pic:cNvPicPr/>
                  </pic:nvPicPr>
                  <pic:blipFill>
                    <a:blip r:embed="rId16" cstate="print">
                      <a:extLst>
                        <a:ext uri="{28A0092B-C50C-407E-A947-70E740481C1C}">
                          <a14:useLocalDpi xmlns:a14="http://schemas.microsoft.com/office/drawing/2010/main"/>
                        </a:ext>
                      </a:extLst>
                    </a:blip>
                    <a:stretch>
                      <a:fillRect/>
                    </a:stretch>
                  </pic:blipFill>
                  <pic:spPr>
                    <a:xfrm>
                      <a:off x="0" y="0"/>
                      <a:ext cx="5731510" cy="2386330"/>
                    </a:xfrm>
                    <a:prstGeom prst="rect">
                      <a:avLst/>
                    </a:prstGeom>
                  </pic:spPr>
                </pic:pic>
              </a:graphicData>
            </a:graphic>
          </wp:inline>
        </w:drawing>
      </w:r>
    </w:p>
    <w:p w14:paraId="2A93FC62" w14:textId="77777777" w:rsidR="00F3057A" w:rsidRPr="00F1117B" w:rsidRDefault="00F3057A" w:rsidP="00F3057A">
      <w:pPr>
        <w:jc w:val="both"/>
        <w:rPr>
          <w:rFonts w:ascii="Arial" w:hAnsi="Arial" w:cs="Arial"/>
          <w:b/>
          <w:bCs/>
          <w:sz w:val="22"/>
          <w:szCs w:val="22"/>
        </w:rPr>
      </w:pPr>
    </w:p>
    <w:p w14:paraId="0A4608D2"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t>Supplementary Figure 6. MOLM14-CD117</w:t>
      </w:r>
      <w:r w:rsidRPr="00F1117B">
        <w:rPr>
          <w:rFonts w:ascii="Arial" w:hAnsi="Arial" w:cs="Arial"/>
          <w:b/>
          <w:bCs/>
          <w:sz w:val="22"/>
          <w:szCs w:val="22"/>
          <w:vertAlign w:val="superscript"/>
        </w:rPr>
        <w:t>high</w:t>
      </w:r>
      <w:r w:rsidRPr="00F1117B">
        <w:rPr>
          <w:rFonts w:ascii="Arial" w:hAnsi="Arial" w:cs="Arial"/>
          <w:b/>
          <w:bCs/>
          <w:sz w:val="22"/>
          <w:szCs w:val="22"/>
        </w:rPr>
        <w:t xml:space="preserve"> cell lysis from </w:t>
      </w:r>
      <w:r w:rsidRPr="00F1117B">
        <w:rPr>
          <w:rFonts w:ascii="Arial" w:hAnsi="Arial" w:cs="Arial"/>
          <w:b/>
          <w:bCs/>
          <w:sz w:val="22"/>
          <w:szCs w:val="22"/>
          <w:lang w:val="en-GB"/>
        </w:rPr>
        <w:t>AdFITC-CAR T-cells and T-cells in absence or presence of CD117 Db-FM.</w:t>
      </w:r>
    </w:p>
    <w:p w14:paraId="3BCD0784"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t>T-cells and AdFITC-CAR T-cells were incubated for up to 72h with MOLM14-CD117</w:t>
      </w:r>
      <w:r w:rsidRPr="00F1117B">
        <w:rPr>
          <w:rFonts w:ascii="Arial" w:hAnsi="Arial" w:cs="Arial"/>
          <w:sz w:val="22"/>
          <w:szCs w:val="22"/>
          <w:vertAlign w:val="superscript"/>
        </w:rPr>
        <w:t xml:space="preserve">high </w:t>
      </w:r>
      <w:r w:rsidRPr="00F1117B">
        <w:rPr>
          <w:rFonts w:ascii="Arial" w:hAnsi="Arial" w:cs="Arial"/>
          <w:sz w:val="22"/>
          <w:szCs w:val="22"/>
        </w:rPr>
        <w:t xml:space="preserve">cells (E:T=1:1) in presence or absence of 10 nM anti-CD117 Db-FM. </w:t>
      </w:r>
      <w:r w:rsidRPr="00F1117B">
        <w:rPr>
          <w:rFonts w:ascii="Arial" w:hAnsi="Arial" w:cs="Arial"/>
          <w:b/>
          <w:bCs/>
          <w:sz w:val="22"/>
          <w:szCs w:val="22"/>
        </w:rPr>
        <w:t>(A)</w:t>
      </w:r>
      <w:r w:rsidRPr="00F1117B">
        <w:rPr>
          <w:rFonts w:ascii="Arial" w:hAnsi="Arial" w:cs="Arial"/>
          <w:sz w:val="22"/>
          <w:szCs w:val="22"/>
        </w:rPr>
        <w:t xml:space="preserve"> Residual MOLM14 cells at the indicated time points after co-culture. Statistical analysis was conducted using one-way ANOVA</w:t>
      </w:r>
      <w:r w:rsidRPr="00F1117B">
        <w:rPr>
          <w:rFonts w:ascii="Arial" w:hAnsi="Arial" w:cs="Arial"/>
          <w:sz w:val="22"/>
          <w:szCs w:val="22"/>
          <w:lang w:val="en-GB"/>
        </w:rPr>
        <w:t xml:space="preserve">; </w:t>
      </w:r>
      <w:r w:rsidRPr="00F1117B">
        <w:rPr>
          <w:rFonts w:ascii="Arial" w:hAnsi="Arial" w:cs="Arial"/>
          <w:sz w:val="22"/>
          <w:szCs w:val="22"/>
        </w:rPr>
        <w:t>**** p&lt; 0.0001. Experiment performed in duplicates with donor-matched AdFITC-CAR T-cells and expanded T-cells derived from 3 different healthy donors (mean ± SD).</w:t>
      </w:r>
    </w:p>
    <w:p w14:paraId="43A61D05"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56B424AD"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7</w:t>
      </w:r>
    </w:p>
    <w:p w14:paraId="57EFF536" w14:textId="77777777" w:rsidR="00F3057A" w:rsidRPr="00F1117B" w:rsidRDefault="00F3057A" w:rsidP="00F3057A">
      <w:pPr>
        <w:jc w:val="both"/>
        <w:rPr>
          <w:rFonts w:ascii="Arial" w:hAnsi="Arial" w:cs="Arial"/>
          <w:b/>
          <w:bCs/>
          <w:sz w:val="22"/>
          <w:szCs w:val="22"/>
        </w:rPr>
      </w:pPr>
    </w:p>
    <w:p w14:paraId="2B9EF5D4" w14:textId="6DE29537" w:rsidR="00F3057A" w:rsidRPr="00F1117B" w:rsidRDefault="009C356C" w:rsidP="00F3057A">
      <w:pPr>
        <w:jc w:val="both"/>
        <w:rPr>
          <w:rFonts w:ascii="Arial" w:hAnsi="Arial" w:cs="Arial"/>
          <w:sz w:val="22"/>
          <w:szCs w:val="22"/>
        </w:rPr>
      </w:pPr>
      <w:r>
        <w:rPr>
          <w:rFonts w:ascii="Arial" w:hAnsi="Arial" w:cs="Arial"/>
          <w:noProof/>
          <w:sz w:val="22"/>
          <w:szCs w:val="22"/>
          <w:lang w:val="de-CH" w:eastAsia="de-CH"/>
        </w:rPr>
        <w:drawing>
          <wp:inline distT="0" distB="0" distL="0" distR="0" wp14:anchorId="288362A2" wp14:editId="3D00B286">
            <wp:extent cx="5943600" cy="5983605"/>
            <wp:effectExtent l="0" t="0" r="0" b="0"/>
            <wp:docPr id="926502902" name="Picture 2"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502902" name="Picture 2" descr="A close-up of a chart&#10;&#10;Description automatically generated"/>
                    <pic:cNvPicPr/>
                  </pic:nvPicPr>
                  <pic:blipFill>
                    <a:blip r:embed="rId17" cstate="print">
                      <a:extLst>
                        <a:ext uri="{28A0092B-C50C-407E-A947-70E740481C1C}">
                          <a14:useLocalDpi xmlns:a14="http://schemas.microsoft.com/office/drawing/2010/main"/>
                        </a:ext>
                      </a:extLst>
                    </a:blip>
                    <a:stretch>
                      <a:fillRect/>
                    </a:stretch>
                  </pic:blipFill>
                  <pic:spPr>
                    <a:xfrm>
                      <a:off x="0" y="0"/>
                      <a:ext cx="5943600" cy="5983605"/>
                    </a:xfrm>
                    <a:prstGeom prst="rect">
                      <a:avLst/>
                    </a:prstGeom>
                  </pic:spPr>
                </pic:pic>
              </a:graphicData>
            </a:graphic>
          </wp:inline>
        </w:drawing>
      </w:r>
    </w:p>
    <w:p w14:paraId="0C499E5C" w14:textId="77777777" w:rsidR="00F3057A" w:rsidRPr="00F1117B" w:rsidRDefault="00F3057A" w:rsidP="00F3057A">
      <w:pPr>
        <w:jc w:val="both"/>
        <w:rPr>
          <w:rFonts w:ascii="Arial" w:hAnsi="Arial" w:cs="Arial"/>
          <w:b/>
          <w:bCs/>
          <w:sz w:val="22"/>
          <w:szCs w:val="22"/>
        </w:rPr>
      </w:pPr>
    </w:p>
    <w:p w14:paraId="7F4CE8D0"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t xml:space="preserve">Supplementary Figure 7. Activation status of AdFITC-CAR T-cells with or without Db-FM in absence of target cells </w:t>
      </w:r>
      <w:r w:rsidRPr="00F1117B">
        <w:rPr>
          <w:rFonts w:ascii="Arial" w:hAnsi="Arial" w:cs="Arial"/>
          <w:b/>
          <w:bCs/>
          <w:i/>
          <w:iCs/>
          <w:sz w:val="22"/>
          <w:szCs w:val="22"/>
        </w:rPr>
        <w:t>in vivo.</w:t>
      </w:r>
      <w:r w:rsidRPr="00F1117B">
        <w:rPr>
          <w:rFonts w:ascii="Arial" w:hAnsi="Arial" w:cs="Arial"/>
          <w:sz w:val="22"/>
          <w:szCs w:val="22"/>
        </w:rPr>
        <w:t xml:space="preserve"> </w:t>
      </w:r>
    </w:p>
    <w:p w14:paraId="448C7903" w14:textId="0A5664A4" w:rsidR="00F3057A" w:rsidRPr="00F1117B" w:rsidRDefault="00F3057A" w:rsidP="00F3057A">
      <w:pPr>
        <w:jc w:val="both"/>
        <w:rPr>
          <w:rFonts w:ascii="Arial" w:hAnsi="Arial" w:cs="Arial"/>
          <w:bCs/>
          <w:sz w:val="22"/>
          <w:szCs w:val="22"/>
        </w:rPr>
      </w:pPr>
      <w:r w:rsidRPr="00F1117B">
        <w:rPr>
          <w:rFonts w:ascii="Arial" w:hAnsi="Arial" w:cs="Arial"/>
          <w:b/>
          <w:bCs/>
          <w:sz w:val="22"/>
          <w:szCs w:val="22"/>
        </w:rPr>
        <w:t xml:space="preserve">(A) </w:t>
      </w:r>
      <w:r w:rsidRPr="00F1117B">
        <w:rPr>
          <w:rFonts w:ascii="Arial" w:hAnsi="Arial" w:cs="Arial"/>
          <w:bCs/>
          <w:sz w:val="22"/>
          <w:szCs w:val="22"/>
        </w:rPr>
        <w:t xml:space="preserve">Schematic set-up to assess activation of AdFITC-CAR T-cells in presence of Db-FM but without target cells. </w:t>
      </w:r>
      <w:r w:rsidRPr="00F1117B">
        <w:rPr>
          <w:rFonts w:ascii="Arial" w:hAnsi="Arial" w:cs="Arial"/>
          <w:sz w:val="22"/>
          <w:szCs w:val="22"/>
        </w:rPr>
        <w:t>NSG mice were injected with 10</w:t>
      </w:r>
      <w:r w:rsidRPr="00F1117B">
        <w:rPr>
          <w:rFonts w:ascii="Arial" w:hAnsi="Arial" w:cs="Arial"/>
          <w:sz w:val="22"/>
          <w:szCs w:val="22"/>
          <w:vertAlign w:val="superscript"/>
        </w:rPr>
        <w:t>7</w:t>
      </w:r>
      <w:r w:rsidRPr="00F1117B">
        <w:rPr>
          <w:rFonts w:ascii="Arial" w:hAnsi="Arial" w:cs="Arial"/>
          <w:sz w:val="22"/>
          <w:szCs w:val="22"/>
        </w:rPr>
        <w:t xml:space="preserve"> AdFITC-CAR T-cells i.v. and 25 </w:t>
      </w:r>
      <w:r w:rsidR="00F10C5D" w:rsidRPr="00F10C5D">
        <w:rPr>
          <w:rFonts w:ascii="Symbol" w:hAnsi="Symbol" w:cs="Arial"/>
          <w:sz w:val="22"/>
          <w:szCs w:val="22"/>
        </w:rPr>
        <w:t></w:t>
      </w:r>
      <w:r w:rsidRPr="00F1117B">
        <w:rPr>
          <w:rFonts w:ascii="Arial" w:hAnsi="Arial" w:cs="Arial"/>
          <w:sz w:val="22"/>
          <w:szCs w:val="22"/>
        </w:rPr>
        <w:t xml:space="preserve">g CD117 Db-FM i.p. every 12h or no adaptors </w:t>
      </w:r>
      <w:r w:rsidRPr="00F1117B">
        <w:rPr>
          <w:rFonts w:ascii="Arial" w:hAnsi="Arial" w:cs="Arial"/>
          <w:bCs/>
          <w:sz w:val="22"/>
          <w:szCs w:val="22"/>
        </w:rPr>
        <w:t>(n=2 mice per condition)</w:t>
      </w:r>
      <w:r w:rsidRPr="00F1117B">
        <w:rPr>
          <w:rFonts w:ascii="Arial" w:hAnsi="Arial" w:cs="Arial"/>
          <w:sz w:val="22"/>
          <w:szCs w:val="22"/>
        </w:rPr>
        <w:t xml:space="preserve">. </w:t>
      </w:r>
      <w:r w:rsidRPr="00F1117B">
        <w:rPr>
          <w:rFonts w:ascii="Arial" w:hAnsi="Arial" w:cs="Arial"/>
          <w:b/>
          <w:bCs/>
          <w:sz w:val="22"/>
          <w:szCs w:val="22"/>
        </w:rPr>
        <w:t xml:space="preserve">(B) </w:t>
      </w:r>
      <w:r w:rsidRPr="00F1117B">
        <w:rPr>
          <w:rFonts w:ascii="Arial" w:hAnsi="Arial" w:cs="Arial"/>
          <w:bCs/>
          <w:sz w:val="22"/>
          <w:szCs w:val="22"/>
        </w:rPr>
        <w:t>Representative flow cytometry plots showing the RQR8</w:t>
      </w:r>
      <w:r w:rsidRPr="00F1117B">
        <w:rPr>
          <w:rFonts w:ascii="Arial" w:hAnsi="Arial" w:cs="Arial"/>
          <w:bCs/>
          <w:sz w:val="22"/>
          <w:szCs w:val="22"/>
          <w:vertAlign w:val="superscript"/>
        </w:rPr>
        <w:t>+</w:t>
      </w:r>
      <w:r w:rsidRPr="00F1117B">
        <w:rPr>
          <w:rFonts w:ascii="Arial" w:hAnsi="Arial" w:cs="Arial"/>
          <w:bCs/>
          <w:sz w:val="22"/>
          <w:szCs w:val="22"/>
        </w:rPr>
        <w:t>fluorescein</w:t>
      </w:r>
      <w:r w:rsidRPr="00F1117B">
        <w:rPr>
          <w:rFonts w:ascii="Arial" w:hAnsi="Arial" w:cs="Arial"/>
          <w:bCs/>
          <w:sz w:val="22"/>
          <w:szCs w:val="22"/>
          <w:vertAlign w:val="superscript"/>
        </w:rPr>
        <w:t>+</w:t>
      </w:r>
      <w:r w:rsidRPr="00F1117B">
        <w:rPr>
          <w:rFonts w:ascii="Arial" w:hAnsi="Arial" w:cs="Arial"/>
          <w:bCs/>
          <w:sz w:val="22"/>
          <w:szCs w:val="22"/>
        </w:rPr>
        <w:t xml:space="preserve"> fraction of CAR T-cells (hCD45</w:t>
      </w:r>
      <w:r w:rsidRPr="00F1117B">
        <w:rPr>
          <w:rFonts w:ascii="Arial" w:hAnsi="Arial" w:cs="Arial"/>
          <w:bCs/>
          <w:sz w:val="22"/>
          <w:szCs w:val="22"/>
          <w:vertAlign w:val="superscript"/>
        </w:rPr>
        <w:t>+</w:t>
      </w:r>
      <w:r w:rsidRPr="00F1117B">
        <w:rPr>
          <w:rFonts w:ascii="Arial" w:hAnsi="Arial" w:cs="Arial"/>
          <w:bCs/>
          <w:sz w:val="22"/>
          <w:szCs w:val="22"/>
        </w:rPr>
        <w:t xml:space="preserve">) in peripheral blood, bone marrow and spleen at terminal analysis. </w:t>
      </w:r>
      <w:r w:rsidR="009C356C" w:rsidRPr="006659E3">
        <w:rPr>
          <w:rFonts w:ascii="Arial" w:hAnsi="Arial" w:cs="Arial"/>
          <w:b/>
          <w:sz w:val="22"/>
          <w:szCs w:val="22"/>
        </w:rPr>
        <w:t>(C)</w:t>
      </w:r>
      <w:r w:rsidR="009C356C">
        <w:rPr>
          <w:rFonts w:ascii="Arial" w:hAnsi="Arial" w:cs="Arial"/>
          <w:bCs/>
          <w:sz w:val="22"/>
          <w:szCs w:val="22"/>
        </w:rPr>
        <w:t xml:space="preserve"> </w:t>
      </w:r>
      <w:r w:rsidR="009C356C" w:rsidRPr="00F1117B">
        <w:rPr>
          <w:rFonts w:ascii="Arial" w:hAnsi="Arial" w:cs="Arial"/>
          <w:sz w:val="22"/>
          <w:szCs w:val="22"/>
        </w:rPr>
        <w:t>Absolute counts of hCD45</w:t>
      </w:r>
      <w:r w:rsidR="009C356C" w:rsidRPr="00F1117B">
        <w:rPr>
          <w:rFonts w:ascii="Arial" w:hAnsi="Arial" w:cs="Arial"/>
          <w:sz w:val="22"/>
          <w:szCs w:val="22"/>
          <w:vertAlign w:val="superscript"/>
        </w:rPr>
        <w:t>+</w:t>
      </w:r>
      <w:r w:rsidR="009C356C" w:rsidRPr="00F1117B">
        <w:rPr>
          <w:rFonts w:ascii="Arial" w:hAnsi="Arial" w:cs="Arial"/>
          <w:sz w:val="22"/>
          <w:szCs w:val="22"/>
        </w:rPr>
        <w:t>hCD</w:t>
      </w:r>
      <w:r w:rsidR="009C356C">
        <w:rPr>
          <w:rFonts w:ascii="Arial" w:hAnsi="Arial" w:cs="Arial"/>
          <w:sz w:val="22"/>
          <w:szCs w:val="22"/>
        </w:rPr>
        <w:t>3</w:t>
      </w:r>
      <w:r w:rsidR="009C356C" w:rsidRPr="00F1117B">
        <w:rPr>
          <w:rFonts w:ascii="Arial" w:hAnsi="Arial" w:cs="Arial"/>
          <w:sz w:val="22"/>
          <w:szCs w:val="22"/>
          <w:vertAlign w:val="superscript"/>
        </w:rPr>
        <w:t>+</w:t>
      </w:r>
      <w:r w:rsidR="009C356C" w:rsidRPr="00F1117B">
        <w:rPr>
          <w:rFonts w:ascii="Arial" w:hAnsi="Arial" w:cs="Arial"/>
          <w:sz w:val="22"/>
          <w:szCs w:val="22"/>
        </w:rPr>
        <w:t xml:space="preserve"> </w:t>
      </w:r>
      <w:r w:rsidR="009C356C">
        <w:rPr>
          <w:rFonts w:ascii="Arial" w:hAnsi="Arial" w:cs="Arial"/>
          <w:sz w:val="22"/>
          <w:szCs w:val="22"/>
        </w:rPr>
        <w:t xml:space="preserve">T-cells </w:t>
      </w:r>
      <w:r w:rsidR="009C356C" w:rsidRPr="00F1117B">
        <w:rPr>
          <w:rFonts w:ascii="Arial" w:hAnsi="Arial" w:cs="Arial"/>
          <w:sz w:val="22"/>
          <w:szCs w:val="22"/>
        </w:rPr>
        <w:t xml:space="preserve">(mean ± SD) in the </w:t>
      </w:r>
      <w:r w:rsidR="009C356C">
        <w:rPr>
          <w:rFonts w:ascii="Arial" w:hAnsi="Arial" w:cs="Arial"/>
          <w:sz w:val="22"/>
          <w:szCs w:val="22"/>
        </w:rPr>
        <w:t xml:space="preserve">PB, </w:t>
      </w:r>
      <w:r w:rsidR="009C356C" w:rsidRPr="00F1117B">
        <w:rPr>
          <w:rFonts w:ascii="Arial" w:hAnsi="Arial" w:cs="Arial"/>
          <w:sz w:val="22"/>
          <w:szCs w:val="22"/>
        </w:rPr>
        <w:t>BM</w:t>
      </w:r>
      <w:r w:rsidR="009C356C">
        <w:rPr>
          <w:rFonts w:ascii="Arial" w:hAnsi="Arial" w:cs="Arial"/>
          <w:sz w:val="22"/>
          <w:szCs w:val="22"/>
        </w:rPr>
        <w:t xml:space="preserve"> and spleen (SP) </w:t>
      </w:r>
      <w:r w:rsidR="009C356C" w:rsidRPr="00F1117B">
        <w:rPr>
          <w:rFonts w:ascii="Arial" w:hAnsi="Arial" w:cs="Arial"/>
          <w:sz w:val="22"/>
          <w:szCs w:val="22"/>
        </w:rPr>
        <w:t>at terminal analysis.</w:t>
      </w:r>
      <w:r w:rsidR="009C356C">
        <w:rPr>
          <w:rFonts w:ascii="Arial" w:hAnsi="Arial" w:cs="Arial"/>
          <w:sz w:val="22"/>
          <w:szCs w:val="22"/>
        </w:rPr>
        <w:t xml:space="preserve"> </w:t>
      </w:r>
      <w:r w:rsidRPr="00F1117B">
        <w:rPr>
          <w:rFonts w:ascii="Arial" w:hAnsi="Arial" w:cs="Arial"/>
          <w:b/>
          <w:sz w:val="22"/>
          <w:szCs w:val="22"/>
        </w:rPr>
        <w:t>(</w:t>
      </w:r>
      <w:r w:rsidR="009C356C">
        <w:rPr>
          <w:rFonts w:ascii="Arial" w:hAnsi="Arial" w:cs="Arial"/>
          <w:b/>
          <w:sz w:val="22"/>
          <w:szCs w:val="22"/>
        </w:rPr>
        <w:t>D</w:t>
      </w:r>
      <w:r w:rsidRPr="00F1117B">
        <w:rPr>
          <w:rFonts w:ascii="Arial" w:hAnsi="Arial" w:cs="Arial"/>
          <w:b/>
          <w:sz w:val="22"/>
          <w:szCs w:val="22"/>
        </w:rPr>
        <w:t xml:space="preserve">, </w:t>
      </w:r>
      <w:r w:rsidR="009C356C">
        <w:rPr>
          <w:rFonts w:ascii="Arial" w:hAnsi="Arial" w:cs="Arial"/>
          <w:b/>
          <w:sz w:val="22"/>
          <w:szCs w:val="22"/>
        </w:rPr>
        <w:t>E</w:t>
      </w:r>
      <w:r w:rsidRPr="00F1117B">
        <w:rPr>
          <w:rFonts w:ascii="Arial" w:hAnsi="Arial" w:cs="Arial"/>
          <w:b/>
          <w:sz w:val="22"/>
          <w:szCs w:val="22"/>
        </w:rPr>
        <w:t>)</w:t>
      </w:r>
      <w:r w:rsidRPr="00F1117B">
        <w:rPr>
          <w:rFonts w:ascii="Arial" w:hAnsi="Arial" w:cs="Arial"/>
          <w:sz w:val="22"/>
          <w:szCs w:val="22"/>
        </w:rPr>
        <w:t xml:space="preserve"> Activation status of AdFITC-CAR T-cells in different organs </w:t>
      </w:r>
      <w:r w:rsidRPr="00F1117B">
        <w:rPr>
          <w:rFonts w:ascii="Arial" w:hAnsi="Arial" w:cs="Arial"/>
          <w:bCs/>
          <w:sz w:val="22"/>
          <w:szCs w:val="22"/>
        </w:rPr>
        <w:t xml:space="preserve">48h post CAR T-cells injection (representative flow cytometry in </w:t>
      </w:r>
      <w:r w:rsidRPr="00F1117B">
        <w:rPr>
          <w:rFonts w:ascii="Arial" w:hAnsi="Arial" w:cs="Arial"/>
          <w:b/>
          <w:bCs/>
          <w:sz w:val="22"/>
          <w:szCs w:val="22"/>
        </w:rPr>
        <w:t>C</w:t>
      </w:r>
      <w:r w:rsidRPr="00F1117B">
        <w:rPr>
          <w:rFonts w:ascii="Arial" w:hAnsi="Arial" w:cs="Arial"/>
          <w:sz w:val="22"/>
          <w:szCs w:val="22"/>
        </w:rPr>
        <w:t xml:space="preserve">, </w:t>
      </w:r>
      <w:r w:rsidRPr="00F1117B">
        <w:rPr>
          <w:rFonts w:ascii="Arial" w:hAnsi="Arial" w:cs="Arial"/>
          <w:sz w:val="22"/>
          <w:szCs w:val="22"/>
        </w:rPr>
        <w:lastRenderedPageBreak/>
        <w:t xml:space="preserve">quantified in </w:t>
      </w:r>
      <w:r w:rsidRPr="00F1117B">
        <w:rPr>
          <w:rFonts w:ascii="Arial" w:hAnsi="Arial" w:cs="Arial"/>
          <w:b/>
          <w:bCs/>
          <w:sz w:val="22"/>
          <w:szCs w:val="22"/>
        </w:rPr>
        <w:t>D</w:t>
      </w:r>
      <w:r w:rsidRPr="00F1117B">
        <w:rPr>
          <w:rFonts w:ascii="Arial" w:hAnsi="Arial" w:cs="Arial"/>
          <w:sz w:val="22"/>
          <w:szCs w:val="22"/>
        </w:rPr>
        <w:t xml:space="preserve">). </w:t>
      </w:r>
      <w:r w:rsidRPr="00F1117B">
        <w:rPr>
          <w:rFonts w:ascii="Arial" w:hAnsi="Arial" w:cs="Arial"/>
          <w:b/>
          <w:bCs/>
          <w:sz w:val="22"/>
          <w:szCs w:val="22"/>
        </w:rPr>
        <w:t>(</w:t>
      </w:r>
      <w:r w:rsidR="009C356C">
        <w:rPr>
          <w:rFonts w:ascii="Arial" w:hAnsi="Arial" w:cs="Arial"/>
          <w:b/>
          <w:bCs/>
          <w:sz w:val="22"/>
          <w:szCs w:val="22"/>
        </w:rPr>
        <w:t>F</w:t>
      </w:r>
      <w:r w:rsidRPr="00F1117B">
        <w:rPr>
          <w:rFonts w:ascii="Arial" w:hAnsi="Arial" w:cs="Arial"/>
          <w:b/>
          <w:bCs/>
          <w:sz w:val="22"/>
          <w:szCs w:val="22"/>
        </w:rPr>
        <w:t>)</w:t>
      </w:r>
      <w:r w:rsidRPr="00F1117B">
        <w:rPr>
          <w:rFonts w:ascii="Arial" w:hAnsi="Arial" w:cs="Arial"/>
          <w:sz w:val="22"/>
          <w:szCs w:val="22"/>
        </w:rPr>
        <w:t xml:space="preserve"> </w:t>
      </w:r>
      <w:r w:rsidRPr="00F1117B">
        <w:rPr>
          <w:rFonts w:ascii="Arial" w:hAnsi="Arial" w:cs="Arial"/>
          <w:bCs/>
          <w:sz w:val="22"/>
          <w:szCs w:val="22"/>
        </w:rPr>
        <w:t>IL-2 and IFN</w:t>
      </w:r>
      <w:r w:rsidR="00F1117B" w:rsidRPr="00F1117B">
        <w:rPr>
          <w:rFonts w:ascii="Arial" w:hAnsi="Arial" w:cs="Arial"/>
          <w:bCs/>
          <w:sz w:val="22"/>
          <w:szCs w:val="22"/>
        </w:rPr>
        <w:t>-</w:t>
      </w:r>
      <w:r w:rsidR="00F1117B" w:rsidRPr="00F10C5D">
        <w:rPr>
          <w:rFonts w:ascii="Symbol" w:hAnsi="Symbol" w:cs="Arial"/>
          <w:bCs/>
          <w:sz w:val="22"/>
          <w:szCs w:val="22"/>
        </w:rPr>
        <w:t></w:t>
      </w:r>
      <w:r w:rsidR="00F1117B" w:rsidRPr="00F1117B">
        <w:rPr>
          <w:rFonts w:ascii="Arial" w:hAnsi="Arial" w:cs="Arial"/>
          <w:bCs/>
          <w:sz w:val="22"/>
          <w:szCs w:val="22"/>
        </w:rPr>
        <w:t xml:space="preserve"> </w:t>
      </w:r>
      <w:r w:rsidRPr="00F1117B">
        <w:rPr>
          <w:rFonts w:ascii="Arial" w:hAnsi="Arial" w:cs="Arial"/>
          <w:bCs/>
          <w:sz w:val="22"/>
          <w:szCs w:val="22"/>
        </w:rPr>
        <w:t xml:space="preserve">concentration in serum was determined by ELISA (measurements performed in duplicates). </w:t>
      </w:r>
    </w:p>
    <w:p w14:paraId="5C0B2EE5"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3412F9FC"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8</w:t>
      </w:r>
    </w:p>
    <w:p w14:paraId="570CF683" w14:textId="77777777" w:rsidR="00F3057A" w:rsidRPr="00F1117B" w:rsidRDefault="00F3057A" w:rsidP="00F3057A">
      <w:pPr>
        <w:jc w:val="both"/>
        <w:rPr>
          <w:rFonts w:ascii="Arial" w:hAnsi="Arial" w:cs="Arial"/>
          <w:b/>
          <w:bCs/>
          <w:sz w:val="22"/>
          <w:szCs w:val="22"/>
        </w:rPr>
      </w:pPr>
    </w:p>
    <w:p w14:paraId="2759E1BF" w14:textId="77777777" w:rsidR="00F3057A" w:rsidRPr="00F1117B" w:rsidRDefault="00F3057A" w:rsidP="00F3057A">
      <w:pPr>
        <w:jc w:val="both"/>
        <w:rPr>
          <w:rFonts w:ascii="Arial" w:hAnsi="Arial" w:cs="Arial"/>
          <w:sz w:val="22"/>
          <w:szCs w:val="22"/>
        </w:rPr>
      </w:pPr>
      <w:r w:rsidRPr="00F1117B">
        <w:rPr>
          <w:rFonts w:ascii="Arial" w:hAnsi="Arial" w:cs="Arial"/>
          <w:noProof/>
          <w:sz w:val="22"/>
          <w:szCs w:val="22"/>
          <w:lang w:val="de-CH" w:eastAsia="de-CH"/>
        </w:rPr>
        <w:drawing>
          <wp:inline distT="0" distB="0" distL="0" distR="0" wp14:anchorId="79DC4869" wp14:editId="4434E9F8">
            <wp:extent cx="5571858" cy="7852208"/>
            <wp:effectExtent l="0" t="0" r="3810" b="0"/>
            <wp:docPr id="774396706" name="Picture 3" descr="A close-up of a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396706" name="Picture 3" descr="A close-up of a screenshot&#10;&#10;Description automatically generated"/>
                    <pic:cNvPicPr/>
                  </pic:nvPicPr>
                  <pic:blipFill>
                    <a:blip r:embed="rId18" cstate="print">
                      <a:extLst>
                        <a:ext uri="{28A0092B-C50C-407E-A947-70E740481C1C}">
                          <a14:useLocalDpi xmlns:a14="http://schemas.microsoft.com/office/drawing/2010/main"/>
                        </a:ext>
                      </a:extLst>
                    </a:blip>
                    <a:stretch>
                      <a:fillRect/>
                    </a:stretch>
                  </pic:blipFill>
                  <pic:spPr>
                    <a:xfrm>
                      <a:off x="0" y="0"/>
                      <a:ext cx="5589226" cy="7876684"/>
                    </a:xfrm>
                    <a:prstGeom prst="rect">
                      <a:avLst/>
                    </a:prstGeom>
                  </pic:spPr>
                </pic:pic>
              </a:graphicData>
            </a:graphic>
          </wp:inline>
        </w:drawing>
      </w:r>
    </w:p>
    <w:p w14:paraId="4080641B"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lastRenderedPageBreak/>
        <w:t>Supplementary Figure 8. MOLM14-CD117</w:t>
      </w:r>
      <w:r w:rsidRPr="00F1117B">
        <w:rPr>
          <w:rFonts w:ascii="Arial" w:hAnsi="Arial" w:cs="Arial"/>
          <w:b/>
          <w:bCs/>
          <w:sz w:val="22"/>
          <w:szCs w:val="22"/>
          <w:vertAlign w:val="superscript"/>
        </w:rPr>
        <w:t>high</w:t>
      </w:r>
      <w:r w:rsidRPr="00F1117B">
        <w:rPr>
          <w:rFonts w:ascii="Arial" w:hAnsi="Arial" w:cs="Arial"/>
          <w:b/>
          <w:bCs/>
          <w:sz w:val="22"/>
          <w:szCs w:val="22"/>
        </w:rPr>
        <w:t xml:space="preserve"> growth kinetics </w:t>
      </w:r>
      <w:r w:rsidRPr="00F1117B">
        <w:rPr>
          <w:rFonts w:ascii="Arial" w:hAnsi="Arial" w:cs="Arial"/>
          <w:b/>
          <w:bCs/>
          <w:i/>
          <w:iCs/>
          <w:sz w:val="22"/>
          <w:szCs w:val="22"/>
        </w:rPr>
        <w:t>in vivo</w:t>
      </w:r>
      <w:r w:rsidRPr="00F1117B">
        <w:rPr>
          <w:rFonts w:ascii="Arial" w:hAnsi="Arial" w:cs="Arial"/>
          <w:b/>
          <w:bCs/>
          <w:sz w:val="22"/>
          <w:szCs w:val="22"/>
        </w:rPr>
        <w:t>.</w:t>
      </w:r>
      <w:r w:rsidRPr="00F1117B">
        <w:rPr>
          <w:rFonts w:ascii="Arial" w:hAnsi="Arial" w:cs="Arial"/>
          <w:sz w:val="22"/>
          <w:szCs w:val="22"/>
        </w:rPr>
        <w:t xml:space="preserve"> </w:t>
      </w:r>
    </w:p>
    <w:p w14:paraId="188D3142" w14:textId="77777777" w:rsidR="00F3057A" w:rsidRPr="00F1117B" w:rsidRDefault="00F3057A" w:rsidP="00F3057A">
      <w:pPr>
        <w:jc w:val="both"/>
        <w:rPr>
          <w:rFonts w:ascii="Arial" w:hAnsi="Arial" w:cs="Arial"/>
          <w:sz w:val="22"/>
          <w:szCs w:val="22"/>
        </w:rPr>
      </w:pPr>
      <w:r w:rsidRPr="00F1117B">
        <w:rPr>
          <w:rFonts w:ascii="Arial" w:hAnsi="Arial" w:cs="Arial"/>
          <w:b/>
          <w:bCs/>
          <w:sz w:val="22"/>
          <w:szCs w:val="22"/>
        </w:rPr>
        <w:t>(A)</w:t>
      </w:r>
      <w:r w:rsidRPr="00F1117B">
        <w:rPr>
          <w:rFonts w:ascii="Arial" w:hAnsi="Arial" w:cs="Arial"/>
          <w:sz w:val="22"/>
          <w:szCs w:val="22"/>
        </w:rPr>
        <w:t xml:space="preserve"> </w:t>
      </w:r>
      <w:r w:rsidRPr="00F1117B">
        <w:rPr>
          <w:rFonts w:ascii="Arial" w:hAnsi="Arial" w:cs="Arial"/>
          <w:bCs/>
          <w:sz w:val="22"/>
          <w:szCs w:val="22"/>
        </w:rPr>
        <w:t xml:space="preserve">Schematic outline of the experimental setup. </w:t>
      </w:r>
      <w:r w:rsidRPr="00F1117B">
        <w:rPr>
          <w:rFonts w:ascii="Arial" w:hAnsi="Arial" w:cs="Arial"/>
          <w:sz w:val="22"/>
          <w:szCs w:val="22"/>
        </w:rPr>
        <w:t>Sub-lethally irradiated NSG mice (100cGy) were engrafted i.v. with 10</w:t>
      </w:r>
      <w:r w:rsidRPr="00F1117B">
        <w:rPr>
          <w:rFonts w:ascii="Arial" w:hAnsi="Arial" w:cs="Arial"/>
          <w:sz w:val="22"/>
          <w:szCs w:val="22"/>
          <w:vertAlign w:val="superscript"/>
        </w:rPr>
        <w:t>5</w:t>
      </w:r>
      <w:r w:rsidRPr="00F1117B">
        <w:rPr>
          <w:rFonts w:ascii="Arial" w:hAnsi="Arial" w:cs="Arial"/>
          <w:sz w:val="22"/>
          <w:szCs w:val="22"/>
        </w:rPr>
        <w:t xml:space="preserve"> or 2.5x10</w:t>
      </w:r>
      <w:r w:rsidRPr="00F1117B">
        <w:rPr>
          <w:rFonts w:ascii="Arial" w:hAnsi="Arial" w:cs="Arial"/>
          <w:sz w:val="22"/>
          <w:szCs w:val="22"/>
          <w:vertAlign w:val="superscript"/>
        </w:rPr>
        <w:t>5</w:t>
      </w:r>
      <w:r w:rsidRPr="00F1117B">
        <w:rPr>
          <w:rFonts w:ascii="Arial" w:hAnsi="Arial" w:cs="Arial"/>
          <w:sz w:val="22"/>
          <w:szCs w:val="22"/>
        </w:rPr>
        <w:t xml:space="preserve"> MOLM14-CD117</w:t>
      </w:r>
      <w:r w:rsidRPr="00F1117B">
        <w:rPr>
          <w:rFonts w:ascii="Arial" w:hAnsi="Arial" w:cs="Arial"/>
          <w:sz w:val="22"/>
          <w:szCs w:val="22"/>
          <w:vertAlign w:val="superscript"/>
        </w:rPr>
        <w:t>high</w:t>
      </w:r>
      <w:r w:rsidRPr="00F1117B">
        <w:rPr>
          <w:rFonts w:ascii="Arial" w:hAnsi="Arial" w:cs="Arial"/>
          <w:sz w:val="22"/>
          <w:szCs w:val="22"/>
        </w:rPr>
        <w:t>GFP</w:t>
      </w:r>
      <w:r w:rsidRPr="00F1117B">
        <w:rPr>
          <w:rFonts w:ascii="Arial" w:hAnsi="Arial" w:cs="Arial"/>
          <w:sz w:val="22"/>
          <w:szCs w:val="22"/>
          <w:vertAlign w:val="superscript"/>
        </w:rPr>
        <w:t>+</w:t>
      </w:r>
      <w:r w:rsidRPr="00F1117B">
        <w:rPr>
          <w:rFonts w:ascii="Arial" w:hAnsi="Arial" w:cs="Arial"/>
          <w:sz w:val="22"/>
          <w:szCs w:val="22"/>
        </w:rPr>
        <w:t>Luc</w:t>
      </w:r>
      <w:r w:rsidRPr="00F1117B">
        <w:rPr>
          <w:rFonts w:ascii="Arial" w:hAnsi="Arial" w:cs="Arial"/>
          <w:sz w:val="22"/>
          <w:szCs w:val="22"/>
          <w:vertAlign w:val="superscript"/>
        </w:rPr>
        <w:t>+</w:t>
      </w:r>
      <w:r w:rsidRPr="00F1117B">
        <w:rPr>
          <w:rFonts w:ascii="Arial" w:hAnsi="Arial" w:cs="Arial"/>
          <w:sz w:val="22"/>
          <w:szCs w:val="22"/>
        </w:rPr>
        <w:t xml:space="preserve"> cells. At days 5, 7, and 10 after tumor inoculation, engraftment was monitored by bioluminescence imaging, and the bone marrow of two representative mice per group was collected and analyzed by flow cytometry and immunohistochemistry. </w:t>
      </w:r>
      <w:r w:rsidRPr="00F1117B">
        <w:rPr>
          <w:rFonts w:ascii="Arial" w:hAnsi="Arial" w:cs="Arial"/>
          <w:b/>
          <w:bCs/>
          <w:sz w:val="22"/>
          <w:szCs w:val="22"/>
        </w:rPr>
        <w:t>(B)</w:t>
      </w:r>
      <w:r w:rsidRPr="00F1117B">
        <w:rPr>
          <w:rFonts w:ascii="Arial" w:hAnsi="Arial" w:cs="Arial"/>
          <w:sz w:val="22"/>
          <w:szCs w:val="22"/>
        </w:rPr>
        <w:t xml:space="preserve"> Bioluminescence analysis of MOLM14 cell engraftment at the indicated time points. </w:t>
      </w:r>
      <w:r w:rsidRPr="00F1117B">
        <w:rPr>
          <w:rFonts w:ascii="Arial" w:hAnsi="Arial" w:cs="Arial"/>
          <w:b/>
          <w:bCs/>
          <w:sz w:val="22"/>
          <w:szCs w:val="22"/>
        </w:rPr>
        <w:t xml:space="preserve">(C) </w:t>
      </w:r>
      <w:r w:rsidRPr="00F1117B">
        <w:rPr>
          <w:rFonts w:ascii="Arial" w:hAnsi="Arial" w:cs="Arial"/>
          <w:sz w:val="22"/>
          <w:szCs w:val="22"/>
        </w:rPr>
        <w:t xml:space="preserve">Quantification of the bioluminescence flux of whole-body imaging of mice in </w:t>
      </w:r>
      <w:r w:rsidRPr="00F1117B">
        <w:rPr>
          <w:rFonts w:ascii="Arial" w:hAnsi="Arial" w:cs="Arial"/>
          <w:b/>
          <w:bCs/>
          <w:sz w:val="22"/>
          <w:szCs w:val="22"/>
        </w:rPr>
        <w:t>B</w:t>
      </w:r>
      <w:r w:rsidRPr="00F1117B">
        <w:rPr>
          <w:rFonts w:ascii="Arial" w:hAnsi="Arial" w:cs="Arial"/>
          <w:sz w:val="22"/>
          <w:szCs w:val="22"/>
        </w:rPr>
        <w:t xml:space="preserve"> displayed exponential growth over time, exhibiting a modeled doubling time of 0.8 days for 2.5x10</w:t>
      </w:r>
      <w:r w:rsidRPr="00F1117B">
        <w:rPr>
          <w:rFonts w:ascii="Arial" w:hAnsi="Arial" w:cs="Arial"/>
          <w:sz w:val="22"/>
          <w:szCs w:val="22"/>
          <w:vertAlign w:val="superscript"/>
        </w:rPr>
        <w:t>5</w:t>
      </w:r>
      <w:r w:rsidRPr="00F1117B">
        <w:rPr>
          <w:rFonts w:ascii="Arial" w:hAnsi="Arial" w:cs="Arial"/>
          <w:sz w:val="22"/>
          <w:szCs w:val="22"/>
        </w:rPr>
        <w:t xml:space="preserve"> and 0.9 days for 1x10</w:t>
      </w:r>
      <w:r w:rsidRPr="00F1117B">
        <w:rPr>
          <w:rFonts w:ascii="Arial" w:hAnsi="Arial" w:cs="Arial"/>
          <w:sz w:val="22"/>
          <w:szCs w:val="22"/>
          <w:vertAlign w:val="superscript"/>
        </w:rPr>
        <w:t>5</w:t>
      </w:r>
      <w:r w:rsidRPr="00F1117B">
        <w:rPr>
          <w:rFonts w:ascii="Arial" w:hAnsi="Arial" w:cs="Arial"/>
          <w:sz w:val="22"/>
          <w:szCs w:val="22"/>
        </w:rPr>
        <w:t xml:space="preserve"> transplanted cells, respectively.</w:t>
      </w:r>
      <w:r w:rsidRPr="00F1117B">
        <w:rPr>
          <w:rFonts w:ascii="Arial" w:hAnsi="Arial" w:cs="Arial"/>
          <w:b/>
          <w:bCs/>
          <w:sz w:val="22"/>
          <w:szCs w:val="22"/>
        </w:rPr>
        <w:t xml:space="preserve"> (D) </w:t>
      </w:r>
      <w:r w:rsidRPr="00F1117B">
        <w:rPr>
          <w:rFonts w:ascii="Arial" w:hAnsi="Arial" w:cs="Arial"/>
          <w:sz w:val="22"/>
          <w:szCs w:val="22"/>
        </w:rPr>
        <w:t>Percentages of hCD45</w:t>
      </w:r>
      <w:r w:rsidRPr="00F1117B">
        <w:rPr>
          <w:rFonts w:ascii="Arial" w:hAnsi="Arial" w:cs="Arial"/>
          <w:sz w:val="22"/>
          <w:szCs w:val="22"/>
          <w:vertAlign w:val="superscript"/>
        </w:rPr>
        <w:t>+</w:t>
      </w:r>
      <w:r w:rsidRPr="00F1117B">
        <w:rPr>
          <w:rFonts w:ascii="Arial" w:hAnsi="Arial" w:cs="Arial"/>
          <w:sz w:val="22"/>
          <w:szCs w:val="22"/>
        </w:rPr>
        <w:t xml:space="preserve"> cells within the live BM population increased exponentially over time with a modeled doubling time of 0.6 days following transplantation of 2.5x10</w:t>
      </w:r>
      <w:r w:rsidRPr="00F1117B">
        <w:rPr>
          <w:rFonts w:ascii="Arial" w:hAnsi="Arial" w:cs="Arial"/>
          <w:sz w:val="22"/>
          <w:szCs w:val="22"/>
          <w:vertAlign w:val="superscript"/>
        </w:rPr>
        <w:t>5</w:t>
      </w:r>
      <w:r w:rsidRPr="00F1117B">
        <w:rPr>
          <w:rFonts w:ascii="Arial" w:hAnsi="Arial" w:cs="Arial"/>
          <w:sz w:val="22"/>
          <w:szCs w:val="22"/>
        </w:rPr>
        <w:t xml:space="preserve"> or 1x10</w:t>
      </w:r>
      <w:r w:rsidRPr="00F1117B">
        <w:rPr>
          <w:rFonts w:ascii="Arial" w:hAnsi="Arial" w:cs="Arial"/>
          <w:sz w:val="22"/>
          <w:szCs w:val="22"/>
          <w:vertAlign w:val="superscript"/>
        </w:rPr>
        <w:t>5</w:t>
      </w:r>
      <w:r w:rsidRPr="00F1117B">
        <w:rPr>
          <w:rFonts w:ascii="Arial" w:hAnsi="Arial" w:cs="Arial"/>
          <w:sz w:val="22"/>
          <w:szCs w:val="22"/>
        </w:rPr>
        <w:t xml:space="preserve"> cells. </w:t>
      </w:r>
      <w:r w:rsidRPr="00F1117B">
        <w:rPr>
          <w:rFonts w:ascii="Arial" w:hAnsi="Arial" w:cs="Arial"/>
          <w:b/>
          <w:bCs/>
          <w:sz w:val="22"/>
          <w:szCs w:val="22"/>
        </w:rPr>
        <w:t>(E)</w:t>
      </w:r>
      <w:r w:rsidRPr="00F1117B">
        <w:rPr>
          <w:rFonts w:ascii="Arial" w:hAnsi="Arial" w:cs="Arial"/>
          <w:sz w:val="22"/>
          <w:szCs w:val="22"/>
        </w:rPr>
        <w:t xml:space="preserve"> Flow cytometry plots, HE, and CD117 IHC staining of contralateral femora are shown for a representative mouse per group at the indicated days 7 and 10 after MOLM14 transplantation. </w:t>
      </w:r>
    </w:p>
    <w:p w14:paraId="7BA77575"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62520A74"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9</w:t>
      </w:r>
    </w:p>
    <w:p w14:paraId="0067F536" w14:textId="77777777" w:rsidR="00F3057A" w:rsidRPr="00F1117B" w:rsidRDefault="00F3057A" w:rsidP="00F3057A">
      <w:pPr>
        <w:jc w:val="both"/>
        <w:rPr>
          <w:rFonts w:ascii="Arial" w:hAnsi="Arial" w:cs="Arial"/>
          <w:b/>
          <w:bCs/>
          <w:sz w:val="22"/>
          <w:szCs w:val="22"/>
        </w:rPr>
      </w:pPr>
    </w:p>
    <w:p w14:paraId="2F36CFC4"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3D7E13E0" wp14:editId="6718F9D2">
            <wp:extent cx="5731510" cy="3081020"/>
            <wp:effectExtent l="0" t="0" r="0" b="5080"/>
            <wp:docPr id="1339119582" name="Picture 7"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119582" name="Picture 7" descr="A close-up of a test results&#10;&#10;Description automatically generated"/>
                    <pic:cNvPicPr/>
                  </pic:nvPicPr>
                  <pic:blipFill>
                    <a:blip r:embed="rId19" cstate="print">
                      <a:extLst>
                        <a:ext uri="{28A0092B-C50C-407E-A947-70E740481C1C}">
                          <a14:useLocalDpi xmlns:a14="http://schemas.microsoft.com/office/drawing/2010/main"/>
                        </a:ext>
                      </a:extLst>
                    </a:blip>
                    <a:stretch>
                      <a:fillRect/>
                    </a:stretch>
                  </pic:blipFill>
                  <pic:spPr>
                    <a:xfrm>
                      <a:off x="0" y="0"/>
                      <a:ext cx="5731510" cy="3081020"/>
                    </a:xfrm>
                    <a:prstGeom prst="rect">
                      <a:avLst/>
                    </a:prstGeom>
                  </pic:spPr>
                </pic:pic>
              </a:graphicData>
            </a:graphic>
          </wp:inline>
        </w:drawing>
      </w:r>
    </w:p>
    <w:p w14:paraId="64CD600E" w14:textId="77777777" w:rsidR="00F3057A" w:rsidRPr="00F1117B" w:rsidRDefault="00F3057A" w:rsidP="00F3057A">
      <w:pPr>
        <w:jc w:val="both"/>
        <w:rPr>
          <w:rFonts w:ascii="Arial" w:hAnsi="Arial" w:cs="Arial"/>
          <w:b/>
          <w:sz w:val="22"/>
          <w:szCs w:val="22"/>
        </w:rPr>
      </w:pPr>
    </w:p>
    <w:p w14:paraId="35EAD6BF" w14:textId="77777777" w:rsidR="00F3057A" w:rsidRPr="00F1117B" w:rsidRDefault="00F3057A" w:rsidP="00F3057A">
      <w:pPr>
        <w:jc w:val="both"/>
        <w:rPr>
          <w:rFonts w:ascii="Arial" w:hAnsi="Arial" w:cs="Arial"/>
          <w:b/>
          <w:sz w:val="22"/>
          <w:szCs w:val="22"/>
        </w:rPr>
      </w:pPr>
      <w:r w:rsidRPr="00F1117B">
        <w:rPr>
          <w:rFonts w:ascii="Arial" w:hAnsi="Arial" w:cs="Arial"/>
          <w:b/>
          <w:sz w:val="22"/>
          <w:szCs w:val="22"/>
        </w:rPr>
        <w:t>Supplementary Figure 9. Effects of diabody administration frequency on therapeutic outcomes</w:t>
      </w:r>
      <w:r w:rsidRPr="00F1117B">
        <w:rPr>
          <w:rFonts w:ascii="Arial" w:hAnsi="Arial" w:cs="Arial"/>
          <w:b/>
          <w:i/>
          <w:sz w:val="22"/>
          <w:szCs w:val="22"/>
        </w:rPr>
        <w:t xml:space="preserve"> in vivo</w:t>
      </w:r>
      <w:r w:rsidRPr="00F1117B">
        <w:rPr>
          <w:rFonts w:ascii="Arial" w:hAnsi="Arial" w:cs="Arial"/>
          <w:b/>
          <w:sz w:val="22"/>
          <w:szCs w:val="22"/>
        </w:rPr>
        <w:t xml:space="preserve">. </w:t>
      </w:r>
    </w:p>
    <w:p w14:paraId="0D3D392D" w14:textId="75A30143" w:rsidR="00F3057A" w:rsidRPr="00F1117B" w:rsidRDefault="00F3057A" w:rsidP="00F3057A">
      <w:pPr>
        <w:jc w:val="both"/>
        <w:rPr>
          <w:rFonts w:ascii="Arial" w:hAnsi="Arial" w:cs="Arial"/>
          <w:sz w:val="22"/>
          <w:szCs w:val="22"/>
        </w:rPr>
      </w:pPr>
      <w:r w:rsidRPr="00F1117B">
        <w:rPr>
          <w:rFonts w:ascii="Arial" w:hAnsi="Arial" w:cs="Arial"/>
          <w:b/>
          <w:bCs/>
          <w:sz w:val="22"/>
          <w:szCs w:val="22"/>
        </w:rPr>
        <w:t xml:space="preserve">(A) </w:t>
      </w:r>
      <w:r w:rsidRPr="00F1117B">
        <w:rPr>
          <w:rFonts w:ascii="Arial" w:hAnsi="Arial" w:cs="Arial"/>
          <w:sz w:val="22"/>
          <w:szCs w:val="22"/>
        </w:rPr>
        <w:t>Experimental setup. Sub-lethally irradiated NSG mice were injected i.v. with 10</w:t>
      </w:r>
      <w:r w:rsidRPr="00F1117B">
        <w:rPr>
          <w:rFonts w:ascii="Arial" w:hAnsi="Arial" w:cs="Arial"/>
          <w:sz w:val="22"/>
          <w:szCs w:val="22"/>
          <w:vertAlign w:val="superscript"/>
        </w:rPr>
        <w:t>5</w:t>
      </w:r>
      <w:r w:rsidRPr="00F1117B">
        <w:rPr>
          <w:rFonts w:ascii="Arial" w:hAnsi="Arial" w:cs="Arial"/>
          <w:sz w:val="22"/>
          <w:szCs w:val="22"/>
        </w:rPr>
        <w:t xml:space="preserve"> MOLM14-CD117</w:t>
      </w:r>
      <w:r w:rsidRPr="00F1117B">
        <w:rPr>
          <w:rFonts w:ascii="Arial" w:hAnsi="Arial" w:cs="Arial"/>
          <w:sz w:val="22"/>
          <w:szCs w:val="22"/>
          <w:vertAlign w:val="superscript"/>
        </w:rPr>
        <w:t>high</w:t>
      </w:r>
      <w:r w:rsidRPr="00F1117B">
        <w:rPr>
          <w:rFonts w:ascii="Arial" w:hAnsi="Arial" w:cs="Arial"/>
          <w:sz w:val="22"/>
          <w:szCs w:val="22"/>
        </w:rPr>
        <w:t>GFP</w:t>
      </w:r>
      <w:r w:rsidRPr="00F1117B">
        <w:rPr>
          <w:rFonts w:ascii="Arial" w:hAnsi="Arial" w:cs="Arial"/>
          <w:sz w:val="22"/>
          <w:szCs w:val="22"/>
          <w:vertAlign w:val="superscript"/>
        </w:rPr>
        <w:t>+</w:t>
      </w:r>
      <w:r w:rsidRPr="00F1117B">
        <w:rPr>
          <w:rFonts w:ascii="Arial" w:hAnsi="Arial" w:cs="Arial"/>
          <w:sz w:val="22"/>
          <w:szCs w:val="22"/>
        </w:rPr>
        <w:t>Luc</w:t>
      </w:r>
      <w:r w:rsidRPr="00F1117B">
        <w:rPr>
          <w:rFonts w:ascii="Arial" w:hAnsi="Arial" w:cs="Arial"/>
          <w:sz w:val="22"/>
          <w:szCs w:val="22"/>
          <w:vertAlign w:val="superscript"/>
        </w:rPr>
        <w:t>+</w:t>
      </w:r>
      <w:r w:rsidRPr="00F1117B">
        <w:rPr>
          <w:rFonts w:ascii="Arial" w:hAnsi="Arial" w:cs="Arial"/>
          <w:sz w:val="22"/>
          <w:szCs w:val="22"/>
        </w:rPr>
        <w:t xml:space="preserve"> cells and after 7 days, successful engraftment was confirmed by BLI. Mice received injections of either 0.5x10</w:t>
      </w:r>
      <w:r w:rsidRPr="00F1117B">
        <w:rPr>
          <w:rFonts w:ascii="Arial" w:hAnsi="Arial" w:cs="Arial"/>
          <w:sz w:val="22"/>
          <w:szCs w:val="22"/>
          <w:vertAlign w:val="superscript"/>
        </w:rPr>
        <w:t>7</w:t>
      </w:r>
      <w:r w:rsidRPr="00F1117B">
        <w:rPr>
          <w:rFonts w:ascii="Arial" w:hAnsi="Arial" w:cs="Arial"/>
          <w:sz w:val="22"/>
          <w:szCs w:val="22"/>
        </w:rPr>
        <w:t xml:space="preserve"> direct CD117-CAR or AdFITC-CAR T-cells, along with decreasing doses of anti-CD117 Db-FM (25, 12.5, and 6.3 </w:t>
      </w:r>
      <w:r w:rsidR="00F10C5D" w:rsidRPr="00F10C5D">
        <w:rPr>
          <w:rFonts w:ascii="Symbol" w:hAnsi="Symbol" w:cs="Arial"/>
          <w:sz w:val="22"/>
          <w:szCs w:val="22"/>
        </w:rPr>
        <w:t></w:t>
      </w:r>
      <w:r w:rsidRPr="00F1117B">
        <w:rPr>
          <w:rFonts w:ascii="Arial" w:hAnsi="Arial" w:cs="Arial"/>
          <w:sz w:val="22"/>
          <w:szCs w:val="22"/>
        </w:rPr>
        <w:t xml:space="preserve">g) administered i.p. every 48 hours. </w:t>
      </w:r>
      <w:r w:rsidRPr="00F1117B">
        <w:rPr>
          <w:rFonts w:ascii="Arial" w:hAnsi="Arial" w:cs="Arial"/>
          <w:b/>
          <w:bCs/>
          <w:sz w:val="22"/>
          <w:szCs w:val="22"/>
        </w:rPr>
        <w:t>(B)</w:t>
      </w:r>
      <w:r w:rsidRPr="00F1117B">
        <w:rPr>
          <w:rFonts w:ascii="Arial" w:hAnsi="Arial" w:cs="Arial"/>
          <w:sz w:val="22"/>
          <w:szCs w:val="22"/>
        </w:rPr>
        <w:t xml:space="preserve"> Bioluminescence analysis of MOLM14 cell engraftment at days 7, 14, and 17 in mice. The various conditions are indicated. </w:t>
      </w:r>
      <w:r w:rsidRPr="00F1117B">
        <w:rPr>
          <w:rFonts w:ascii="Arial" w:hAnsi="Arial" w:cs="Arial"/>
          <w:b/>
          <w:bCs/>
          <w:sz w:val="22"/>
          <w:szCs w:val="22"/>
        </w:rPr>
        <w:t>(C)</w:t>
      </w:r>
      <w:r w:rsidRPr="00F1117B">
        <w:rPr>
          <w:rFonts w:ascii="Arial" w:hAnsi="Arial" w:cs="Arial"/>
          <w:sz w:val="22"/>
          <w:szCs w:val="22"/>
        </w:rPr>
        <w:t xml:space="preserve"> Evaluation of the bioluminescent flux in mice at the analyzed time points.</w:t>
      </w:r>
    </w:p>
    <w:p w14:paraId="00C73A62"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76177C91"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10</w:t>
      </w:r>
    </w:p>
    <w:p w14:paraId="7E12C501" w14:textId="77777777" w:rsidR="00F3057A" w:rsidRPr="00F1117B" w:rsidRDefault="00F3057A" w:rsidP="00F3057A">
      <w:pPr>
        <w:jc w:val="both"/>
        <w:rPr>
          <w:rFonts w:ascii="Arial" w:hAnsi="Arial" w:cs="Arial"/>
          <w:b/>
          <w:bCs/>
          <w:sz w:val="22"/>
          <w:szCs w:val="22"/>
        </w:rPr>
      </w:pPr>
    </w:p>
    <w:p w14:paraId="311CA62F" w14:textId="77777777" w:rsidR="00F3057A" w:rsidRPr="00F1117B" w:rsidRDefault="00F3057A" w:rsidP="00F3057A">
      <w:pPr>
        <w:jc w:val="both"/>
        <w:rPr>
          <w:rFonts w:ascii="Arial" w:hAnsi="Arial" w:cs="Arial"/>
          <w:b/>
          <w:bCs/>
          <w:sz w:val="22"/>
          <w:szCs w:val="22"/>
        </w:rPr>
      </w:pPr>
      <w:r w:rsidRPr="00F1117B">
        <w:rPr>
          <w:rFonts w:ascii="Arial" w:hAnsi="Arial" w:cs="Arial"/>
          <w:b/>
          <w:bCs/>
          <w:noProof/>
          <w:sz w:val="22"/>
          <w:szCs w:val="22"/>
          <w:lang w:val="de-CH" w:eastAsia="de-CH"/>
        </w:rPr>
        <w:drawing>
          <wp:inline distT="0" distB="0" distL="0" distR="0" wp14:anchorId="6778FDEB" wp14:editId="13DB820D">
            <wp:extent cx="5731510" cy="5306938"/>
            <wp:effectExtent l="0" t="0" r="0" b="1905"/>
            <wp:docPr id="370685949" name="Picture 8"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85949" name="Picture 8" descr="A close-up of a chart&#10;&#10;Description automatically generated"/>
                    <pic:cNvPicPr/>
                  </pic:nvPicPr>
                  <pic:blipFill rotWithShape="1">
                    <a:blip r:embed="rId20" cstate="print">
                      <a:extLst>
                        <a:ext uri="{28A0092B-C50C-407E-A947-70E740481C1C}">
                          <a14:useLocalDpi xmlns:a14="http://schemas.microsoft.com/office/drawing/2010/main"/>
                        </a:ext>
                      </a:extLst>
                    </a:blip>
                    <a:srcRect/>
                    <a:stretch/>
                  </pic:blipFill>
                  <pic:spPr bwMode="auto">
                    <a:xfrm>
                      <a:off x="0" y="0"/>
                      <a:ext cx="5731510" cy="5306938"/>
                    </a:xfrm>
                    <a:prstGeom prst="rect">
                      <a:avLst/>
                    </a:prstGeom>
                    <a:ln>
                      <a:noFill/>
                    </a:ln>
                    <a:extLst>
                      <a:ext uri="{53640926-AAD7-44D8-BBD7-CCE9431645EC}">
                        <a14:shadowObscured xmlns:a14="http://schemas.microsoft.com/office/drawing/2010/main"/>
                      </a:ext>
                    </a:extLst>
                  </pic:spPr>
                </pic:pic>
              </a:graphicData>
            </a:graphic>
          </wp:inline>
        </w:drawing>
      </w:r>
    </w:p>
    <w:p w14:paraId="3320256D" w14:textId="77777777" w:rsidR="00F3057A" w:rsidRPr="00F1117B" w:rsidRDefault="00F3057A" w:rsidP="00F3057A">
      <w:pPr>
        <w:jc w:val="both"/>
        <w:rPr>
          <w:rFonts w:ascii="Arial" w:hAnsi="Arial" w:cs="Arial"/>
          <w:b/>
          <w:sz w:val="22"/>
          <w:szCs w:val="22"/>
        </w:rPr>
      </w:pPr>
      <w:r w:rsidRPr="00F1117B">
        <w:rPr>
          <w:rFonts w:ascii="Arial" w:hAnsi="Arial" w:cs="Arial"/>
          <w:b/>
          <w:sz w:val="22"/>
          <w:szCs w:val="22"/>
        </w:rPr>
        <w:t xml:space="preserve">Supplementary Figure 10. Effects of effector cell numbers on therapeutic outcome </w:t>
      </w:r>
      <w:r w:rsidRPr="00F1117B">
        <w:rPr>
          <w:rFonts w:ascii="Arial" w:hAnsi="Arial" w:cs="Arial"/>
          <w:b/>
          <w:i/>
          <w:sz w:val="22"/>
          <w:szCs w:val="22"/>
        </w:rPr>
        <w:t>in vivo</w:t>
      </w:r>
      <w:r w:rsidRPr="00F1117B">
        <w:rPr>
          <w:rFonts w:ascii="Arial" w:hAnsi="Arial" w:cs="Arial"/>
          <w:b/>
          <w:sz w:val="22"/>
          <w:szCs w:val="22"/>
        </w:rPr>
        <w:t xml:space="preserve">. </w:t>
      </w:r>
    </w:p>
    <w:p w14:paraId="7348A3F5" w14:textId="540FFCBA" w:rsidR="00F3057A" w:rsidRPr="00F1117B" w:rsidRDefault="00F3057A" w:rsidP="00F3057A">
      <w:pPr>
        <w:jc w:val="both"/>
        <w:rPr>
          <w:rFonts w:ascii="Arial" w:hAnsi="Arial" w:cs="Arial"/>
          <w:sz w:val="22"/>
          <w:szCs w:val="22"/>
        </w:rPr>
      </w:pPr>
      <w:r w:rsidRPr="00F1117B">
        <w:rPr>
          <w:rFonts w:ascii="Arial" w:hAnsi="Arial" w:cs="Arial"/>
          <w:b/>
          <w:bCs/>
          <w:sz w:val="22"/>
          <w:szCs w:val="22"/>
        </w:rPr>
        <w:t xml:space="preserve">(A) </w:t>
      </w:r>
      <w:r w:rsidRPr="00F1117B">
        <w:rPr>
          <w:rFonts w:ascii="Arial" w:hAnsi="Arial" w:cs="Arial"/>
          <w:bCs/>
          <w:sz w:val="22"/>
          <w:szCs w:val="22"/>
        </w:rPr>
        <w:t xml:space="preserve">Schematic outline of the experimental setup. </w:t>
      </w:r>
      <w:r w:rsidRPr="00F1117B">
        <w:rPr>
          <w:rFonts w:ascii="Arial" w:hAnsi="Arial" w:cs="Arial"/>
          <w:sz w:val="22"/>
          <w:szCs w:val="22"/>
        </w:rPr>
        <w:t>Sub-lethally irradiated mice were engrafted with 10</w:t>
      </w:r>
      <w:r w:rsidRPr="00F1117B">
        <w:rPr>
          <w:rFonts w:ascii="Arial" w:hAnsi="Arial" w:cs="Arial"/>
          <w:sz w:val="22"/>
          <w:szCs w:val="22"/>
          <w:vertAlign w:val="superscript"/>
        </w:rPr>
        <w:t>5</w:t>
      </w:r>
      <w:r w:rsidRPr="00F1117B">
        <w:rPr>
          <w:rFonts w:ascii="Arial" w:hAnsi="Arial" w:cs="Arial"/>
          <w:sz w:val="22"/>
          <w:szCs w:val="22"/>
        </w:rPr>
        <w:t xml:space="preserve"> MOLM14-CD117</w:t>
      </w:r>
      <w:r w:rsidRPr="00F1117B">
        <w:rPr>
          <w:rFonts w:ascii="Arial" w:hAnsi="Arial" w:cs="Arial"/>
          <w:sz w:val="22"/>
          <w:szCs w:val="22"/>
          <w:vertAlign w:val="superscript"/>
        </w:rPr>
        <w:t>high</w:t>
      </w:r>
      <w:r w:rsidRPr="00F1117B">
        <w:rPr>
          <w:rFonts w:ascii="Arial" w:hAnsi="Arial" w:cs="Arial"/>
          <w:sz w:val="22"/>
          <w:szCs w:val="22"/>
        </w:rPr>
        <w:t>GFP</w:t>
      </w:r>
      <w:r w:rsidRPr="00F1117B">
        <w:rPr>
          <w:rFonts w:ascii="Arial" w:hAnsi="Arial" w:cs="Arial"/>
          <w:sz w:val="22"/>
          <w:szCs w:val="22"/>
          <w:vertAlign w:val="superscript"/>
        </w:rPr>
        <w:t>+</w:t>
      </w:r>
      <w:r w:rsidRPr="00F1117B">
        <w:rPr>
          <w:rFonts w:ascii="Arial" w:hAnsi="Arial" w:cs="Arial"/>
          <w:sz w:val="22"/>
          <w:szCs w:val="22"/>
        </w:rPr>
        <w:t>Luc</w:t>
      </w:r>
      <w:r w:rsidRPr="00F1117B">
        <w:rPr>
          <w:rFonts w:ascii="Arial" w:hAnsi="Arial" w:cs="Arial"/>
          <w:sz w:val="22"/>
          <w:szCs w:val="22"/>
          <w:vertAlign w:val="superscript"/>
        </w:rPr>
        <w:t>+</w:t>
      </w:r>
      <w:r w:rsidRPr="00F1117B">
        <w:rPr>
          <w:rFonts w:ascii="Arial" w:hAnsi="Arial" w:cs="Arial"/>
          <w:sz w:val="22"/>
          <w:szCs w:val="22"/>
        </w:rPr>
        <w:t xml:space="preserve"> cells. Seven days later, engraftment was confirmed by BLI, and mice were injected with 0.2x10</w:t>
      </w:r>
      <w:r w:rsidRPr="00F1117B">
        <w:rPr>
          <w:rFonts w:ascii="Arial" w:hAnsi="Arial" w:cs="Arial"/>
          <w:sz w:val="22"/>
          <w:szCs w:val="22"/>
          <w:vertAlign w:val="superscript"/>
        </w:rPr>
        <w:t>7</w:t>
      </w:r>
      <w:r w:rsidRPr="00F1117B">
        <w:rPr>
          <w:rFonts w:ascii="Arial" w:hAnsi="Arial" w:cs="Arial"/>
          <w:sz w:val="22"/>
          <w:szCs w:val="22"/>
        </w:rPr>
        <w:t xml:space="preserve"> or 10</w:t>
      </w:r>
      <w:r w:rsidRPr="00F1117B">
        <w:rPr>
          <w:rFonts w:ascii="Arial" w:hAnsi="Arial" w:cs="Arial"/>
          <w:sz w:val="22"/>
          <w:szCs w:val="22"/>
          <w:vertAlign w:val="superscript"/>
        </w:rPr>
        <w:t>7</w:t>
      </w:r>
      <w:r w:rsidRPr="00F1117B">
        <w:rPr>
          <w:rFonts w:ascii="Arial" w:hAnsi="Arial" w:cs="Arial"/>
          <w:sz w:val="22"/>
          <w:szCs w:val="22"/>
        </w:rPr>
        <w:t xml:space="preserve"> direct CD33-CAR or AdFITC-CAR T-cells i.v. and 25 </w:t>
      </w:r>
      <w:r w:rsidR="00F10C5D" w:rsidRPr="00F10C5D">
        <w:rPr>
          <w:rFonts w:ascii="Symbol" w:hAnsi="Symbol" w:cs="Arial"/>
          <w:sz w:val="22"/>
          <w:szCs w:val="22"/>
        </w:rPr>
        <w:t></w:t>
      </w:r>
      <w:r w:rsidRPr="00F1117B">
        <w:rPr>
          <w:rFonts w:ascii="Arial" w:hAnsi="Arial" w:cs="Arial"/>
          <w:sz w:val="22"/>
          <w:szCs w:val="22"/>
        </w:rPr>
        <w:t xml:space="preserve">g CD33 Db-FM (i.p. every 12h) or no adaptors (negative controls). </w:t>
      </w:r>
      <w:r w:rsidRPr="00F1117B">
        <w:rPr>
          <w:rFonts w:ascii="Arial" w:hAnsi="Arial" w:cs="Arial"/>
          <w:b/>
          <w:bCs/>
          <w:sz w:val="22"/>
          <w:szCs w:val="22"/>
        </w:rPr>
        <w:t>(B)</w:t>
      </w:r>
      <w:r w:rsidRPr="00F1117B">
        <w:rPr>
          <w:rFonts w:ascii="Arial" w:hAnsi="Arial" w:cs="Arial"/>
          <w:sz w:val="22"/>
          <w:szCs w:val="22"/>
        </w:rPr>
        <w:t xml:space="preserve"> Bioluminescence analysis of MOLM14 cell engraftment at days 7, 14, and 19 in mice under the indicated conditions. </w:t>
      </w:r>
      <w:r w:rsidRPr="00F1117B">
        <w:rPr>
          <w:rFonts w:ascii="Arial" w:hAnsi="Arial" w:cs="Arial"/>
          <w:b/>
          <w:bCs/>
          <w:sz w:val="22"/>
          <w:szCs w:val="22"/>
        </w:rPr>
        <w:t>(C)</w:t>
      </w:r>
      <w:r w:rsidRPr="00F1117B">
        <w:rPr>
          <w:rFonts w:ascii="Arial" w:hAnsi="Arial" w:cs="Arial"/>
          <w:sz w:val="22"/>
          <w:szCs w:val="22"/>
        </w:rPr>
        <w:t xml:space="preserve"> Quantification of the bioluminescence flux of whole-body imaging of mice shown in </w:t>
      </w:r>
      <w:r w:rsidRPr="00F1117B">
        <w:rPr>
          <w:rFonts w:ascii="Arial" w:hAnsi="Arial" w:cs="Arial"/>
          <w:b/>
          <w:bCs/>
          <w:sz w:val="22"/>
          <w:szCs w:val="22"/>
        </w:rPr>
        <w:t>B</w:t>
      </w:r>
      <w:r w:rsidRPr="00F1117B">
        <w:rPr>
          <w:rFonts w:ascii="Arial" w:hAnsi="Arial" w:cs="Arial"/>
          <w:sz w:val="22"/>
          <w:szCs w:val="22"/>
        </w:rPr>
        <w:t xml:space="preserve">. </w:t>
      </w:r>
      <w:r w:rsidRPr="00F1117B">
        <w:rPr>
          <w:rFonts w:ascii="Arial" w:hAnsi="Arial" w:cs="Arial"/>
          <w:b/>
          <w:bCs/>
          <w:sz w:val="22"/>
          <w:szCs w:val="22"/>
        </w:rPr>
        <w:t xml:space="preserve">(D) </w:t>
      </w:r>
      <w:r w:rsidRPr="00F1117B">
        <w:rPr>
          <w:rFonts w:ascii="Arial" w:hAnsi="Arial" w:cs="Arial"/>
          <w:sz w:val="22"/>
          <w:szCs w:val="22"/>
        </w:rPr>
        <w:t>Absolute counts of hCD45</w:t>
      </w:r>
      <w:r w:rsidRPr="00F1117B">
        <w:rPr>
          <w:rFonts w:ascii="Arial" w:hAnsi="Arial" w:cs="Arial"/>
          <w:sz w:val="22"/>
          <w:szCs w:val="22"/>
          <w:vertAlign w:val="superscript"/>
        </w:rPr>
        <w:t>+</w:t>
      </w:r>
      <w:r w:rsidRPr="00F1117B">
        <w:rPr>
          <w:rFonts w:ascii="Arial" w:hAnsi="Arial" w:cs="Arial"/>
          <w:sz w:val="22"/>
          <w:szCs w:val="22"/>
        </w:rPr>
        <w:t>hCD117</w:t>
      </w:r>
      <w:r w:rsidRPr="00F1117B">
        <w:rPr>
          <w:rFonts w:ascii="Arial" w:hAnsi="Arial" w:cs="Arial"/>
          <w:sz w:val="22"/>
          <w:szCs w:val="22"/>
          <w:vertAlign w:val="superscript"/>
        </w:rPr>
        <w:t>+</w:t>
      </w:r>
      <w:r w:rsidRPr="00F1117B">
        <w:rPr>
          <w:rFonts w:ascii="Arial" w:hAnsi="Arial" w:cs="Arial"/>
          <w:sz w:val="22"/>
          <w:szCs w:val="22"/>
        </w:rPr>
        <w:t xml:space="preserve"> cells (mean ± SD) in the BM of single femora at terminal analysis.</w:t>
      </w:r>
    </w:p>
    <w:p w14:paraId="44C6D448"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1ACAA5C0"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11</w:t>
      </w:r>
    </w:p>
    <w:p w14:paraId="6B457730" w14:textId="77777777" w:rsidR="00F3057A" w:rsidRPr="00F1117B" w:rsidRDefault="00F3057A" w:rsidP="00F3057A">
      <w:pPr>
        <w:jc w:val="both"/>
        <w:rPr>
          <w:rFonts w:ascii="Arial" w:hAnsi="Arial" w:cs="Arial"/>
          <w:b/>
          <w:bCs/>
          <w:sz w:val="22"/>
          <w:szCs w:val="22"/>
        </w:rPr>
      </w:pPr>
    </w:p>
    <w:p w14:paraId="62FA4E5E" w14:textId="46D196A9" w:rsidR="00F3057A" w:rsidRPr="00F1117B" w:rsidRDefault="00EC78F0" w:rsidP="00F3057A">
      <w:pPr>
        <w:jc w:val="both"/>
        <w:rPr>
          <w:rFonts w:ascii="Arial" w:hAnsi="Arial" w:cs="Arial"/>
          <w:sz w:val="22"/>
          <w:szCs w:val="22"/>
        </w:rPr>
      </w:pPr>
      <w:r w:rsidRPr="00F1117B">
        <w:rPr>
          <w:rFonts w:ascii="Arial" w:hAnsi="Arial" w:cs="Arial"/>
          <w:noProof/>
          <w:sz w:val="22"/>
          <w:szCs w:val="22"/>
          <w:lang w:val="de-CH" w:eastAsia="de-CH"/>
        </w:rPr>
        <w:drawing>
          <wp:inline distT="0" distB="0" distL="0" distR="0" wp14:anchorId="718DBCFD" wp14:editId="7D7530BB">
            <wp:extent cx="5611436" cy="4563110"/>
            <wp:effectExtent l="0" t="0" r="2540" b="0"/>
            <wp:docPr id="3612287"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2287" name="Picture 10" descr="A screenshot of a graph&#10;&#10;Description automatically generated"/>
                    <pic:cNvPicPr/>
                  </pic:nvPicPr>
                  <pic:blipFill rotWithShape="1">
                    <a:blip r:embed="rId21" cstate="print">
                      <a:extLst>
                        <a:ext uri="{28A0092B-C50C-407E-A947-70E740481C1C}">
                          <a14:useLocalDpi xmlns:a14="http://schemas.microsoft.com/office/drawing/2010/main"/>
                        </a:ext>
                      </a:extLst>
                    </a:blip>
                    <a:srcRect/>
                    <a:stretch/>
                  </pic:blipFill>
                  <pic:spPr bwMode="auto">
                    <a:xfrm>
                      <a:off x="0" y="0"/>
                      <a:ext cx="5611860" cy="4563455"/>
                    </a:xfrm>
                    <a:prstGeom prst="rect">
                      <a:avLst/>
                    </a:prstGeom>
                    <a:ln>
                      <a:noFill/>
                    </a:ln>
                    <a:extLst>
                      <a:ext uri="{53640926-AAD7-44D8-BBD7-CCE9431645EC}">
                        <a14:shadowObscured xmlns:a14="http://schemas.microsoft.com/office/drawing/2010/main"/>
                      </a:ext>
                    </a:extLst>
                  </pic:spPr>
                </pic:pic>
              </a:graphicData>
            </a:graphic>
          </wp:inline>
        </w:drawing>
      </w:r>
    </w:p>
    <w:p w14:paraId="379D5593" w14:textId="77777777" w:rsidR="00F3057A" w:rsidRPr="00F1117B" w:rsidRDefault="00F3057A" w:rsidP="00F3057A">
      <w:pPr>
        <w:jc w:val="both"/>
        <w:rPr>
          <w:rFonts w:ascii="Arial" w:hAnsi="Arial" w:cs="Arial"/>
          <w:b/>
          <w:bCs/>
          <w:sz w:val="22"/>
          <w:szCs w:val="22"/>
        </w:rPr>
      </w:pPr>
    </w:p>
    <w:p w14:paraId="29E8B1AF" w14:textId="5849087E" w:rsidR="00F3057A" w:rsidRPr="00F1117B" w:rsidRDefault="00F3057A" w:rsidP="00F3057A">
      <w:pPr>
        <w:jc w:val="both"/>
        <w:rPr>
          <w:rFonts w:ascii="Arial" w:hAnsi="Arial" w:cs="Arial"/>
          <w:sz w:val="22"/>
          <w:szCs w:val="22"/>
        </w:rPr>
      </w:pPr>
      <w:r w:rsidRPr="00F1117B">
        <w:rPr>
          <w:rFonts w:ascii="Arial" w:hAnsi="Arial" w:cs="Arial"/>
          <w:b/>
          <w:bCs/>
          <w:sz w:val="22"/>
          <w:szCs w:val="22"/>
        </w:rPr>
        <w:t>Supplementary Figure 11. Growth kinetics of AML patient PID</w:t>
      </w:r>
      <w:r w:rsidR="008F5732">
        <w:rPr>
          <w:rFonts w:ascii="Arial" w:hAnsi="Arial" w:cs="Arial"/>
          <w:b/>
          <w:bCs/>
          <w:sz w:val="22"/>
          <w:szCs w:val="22"/>
        </w:rPr>
        <w:t>20</w:t>
      </w:r>
      <w:r w:rsidRPr="00F1117B">
        <w:rPr>
          <w:rFonts w:ascii="Arial" w:hAnsi="Arial" w:cs="Arial"/>
          <w:b/>
          <w:bCs/>
          <w:sz w:val="22"/>
          <w:szCs w:val="22"/>
        </w:rPr>
        <w:t xml:space="preserve"> cells </w:t>
      </w:r>
      <w:r w:rsidRPr="00F1117B">
        <w:rPr>
          <w:rFonts w:ascii="Arial" w:hAnsi="Arial" w:cs="Arial"/>
          <w:b/>
          <w:bCs/>
          <w:i/>
          <w:iCs/>
          <w:sz w:val="22"/>
          <w:szCs w:val="22"/>
        </w:rPr>
        <w:t>in vivo</w:t>
      </w:r>
      <w:r w:rsidRPr="00F1117B">
        <w:rPr>
          <w:rFonts w:ascii="Arial" w:hAnsi="Arial" w:cs="Arial"/>
          <w:b/>
          <w:bCs/>
          <w:sz w:val="22"/>
          <w:szCs w:val="22"/>
        </w:rPr>
        <w:t>.</w:t>
      </w:r>
      <w:r w:rsidRPr="00F1117B">
        <w:rPr>
          <w:rFonts w:ascii="Arial" w:hAnsi="Arial" w:cs="Arial"/>
          <w:sz w:val="22"/>
          <w:szCs w:val="22"/>
        </w:rPr>
        <w:t xml:space="preserve"> </w:t>
      </w:r>
    </w:p>
    <w:p w14:paraId="5EF552C6" w14:textId="567B1C30" w:rsidR="00F3057A" w:rsidRPr="00F1117B" w:rsidRDefault="00F3057A" w:rsidP="00F3057A">
      <w:pPr>
        <w:jc w:val="both"/>
        <w:rPr>
          <w:rFonts w:ascii="Arial" w:hAnsi="Arial" w:cs="Arial"/>
          <w:sz w:val="22"/>
          <w:szCs w:val="22"/>
        </w:rPr>
      </w:pPr>
      <w:r w:rsidRPr="00F1117B">
        <w:rPr>
          <w:rFonts w:ascii="Arial" w:hAnsi="Arial" w:cs="Arial"/>
          <w:b/>
          <w:bCs/>
          <w:sz w:val="22"/>
          <w:szCs w:val="22"/>
        </w:rPr>
        <w:t>(A)</w:t>
      </w:r>
      <w:r w:rsidRPr="00F1117B">
        <w:rPr>
          <w:rFonts w:ascii="Arial" w:hAnsi="Arial" w:cs="Arial"/>
          <w:sz w:val="22"/>
          <w:szCs w:val="22"/>
        </w:rPr>
        <w:t xml:space="preserve"> </w:t>
      </w:r>
      <w:r w:rsidRPr="00F1117B">
        <w:rPr>
          <w:rFonts w:ascii="Arial" w:hAnsi="Arial" w:cs="Arial"/>
          <w:bCs/>
          <w:sz w:val="22"/>
          <w:szCs w:val="22"/>
        </w:rPr>
        <w:t xml:space="preserve">Schematic outline of the experimental setup. </w:t>
      </w:r>
      <w:r w:rsidRPr="00F1117B">
        <w:rPr>
          <w:rFonts w:ascii="Arial" w:hAnsi="Arial" w:cs="Arial"/>
          <w:sz w:val="22"/>
          <w:szCs w:val="22"/>
        </w:rPr>
        <w:t>Sub-lethally irradiated NSG mice (100cGy) were engrafted i.v. with 5x10</w:t>
      </w:r>
      <w:r w:rsidRPr="00F1117B">
        <w:rPr>
          <w:rFonts w:ascii="Arial" w:hAnsi="Arial" w:cs="Arial"/>
          <w:sz w:val="22"/>
          <w:szCs w:val="22"/>
          <w:vertAlign w:val="superscript"/>
        </w:rPr>
        <w:t>6</w:t>
      </w:r>
      <w:r w:rsidRPr="00F1117B">
        <w:rPr>
          <w:rFonts w:ascii="Arial" w:hAnsi="Arial" w:cs="Arial"/>
          <w:sz w:val="22"/>
          <w:szCs w:val="22"/>
        </w:rPr>
        <w:t xml:space="preserve"> </w:t>
      </w:r>
      <w:bookmarkStart w:id="0" w:name="OLE_LINK1"/>
      <w:bookmarkStart w:id="1" w:name="OLE_LINK2"/>
      <w:r w:rsidRPr="00F1117B">
        <w:rPr>
          <w:rFonts w:ascii="Arial" w:hAnsi="Arial" w:cs="Arial"/>
          <w:sz w:val="22"/>
          <w:szCs w:val="22"/>
        </w:rPr>
        <w:t>CD3/CD19 double-depleted PB</w:t>
      </w:r>
      <w:bookmarkEnd w:id="0"/>
      <w:bookmarkEnd w:id="1"/>
      <w:r w:rsidRPr="00F1117B">
        <w:rPr>
          <w:rFonts w:ascii="Arial" w:hAnsi="Arial" w:cs="Arial"/>
          <w:sz w:val="22"/>
          <w:szCs w:val="22"/>
        </w:rPr>
        <w:t xml:space="preserve"> cells isolated from AML patient PID</w:t>
      </w:r>
      <w:r w:rsidR="008F5732">
        <w:rPr>
          <w:rFonts w:ascii="Arial" w:hAnsi="Arial" w:cs="Arial"/>
          <w:sz w:val="22"/>
          <w:szCs w:val="22"/>
        </w:rPr>
        <w:t>20</w:t>
      </w:r>
      <w:r w:rsidRPr="00F1117B">
        <w:rPr>
          <w:rFonts w:ascii="Arial" w:hAnsi="Arial" w:cs="Arial"/>
          <w:sz w:val="22"/>
          <w:szCs w:val="22"/>
        </w:rPr>
        <w:t xml:space="preserve">. After tumor inoculation, engraftment from three representative mice was analyzed weekly by flow cytometry and IHC in bone marrow, blood, and spleen. </w:t>
      </w:r>
      <w:r w:rsidRPr="00F1117B">
        <w:rPr>
          <w:rFonts w:ascii="Arial" w:hAnsi="Arial" w:cs="Arial"/>
          <w:b/>
          <w:bCs/>
          <w:sz w:val="22"/>
          <w:szCs w:val="22"/>
        </w:rPr>
        <w:t>(B)</w:t>
      </w:r>
      <w:r w:rsidRPr="00F1117B">
        <w:rPr>
          <w:rFonts w:ascii="Arial" w:hAnsi="Arial" w:cs="Arial"/>
          <w:sz w:val="22"/>
          <w:szCs w:val="22"/>
        </w:rPr>
        <w:t xml:space="preserve"> Quantification of the absolute counts of AML patient cells (hCD45</w:t>
      </w:r>
      <w:r w:rsidRPr="00F1117B">
        <w:rPr>
          <w:rFonts w:ascii="Arial" w:hAnsi="Arial" w:cs="Arial"/>
          <w:sz w:val="22"/>
          <w:szCs w:val="22"/>
          <w:vertAlign w:val="superscript"/>
        </w:rPr>
        <w:t>dim</w:t>
      </w:r>
      <w:r w:rsidRPr="00F1117B">
        <w:rPr>
          <w:rFonts w:ascii="Arial" w:hAnsi="Arial" w:cs="Arial"/>
          <w:sz w:val="22"/>
          <w:szCs w:val="22"/>
        </w:rPr>
        <w:t>CD3</w:t>
      </w:r>
      <w:r w:rsidRPr="00F1117B">
        <w:rPr>
          <w:rFonts w:ascii="Arial" w:hAnsi="Arial" w:cs="Arial"/>
          <w:sz w:val="22"/>
          <w:szCs w:val="22"/>
          <w:vertAlign w:val="superscript"/>
        </w:rPr>
        <w:t>-</w:t>
      </w:r>
      <w:r w:rsidRPr="00F1117B">
        <w:rPr>
          <w:rFonts w:ascii="Arial" w:hAnsi="Arial" w:cs="Arial"/>
          <w:sz w:val="22"/>
          <w:szCs w:val="22"/>
        </w:rPr>
        <w:t>CD19</w:t>
      </w:r>
      <w:r w:rsidRPr="00F1117B">
        <w:rPr>
          <w:rFonts w:ascii="Arial" w:hAnsi="Arial" w:cs="Arial"/>
          <w:sz w:val="22"/>
          <w:szCs w:val="22"/>
          <w:vertAlign w:val="superscript"/>
        </w:rPr>
        <w:t>-</w:t>
      </w:r>
      <w:r w:rsidRPr="00F1117B">
        <w:rPr>
          <w:rFonts w:ascii="Arial" w:hAnsi="Arial" w:cs="Arial"/>
          <w:sz w:val="22"/>
          <w:szCs w:val="22"/>
        </w:rPr>
        <w:t>) isolated from BM of a femur, 150</w:t>
      </w:r>
      <w:r w:rsidR="00F10C5D">
        <w:rPr>
          <w:rFonts w:ascii="Arial" w:hAnsi="Arial" w:cs="Arial"/>
          <w:sz w:val="22"/>
          <w:szCs w:val="22"/>
        </w:rPr>
        <w:t xml:space="preserve"> </w:t>
      </w:r>
      <w:r w:rsidR="00F10C5D" w:rsidRPr="00F10C5D">
        <w:rPr>
          <w:rFonts w:ascii="Symbol" w:hAnsi="Symbol" w:cs="Arial"/>
          <w:sz w:val="22"/>
          <w:szCs w:val="22"/>
        </w:rPr>
        <w:t></w:t>
      </w:r>
      <w:r w:rsidRPr="00F1117B">
        <w:rPr>
          <w:rFonts w:ascii="Arial" w:hAnsi="Arial" w:cs="Arial"/>
          <w:sz w:val="22"/>
          <w:szCs w:val="22"/>
        </w:rPr>
        <w:t xml:space="preserve">l of blood, and spleen at terminal analysis. Counts refer to a final resuspension volume of 1ml. </w:t>
      </w:r>
      <w:r w:rsidRPr="00F1117B">
        <w:rPr>
          <w:rFonts w:ascii="Arial" w:hAnsi="Arial" w:cs="Arial"/>
          <w:b/>
          <w:bCs/>
          <w:sz w:val="22"/>
          <w:szCs w:val="22"/>
        </w:rPr>
        <w:t>(C)</w:t>
      </w:r>
      <w:r w:rsidRPr="00F1117B">
        <w:rPr>
          <w:rFonts w:ascii="Arial" w:hAnsi="Arial" w:cs="Arial"/>
          <w:sz w:val="22"/>
          <w:szCs w:val="22"/>
        </w:rPr>
        <w:t xml:space="preserve"> Representative flow cytometry plots of BM are shown for a representative mouse per group at the indicated days after transplantation. </w:t>
      </w:r>
      <w:r w:rsidRPr="00F1117B">
        <w:rPr>
          <w:rFonts w:ascii="Arial" w:hAnsi="Arial" w:cs="Arial"/>
          <w:b/>
          <w:bCs/>
          <w:sz w:val="22"/>
          <w:szCs w:val="22"/>
        </w:rPr>
        <w:t>(D)</w:t>
      </w:r>
      <w:r w:rsidRPr="00F1117B">
        <w:rPr>
          <w:rFonts w:ascii="Arial" w:hAnsi="Arial" w:cs="Arial"/>
          <w:sz w:val="22"/>
          <w:szCs w:val="22"/>
        </w:rPr>
        <w:t xml:space="preserve"> Representative hCD45 IHC staining of the contralateral femora of the mice shown in </w:t>
      </w:r>
      <w:r w:rsidRPr="00F1117B">
        <w:rPr>
          <w:rFonts w:ascii="Arial" w:hAnsi="Arial" w:cs="Arial"/>
          <w:b/>
          <w:bCs/>
          <w:sz w:val="22"/>
          <w:szCs w:val="22"/>
        </w:rPr>
        <w:t>C</w:t>
      </w:r>
      <w:r w:rsidRPr="00F1117B">
        <w:rPr>
          <w:rFonts w:ascii="Arial" w:hAnsi="Arial" w:cs="Arial"/>
          <w:sz w:val="22"/>
          <w:szCs w:val="22"/>
        </w:rPr>
        <w:t xml:space="preserve">. </w:t>
      </w:r>
    </w:p>
    <w:p w14:paraId="04756BB9" w14:textId="77777777" w:rsidR="00F3057A" w:rsidRPr="00F1117B" w:rsidRDefault="00F3057A" w:rsidP="00F3057A">
      <w:pPr>
        <w:jc w:val="both"/>
        <w:rPr>
          <w:rFonts w:ascii="Arial" w:hAnsi="Arial" w:cs="Arial"/>
          <w:sz w:val="22"/>
          <w:szCs w:val="22"/>
        </w:rPr>
      </w:pPr>
      <w:r w:rsidRPr="00F1117B">
        <w:rPr>
          <w:rFonts w:ascii="Arial" w:hAnsi="Arial" w:cs="Arial"/>
          <w:sz w:val="22"/>
          <w:szCs w:val="22"/>
        </w:rPr>
        <w:br w:type="page"/>
      </w:r>
    </w:p>
    <w:p w14:paraId="27B23A00" w14:textId="77777777" w:rsidR="00F3057A" w:rsidRPr="00F1117B" w:rsidRDefault="00F3057A" w:rsidP="00F3057A">
      <w:pPr>
        <w:jc w:val="both"/>
        <w:rPr>
          <w:rFonts w:ascii="Arial" w:hAnsi="Arial" w:cs="Arial"/>
          <w:b/>
          <w:bCs/>
          <w:sz w:val="22"/>
          <w:szCs w:val="22"/>
        </w:rPr>
      </w:pPr>
      <w:r w:rsidRPr="00F1117B">
        <w:rPr>
          <w:rFonts w:ascii="Arial" w:hAnsi="Arial" w:cs="Arial"/>
          <w:b/>
          <w:bCs/>
          <w:sz w:val="22"/>
          <w:szCs w:val="22"/>
        </w:rPr>
        <w:lastRenderedPageBreak/>
        <w:t>Supplementary Figure 12</w:t>
      </w:r>
    </w:p>
    <w:p w14:paraId="7B67E8C3" w14:textId="77777777" w:rsidR="00F3057A" w:rsidRPr="00F1117B" w:rsidRDefault="00F3057A" w:rsidP="00F3057A">
      <w:pPr>
        <w:jc w:val="both"/>
        <w:rPr>
          <w:rFonts w:ascii="Arial" w:hAnsi="Arial" w:cs="Arial"/>
          <w:b/>
          <w:bCs/>
          <w:sz w:val="22"/>
          <w:szCs w:val="22"/>
        </w:rPr>
      </w:pPr>
    </w:p>
    <w:p w14:paraId="5C598E14" w14:textId="77777777" w:rsidR="00F3057A" w:rsidRPr="00F1117B" w:rsidRDefault="00F3057A" w:rsidP="00F3057A">
      <w:pPr>
        <w:jc w:val="both"/>
        <w:rPr>
          <w:rFonts w:ascii="Arial" w:hAnsi="Arial" w:cs="Arial"/>
          <w:sz w:val="22"/>
          <w:szCs w:val="22"/>
        </w:rPr>
      </w:pPr>
      <w:r w:rsidRPr="00F1117B">
        <w:rPr>
          <w:rFonts w:ascii="Arial" w:hAnsi="Arial" w:cs="Arial"/>
          <w:noProof/>
          <w:sz w:val="22"/>
          <w:szCs w:val="22"/>
          <w:lang w:val="de-CH" w:eastAsia="de-CH"/>
        </w:rPr>
        <w:drawing>
          <wp:inline distT="0" distB="0" distL="0" distR="0" wp14:anchorId="6F04D602" wp14:editId="2F0C1458">
            <wp:extent cx="5731510" cy="3536950"/>
            <wp:effectExtent l="0" t="0" r="0" b="6350"/>
            <wp:docPr id="415137666" name="Picture 2"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137666" name="Picture 2" descr="A screenshot of a chart&#10;&#10;Description automatically generated"/>
                    <pic:cNvPicPr/>
                  </pic:nvPicPr>
                  <pic:blipFill>
                    <a:blip r:embed="rId22" cstate="print">
                      <a:extLst>
                        <a:ext uri="{28A0092B-C50C-407E-A947-70E740481C1C}">
                          <a14:useLocalDpi xmlns:a14="http://schemas.microsoft.com/office/drawing/2010/main"/>
                        </a:ext>
                      </a:extLst>
                    </a:blip>
                    <a:stretch>
                      <a:fillRect/>
                    </a:stretch>
                  </pic:blipFill>
                  <pic:spPr>
                    <a:xfrm>
                      <a:off x="0" y="0"/>
                      <a:ext cx="5731510" cy="3536950"/>
                    </a:xfrm>
                    <a:prstGeom prst="rect">
                      <a:avLst/>
                    </a:prstGeom>
                  </pic:spPr>
                </pic:pic>
              </a:graphicData>
            </a:graphic>
          </wp:inline>
        </w:drawing>
      </w:r>
    </w:p>
    <w:p w14:paraId="72AC7E3D" w14:textId="77777777" w:rsidR="00F3057A" w:rsidRPr="00F1117B" w:rsidRDefault="00F3057A" w:rsidP="00F3057A">
      <w:pPr>
        <w:spacing w:line="276" w:lineRule="auto"/>
        <w:jc w:val="both"/>
        <w:rPr>
          <w:rFonts w:ascii="Arial" w:hAnsi="Arial" w:cs="Arial"/>
          <w:b/>
          <w:sz w:val="22"/>
          <w:szCs w:val="22"/>
        </w:rPr>
      </w:pPr>
    </w:p>
    <w:p w14:paraId="5E73D65B" w14:textId="77777777" w:rsidR="00F3057A" w:rsidRPr="00F1117B" w:rsidRDefault="00F3057A" w:rsidP="00F3057A">
      <w:pPr>
        <w:spacing w:line="276" w:lineRule="auto"/>
        <w:jc w:val="both"/>
        <w:rPr>
          <w:rFonts w:ascii="Arial" w:hAnsi="Arial" w:cs="Arial"/>
          <w:b/>
          <w:sz w:val="22"/>
          <w:szCs w:val="22"/>
        </w:rPr>
      </w:pPr>
      <w:r w:rsidRPr="00F1117B">
        <w:rPr>
          <w:rFonts w:ascii="Arial" w:hAnsi="Arial" w:cs="Arial"/>
          <w:b/>
          <w:sz w:val="22"/>
          <w:szCs w:val="22"/>
        </w:rPr>
        <w:t>Supplementary Figure 12. Gating strategy of mice engrafted with primary patient AML cells and treated with direct CAR T-cells or AdFITC-CAR T-cells.</w:t>
      </w:r>
    </w:p>
    <w:p w14:paraId="1CF345FD" w14:textId="60358795" w:rsidR="00F3057A" w:rsidRPr="00F1117B" w:rsidRDefault="00F3057A" w:rsidP="00F3057A">
      <w:pPr>
        <w:jc w:val="both"/>
        <w:rPr>
          <w:rFonts w:ascii="Arial" w:hAnsi="Arial" w:cs="Arial"/>
          <w:sz w:val="22"/>
          <w:szCs w:val="22"/>
        </w:rPr>
      </w:pPr>
      <w:r w:rsidRPr="00F1117B">
        <w:rPr>
          <w:rFonts w:ascii="Arial" w:hAnsi="Arial" w:cs="Arial"/>
          <w:b/>
          <w:bCs/>
          <w:sz w:val="22"/>
          <w:szCs w:val="22"/>
        </w:rPr>
        <w:t xml:space="preserve">(A) </w:t>
      </w:r>
      <w:r w:rsidRPr="00F1117B">
        <w:rPr>
          <w:rFonts w:ascii="Arial" w:hAnsi="Arial" w:cs="Arial"/>
          <w:sz w:val="22"/>
          <w:szCs w:val="22"/>
        </w:rPr>
        <w:t>Representative flow cytometry plots of live cells from BM single-cell suspensions at the terminal analysis of NSG mice engrafted with 5x10</w:t>
      </w:r>
      <w:r w:rsidRPr="00F1117B">
        <w:rPr>
          <w:rFonts w:ascii="Arial" w:hAnsi="Arial" w:cs="Arial"/>
          <w:sz w:val="22"/>
          <w:szCs w:val="22"/>
          <w:vertAlign w:val="superscript"/>
        </w:rPr>
        <w:t>6</w:t>
      </w:r>
      <w:r w:rsidRPr="00F1117B">
        <w:rPr>
          <w:rFonts w:ascii="Arial" w:hAnsi="Arial" w:cs="Arial"/>
          <w:sz w:val="22"/>
          <w:szCs w:val="22"/>
        </w:rPr>
        <w:t xml:space="preserve"> PI</w:t>
      </w:r>
      <w:r w:rsidR="008F5732">
        <w:rPr>
          <w:rFonts w:ascii="Arial" w:hAnsi="Arial" w:cs="Arial"/>
          <w:sz w:val="22"/>
          <w:szCs w:val="22"/>
        </w:rPr>
        <w:t>D20</w:t>
      </w:r>
      <w:r w:rsidRPr="00F1117B">
        <w:rPr>
          <w:rFonts w:ascii="Arial" w:hAnsi="Arial" w:cs="Arial"/>
          <w:sz w:val="22"/>
          <w:szCs w:val="22"/>
        </w:rPr>
        <w:t xml:space="preserve"> cells and seven days later injected i.v. with either 10</w:t>
      </w:r>
      <w:r w:rsidRPr="00F1117B">
        <w:rPr>
          <w:rFonts w:ascii="Arial" w:hAnsi="Arial" w:cs="Arial"/>
          <w:sz w:val="22"/>
          <w:szCs w:val="22"/>
          <w:vertAlign w:val="superscript"/>
        </w:rPr>
        <w:t>7</w:t>
      </w:r>
      <w:r w:rsidRPr="00F1117B">
        <w:rPr>
          <w:rFonts w:ascii="Arial" w:hAnsi="Arial" w:cs="Arial"/>
          <w:sz w:val="22"/>
          <w:szCs w:val="22"/>
        </w:rPr>
        <w:t xml:space="preserve"> direct anti-CD117 or direct anti-CD33 CAR T-cells (alone or 5x10</w:t>
      </w:r>
      <w:r w:rsidRPr="00F1117B">
        <w:rPr>
          <w:rFonts w:ascii="Arial" w:hAnsi="Arial" w:cs="Arial"/>
          <w:sz w:val="22"/>
          <w:szCs w:val="22"/>
          <w:vertAlign w:val="superscript"/>
        </w:rPr>
        <w:t xml:space="preserve">6 </w:t>
      </w:r>
      <w:r w:rsidRPr="00F1117B">
        <w:rPr>
          <w:rFonts w:ascii="Arial" w:hAnsi="Arial" w:cs="Arial"/>
          <w:sz w:val="22"/>
          <w:szCs w:val="22"/>
        </w:rPr>
        <w:t>each in combination) or 10</w:t>
      </w:r>
      <w:r w:rsidRPr="00F1117B">
        <w:rPr>
          <w:rFonts w:ascii="Arial" w:hAnsi="Arial" w:cs="Arial"/>
          <w:sz w:val="22"/>
          <w:szCs w:val="22"/>
          <w:vertAlign w:val="superscript"/>
        </w:rPr>
        <w:t>7</w:t>
      </w:r>
      <w:r w:rsidRPr="00F1117B">
        <w:rPr>
          <w:rFonts w:ascii="Arial" w:hAnsi="Arial" w:cs="Arial"/>
          <w:sz w:val="22"/>
          <w:szCs w:val="22"/>
        </w:rPr>
        <w:t xml:space="preserve"> AdFITC-CAR T-cells followed by i.p. administration of 12.5</w:t>
      </w:r>
      <w:r w:rsidR="00F10C5D">
        <w:rPr>
          <w:rFonts w:ascii="Arial" w:hAnsi="Arial" w:cs="Arial"/>
          <w:sz w:val="22"/>
          <w:szCs w:val="22"/>
        </w:rPr>
        <w:t xml:space="preserve"> </w:t>
      </w:r>
      <w:r w:rsidR="00F10C5D" w:rsidRPr="00F10C5D">
        <w:rPr>
          <w:rFonts w:ascii="Symbol" w:hAnsi="Symbol" w:cs="Arial"/>
          <w:sz w:val="22"/>
          <w:szCs w:val="22"/>
        </w:rPr>
        <w:t></w:t>
      </w:r>
      <w:r w:rsidRPr="00F1117B">
        <w:rPr>
          <w:rFonts w:ascii="Arial" w:hAnsi="Arial" w:cs="Arial"/>
          <w:sz w:val="22"/>
          <w:szCs w:val="22"/>
        </w:rPr>
        <w:t>g CD33 and CD117 Db-FM, alone or in combination, at 12h intervals for three weeks.</w:t>
      </w:r>
    </w:p>
    <w:p w14:paraId="3BD0C816" w14:textId="77777777" w:rsidR="00F3057A" w:rsidRPr="0027032C" w:rsidRDefault="00F3057A" w:rsidP="00F3057A">
      <w:pPr>
        <w:rPr>
          <w:b/>
          <w:bCs/>
        </w:rPr>
      </w:pPr>
    </w:p>
    <w:p w14:paraId="13324036" w14:textId="73F30201" w:rsidR="00F3057A" w:rsidRPr="00C325AE" w:rsidRDefault="00F3057A" w:rsidP="00C325AE">
      <w:pPr>
        <w:spacing w:before="120"/>
        <w:rPr>
          <w:b/>
          <w:bCs/>
        </w:rPr>
      </w:pPr>
    </w:p>
    <w:p w14:paraId="53DF5F34" w14:textId="77777777" w:rsidR="00AF7245" w:rsidRDefault="00AF7245">
      <w:r>
        <w:br w:type="page"/>
      </w:r>
    </w:p>
    <w:p w14:paraId="1C4ED036" w14:textId="66334D86" w:rsidR="00015F74" w:rsidRPr="005F6241" w:rsidRDefault="00015F74" w:rsidP="00B9440A">
      <w:pPr>
        <w:pStyle w:val="SMHeading"/>
        <w:rPr>
          <w:rFonts w:ascii="Arial" w:hAnsi="Arial" w:cs="Arial"/>
        </w:rPr>
      </w:pPr>
      <w:r w:rsidRPr="005F6241">
        <w:rPr>
          <w:rFonts w:ascii="Arial" w:hAnsi="Arial" w:cs="Arial"/>
        </w:rPr>
        <w:lastRenderedPageBreak/>
        <w:t>Table S1.</w:t>
      </w:r>
    </w:p>
    <w:p w14:paraId="242E16FE" w14:textId="254BD35B" w:rsidR="009A5287" w:rsidRDefault="00AF7245" w:rsidP="00477182">
      <w:pPr>
        <w:pStyle w:val="SMcaption"/>
        <w:rPr>
          <w:rFonts w:ascii="Arial" w:eastAsia="Arial" w:hAnsi="Arial" w:cs="Arial"/>
          <w:b/>
          <w:bCs/>
          <w:iCs/>
        </w:rPr>
      </w:pPr>
      <w:r w:rsidRPr="005F6241">
        <w:rPr>
          <w:rFonts w:ascii="Arial" w:eastAsia="Arial" w:hAnsi="Arial" w:cs="Arial"/>
          <w:b/>
          <w:bCs/>
          <w:iCs/>
        </w:rPr>
        <w:t>List of sample/patient characteristics</w:t>
      </w:r>
    </w:p>
    <w:p w14:paraId="7ACB8082" w14:textId="77777777" w:rsidR="005F6241" w:rsidRPr="005F6241" w:rsidRDefault="005F6241" w:rsidP="00477182">
      <w:pPr>
        <w:pStyle w:val="SMcaption"/>
        <w:rPr>
          <w:rFonts w:ascii="Arial" w:eastAsia="Arial" w:hAnsi="Arial" w:cs="Arial"/>
          <w:b/>
          <w:bCs/>
          <w:iCs/>
        </w:rPr>
      </w:pPr>
    </w:p>
    <w:tbl>
      <w:tblPr>
        <w:tblStyle w:val="TableGrid2"/>
        <w:tblW w:w="5382" w:type="pct"/>
        <w:tblInd w:w="-289" w:type="dxa"/>
        <w:tblLayout w:type="fixed"/>
        <w:tblLook w:val="04A0" w:firstRow="1" w:lastRow="0" w:firstColumn="1" w:lastColumn="0" w:noHBand="0" w:noVBand="1"/>
      </w:tblPr>
      <w:tblGrid>
        <w:gridCol w:w="442"/>
        <w:gridCol w:w="527"/>
        <w:gridCol w:w="592"/>
        <w:gridCol w:w="990"/>
        <w:gridCol w:w="1258"/>
        <w:gridCol w:w="1025"/>
        <w:gridCol w:w="3106"/>
        <w:gridCol w:w="2124"/>
      </w:tblGrid>
      <w:tr w:rsidR="00AF7245" w:rsidRPr="005F6241" w14:paraId="3D6DFEA7" w14:textId="77777777" w:rsidTr="005F6241">
        <w:trPr>
          <w:cantSplit/>
          <w:trHeight w:val="283"/>
        </w:trPr>
        <w:tc>
          <w:tcPr>
            <w:tcW w:w="220" w:type="pct"/>
            <w:vAlign w:val="center"/>
          </w:tcPr>
          <w:p w14:paraId="3814A507"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w:t>
            </w:r>
          </w:p>
        </w:tc>
        <w:tc>
          <w:tcPr>
            <w:tcW w:w="262" w:type="pct"/>
            <w:vAlign w:val="center"/>
          </w:tcPr>
          <w:p w14:paraId="0B0BE21A"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Age</w:t>
            </w:r>
          </w:p>
        </w:tc>
        <w:tc>
          <w:tcPr>
            <w:tcW w:w="294" w:type="pct"/>
            <w:vAlign w:val="center"/>
          </w:tcPr>
          <w:p w14:paraId="61EDA9C7"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Sex</w:t>
            </w:r>
          </w:p>
        </w:tc>
        <w:tc>
          <w:tcPr>
            <w:tcW w:w="492" w:type="pct"/>
            <w:vAlign w:val="center"/>
          </w:tcPr>
          <w:p w14:paraId="7597292E"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Diagnosis</w:t>
            </w:r>
          </w:p>
        </w:tc>
        <w:tc>
          <w:tcPr>
            <w:tcW w:w="625" w:type="pct"/>
            <w:vAlign w:val="center"/>
          </w:tcPr>
          <w:p w14:paraId="4313CD83"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Gene mutations</w:t>
            </w:r>
          </w:p>
        </w:tc>
        <w:tc>
          <w:tcPr>
            <w:tcW w:w="509" w:type="pct"/>
            <w:vAlign w:val="center"/>
          </w:tcPr>
          <w:p w14:paraId="69BFE18B"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FISH / aCGH</w:t>
            </w:r>
          </w:p>
        </w:tc>
        <w:tc>
          <w:tcPr>
            <w:tcW w:w="1543" w:type="pct"/>
            <w:vAlign w:val="center"/>
          </w:tcPr>
          <w:p w14:paraId="013C923A" w14:textId="77777777" w:rsidR="00AF7245" w:rsidRPr="005F6241" w:rsidRDefault="00AF7245" w:rsidP="008C60E3">
            <w:pPr>
              <w:rPr>
                <w:rFonts w:ascii="Arial" w:hAnsi="Arial" w:cs="Arial"/>
                <w:b/>
                <w:iCs/>
                <w:sz w:val="16"/>
                <w:szCs w:val="16"/>
              </w:rPr>
            </w:pPr>
            <w:r w:rsidRPr="005F6241">
              <w:rPr>
                <w:rFonts w:ascii="Arial" w:hAnsi="Arial" w:cs="Arial"/>
                <w:b/>
                <w:iCs/>
                <w:sz w:val="16"/>
                <w:szCs w:val="16"/>
              </w:rPr>
              <w:t>Karyotype</w:t>
            </w:r>
          </w:p>
        </w:tc>
        <w:tc>
          <w:tcPr>
            <w:tcW w:w="1055" w:type="pct"/>
          </w:tcPr>
          <w:p w14:paraId="0BC270CC" w14:textId="77777777" w:rsidR="00AF7245" w:rsidRPr="005F6241" w:rsidRDefault="00AF7245" w:rsidP="008C60E3">
            <w:pPr>
              <w:rPr>
                <w:rFonts w:ascii="Arial" w:hAnsi="Arial" w:cs="Arial"/>
                <w:b/>
                <w:iCs/>
                <w:sz w:val="16"/>
                <w:szCs w:val="16"/>
                <w:lang w:val="en-US"/>
              </w:rPr>
            </w:pPr>
            <w:r w:rsidRPr="005F6241">
              <w:rPr>
                <w:rFonts w:ascii="Arial" w:hAnsi="Arial" w:cs="Arial"/>
                <w:b/>
                <w:iCs/>
                <w:sz w:val="16"/>
                <w:szCs w:val="16"/>
                <w:lang w:val="en-US"/>
              </w:rPr>
              <w:t>CD45</w:t>
            </w:r>
            <w:r w:rsidRPr="005F6241">
              <w:rPr>
                <w:rFonts w:ascii="Arial" w:hAnsi="Arial" w:cs="Arial"/>
                <w:b/>
                <w:iCs/>
                <w:sz w:val="16"/>
                <w:szCs w:val="16"/>
                <w:vertAlign w:val="superscript"/>
                <w:lang w:val="en-US"/>
              </w:rPr>
              <w:t>dim</w:t>
            </w:r>
            <w:r w:rsidRPr="005F6241">
              <w:rPr>
                <w:rFonts w:ascii="Arial" w:hAnsi="Arial" w:cs="Arial"/>
                <w:b/>
                <w:iCs/>
                <w:sz w:val="16"/>
                <w:szCs w:val="16"/>
                <w:lang w:val="en-US"/>
              </w:rPr>
              <w:t>SSC</w:t>
            </w:r>
            <w:r w:rsidRPr="005F6241">
              <w:rPr>
                <w:rFonts w:ascii="Arial" w:hAnsi="Arial" w:cs="Arial"/>
                <w:b/>
                <w:iCs/>
                <w:sz w:val="16"/>
                <w:szCs w:val="16"/>
                <w:vertAlign w:val="superscript"/>
                <w:lang w:val="en-US"/>
              </w:rPr>
              <w:t>neg/low</w:t>
            </w:r>
            <w:r w:rsidRPr="005F6241">
              <w:rPr>
                <w:rFonts w:ascii="Arial" w:hAnsi="Arial" w:cs="Arial"/>
                <w:b/>
                <w:iCs/>
                <w:sz w:val="16"/>
                <w:szCs w:val="16"/>
                <w:lang w:val="en-US"/>
              </w:rPr>
              <w:t xml:space="preserve"> (% live cells) upon thawing</w:t>
            </w:r>
          </w:p>
        </w:tc>
      </w:tr>
      <w:tr w:rsidR="00AF7245" w:rsidRPr="005F6241" w14:paraId="6B3E68A6" w14:textId="77777777" w:rsidTr="005F6241">
        <w:trPr>
          <w:cantSplit/>
          <w:trHeight w:val="283"/>
        </w:trPr>
        <w:tc>
          <w:tcPr>
            <w:tcW w:w="220" w:type="pct"/>
            <w:vAlign w:val="center"/>
          </w:tcPr>
          <w:p w14:paraId="3FCF2904" w14:textId="77777777" w:rsidR="00AF7245" w:rsidRPr="005F6241" w:rsidRDefault="00AF7245" w:rsidP="008C60E3">
            <w:pPr>
              <w:rPr>
                <w:rFonts w:ascii="Arial" w:hAnsi="Arial" w:cs="Arial"/>
                <w:iCs/>
                <w:sz w:val="16"/>
                <w:szCs w:val="16"/>
                <w:lang w:val="it-CH"/>
              </w:rPr>
            </w:pPr>
            <w:r w:rsidRPr="005F6241">
              <w:rPr>
                <w:rFonts w:ascii="Arial" w:hAnsi="Arial" w:cs="Arial"/>
                <w:iCs/>
                <w:sz w:val="16"/>
                <w:szCs w:val="16"/>
                <w:lang w:val="it-CH"/>
              </w:rPr>
              <w:t>1</w:t>
            </w:r>
          </w:p>
        </w:tc>
        <w:tc>
          <w:tcPr>
            <w:tcW w:w="262" w:type="pct"/>
            <w:vAlign w:val="center"/>
          </w:tcPr>
          <w:p w14:paraId="0965669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63</w:t>
            </w:r>
          </w:p>
        </w:tc>
        <w:tc>
          <w:tcPr>
            <w:tcW w:w="294" w:type="pct"/>
            <w:vAlign w:val="center"/>
          </w:tcPr>
          <w:p w14:paraId="121E0E3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26143FE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71E363C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Not performed</w:t>
            </w:r>
          </w:p>
        </w:tc>
        <w:tc>
          <w:tcPr>
            <w:tcW w:w="509" w:type="pct"/>
            <w:vAlign w:val="center"/>
          </w:tcPr>
          <w:p w14:paraId="3B78406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n/a</w:t>
            </w:r>
          </w:p>
        </w:tc>
        <w:tc>
          <w:tcPr>
            <w:tcW w:w="1543" w:type="pct"/>
            <w:vAlign w:val="center"/>
          </w:tcPr>
          <w:p w14:paraId="0F4BB1B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47,XY,+13[9]/46,XY[1]</w:t>
            </w:r>
          </w:p>
        </w:tc>
        <w:tc>
          <w:tcPr>
            <w:tcW w:w="1055" w:type="pct"/>
          </w:tcPr>
          <w:p w14:paraId="65EDB4C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96.4</w:t>
            </w:r>
          </w:p>
        </w:tc>
      </w:tr>
      <w:tr w:rsidR="00AF7245" w:rsidRPr="005F6241" w14:paraId="3656E6EB" w14:textId="77777777" w:rsidTr="005F6241">
        <w:trPr>
          <w:cantSplit/>
          <w:trHeight w:val="283"/>
        </w:trPr>
        <w:tc>
          <w:tcPr>
            <w:tcW w:w="220" w:type="pct"/>
            <w:vAlign w:val="center"/>
          </w:tcPr>
          <w:p w14:paraId="5441A76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2</w:t>
            </w:r>
          </w:p>
        </w:tc>
        <w:tc>
          <w:tcPr>
            <w:tcW w:w="262" w:type="pct"/>
            <w:vAlign w:val="center"/>
          </w:tcPr>
          <w:p w14:paraId="75BF36D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63</w:t>
            </w:r>
          </w:p>
        </w:tc>
        <w:tc>
          <w:tcPr>
            <w:tcW w:w="294" w:type="pct"/>
            <w:vAlign w:val="center"/>
          </w:tcPr>
          <w:p w14:paraId="43A7A09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10C8634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7294500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n/a</w:t>
            </w:r>
          </w:p>
        </w:tc>
        <w:tc>
          <w:tcPr>
            <w:tcW w:w="509" w:type="pct"/>
            <w:vAlign w:val="center"/>
          </w:tcPr>
          <w:p w14:paraId="3ECF558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n/a</w:t>
            </w:r>
          </w:p>
        </w:tc>
        <w:tc>
          <w:tcPr>
            <w:tcW w:w="1543" w:type="pct"/>
            <w:vAlign w:val="center"/>
          </w:tcPr>
          <w:p w14:paraId="33117B1B" w14:textId="77777777" w:rsidR="00AF7245" w:rsidRPr="005F6241" w:rsidRDefault="00AF7245" w:rsidP="008C60E3">
            <w:pPr>
              <w:rPr>
                <w:rFonts w:ascii="Arial" w:hAnsi="Arial" w:cs="Arial"/>
                <w:iCs/>
                <w:sz w:val="16"/>
                <w:szCs w:val="16"/>
              </w:rPr>
            </w:pPr>
            <w:r w:rsidRPr="005F6241">
              <w:rPr>
                <w:rFonts w:ascii="Arial" w:hAnsi="Arial" w:cs="Arial"/>
                <w:iCs/>
                <w:sz w:val="16"/>
                <w:szCs w:val="16"/>
                <w:lang w:val="de-DE"/>
              </w:rPr>
              <w:t>42~45,XY,del(3)(p21), ?add(5)(q14).de|(6)(q12q27),add(7)(q11.2), ?add(11)(q23),add(12)(p12), der(12;14)(q10;q10), -13, -16, -17, -18, -20, -21, -22, +1~4mar, inc[cp10]</w:t>
            </w:r>
          </w:p>
        </w:tc>
        <w:tc>
          <w:tcPr>
            <w:tcW w:w="1055" w:type="pct"/>
          </w:tcPr>
          <w:p w14:paraId="40AC8AD5" w14:textId="77777777" w:rsidR="00AF7245" w:rsidRPr="005F6241" w:rsidRDefault="00AF7245" w:rsidP="008C60E3">
            <w:pPr>
              <w:rPr>
                <w:rFonts w:ascii="Arial" w:hAnsi="Arial" w:cs="Arial"/>
                <w:iCs/>
                <w:sz w:val="16"/>
                <w:szCs w:val="16"/>
                <w:lang w:val="de-DE"/>
              </w:rPr>
            </w:pPr>
            <w:r w:rsidRPr="005F6241">
              <w:rPr>
                <w:rFonts w:ascii="Arial" w:hAnsi="Arial" w:cs="Arial"/>
                <w:iCs/>
                <w:sz w:val="16"/>
                <w:szCs w:val="16"/>
                <w:lang w:val="de-DE"/>
              </w:rPr>
              <w:t>94.5</w:t>
            </w:r>
          </w:p>
        </w:tc>
      </w:tr>
      <w:tr w:rsidR="00AF7245" w:rsidRPr="005F6241" w14:paraId="1870207D" w14:textId="77777777" w:rsidTr="005F6241">
        <w:trPr>
          <w:cantSplit/>
          <w:trHeight w:val="283"/>
        </w:trPr>
        <w:tc>
          <w:tcPr>
            <w:tcW w:w="220" w:type="pct"/>
            <w:vAlign w:val="center"/>
          </w:tcPr>
          <w:p w14:paraId="3EE5A18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3</w:t>
            </w:r>
          </w:p>
        </w:tc>
        <w:tc>
          <w:tcPr>
            <w:tcW w:w="262" w:type="pct"/>
            <w:vAlign w:val="center"/>
          </w:tcPr>
          <w:p w14:paraId="0A72C84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30</w:t>
            </w:r>
          </w:p>
        </w:tc>
        <w:tc>
          <w:tcPr>
            <w:tcW w:w="294" w:type="pct"/>
            <w:vAlign w:val="center"/>
          </w:tcPr>
          <w:p w14:paraId="707A3EE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1CCB3DF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3C14184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KIT</w:t>
            </w:r>
          </w:p>
        </w:tc>
        <w:tc>
          <w:tcPr>
            <w:tcW w:w="509" w:type="pct"/>
            <w:vAlign w:val="center"/>
          </w:tcPr>
          <w:p w14:paraId="69F4FBF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inv(16)</w:t>
            </w:r>
          </w:p>
        </w:tc>
        <w:tc>
          <w:tcPr>
            <w:tcW w:w="1543" w:type="pct"/>
            <w:vAlign w:val="center"/>
          </w:tcPr>
          <w:p w14:paraId="7673233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 inv(16)(p13q22)[10/10]</w:t>
            </w:r>
          </w:p>
        </w:tc>
        <w:tc>
          <w:tcPr>
            <w:tcW w:w="1055" w:type="pct"/>
          </w:tcPr>
          <w:p w14:paraId="3A1A27A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94.1</w:t>
            </w:r>
          </w:p>
        </w:tc>
      </w:tr>
      <w:tr w:rsidR="00AF7245" w:rsidRPr="005F6241" w14:paraId="6E26C844" w14:textId="77777777" w:rsidTr="005F6241">
        <w:trPr>
          <w:cantSplit/>
          <w:trHeight w:val="283"/>
        </w:trPr>
        <w:tc>
          <w:tcPr>
            <w:tcW w:w="220" w:type="pct"/>
            <w:vAlign w:val="center"/>
          </w:tcPr>
          <w:p w14:paraId="209B27B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w:t>
            </w:r>
          </w:p>
        </w:tc>
        <w:tc>
          <w:tcPr>
            <w:tcW w:w="262" w:type="pct"/>
            <w:vAlign w:val="center"/>
          </w:tcPr>
          <w:p w14:paraId="7B4E6154"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31</w:t>
            </w:r>
          </w:p>
        </w:tc>
        <w:tc>
          <w:tcPr>
            <w:tcW w:w="294" w:type="pct"/>
            <w:vAlign w:val="center"/>
          </w:tcPr>
          <w:p w14:paraId="08F8BDE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499A912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Therapy asso. AML</w:t>
            </w:r>
          </w:p>
        </w:tc>
        <w:tc>
          <w:tcPr>
            <w:tcW w:w="625" w:type="pct"/>
            <w:vAlign w:val="center"/>
          </w:tcPr>
          <w:p w14:paraId="49BF422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FLT3, NRAS, KRAS</w:t>
            </w:r>
          </w:p>
        </w:tc>
        <w:tc>
          <w:tcPr>
            <w:tcW w:w="509" w:type="pct"/>
            <w:vAlign w:val="center"/>
          </w:tcPr>
          <w:p w14:paraId="4959F33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11q cnLOH</w:t>
            </w:r>
          </w:p>
        </w:tc>
        <w:tc>
          <w:tcPr>
            <w:tcW w:w="1543" w:type="pct"/>
            <w:vAlign w:val="center"/>
          </w:tcPr>
          <w:p w14:paraId="1AD35F8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 [20/20]</w:t>
            </w:r>
          </w:p>
        </w:tc>
        <w:tc>
          <w:tcPr>
            <w:tcW w:w="1055" w:type="pct"/>
          </w:tcPr>
          <w:p w14:paraId="3A05089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89.4</w:t>
            </w:r>
          </w:p>
        </w:tc>
      </w:tr>
      <w:tr w:rsidR="00AF7245" w:rsidRPr="005F6241" w14:paraId="599BB2B1" w14:textId="77777777" w:rsidTr="005F6241">
        <w:trPr>
          <w:cantSplit/>
          <w:trHeight w:val="283"/>
        </w:trPr>
        <w:tc>
          <w:tcPr>
            <w:tcW w:w="220" w:type="pct"/>
            <w:vAlign w:val="center"/>
          </w:tcPr>
          <w:p w14:paraId="60DDC2E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w:t>
            </w:r>
          </w:p>
        </w:tc>
        <w:tc>
          <w:tcPr>
            <w:tcW w:w="262" w:type="pct"/>
            <w:vAlign w:val="center"/>
          </w:tcPr>
          <w:p w14:paraId="3689F40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65</w:t>
            </w:r>
          </w:p>
        </w:tc>
        <w:tc>
          <w:tcPr>
            <w:tcW w:w="294" w:type="pct"/>
            <w:vAlign w:val="center"/>
          </w:tcPr>
          <w:p w14:paraId="6564670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57D2066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2F4CB5D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ASXL1, IDH2, DNMT3A</w:t>
            </w:r>
          </w:p>
        </w:tc>
        <w:tc>
          <w:tcPr>
            <w:tcW w:w="509" w:type="pct"/>
            <w:vAlign w:val="center"/>
          </w:tcPr>
          <w:p w14:paraId="2CE824A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60D34C6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47,XY,+8[11]</w:t>
            </w:r>
          </w:p>
        </w:tc>
        <w:tc>
          <w:tcPr>
            <w:tcW w:w="1055" w:type="pct"/>
          </w:tcPr>
          <w:p w14:paraId="2526B93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89.6</w:t>
            </w:r>
          </w:p>
        </w:tc>
      </w:tr>
      <w:tr w:rsidR="00AF7245" w:rsidRPr="005F6241" w14:paraId="10DACC35" w14:textId="77777777" w:rsidTr="005F6241">
        <w:trPr>
          <w:cantSplit/>
          <w:trHeight w:val="283"/>
        </w:trPr>
        <w:tc>
          <w:tcPr>
            <w:tcW w:w="220" w:type="pct"/>
            <w:vAlign w:val="center"/>
          </w:tcPr>
          <w:p w14:paraId="45230FF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6</w:t>
            </w:r>
          </w:p>
        </w:tc>
        <w:tc>
          <w:tcPr>
            <w:tcW w:w="262" w:type="pct"/>
            <w:vAlign w:val="center"/>
          </w:tcPr>
          <w:p w14:paraId="6D290EA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23</w:t>
            </w:r>
          </w:p>
        </w:tc>
        <w:tc>
          <w:tcPr>
            <w:tcW w:w="294" w:type="pct"/>
            <w:vAlign w:val="center"/>
          </w:tcPr>
          <w:p w14:paraId="5B245A9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1CB4FE3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668890B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TP53</w:t>
            </w:r>
          </w:p>
        </w:tc>
        <w:tc>
          <w:tcPr>
            <w:tcW w:w="509" w:type="pct"/>
            <w:vAlign w:val="center"/>
          </w:tcPr>
          <w:p w14:paraId="202594E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5CCF220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44-55.X,|(Y)(q10),der(5)t(5:17)(q12,q21),der(7:18)(q11.2:q12),-8,der(8)t(8,15)(q2?3:q21),-9, add(12)(p12)mm5m6m7m8ner(21)t(18:21)(q22:q22),"3-13mar,lnc[cp12]</w:t>
            </w:r>
          </w:p>
        </w:tc>
        <w:tc>
          <w:tcPr>
            <w:tcW w:w="1055" w:type="pct"/>
          </w:tcPr>
          <w:p w14:paraId="1158A5B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97.8</w:t>
            </w:r>
          </w:p>
        </w:tc>
      </w:tr>
      <w:tr w:rsidR="00AF7245" w:rsidRPr="005F6241" w14:paraId="34F45F56" w14:textId="77777777" w:rsidTr="005F6241">
        <w:trPr>
          <w:cantSplit/>
          <w:trHeight w:val="283"/>
        </w:trPr>
        <w:tc>
          <w:tcPr>
            <w:tcW w:w="220" w:type="pct"/>
            <w:vAlign w:val="center"/>
          </w:tcPr>
          <w:p w14:paraId="34D8B57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7</w:t>
            </w:r>
          </w:p>
        </w:tc>
        <w:tc>
          <w:tcPr>
            <w:tcW w:w="262" w:type="pct"/>
            <w:vAlign w:val="center"/>
          </w:tcPr>
          <w:p w14:paraId="78B76B0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45</w:t>
            </w:r>
          </w:p>
        </w:tc>
        <w:tc>
          <w:tcPr>
            <w:tcW w:w="294" w:type="pct"/>
            <w:vAlign w:val="center"/>
          </w:tcPr>
          <w:p w14:paraId="2F90E31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646518E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157992E4"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NPM1A, NRAS</w:t>
            </w:r>
          </w:p>
        </w:tc>
        <w:tc>
          <w:tcPr>
            <w:tcW w:w="509" w:type="pct"/>
            <w:vAlign w:val="center"/>
          </w:tcPr>
          <w:p w14:paraId="7404EC0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7BE0838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46,XY[20]</w:t>
            </w:r>
          </w:p>
        </w:tc>
        <w:tc>
          <w:tcPr>
            <w:tcW w:w="1055" w:type="pct"/>
          </w:tcPr>
          <w:p w14:paraId="6F2336A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97.5</w:t>
            </w:r>
          </w:p>
        </w:tc>
      </w:tr>
      <w:tr w:rsidR="00AF7245" w:rsidRPr="005F6241" w14:paraId="4AE3EA2E" w14:textId="77777777" w:rsidTr="005F6241">
        <w:trPr>
          <w:cantSplit/>
          <w:trHeight w:val="283"/>
        </w:trPr>
        <w:tc>
          <w:tcPr>
            <w:tcW w:w="220" w:type="pct"/>
            <w:vAlign w:val="center"/>
          </w:tcPr>
          <w:p w14:paraId="1DFA48C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8</w:t>
            </w:r>
          </w:p>
        </w:tc>
        <w:tc>
          <w:tcPr>
            <w:tcW w:w="262" w:type="pct"/>
            <w:vAlign w:val="center"/>
          </w:tcPr>
          <w:p w14:paraId="25C6A84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54</w:t>
            </w:r>
          </w:p>
        </w:tc>
        <w:tc>
          <w:tcPr>
            <w:tcW w:w="294" w:type="pct"/>
            <w:vAlign w:val="center"/>
          </w:tcPr>
          <w:p w14:paraId="513359A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w:t>
            </w:r>
          </w:p>
        </w:tc>
        <w:tc>
          <w:tcPr>
            <w:tcW w:w="492" w:type="pct"/>
            <w:vAlign w:val="center"/>
          </w:tcPr>
          <w:p w14:paraId="3A043B8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MDS-EB2</w:t>
            </w:r>
          </w:p>
        </w:tc>
        <w:tc>
          <w:tcPr>
            <w:tcW w:w="625" w:type="pct"/>
            <w:vAlign w:val="center"/>
          </w:tcPr>
          <w:p w14:paraId="4F6CA9A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CBL, WT1, SF3B1</w:t>
            </w:r>
          </w:p>
        </w:tc>
        <w:tc>
          <w:tcPr>
            <w:tcW w:w="509" w:type="pct"/>
            <w:vAlign w:val="center"/>
          </w:tcPr>
          <w:p w14:paraId="16B5059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n/a</w:t>
            </w:r>
          </w:p>
        </w:tc>
        <w:tc>
          <w:tcPr>
            <w:tcW w:w="1543" w:type="pct"/>
            <w:vAlign w:val="center"/>
          </w:tcPr>
          <w:p w14:paraId="39A46C37" w14:textId="77777777" w:rsidR="00AF7245" w:rsidRPr="005F6241" w:rsidRDefault="00AF7245" w:rsidP="008C60E3">
            <w:pPr>
              <w:rPr>
                <w:rFonts w:ascii="Arial" w:hAnsi="Arial" w:cs="Arial"/>
                <w:iCs/>
                <w:sz w:val="16"/>
                <w:szCs w:val="16"/>
                <w:lang w:val="it-IT"/>
              </w:rPr>
            </w:pPr>
            <w:r w:rsidRPr="005F6241">
              <w:rPr>
                <w:rFonts w:ascii="Arial" w:hAnsi="Arial" w:cs="Arial"/>
                <w:iCs/>
                <w:sz w:val="16"/>
                <w:szCs w:val="16"/>
                <w:lang w:val="it-IT"/>
              </w:rPr>
              <w:t>46,XX,inv(3)(q21q26),del(7)(p1?2)[cp3]/46,XX[19]</w:t>
            </w:r>
          </w:p>
        </w:tc>
        <w:tc>
          <w:tcPr>
            <w:tcW w:w="1055" w:type="pct"/>
          </w:tcPr>
          <w:p w14:paraId="73D84535" w14:textId="77777777" w:rsidR="00AF7245" w:rsidRPr="005F6241" w:rsidRDefault="00AF7245" w:rsidP="008C60E3">
            <w:pPr>
              <w:rPr>
                <w:rFonts w:ascii="Arial" w:hAnsi="Arial" w:cs="Arial"/>
                <w:iCs/>
                <w:sz w:val="16"/>
                <w:szCs w:val="16"/>
                <w:lang w:val="it-IT"/>
              </w:rPr>
            </w:pPr>
            <w:r w:rsidRPr="005F6241">
              <w:rPr>
                <w:rFonts w:ascii="Arial" w:hAnsi="Arial" w:cs="Arial"/>
                <w:iCs/>
                <w:sz w:val="16"/>
                <w:szCs w:val="16"/>
                <w:lang w:val="it-IT"/>
              </w:rPr>
              <w:t>23.2</w:t>
            </w:r>
          </w:p>
        </w:tc>
      </w:tr>
      <w:tr w:rsidR="00AF7245" w:rsidRPr="005F6241" w14:paraId="56DE1B92" w14:textId="77777777" w:rsidTr="005F6241">
        <w:trPr>
          <w:cantSplit/>
          <w:trHeight w:val="283"/>
        </w:trPr>
        <w:tc>
          <w:tcPr>
            <w:tcW w:w="220" w:type="pct"/>
            <w:vAlign w:val="center"/>
          </w:tcPr>
          <w:p w14:paraId="249BBE27" w14:textId="77777777" w:rsidR="00AF7245" w:rsidRPr="005F6241" w:rsidRDefault="00AF7245" w:rsidP="008C60E3">
            <w:pPr>
              <w:rPr>
                <w:rFonts w:ascii="Arial" w:hAnsi="Arial" w:cs="Arial"/>
                <w:iCs/>
                <w:sz w:val="16"/>
                <w:szCs w:val="16"/>
                <w:lang w:val="it-CH"/>
              </w:rPr>
            </w:pPr>
            <w:r w:rsidRPr="005F6241">
              <w:rPr>
                <w:rFonts w:ascii="Arial" w:hAnsi="Arial" w:cs="Arial"/>
                <w:iCs/>
                <w:sz w:val="16"/>
                <w:szCs w:val="16"/>
                <w:lang w:val="it-CH"/>
              </w:rPr>
              <w:t>9</w:t>
            </w:r>
          </w:p>
        </w:tc>
        <w:tc>
          <w:tcPr>
            <w:tcW w:w="262" w:type="pct"/>
            <w:vAlign w:val="center"/>
          </w:tcPr>
          <w:p w14:paraId="05DAB70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49</w:t>
            </w:r>
          </w:p>
        </w:tc>
        <w:tc>
          <w:tcPr>
            <w:tcW w:w="294" w:type="pct"/>
            <w:vAlign w:val="center"/>
          </w:tcPr>
          <w:p w14:paraId="32AC981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22531FD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MDS-EB2</w:t>
            </w:r>
          </w:p>
        </w:tc>
        <w:tc>
          <w:tcPr>
            <w:tcW w:w="625" w:type="pct"/>
            <w:vAlign w:val="center"/>
          </w:tcPr>
          <w:p w14:paraId="69FA510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NPM1A, DNMT3A</w:t>
            </w:r>
          </w:p>
        </w:tc>
        <w:tc>
          <w:tcPr>
            <w:tcW w:w="509" w:type="pct"/>
            <w:vAlign w:val="center"/>
          </w:tcPr>
          <w:p w14:paraId="4302668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4E24611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XY[20]</w:t>
            </w:r>
          </w:p>
        </w:tc>
        <w:tc>
          <w:tcPr>
            <w:tcW w:w="1055" w:type="pct"/>
          </w:tcPr>
          <w:p w14:paraId="64ACDE6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21.2</w:t>
            </w:r>
          </w:p>
        </w:tc>
      </w:tr>
      <w:tr w:rsidR="00AF7245" w:rsidRPr="005F6241" w14:paraId="213649C1" w14:textId="77777777" w:rsidTr="005F6241">
        <w:trPr>
          <w:cantSplit/>
          <w:trHeight w:val="283"/>
        </w:trPr>
        <w:tc>
          <w:tcPr>
            <w:tcW w:w="220" w:type="pct"/>
            <w:vAlign w:val="center"/>
          </w:tcPr>
          <w:p w14:paraId="21D4825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10</w:t>
            </w:r>
          </w:p>
        </w:tc>
        <w:tc>
          <w:tcPr>
            <w:tcW w:w="262" w:type="pct"/>
            <w:vAlign w:val="center"/>
          </w:tcPr>
          <w:p w14:paraId="7097FB7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49</w:t>
            </w:r>
          </w:p>
        </w:tc>
        <w:tc>
          <w:tcPr>
            <w:tcW w:w="294" w:type="pct"/>
            <w:vAlign w:val="center"/>
          </w:tcPr>
          <w:p w14:paraId="1197249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w:t>
            </w:r>
          </w:p>
        </w:tc>
        <w:tc>
          <w:tcPr>
            <w:tcW w:w="492" w:type="pct"/>
            <w:vAlign w:val="center"/>
          </w:tcPr>
          <w:p w14:paraId="6E63108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697D6E1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NPM1A, IDH1, PTPN11</w:t>
            </w:r>
          </w:p>
        </w:tc>
        <w:tc>
          <w:tcPr>
            <w:tcW w:w="509" w:type="pct"/>
            <w:vAlign w:val="center"/>
          </w:tcPr>
          <w:p w14:paraId="0BF670E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08563F5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XX[20]</w:t>
            </w:r>
          </w:p>
        </w:tc>
        <w:tc>
          <w:tcPr>
            <w:tcW w:w="1055" w:type="pct"/>
          </w:tcPr>
          <w:p w14:paraId="6FC9866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97.3</w:t>
            </w:r>
          </w:p>
        </w:tc>
      </w:tr>
      <w:tr w:rsidR="00AF7245" w:rsidRPr="005F6241" w14:paraId="48787B1C" w14:textId="77777777" w:rsidTr="005F6241">
        <w:trPr>
          <w:cantSplit/>
          <w:trHeight w:val="283"/>
        </w:trPr>
        <w:tc>
          <w:tcPr>
            <w:tcW w:w="220" w:type="pct"/>
            <w:vAlign w:val="center"/>
          </w:tcPr>
          <w:p w14:paraId="3AB8424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11</w:t>
            </w:r>
          </w:p>
        </w:tc>
        <w:tc>
          <w:tcPr>
            <w:tcW w:w="262" w:type="pct"/>
            <w:vAlign w:val="center"/>
          </w:tcPr>
          <w:p w14:paraId="49D2D35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55</w:t>
            </w:r>
          </w:p>
        </w:tc>
        <w:tc>
          <w:tcPr>
            <w:tcW w:w="294" w:type="pct"/>
            <w:vAlign w:val="center"/>
          </w:tcPr>
          <w:p w14:paraId="38018F2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2EDCFAD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6E90151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KIT</w:t>
            </w:r>
          </w:p>
        </w:tc>
        <w:tc>
          <w:tcPr>
            <w:tcW w:w="509" w:type="pct"/>
            <w:vAlign w:val="center"/>
          </w:tcPr>
          <w:p w14:paraId="288637C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RUNX1-RUNX1T1</w:t>
            </w:r>
          </w:p>
        </w:tc>
        <w:tc>
          <w:tcPr>
            <w:tcW w:w="1543" w:type="pct"/>
            <w:vAlign w:val="center"/>
          </w:tcPr>
          <w:p w14:paraId="4015884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45,X,-Y,t(8;21)(q22;q22)[10]</w:t>
            </w:r>
          </w:p>
        </w:tc>
        <w:tc>
          <w:tcPr>
            <w:tcW w:w="1055" w:type="pct"/>
          </w:tcPr>
          <w:p w14:paraId="151B0416" w14:textId="77777777" w:rsidR="00AF7245" w:rsidRPr="005F6241" w:rsidRDefault="00AF7245" w:rsidP="008C60E3">
            <w:pPr>
              <w:rPr>
                <w:rFonts w:ascii="Arial" w:hAnsi="Arial" w:cs="Arial"/>
                <w:iCs/>
                <w:sz w:val="16"/>
                <w:szCs w:val="16"/>
                <w:highlight w:val="yellow"/>
              </w:rPr>
            </w:pPr>
            <w:r w:rsidRPr="005F6241">
              <w:rPr>
                <w:rFonts w:ascii="Arial" w:hAnsi="Arial" w:cs="Arial"/>
                <w:iCs/>
                <w:sz w:val="16"/>
                <w:szCs w:val="16"/>
              </w:rPr>
              <w:t>16.5</w:t>
            </w:r>
          </w:p>
        </w:tc>
      </w:tr>
      <w:tr w:rsidR="00AF7245" w:rsidRPr="005F6241" w14:paraId="2DDA4622" w14:textId="77777777" w:rsidTr="005F6241">
        <w:trPr>
          <w:cantSplit/>
          <w:trHeight w:val="283"/>
        </w:trPr>
        <w:tc>
          <w:tcPr>
            <w:tcW w:w="220" w:type="pct"/>
            <w:vAlign w:val="center"/>
          </w:tcPr>
          <w:p w14:paraId="5117C71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12</w:t>
            </w:r>
          </w:p>
        </w:tc>
        <w:tc>
          <w:tcPr>
            <w:tcW w:w="262" w:type="pct"/>
            <w:vAlign w:val="center"/>
          </w:tcPr>
          <w:p w14:paraId="183CFEF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70</w:t>
            </w:r>
          </w:p>
        </w:tc>
        <w:tc>
          <w:tcPr>
            <w:tcW w:w="294" w:type="pct"/>
            <w:vAlign w:val="center"/>
          </w:tcPr>
          <w:p w14:paraId="770D319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5035AB4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 (post CMML)</w:t>
            </w:r>
          </w:p>
        </w:tc>
        <w:tc>
          <w:tcPr>
            <w:tcW w:w="625" w:type="pct"/>
            <w:vAlign w:val="center"/>
          </w:tcPr>
          <w:p w14:paraId="35F9A3A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n/a</w:t>
            </w:r>
          </w:p>
        </w:tc>
        <w:tc>
          <w:tcPr>
            <w:tcW w:w="509" w:type="pct"/>
            <w:vAlign w:val="center"/>
          </w:tcPr>
          <w:p w14:paraId="45073E9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+21q</w:t>
            </w:r>
          </w:p>
        </w:tc>
        <w:tc>
          <w:tcPr>
            <w:tcW w:w="1543" w:type="pct"/>
            <w:vAlign w:val="center"/>
          </w:tcPr>
          <w:p w14:paraId="41F8FE4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 idic(21)(q22.3)[20]</w:t>
            </w:r>
          </w:p>
        </w:tc>
        <w:tc>
          <w:tcPr>
            <w:tcW w:w="1055" w:type="pct"/>
          </w:tcPr>
          <w:p w14:paraId="0840827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94.8</w:t>
            </w:r>
          </w:p>
        </w:tc>
      </w:tr>
      <w:tr w:rsidR="00AF7245" w:rsidRPr="005F6241" w14:paraId="56F9361B" w14:textId="77777777" w:rsidTr="005F6241">
        <w:trPr>
          <w:cantSplit/>
          <w:trHeight w:val="283"/>
        </w:trPr>
        <w:tc>
          <w:tcPr>
            <w:tcW w:w="220" w:type="pct"/>
            <w:vAlign w:val="center"/>
          </w:tcPr>
          <w:p w14:paraId="29C1489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13</w:t>
            </w:r>
          </w:p>
        </w:tc>
        <w:tc>
          <w:tcPr>
            <w:tcW w:w="262" w:type="pct"/>
            <w:vAlign w:val="center"/>
          </w:tcPr>
          <w:p w14:paraId="770A923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30</w:t>
            </w:r>
          </w:p>
        </w:tc>
        <w:tc>
          <w:tcPr>
            <w:tcW w:w="294" w:type="pct"/>
            <w:vAlign w:val="center"/>
          </w:tcPr>
          <w:p w14:paraId="6B97F4C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3F96B4D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13A44C4A"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CEBPA, KIT, NRAS</w:t>
            </w:r>
          </w:p>
        </w:tc>
        <w:tc>
          <w:tcPr>
            <w:tcW w:w="509" w:type="pct"/>
            <w:vAlign w:val="center"/>
          </w:tcPr>
          <w:p w14:paraId="210F5E7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65A8D6A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46,XY</w:t>
            </w:r>
          </w:p>
        </w:tc>
        <w:tc>
          <w:tcPr>
            <w:tcW w:w="1055" w:type="pct"/>
          </w:tcPr>
          <w:p w14:paraId="1940689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7.58</w:t>
            </w:r>
          </w:p>
        </w:tc>
      </w:tr>
      <w:tr w:rsidR="00AF7245" w:rsidRPr="005F6241" w14:paraId="1A88F756" w14:textId="77777777" w:rsidTr="005F6241">
        <w:trPr>
          <w:cantSplit/>
          <w:trHeight w:val="283"/>
        </w:trPr>
        <w:tc>
          <w:tcPr>
            <w:tcW w:w="220" w:type="pct"/>
            <w:vAlign w:val="center"/>
          </w:tcPr>
          <w:p w14:paraId="319D8E1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14</w:t>
            </w:r>
          </w:p>
        </w:tc>
        <w:tc>
          <w:tcPr>
            <w:tcW w:w="262" w:type="pct"/>
            <w:vAlign w:val="center"/>
          </w:tcPr>
          <w:p w14:paraId="045FD70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56</w:t>
            </w:r>
          </w:p>
        </w:tc>
        <w:tc>
          <w:tcPr>
            <w:tcW w:w="294" w:type="pct"/>
            <w:vAlign w:val="center"/>
          </w:tcPr>
          <w:p w14:paraId="6BC7F70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w:t>
            </w:r>
          </w:p>
        </w:tc>
        <w:tc>
          <w:tcPr>
            <w:tcW w:w="492" w:type="pct"/>
            <w:vAlign w:val="center"/>
          </w:tcPr>
          <w:p w14:paraId="715C0A0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72F98395" w14:textId="77777777" w:rsidR="00AF7245" w:rsidRPr="005F6241" w:rsidRDefault="00AF7245" w:rsidP="008C60E3">
            <w:pPr>
              <w:rPr>
                <w:rFonts w:ascii="Arial" w:hAnsi="Arial" w:cs="Arial"/>
                <w:iCs/>
                <w:sz w:val="16"/>
                <w:szCs w:val="16"/>
                <w:lang w:val="en-US"/>
              </w:rPr>
            </w:pPr>
            <w:r w:rsidRPr="005F6241">
              <w:rPr>
                <w:rFonts w:ascii="Arial" w:hAnsi="Arial" w:cs="Arial"/>
                <w:iCs/>
                <w:sz w:val="16"/>
                <w:szCs w:val="16"/>
                <w:lang w:val="en-US"/>
              </w:rPr>
              <w:t>NPM1A, FLT3-ITD, DNMT3A, RAD21</w:t>
            </w:r>
          </w:p>
        </w:tc>
        <w:tc>
          <w:tcPr>
            <w:tcW w:w="509" w:type="pct"/>
            <w:vAlign w:val="center"/>
          </w:tcPr>
          <w:p w14:paraId="6939F19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6EF762C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XX</w:t>
            </w:r>
          </w:p>
        </w:tc>
        <w:tc>
          <w:tcPr>
            <w:tcW w:w="1055" w:type="pct"/>
          </w:tcPr>
          <w:p w14:paraId="2394B24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95.2</w:t>
            </w:r>
          </w:p>
        </w:tc>
      </w:tr>
      <w:tr w:rsidR="00AF7245" w:rsidRPr="005F6241" w14:paraId="2FE05E82" w14:textId="77777777" w:rsidTr="005F6241">
        <w:trPr>
          <w:cantSplit/>
          <w:trHeight w:val="283"/>
        </w:trPr>
        <w:tc>
          <w:tcPr>
            <w:tcW w:w="220" w:type="pct"/>
            <w:vAlign w:val="center"/>
          </w:tcPr>
          <w:p w14:paraId="13855D0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15</w:t>
            </w:r>
          </w:p>
        </w:tc>
        <w:tc>
          <w:tcPr>
            <w:tcW w:w="262" w:type="pct"/>
            <w:vAlign w:val="center"/>
          </w:tcPr>
          <w:p w14:paraId="7E4EDDF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56</w:t>
            </w:r>
          </w:p>
        </w:tc>
        <w:tc>
          <w:tcPr>
            <w:tcW w:w="294" w:type="pct"/>
            <w:vAlign w:val="center"/>
          </w:tcPr>
          <w:p w14:paraId="32A703D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4C4AE2D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 (post CMML)</w:t>
            </w:r>
          </w:p>
        </w:tc>
        <w:tc>
          <w:tcPr>
            <w:tcW w:w="625" w:type="pct"/>
            <w:vAlign w:val="center"/>
          </w:tcPr>
          <w:p w14:paraId="6FEC16A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SRSF2</w:t>
            </w:r>
          </w:p>
        </w:tc>
        <w:tc>
          <w:tcPr>
            <w:tcW w:w="509" w:type="pct"/>
            <w:vAlign w:val="center"/>
          </w:tcPr>
          <w:p w14:paraId="4F2D3338"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1412DA9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w:t>
            </w:r>
          </w:p>
        </w:tc>
        <w:tc>
          <w:tcPr>
            <w:tcW w:w="1055" w:type="pct"/>
          </w:tcPr>
          <w:p w14:paraId="325988C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88.9</w:t>
            </w:r>
          </w:p>
        </w:tc>
      </w:tr>
      <w:tr w:rsidR="00AF7245" w:rsidRPr="005F6241" w14:paraId="32B738E3" w14:textId="77777777" w:rsidTr="005F6241">
        <w:trPr>
          <w:cantSplit/>
          <w:trHeight w:val="283"/>
        </w:trPr>
        <w:tc>
          <w:tcPr>
            <w:tcW w:w="220" w:type="pct"/>
            <w:vAlign w:val="center"/>
          </w:tcPr>
          <w:p w14:paraId="4D96678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16</w:t>
            </w:r>
          </w:p>
        </w:tc>
        <w:tc>
          <w:tcPr>
            <w:tcW w:w="262" w:type="pct"/>
            <w:vAlign w:val="center"/>
          </w:tcPr>
          <w:p w14:paraId="1E0DCE9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77</w:t>
            </w:r>
          </w:p>
        </w:tc>
        <w:tc>
          <w:tcPr>
            <w:tcW w:w="294" w:type="pct"/>
            <w:vAlign w:val="center"/>
          </w:tcPr>
          <w:p w14:paraId="12BBC4C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4878260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44570B45"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ZRSR2, CEBPA, TET2</w:t>
            </w:r>
          </w:p>
        </w:tc>
        <w:tc>
          <w:tcPr>
            <w:tcW w:w="509" w:type="pct"/>
            <w:vAlign w:val="center"/>
          </w:tcPr>
          <w:p w14:paraId="5A58292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032FF49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47,XY,+19[5]/46,XY[15]</w:t>
            </w:r>
          </w:p>
        </w:tc>
        <w:tc>
          <w:tcPr>
            <w:tcW w:w="1055" w:type="pct"/>
          </w:tcPr>
          <w:p w14:paraId="61C737D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62.4</w:t>
            </w:r>
          </w:p>
        </w:tc>
      </w:tr>
      <w:tr w:rsidR="00AF7245" w:rsidRPr="005F6241" w14:paraId="1BEE3DD8" w14:textId="77777777" w:rsidTr="005F6241">
        <w:trPr>
          <w:cantSplit/>
          <w:trHeight w:val="283"/>
        </w:trPr>
        <w:tc>
          <w:tcPr>
            <w:tcW w:w="220" w:type="pct"/>
            <w:vAlign w:val="center"/>
          </w:tcPr>
          <w:p w14:paraId="3A0E22E6"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17</w:t>
            </w:r>
          </w:p>
        </w:tc>
        <w:tc>
          <w:tcPr>
            <w:tcW w:w="262" w:type="pct"/>
            <w:vAlign w:val="center"/>
          </w:tcPr>
          <w:p w14:paraId="4B5DA181"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76</w:t>
            </w:r>
          </w:p>
        </w:tc>
        <w:tc>
          <w:tcPr>
            <w:tcW w:w="294" w:type="pct"/>
            <w:vAlign w:val="center"/>
          </w:tcPr>
          <w:p w14:paraId="6209A46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w:t>
            </w:r>
          </w:p>
        </w:tc>
        <w:tc>
          <w:tcPr>
            <w:tcW w:w="492" w:type="pct"/>
            <w:vAlign w:val="center"/>
          </w:tcPr>
          <w:p w14:paraId="26F6169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 xml:space="preserve">AML </w:t>
            </w:r>
          </w:p>
        </w:tc>
        <w:tc>
          <w:tcPr>
            <w:tcW w:w="625" w:type="pct"/>
            <w:vAlign w:val="center"/>
          </w:tcPr>
          <w:p w14:paraId="49CE21C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NPM1A, FLT3-ITD, DNMT3A</w:t>
            </w:r>
          </w:p>
        </w:tc>
        <w:tc>
          <w:tcPr>
            <w:tcW w:w="509" w:type="pct"/>
            <w:vAlign w:val="center"/>
          </w:tcPr>
          <w:p w14:paraId="03F3D274"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3BDD4DDC"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XX</w:t>
            </w:r>
          </w:p>
        </w:tc>
        <w:tc>
          <w:tcPr>
            <w:tcW w:w="1055" w:type="pct"/>
          </w:tcPr>
          <w:p w14:paraId="3400C0B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94.5</w:t>
            </w:r>
          </w:p>
        </w:tc>
      </w:tr>
      <w:tr w:rsidR="00AF7245" w:rsidRPr="005F6241" w14:paraId="321685F8" w14:textId="77777777" w:rsidTr="005F6241">
        <w:trPr>
          <w:cantSplit/>
          <w:trHeight w:val="283"/>
        </w:trPr>
        <w:tc>
          <w:tcPr>
            <w:tcW w:w="220" w:type="pct"/>
            <w:vAlign w:val="center"/>
          </w:tcPr>
          <w:p w14:paraId="1DC749A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18</w:t>
            </w:r>
          </w:p>
        </w:tc>
        <w:tc>
          <w:tcPr>
            <w:tcW w:w="262" w:type="pct"/>
            <w:vAlign w:val="center"/>
          </w:tcPr>
          <w:p w14:paraId="01608E3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49</w:t>
            </w:r>
          </w:p>
        </w:tc>
        <w:tc>
          <w:tcPr>
            <w:tcW w:w="294" w:type="pct"/>
            <w:vAlign w:val="center"/>
          </w:tcPr>
          <w:p w14:paraId="703D917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M</w:t>
            </w:r>
          </w:p>
        </w:tc>
        <w:tc>
          <w:tcPr>
            <w:tcW w:w="492" w:type="pct"/>
            <w:vAlign w:val="center"/>
          </w:tcPr>
          <w:p w14:paraId="0501DA13"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3317BC22"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WT1, CEBPA</w:t>
            </w:r>
          </w:p>
        </w:tc>
        <w:tc>
          <w:tcPr>
            <w:tcW w:w="509" w:type="pct"/>
            <w:vAlign w:val="center"/>
          </w:tcPr>
          <w:p w14:paraId="309924CB"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none</w:t>
            </w:r>
          </w:p>
        </w:tc>
        <w:tc>
          <w:tcPr>
            <w:tcW w:w="1543" w:type="pct"/>
            <w:vAlign w:val="center"/>
          </w:tcPr>
          <w:p w14:paraId="7E253B50"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46, XY[20]</w:t>
            </w:r>
          </w:p>
        </w:tc>
        <w:tc>
          <w:tcPr>
            <w:tcW w:w="1055" w:type="pct"/>
          </w:tcPr>
          <w:p w14:paraId="75615569"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93.1-95.9</w:t>
            </w:r>
          </w:p>
        </w:tc>
      </w:tr>
      <w:tr w:rsidR="00AF7245" w:rsidRPr="005F6241" w14:paraId="0BA4B29B" w14:textId="77777777" w:rsidTr="005F6241">
        <w:trPr>
          <w:cantSplit/>
          <w:trHeight w:val="283"/>
        </w:trPr>
        <w:tc>
          <w:tcPr>
            <w:tcW w:w="220" w:type="pct"/>
            <w:vAlign w:val="center"/>
          </w:tcPr>
          <w:p w14:paraId="251E596E"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19</w:t>
            </w:r>
          </w:p>
        </w:tc>
        <w:tc>
          <w:tcPr>
            <w:tcW w:w="262" w:type="pct"/>
            <w:vAlign w:val="center"/>
          </w:tcPr>
          <w:p w14:paraId="18599EBD"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54</w:t>
            </w:r>
          </w:p>
        </w:tc>
        <w:tc>
          <w:tcPr>
            <w:tcW w:w="294" w:type="pct"/>
            <w:vAlign w:val="center"/>
          </w:tcPr>
          <w:p w14:paraId="412B80F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F</w:t>
            </w:r>
          </w:p>
        </w:tc>
        <w:tc>
          <w:tcPr>
            <w:tcW w:w="492" w:type="pct"/>
            <w:vAlign w:val="center"/>
          </w:tcPr>
          <w:p w14:paraId="3CFF686F"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2D5648F6" w14:textId="77777777" w:rsidR="00AF7245" w:rsidRPr="005F6241" w:rsidRDefault="00AF7245" w:rsidP="008C60E3">
            <w:pPr>
              <w:rPr>
                <w:rFonts w:ascii="Arial" w:hAnsi="Arial" w:cs="Arial"/>
                <w:iCs/>
                <w:sz w:val="16"/>
                <w:szCs w:val="16"/>
                <w:lang w:val="en-US"/>
              </w:rPr>
            </w:pPr>
            <w:r w:rsidRPr="005F6241">
              <w:rPr>
                <w:rFonts w:ascii="Arial" w:hAnsi="Arial" w:cs="Arial"/>
                <w:iCs/>
                <w:sz w:val="16"/>
                <w:szCs w:val="16"/>
                <w:lang w:val="en-US"/>
              </w:rPr>
              <w:t>CBFB-MYH1, FLT3, KIT</w:t>
            </w:r>
          </w:p>
        </w:tc>
        <w:tc>
          <w:tcPr>
            <w:tcW w:w="509" w:type="pct"/>
            <w:vAlign w:val="center"/>
          </w:tcPr>
          <w:p w14:paraId="6239C8A7" w14:textId="77777777" w:rsidR="00AF7245" w:rsidRPr="005F6241" w:rsidRDefault="00AF7245" w:rsidP="008C60E3">
            <w:pPr>
              <w:rPr>
                <w:rFonts w:ascii="Arial" w:hAnsi="Arial" w:cs="Arial"/>
                <w:iCs/>
                <w:sz w:val="16"/>
                <w:szCs w:val="16"/>
                <w:lang w:val="fr-CH"/>
              </w:rPr>
            </w:pPr>
            <w:r w:rsidRPr="005F6241">
              <w:rPr>
                <w:rFonts w:ascii="Arial" w:hAnsi="Arial" w:cs="Arial"/>
                <w:iCs/>
                <w:sz w:val="16"/>
                <w:szCs w:val="16"/>
                <w:lang w:val="fr-CH"/>
              </w:rPr>
              <w:t>CBFB-MYH11 [t(16;16)]</w:t>
            </w:r>
          </w:p>
        </w:tc>
        <w:tc>
          <w:tcPr>
            <w:tcW w:w="1543" w:type="pct"/>
            <w:vAlign w:val="center"/>
          </w:tcPr>
          <w:p w14:paraId="5DD38CDA" w14:textId="77777777" w:rsidR="00AF7245" w:rsidRPr="005F6241" w:rsidRDefault="00AF7245" w:rsidP="008C60E3">
            <w:pPr>
              <w:rPr>
                <w:rFonts w:ascii="Arial" w:hAnsi="Arial" w:cs="Arial"/>
                <w:iCs/>
                <w:sz w:val="16"/>
                <w:szCs w:val="16"/>
                <w:lang w:val="fr-CH"/>
              </w:rPr>
            </w:pPr>
            <w:r w:rsidRPr="005F6241">
              <w:rPr>
                <w:rFonts w:ascii="Arial" w:hAnsi="Arial" w:cs="Arial"/>
                <w:iCs/>
                <w:sz w:val="16"/>
                <w:szCs w:val="16"/>
                <w:lang w:val="fr-CH"/>
              </w:rPr>
              <w:t>46, XX, t(16,16) (p13; q22) [19]/46, sl, del (7)(q31)[1]</w:t>
            </w:r>
          </w:p>
        </w:tc>
        <w:tc>
          <w:tcPr>
            <w:tcW w:w="1055" w:type="pct"/>
          </w:tcPr>
          <w:p w14:paraId="17CF6D66" w14:textId="77777777" w:rsidR="00AF7245" w:rsidRPr="005F6241" w:rsidRDefault="00AF7245" w:rsidP="008C60E3">
            <w:pPr>
              <w:rPr>
                <w:rFonts w:ascii="Arial" w:hAnsi="Arial" w:cs="Arial"/>
                <w:iCs/>
                <w:sz w:val="16"/>
                <w:szCs w:val="16"/>
                <w:lang w:val="fr-CH"/>
              </w:rPr>
            </w:pPr>
            <w:r w:rsidRPr="005F6241">
              <w:rPr>
                <w:rFonts w:ascii="Arial" w:hAnsi="Arial" w:cs="Arial"/>
                <w:iCs/>
                <w:sz w:val="16"/>
                <w:szCs w:val="16"/>
                <w:lang w:val="fr-CH"/>
              </w:rPr>
              <w:t>69.9</w:t>
            </w:r>
          </w:p>
        </w:tc>
      </w:tr>
      <w:tr w:rsidR="00AF7245" w:rsidRPr="005F6241" w14:paraId="4A3E008B" w14:textId="77777777" w:rsidTr="005F6241">
        <w:trPr>
          <w:cantSplit/>
          <w:trHeight w:val="283"/>
        </w:trPr>
        <w:tc>
          <w:tcPr>
            <w:tcW w:w="220" w:type="pct"/>
            <w:vAlign w:val="center"/>
          </w:tcPr>
          <w:p w14:paraId="4864A1E6" w14:textId="68A1FCFC" w:rsidR="00AF7245" w:rsidRPr="005F6241" w:rsidRDefault="005F6241" w:rsidP="008C60E3">
            <w:pPr>
              <w:rPr>
                <w:rFonts w:ascii="Arial" w:hAnsi="Arial" w:cs="Arial"/>
                <w:iCs/>
                <w:sz w:val="16"/>
                <w:szCs w:val="16"/>
              </w:rPr>
            </w:pPr>
            <w:r w:rsidRPr="005F6241">
              <w:rPr>
                <w:rFonts w:ascii="Arial" w:hAnsi="Arial" w:cs="Arial"/>
                <w:iCs/>
                <w:sz w:val="16"/>
                <w:szCs w:val="16"/>
              </w:rPr>
              <w:t>20</w:t>
            </w:r>
          </w:p>
        </w:tc>
        <w:tc>
          <w:tcPr>
            <w:tcW w:w="262" w:type="pct"/>
            <w:vAlign w:val="center"/>
          </w:tcPr>
          <w:p w14:paraId="57A3DA3B" w14:textId="24E38D97" w:rsidR="00AF7245" w:rsidRPr="005F6241" w:rsidRDefault="005F6241" w:rsidP="008C60E3">
            <w:pPr>
              <w:rPr>
                <w:rFonts w:ascii="Arial" w:hAnsi="Arial" w:cs="Arial"/>
                <w:iCs/>
                <w:sz w:val="16"/>
                <w:szCs w:val="16"/>
              </w:rPr>
            </w:pPr>
            <w:r>
              <w:rPr>
                <w:rFonts w:ascii="Arial" w:hAnsi="Arial" w:cs="Arial"/>
                <w:iCs/>
                <w:sz w:val="16"/>
                <w:szCs w:val="16"/>
              </w:rPr>
              <w:t>74</w:t>
            </w:r>
          </w:p>
        </w:tc>
        <w:tc>
          <w:tcPr>
            <w:tcW w:w="294" w:type="pct"/>
            <w:vAlign w:val="center"/>
          </w:tcPr>
          <w:p w14:paraId="43F7F5EE" w14:textId="65EEF6CE" w:rsidR="00AF7245" w:rsidRPr="005F6241" w:rsidRDefault="005F6241" w:rsidP="008C60E3">
            <w:pPr>
              <w:rPr>
                <w:rFonts w:ascii="Arial" w:hAnsi="Arial" w:cs="Arial"/>
                <w:iCs/>
                <w:sz w:val="16"/>
                <w:szCs w:val="16"/>
              </w:rPr>
            </w:pPr>
            <w:r>
              <w:rPr>
                <w:rFonts w:ascii="Arial" w:hAnsi="Arial" w:cs="Arial"/>
                <w:iCs/>
                <w:sz w:val="16"/>
                <w:szCs w:val="16"/>
              </w:rPr>
              <w:t>F</w:t>
            </w:r>
          </w:p>
        </w:tc>
        <w:tc>
          <w:tcPr>
            <w:tcW w:w="492" w:type="pct"/>
            <w:vAlign w:val="center"/>
          </w:tcPr>
          <w:p w14:paraId="1AA285E7" w14:textId="77777777" w:rsidR="00AF7245" w:rsidRPr="005F6241" w:rsidRDefault="00AF7245" w:rsidP="008C60E3">
            <w:pPr>
              <w:rPr>
                <w:rFonts w:ascii="Arial" w:hAnsi="Arial" w:cs="Arial"/>
                <w:iCs/>
                <w:sz w:val="16"/>
                <w:szCs w:val="16"/>
              </w:rPr>
            </w:pPr>
            <w:r w:rsidRPr="005F6241">
              <w:rPr>
                <w:rFonts w:ascii="Arial" w:hAnsi="Arial" w:cs="Arial"/>
                <w:iCs/>
                <w:sz w:val="16"/>
                <w:szCs w:val="16"/>
              </w:rPr>
              <w:t>AML</w:t>
            </w:r>
          </w:p>
        </w:tc>
        <w:tc>
          <w:tcPr>
            <w:tcW w:w="625" w:type="pct"/>
            <w:vAlign w:val="center"/>
          </w:tcPr>
          <w:p w14:paraId="67F7AB9C" w14:textId="540F659B" w:rsidR="00AF7245" w:rsidRPr="005F6241" w:rsidRDefault="005F6241" w:rsidP="008C60E3">
            <w:pPr>
              <w:rPr>
                <w:rFonts w:ascii="Arial" w:hAnsi="Arial" w:cs="Arial"/>
                <w:iCs/>
                <w:sz w:val="16"/>
                <w:szCs w:val="16"/>
              </w:rPr>
            </w:pPr>
            <w:r>
              <w:rPr>
                <w:rFonts w:ascii="Arial" w:hAnsi="Arial" w:cs="Arial"/>
                <w:iCs/>
                <w:sz w:val="16"/>
                <w:szCs w:val="16"/>
              </w:rPr>
              <w:t>NPM1A, FLT3</w:t>
            </w:r>
          </w:p>
        </w:tc>
        <w:tc>
          <w:tcPr>
            <w:tcW w:w="509" w:type="pct"/>
            <w:vAlign w:val="center"/>
          </w:tcPr>
          <w:p w14:paraId="237F5E75" w14:textId="4782D3E7" w:rsidR="00AF7245" w:rsidRPr="005F6241" w:rsidRDefault="005F6241" w:rsidP="008C60E3">
            <w:pPr>
              <w:rPr>
                <w:rFonts w:ascii="Arial" w:hAnsi="Arial" w:cs="Arial"/>
                <w:iCs/>
                <w:sz w:val="16"/>
                <w:szCs w:val="16"/>
                <w:lang w:val="fr-CH"/>
              </w:rPr>
            </w:pPr>
            <w:r>
              <w:rPr>
                <w:rFonts w:ascii="Arial" w:hAnsi="Arial" w:cs="Arial"/>
                <w:iCs/>
                <w:sz w:val="16"/>
                <w:szCs w:val="16"/>
                <w:lang w:val="fr-CH"/>
              </w:rPr>
              <w:t>none</w:t>
            </w:r>
          </w:p>
        </w:tc>
        <w:tc>
          <w:tcPr>
            <w:tcW w:w="1543" w:type="pct"/>
            <w:vAlign w:val="center"/>
          </w:tcPr>
          <w:p w14:paraId="68577FB9" w14:textId="5F7050C5" w:rsidR="00AF7245" w:rsidRPr="005F6241" w:rsidRDefault="005F6241" w:rsidP="008C60E3">
            <w:pPr>
              <w:rPr>
                <w:rFonts w:ascii="Arial" w:hAnsi="Arial" w:cs="Arial"/>
                <w:iCs/>
                <w:sz w:val="16"/>
                <w:szCs w:val="16"/>
                <w:lang w:val="fr-CH"/>
              </w:rPr>
            </w:pPr>
            <w:r w:rsidRPr="005F6241">
              <w:rPr>
                <w:rFonts w:ascii="Arial" w:hAnsi="Arial" w:cs="Arial"/>
                <w:iCs/>
                <w:sz w:val="16"/>
                <w:szCs w:val="16"/>
                <w:lang w:val="fr-CH"/>
              </w:rPr>
              <w:t>46, XX[20]</w:t>
            </w:r>
          </w:p>
        </w:tc>
        <w:tc>
          <w:tcPr>
            <w:tcW w:w="1055" w:type="pct"/>
          </w:tcPr>
          <w:p w14:paraId="7FCBD882" w14:textId="5B474356" w:rsidR="00AF7245" w:rsidRPr="005F6241" w:rsidRDefault="00A64FC7" w:rsidP="008C60E3">
            <w:pPr>
              <w:rPr>
                <w:rFonts w:ascii="Arial" w:hAnsi="Arial" w:cs="Arial"/>
                <w:iCs/>
                <w:sz w:val="16"/>
                <w:szCs w:val="16"/>
              </w:rPr>
            </w:pPr>
            <w:r w:rsidRPr="005F6241">
              <w:rPr>
                <w:rFonts w:ascii="Arial" w:hAnsi="Arial" w:cs="Arial"/>
                <w:iCs/>
                <w:sz w:val="16"/>
                <w:szCs w:val="16"/>
              </w:rPr>
              <w:t>98.2</w:t>
            </w:r>
          </w:p>
        </w:tc>
      </w:tr>
      <w:tr w:rsidR="00AF7245" w:rsidRPr="005F6241" w14:paraId="2D25277C" w14:textId="77777777" w:rsidTr="005F6241">
        <w:trPr>
          <w:cantSplit/>
          <w:trHeight w:val="283"/>
        </w:trPr>
        <w:tc>
          <w:tcPr>
            <w:tcW w:w="5000" w:type="pct"/>
            <w:gridSpan w:val="8"/>
            <w:vAlign w:val="center"/>
          </w:tcPr>
          <w:p w14:paraId="47A79E27" w14:textId="7987DB0C" w:rsidR="00AF7245" w:rsidRPr="005F6241" w:rsidRDefault="00AF7245" w:rsidP="008C60E3">
            <w:pPr>
              <w:rPr>
                <w:rFonts w:ascii="Arial" w:hAnsi="Arial" w:cs="Arial"/>
                <w:iCs/>
                <w:color w:val="000000" w:themeColor="text1"/>
                <w:sz w:val="16"/>
                <w:szCs w:val="16"/>
                <w:lang w:val="en-US"/>
              </w:rPr>
            </w:pPr>
            <w:r w:rsidRPr="005F6241">
              <w:rPr>
                <w:rFonts w:ascii="Arial" w:hAnsi="Arial" w:cs="Arial"/>
                <w:iCs/>
                <w:color w:val="000000" w:themeColor="text1"/>
                <w:sz w:val="16"/>
                <w:szCs w:val="16"/>
                <w:lang w:val="en-US"/>
              </w:rPr>
              <w:t>Samples 1-17 were used in experiments depicted in Fig. S1</w:t>
            </w:r>
            <w:r w:rsidR="00A64FC7" w:rsidRPr="005F6241">
              <w:rPr>
                <w:rFonts w:ascii="Arial" w:hAnsi="Arial" w:cs="Arial"/>
                <w:iCs/>
                <w:color w:val="000000" w:themeColor="text1"/>
                <w:sz w:val="16"/>
                <w:szCs w:val="16"/>
                <w:lang w:val="en-US"/>
              </w:rPr>
              <w:t>B</w:t>
            </w:r>
            <w:r w:rsidRPr="005F6241">
              <w:rPr>
                <w:rFonts w:ascii="Arial" w:hAnsi="Arial" w:cs="Arial"/>
                <w:iCs/>
                <w:color w:val="000000" w:themeColor="text1"/>
                <w:sz w:val="16"/>
                <w:szCs w:val="16"/>
                <w:lang w:val="en-US"/>
              </w:rPr>
              <w:t xml:space="preserve"> (surface immunophenotyping)</w:t>
            </w:r>
          </w:p>
          <w:p w14:paraId="046B06DA" w14:textId="3D79AD4D" w:rsidR="00AF7245" w:rsidRPr="005F6241" w:rsidRDefault="00AF7245" w:rsidP="008C60E3">
            <w:pPr>
              <w:rPr>
                <w:rFonts w:ascii="Arial" w:hAnsi="Arial" w:cs="Arial"/>
                <w:iCs/>
                <w:color w:val="000000" w:themeColor="text1"/>
                <w:sz w:val="16"/>
                <w:szCs w:val="16"/>
                <w:lang w:val="en-US"/>
              </w:rPr>
            </w:pPr>
            <w:r w:rsidRPr="005F6241">
              <w:rPr>
                <w:rFonts w:ascii="Arial" w:hAnsi="Arial" w:cs="Arial"/>
                <w:iCs/>
                <w:color w:val="000000" w:themeColor="text1"/>
                <w:sz w:val="16"/>
                <w:szCs w:val="16"/>
                <w:lang w:val="en-US"/>
              </w:rPr>
              <w:t>Samples 18-</w:t>
            </w:r>
            <w:r w:rsidR="00A64FC7" w:rsidRPr="005F6241">
              <w:rPr>
                <w:rFonts w:ascii="Arial" w:hAnsi="Arial" w:cs="Arial"/>
                <w:iCs/>
                <w:color w:val="000000" w:themeColor="text1"/>
                <w:sz w:val="16"/>
                <w:szCs w:val="16"/>
                <w:lang w:val="en-US"/>
              </w:rPr>
              <w:t xml:space="preserve">20 </w:t>
            </w:r>
            <w:r w:rsidRPr="005F6241">
              <w:rPr>
                <w:rFonts w:ascii="Arial" w:hAnsi="Arial" w:cs="Arial"/>
                <w:iCs/>
                <w:color w:val="000000" w:themeColor="text1"/>
                <w:sz w:val="16"/>
                <w:szCs w:val="16"/>
                <w:lang w:val="en-US"/>
              </w:rPr>
              <w:t>in Fig. 4 (</w:t>
            </w:r>
            <w:r w:rsidRPr="005F6241">
              <w:rPr>
                <w:rFonts w:ascii="Arial" w:hAnsi="Arial" w:cs="Arial"/>
                <w:i/>
                <w:color w:val="000000" w:themeColor="text1"/>
                <w:sz w:val="16"/>
                <w:szCs w:val="16"/>
                <w:lang w:val="en-US"/>
              </w:rPr>
              <w:t>in vitro</w:t>
            </w:r>
            <w:r w:rsidRPr="005F6241">
              <w:rPr>
                <w:rFonts w:ascii="Arial" w:hAnsi="Arial" w:cs="Arial"/>
                <w:iCs/>
                <w:color w:val="000000" w:themeColor="text1"/>
                <w:sz w:val="16"/>
                <w:szCs w:val="16"/>
                <w:lang w:val="en-US"/>
              </w:rPr>
              <w:t xml:space="preserve"> experiments)</w:t>
            </w:r>
          </w:p>
          <w:p w14:paraId="18F29404" w14:textId="7F522D18" w:rsidR="00AF7245" w:rsidRPr="005F6241" w:rsidRDefault="00AF7245" w:rsidP="008C60E3">
            <w:pPr>
              <w:rPr>
                <w:rFonts w:ascii="Arial" w:hAnsi="Arial" w:cs="Arial"/>
                <w:iCs/>
                <w:color w:val="000000" w:themeColor="text1"/>
                <w:sz w:val="16"/>
                <w:szCs w:val="16"/>
                <w:lang w:val="en-US"/>
              </w:rPr>
            </w:pPr>
            <w:r w:rsidRPr="005F6241">
              <w:rPr>
                <w:rFonts w:ascii="Arial" w:hAnsi="Arial" w:cs="Arial"/>
                <w:iCs/>
                <w:color w:val="000000" w:themeColor="text1"/>
                <w:sz w:val="16"/>
                <w:szCs w:val="16"/>
                <w:lang w:val="en-US"/>
              </w:rPr>
              <w:t xml:space="preserve">Sample </w:t>
            </w:r>
            <w:r w:rsidR="00A64FC7" w:rsidRPr="005F6241">
              <w:rPr>
                <w:rFonts w:ascii="Arial" w:hAnsi="Arial" w:cs="Arial"/>
                <w:iCs/>
                <w:color w:val="000000" w:themeColor="text1"/>
                <w:sz w:val="16"/>
                <w:szCs w:val="16"/>
                <w:lang w:val="en-US"/>
              </w:rPr>
              <w:t>2</w:t>
            </w:r>
            <w:r w:rsidRPr="005F6241">
              <w:rPr>
                <w:rFonts w:ascii="Arial" w:hAnsi="Arial" w:cs="Arial"/>
                <w:iCs/>
                <w:color w:val="000000" w:themeColor="text1"/>
                <w:sz w:val="16"/>
                <w:szCs w:val="16"/>
                <w:lang w:val="en-US"/>
              </w:rPr>
              <w:t xml:space="preserve">0 in Fig. </w:t>
            </w:r>
            <w:r w:rsidR="00A64FC7" w:rsidRPr="005F6241">
              <w:rPr>
                <w:rFonts w:ascii="Arial" w:hAnsi="Arial" w:cs="Arial"/>
                <w:iCs/>
                <w:color w:val="000000" w:themeColor="text1"/>
                <w:sz w:val="16"/>
                <w:szCs w:val="16"/>
                <w:lang w:val="en-US"/>
              </w:rPr>
              <w:t>8</w:t>
            </w:r>
            <w:r w:rsidR="008D379B">
              <w:rPr>
                <w:rFonts w:ascii="Arial" w:hAnsi="Arial" w:cs="Arial"/>
                <w:iCs/>
                <w:color w:val="000000" w:themeColor="text1"/>
                <w:sz w:val="16"/>
                <w:szCs w:val="16"/>
                <w:lang w:val="en-US"/>
              </w:rPr>
              <w:t>, Fig. S11, Fig. S12</w:t>
            </w:r>
            <w:r w:rsidRPr="005F6241">
              <w:rPr>
                <w:rFonts w:ascii="Arial" w:hAnsi="Arial" w:cs="Arial"/>
                <w:iCs/>
                <w:color w:val="000000" w:themeColor="text1"/>
                <w:sz w:val="16"/>
                <w:szCs w:val="16"/>
                <w:lang w:val="en-US"/>
              </w:rPr>
              <w:t xml:space="preserve"> (</w:t>
            </w:r>
            <w:r w:rsidRPr="005F6241">
              <w:rPr>
                <w:rFonts w:ascii="Arial" w:hAnsi="Arial" w:cs="Arial"/>
                <w:i/>
                <w:color w:val="000000" w:themeColor="text1"/>
                <w:sz w:val="16"/>
                <w:szCs w:val="16"/>
                <w:lang w:val="en-US"/>
              </w:rPr>
              <w:t>in vi</w:t>
            </w:r>
            <w:r w:rsidR="00A64FC7" w:rsidRPr="005F6241">
              <w:rPr>
                <w:rFonts w:ascii="Arial" w:hAnsi="Arial" w:cs="Arial"/>
                <w:i/>
                <w:color w:val="000000" w:themeColor="text1"/>
                <w:sz w:val="16"/>
                <w:szCs w:val="16"/>
                <w:lang w:val="en-US"/>
              </w:rPr>
              <w:t>vo</w:t>
            </w:r>
            <w:r w:rsidRPr="005F6241">
              <w:rPr>
                <w:rFonts w:ascii="Arial" w:hAnsi="Arial" w:cs="Arial"/>
                <w:iCs/>
                <w:color w:val="000000" w:themeColor="text1"/>
                <w:sz w:val="16"/>
                <w:szCs w:val="16"/>
                <w:lang w:val="en-US"/>
              </w:rPr>
              <w:t xml:space="preserve"> experiments)</w:t>
            </w:r>
          </w:p>
        </w:tc>
      </w:tr>
    </w:tbl>
    <w:p w14:paraId="70742CCA" w14:textId="2F477AD3" w:rsidR="00AF7245" w:rsidRPr="005F6241" w:rsidRDefault="00AF7245" w:rsidP="00AF7245">
      <w:pPr>
        <w:rPr>
          <w:rFonts w:ascii="Arial" w:hAnsi="Arial" w:cs="Arial"/>
        </w:rPr>
      </w:pPr>
    </w:p>
    <w:p w14:paraId="643FC65E" w14:textId="77777777" w:rsidR="00AF7245" w:rsidRPr="005F6241" w:rsidRDefault="00AF7245">
      <w:pPr>
        <w:rPr>
          <w:rFonts w:ascii="Arial" w:hAnsi="Arial" w:cs="Arial"/>
        </w:rPr>
      </w:pPr>
      <w:r w:rsidRPr="005F6241">
        <w:rPr>
          <w:rFonts w:ascii="Arial" w:hAnsi="Arial" w:cs="Arial"/>
        </w:rPr>
        <w:br w:type="page"/>
      </w:r>
    </w:p>
    <w:p w14:paraId="41B767E3" w14:textId="057EC10E" w:rsidR="00AF7245" w:rsidRPr="005F6241" w:rsidRDefault="00AF7245" w:rsidP="00AF7245">
      <w:pPr>
        <w:pStyle w:val="SMHeading"/>
        <w:rPr>
          <w:rFonts w:ascii="Arial" w:hAnsi="Arial" w:cs="Arial"/>
        </w:rPr>
      </w:pPr>
      <w:r w:rsidRPr="005F6241">
        <w:rPr>
          <w:rFonts w:ascii="Arial" w:hAnsi="Arial" w:cs="Arial"/>
        </w:rPr>
        <w:lastRenderedPageBreak/>
        <w:t>Table S</w:t>
      </w:r>
      <w:r w:rsidR="00C25772" w:rsidRPr="005F6241">
        <w:rPr>
          <w:rFonts w:ascii="Arial" w:hAnsi="Arial" w:cs="Arial"/>
        </w:rPr>
        <w:t>2</w:t>
      </w:r>
    </w:p>
    <w:p w14:paraId="44F34758" w14:textId="77777777" w:rsidR="00AF7245" w:rsidRDefault="00AF7245" w:rsidP="00AF7245">
      <w:pPr>
        <w:rPr>
          <w:rFonts w:ascii="Arial" w:eastAsia="Arial" w:hAnsi="Arial" w:cs="Arial"/>
          <w:b/>
          <w:bCs/>
          <w:iCs/>
          <w:szCs w:val="24"/>
        </w:rPr>
      </w:pPr>
      <w:r w:rsidRPr="005F6241">
        <w:rPr>
          <w:rFonts w:ascii="Arial" w:eastAsia="Arial" w:hAnsi="Arial" w:cs="Arial"/>
          <w:b/>
          <w:bCs/>
          <w:iCs/>
          <w:szCs w:val="24"/>
        </w:rPr>
        <w:t>List of antibodies used in this study</w:t>
      </w:r>
    </w:p>
    <w:p w14:paraId="70483323" w14:textId="77777777" w:rsidR="005F6241" w:rsidRPr="005F6241" w:rsidRDefault="005F6241" w:rsidP="00AF7245">
      <w:pPr>
        <w:rPr>
          <w:rFonts w:ascii="Arial" w:eastAsia="Arial" w:hAnsi="Arial" w:cs="Arial"/>
          <w:b/>
          <w:iCs/>
          <w:szCs w:val="24"/>
        </w:rPr>
      </w:pPr>
    </w:p>
    <w:tbl>
      <w:tblPr>
        <w:tblStyle w:val="TableGrid1"/>
        <w:tblW w:w="8359" w:type="dxa"/>
        <w:tblLook w:val="04A0" w:firstRow="1" w:lastRow="0" w:firstColumn="1" w:lastColumn="0" w:noHBand="0" w:noVBand="1"/>
      </w:tblPr>
      <w:tblGrid>
        <w:gridCol w:w="1980"/>
        <w:gridCol w:w="1559"/>
        <w:gridCol w:w="3260"/>
        <w:gridCol w:w="1560"/>
      </w:tblGrid>
      <w:tr w:rsidR="00AF7245" w:rsidRPr="00350559" w14:paraId="4FDDD255" w14:textId="77777777" w:rsidTr="00350559">
        <w:trPr>
          <w:trHeight w:val="283"/>
        </w:trPr>
        <w:tc>
          <w:tcPr>
            <w:tcW w:w="1980" w:type="dxa"/>
            <w:vAlign w:val="center"/>
          </w:tcPr>
          <w:p w14:paraId="4404CE70" w14:textId="77777777" w:rsidR="00AF7245" w:rsidRPr="00350559" w:rsidRDefault="00AF7245" w:rsidP="00AF7245">
            <w:pPr>
              <w:rPr>
                <w:rFonts w:ascii="Arial" w:hAnsi="Arial" w:cs="Arial"/>
                <w:b/>
                <w:iCs/>
                <w:sz w:val="16"/>
                <w:szCs w:val="16"/>
              </w:rPr>
            </w:pPr>
            <w:r w:rsidRPr="00350559">
              <w:rPr>
                <w:rFonts w:ascii="Arial" w:hAnsi="Arial" w:cs="Arial"/>
                <w:b/>
                <w:iCs/>
                <w:sz w:val="16"/>
                <w:szCs w:val="16"/>
              </w:rPr>
              <w:t>Target</w:t>
            </w:r>
          </w:p>
        </w:tc>
        <w:tc>
          <w:tcPr>
            <w:tcW w:w="1559" w:type="dxa"/>
            <w:vAlign w:val="center"/>
          </w:tcPr>
          <w:p w14:paraId="077085DE" w14:textId="77777777" w:rsidR="00AF7245" w:rsidRPr="00350559" w:rsidRDefault="00AF7245" w:rsidP="00AF7245">
            <w:pPr>
              <w:rPr>
                <w:rFonts w:ascii="Arial" w:hAnsi="Arial" w:cs="Arial"/>
                <w:b/>
                <w:iCs/>
                <w:sz w:val="16"/>
                <w:szCs w:val="16"/>
              </w:rPr>
            </w:pPr>
            <w:r w:rsidRPr="00350559">
              <w:rPr>
                <w:rFonts w:ascii="Arial" w:hAnsi="Arial" w:cs="Arial"/>
                <w:b/>
                <w:iCs/>
                <w:sz w:val="16"/>
                <w:szCs w:val="16"/>
              </w:rPr>
              <w:t>Clone</w:t>
            </w:r>
          </w:p>
        </w:tc>
        <w:tc>
          <w:tcPr>
            <w:tcW w:w="3260" w:type="dxa"/>
            <w:vAlign w:val="center"/>
          </w:tcPr>
          <w:p w14:paraId="02CC4DB3" w14:textId="77777777" w:rsidR="00AF7245" w:rsidRPr="00350559" w:rsidRDefault="00AF7245" w:rsidP="00AF7245">
            <w:pPr>
              <w:rPr>
                <w:rFonts w:ascii="Arial" w:hAnsi="Arial" w:cs="Arial"/>
                <w:b/>
                <w:iCs/>
                <w:sz w:val="16"/>
                <w:szCs w:val="16"/>
              </w:rPr>
            </w:pPr>
            <w:r w:rsidRPr="00350559">
              <w:rPr>
                <w:rFonts w:ascii="Arial" w:hAnsi="Arial" w:cs="Arial"/>
                <w:b/>
                <w:iCs/>
                <w:sz w:val="16"/>
                <w:szCs w:val="16"/>
              </w:rPr>
              <w:t>Fluorochrome</w:t>
            </w:r>
          </w:p>
        </w:tc>
        <w:tc>
          <w:tcPr>
            <w:tcW w:w="1560" w:type="dxa"/>
            <w:vAlign w:val="center"/>
          </w:tcPr>
          <w:p w14:paraId="72CD7A68" w14:textId="77777777" w:rsidR="00AF7245" w:rsidRPr="00350559" w:rsidRDefault="00AF7245" w:rsidP="00AF7245">
            <w:pPr>
              <w:rPr>
                <w:rFonts w:ascii="Arial" w:hAnsi="Arial" w:cs="Arial"/>
                <w:b/>
                <w:iCs/>
                <w:sz w:val="16"/>
                <w:szCs w:val="16"/>
              </w:rPr>
            </w:pPr>
            <w:r w:rsidRPr="00350559">
              <w:rPr>
                <w:rFonts w:ascii="Arial" w:hAnsi="Arial" w:cs="Arial"/>
                <w:b/>
                <w:iCs/>
                <w:sz w:val="16"/>
                <w:szCs w:val="16"/>
              </w:rPr>
              <w:t>Supplier</w:t>
            </w:r>
          </w:p>
        </w:tc>
      </w:tr>
      <w:tr w:rsidR="00AF7245" w:rsidRPr="00350559" w14:paraId="2B825EFE" w14:textId="77777777" w:rsidTr="00350559">
        <w:trPr>
          <w:trHeight w:val="283"/>
        </w:trPr>
        <w:tc>
          <w:tcPr>
            <w:tcW w:w="1980" w:type="dxa"/>
            <w:vAlign w:val="center"/>
          </w:tcPr>
          <w:p w14:paraId="0BDADCAD"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hCD3</w:t>
            </w:r>
          </w:p>
        </w:tc>
        <w:tc>
          <w:tcPr>
            <w:tcW w:w="1559" w:type="dxa"/>
            <w:vAlign w:val="center"/>
          </w:tcPr>
          <w:p w14:paraId="66508B7F"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UCHT1</w:t>
            </w:r>
          </w:p>
        </w:tc>
        <w:tc>
          <w:tcPr>
            <w:tcW w:w="3260" w:type="dxa"/>
            <w:vAlign w:val="center"/>
          </w:tcPr>
          <w:p w14:paraId="3B047F3F"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Brilliant Violet 711™</w:t>
            </w:r>
          </w:p>
        </w:tc>
        <w:tc>
          <w:tcPr>
            <w:tcW w:w="1560" w:type="dxa"/>
            <w:vAlign w:val="center"/>
          </w:tcPr>
          <w:p w14:paraId="3692743F"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Biolegend</w:t>
            </w:r>
          </w:p>
        </w:tc>
      </w:tr>
      <w:tr w:rsidR="00AF7245" w:rsidRPr="00350559" w14:paraId="06F62CDA" w14:textId="77777777" w:rsidTr="00350559">
        <w:trPr>
          <w:trHeight w:val="283"/>
        </w:trPr>
        <w:tc>
          <w:tcPr>
            <w:tcW w:w="1980" w:type="dxa"/>
            <w:vAlign w:val="center"/>
          </w:tcPr>
          <w:p w14:paraId="43830267"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hCD3</w:t>
            </w:r>
          </w:p>
        </w:tc>
        <w:tc>
          <w:tcPr>
            <w:tcW w:w="1559" w:type="dxa"/>
            <w:vAlign w:val="center"/>
          </w:tcPr>
          <w:p w14:paraId="13FFF1E0"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OKT3</w:t>
            </w:r>
          </w:p>
        </w:tc>
        <w:tc>
          <w:tcPr>
            <w:tcW w:w="3260" w:type="dxa"/>
            <w:vAlign w:val="center"/>
          </w:tcPr>
          <w:p w14:paraId="5CEEEAA7"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PE, APC or Brilliant Violet 711</w:t>
            </w:r>
          </w:p>
        </w:tc>
        <w:tc>
          <w:tcPr>
            <w:tcW w:w="1560" w:type="dxa"/>
            <w:vAlign w:val="center"/>
          </w:tcPr>
          <w:p w14:paraId="54ACDF0F" w14:textId="77777777" w:rsidR="00AF7245" w:rsidRPr="00350559" w:rsidRDefault="00AF7245" w:rsidP="00AF7245">
            <w:pPr>
              <w:rPr>
                <w:rFonts w:ascii="Arial" w:hAnsi="Arial" w:cs="Arial"/>
                <w:iCs/>
                <w:sz w:val="16"/>
                <w:szCs w:val="16"/>
              </w:rPr>
            </w:pPr>
            <w:r w:rsidRPr="00350559">
              <w:rPr>
                <w:rFonts w:ascii="Arial" w:hAnsi="Arial" w:cs="Arial"/>
                <w:iCs/>
                <w:sz w:val="16"/>
                <w:szCs w:val="16"/>
              </w:rPr>
              <w:t>Biolegend</w:t>
            </w:r>
          </w:p>
        </w:tc>
      </w:tr>
      <w:tr w:rsidR="004D0957" w:rsidRPr="00350559" w14:paraId="43DAA345" w14:textId="77777777" w:rsidTr="00350559">
        <w:trPr>
          <w:trHeight w:val="283"/>
        </w:trPr>
        <w:tc>
          <w:tcPr>
            <w:tcW w:w="1980" w:type="dxa"/>
            <w:vAlign w:val="center"/>
          </w:tcPr>
          <w:p w14:paraId="079CA7E6" w14:textId="1E63C40E" w:rsidR="004D0957" w:rsidRPr="00350559" w:rsidRDefault="004D0957" w:rsidP="004D0957">
            <w:pPr>
              <w:rPr>
                <w:rFonts w:ascii="Arial" w:hAnsi="Arial" w:cs="Arial"/>
                <w:iCs/>
                <w:sz w:val="16"/>
                <w:szCs w:val="16"/>
              </w:rPr>
            </w:pPr>
            <w:r w:rsidRPr="00350559">
              <w:rPr>
                <w:rFonts w:ascii="Arial" w:hAnsi="Arial" w:cs="Arial"/>
                <w:iCs/>
                <w:sz w:val="16"/>
                <w:szCs w:val="16"/>
              </w:rPr>
              <w:t>hCD19</w:t>
            </w:r>
          </w:p>
        </w:tc>
        <w:tc>
          <w:tcPr>
            <w:tcW w:w="1559" w:type="dxa"/>
            <w:vAlign w:val="center"/>
          </w:tcPr>
          <w:p w14:paraId="1FE1D3A3" w14:textId="221F66DB" w:rsidR="004D0957" w:rsidRPr="00350559" w:rsidRDefault="004D0957" w:rsidP="004D0957">
            <w:pPr>
              <w:rPr>
                <w:rFonts w:ascii="Arial" w:hAnsi="Arial" w:cs="Arial"/>
                <w:iCs/>
                <w:sz w:val="16"/>
                <w:szCs w:val="16"/>
              </w:rPr>
            </w:pPr>
            <w:r w:rsidRPr="00350559">
              <w:rPr>
                <w:rFonts w:ascii="Arial" w:hAnsi="Arial" w:cs="Arial"/>
                <w:iCs/>
                <w:sz w:val="16"/>
                <w:szCs w:val="16"/>
              </w:rPr>
              <w:t>SJ21C1</w:t>
            </w:r>
          </w:p>
        </w:tc>
        <w:tc>
          <w:tcPr>
            <w:tcW w:w="3260" w:type="dxa"/>
            <w:vAlign w:val="center"/>
          </w:tcPr>
          <w:p w14:paraId="3580C6B8" w14:textId="5B347197" w:rsidR="004D0957" w:rsidRPr="00350559" w:rsidRDefault="004D0957" w:rsidP="004D0957">
            <w:pPr>
              <w:rPr>
                <w:rFonts w:ascii="Arial" w:hAnsi="Arial" w:cs="Arial"/>
                <w:iCs/>
                <w:sz w:val="16"/>
                <w:szCs w:val="16"/>
              </w:rPr>
            </w:pPr>
            <w:r w:rsidRPr="00350559">
              <w:rPr>
                <w:rFonts w:ascii="Arial" w:hAnsi="Arial" w:cs="Arial"/>
                <w:iCs/>
                <w:sz w:val="16"/>
                <w:szCs w:val="16"/>
              </w:rPr>
              <w:t>PE</w:t>
            </w:r>
          </w:p>
        </w:tc>
        <w:tc>
          <w:tcPr>
            <w:tcW w:w="1560" w:type="dxa"/>
            <w:vAlign w:val="center"/>
          </w:tcPr>
          <w:p w14:paraId="285444A8" w14:textId="287DE10A" w:rsidR="004D0957" w:rsidRPr="00350559" w:rsidRDefault="004D0957" w:rsidP="004D0957">
            <w:pPr>
              <w:rPr>
                <w:rFonts w:ascii="Arial" w:hAnsi="Arial" w:cs="Arial"/>
                <w:iCs/>
                <w:sz w:val="16"/>
                <w:szCs w:val="16"/>
              </w:rPr>
            </w:pPr>
            <w:r w:rsidRPr="00350559">
              <w:rPr>
                <w:rFonts w:ascii="Arial" w:hAnsi="Arial" w:cs="Arial"/>
                <w:iCs/>
                <w:sz w:val="16"/>
                <w:szCs w:val="16"/>
              </w:rPr>
              <w:t>Ebiosciences</w:t>
            </w:r>
          </w:p>
        </w:tc>
      </w:tr>
      <w:tr w:rsidR="004D0957" w:rsidRPr="00350559" w14:paraId="108E3FD7" w14:textId="77777777" w:rsidTr="00350559">
        <w:trPr>
          <w:trHeight w:val="283"/>
        </w:trPr>
        <w:tc>
          <w:tcPr>
            <w:tcW w:w="1980" w:type="dxa"/>
            <w:vAlign w:val="center"/>
          </w:tcPr>
          <w:p w14:paraId="2D2357FA"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hCD25</w:t>
            </w:r>
          </w:p>
        </w:tc>
        <w:tc>
          <w:tcPr>
            <w:tcW w:w="1559" w:type="dxa"/>
            <w:vAlign w:val="center"/>
          </w:tcPr>
          <w:p w14:paraId="3FF2CED0"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BC96</w:t>
            </w:r>
          </w:p>
        </w:tc>
        <w:tc>
          <w:tcPr>
            <w:tcW w:w="3260" w:type="dxa"/>
            <w:vAlign w:val="center"/>
          </w:tcPr>
          <w:p w14:paraId="60F4D5DB"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Brilliant Violet 605™</w:t>
            </w:r>
          </w:p>
        </w:tc>
        <w:tc>
          <w:tcPr>
            <w:tcW w:w="1560" w:type="dxa"/>
            <w:vAlign w:val="center"/>
          </w:tcPr>
          <w:p w14:paraId="2BBD19A9"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5DB2F98B" w14:textId="77777777" w:rsidTr="00350559">
        <w:trPr>
          <w:trHeight w:val="283"/>
        </w:trPr>
        <w:tc>
          <w:tcPr>
            <w:tcW w:w="1980" w:type="dxa"/>
            <w:vAlign w:val="center"/>
          </w:tcPr>
          <w:p w14:paraId="3C33CD9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hCD33</w:t>
            </w:r>
          </w:p>
        </w:tc>
        <w:tc>
          <w:tcPr>
            <w:tcW w:w="1559" w:type="dxa"/>
            <w:vAlign w:val="center"/>
          </w:tcPr>
          <w:p w14:paraId="2A639D7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WM53</w:t>
            </w:r>
          </w:p>
        </w:tc>
        <w:tc>
          <w:tcPr>
            <w:tcW w:w="3260" w:type="dxa"/>
            <w:vAlign w:val="center"/>
          </w:tcPr>
          <w:p w14:paraId="4A9D6048"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PerCP-Cy5.5, PE or Brilliant Violet 711™</w:t>
            </w:r>
          </w:p>
        </w:tc>
        <w:tc>
          <w:tcPr>
            <w:tcW w:w="1560" w:type="dxa"/>
            <w:vAlign w:val="center"/>
          </w:tcPr>
          <w:p w14:paraId="128399E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01132920" w14:textId="77777777" w:rsidTr="00350559">
        <w:trPr>
          <w:trHeight w:val="283"/>
        </w:trPr>
        <w:tc>
          <w:tcPr>
            <w:tcW w:w="1980" w:type="dxa"/>
            <w:vAlign w:val="center"/>
          </w:tcPr>
          <w:p w14:paraId="361C3B2A"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hCD34</w:t>
            </w:r>
          </w:p>
        </w:tc>
        <w:tc>
          <w:tcPr>
            <w:tcW w:w="1559" w:type="dxa"/>
            <w:vAlign w:val="center"/>
          </w:tcPr>
          <w:p w14:paraId="741682C9"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QBEND-10</w:t>
            </w:r>
          </w:p>
        </w:tc>
        <w:tc>
          <w:tcPr>
            <w:tcW w:w="3260" w:type="dxa"/>
            <w:vAlign w:val="center"/>
          </w:tcPr>
          <w:p w14:paraId="1EA452A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FITC or PE</w:t>
            </w:r>
          </w:p>
        </w:tc>
        <w:tc>
          <w:tcPr>
            <w:tcW w:w="1560" w:type="dxa"/>
            <w:vAlign w:val="center"/>
          </w:tcPr>
          <w:p w14:paraId="2102BCD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Thermo Fischer</w:t>
            </w:r>
          </w:p>
        </w:tc>
      </w:tr>
      <w:tr w:rsidR="004D0957" w:rsidRPr="00350559" w14:paraId="683AAE46" w14:textId="77777777" w:rsidTr="00350559">
        <w:trPr>
          <w:trHeight w:val="283"/>
        </w:trPr>
        <w:tc>
          <w:tcPr>
            <w:tcW w:w="1980" w:type="dxa"/>
            <w:vAlign w:val="center"/>
          </w:tcPr>
          <w:p w14:paraId="571D59C2"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hCD34</w:t>
            </w:r>
          </w:p>
        </w:tc>
        <w:tc>
          <w:tcPr>
            <w:tcW w:w="1559" w:type="dxa"/>
            <w:vAlign w:val="center"/>
          </w:tcPr>
          <w:p w14:paraId="1C095CF8"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581</w:t>
            </w:r>
          </w:p>
        </w:tc>
        <w:tc>
          <w:tcPr>
            <w:tcW w:w="3260" w:type="dxa"/>
            <w:vAlign w:val="center"/>
          </w:tcPr>
          <w:p w14:paraId="2E404DD8"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PE-Cy7</w:t>
            </w:r>
          </w:p>
        </w:tc>
        <w:tc>
          <w:tcPr>
            <w:tcW w:w="1560" w:type="dxa"/>
            <w:vAlign w:val="center"/>
          </w:tcPr>
          <w:p w14:paraId="73F7105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6AA973BC" w14:textId="77777777" w:rsidTr="00350559">
        <w:trPr>
          <w:trHeight w:val="283"/>
        </w:trPr>
        <w:tc>
          <w:tcPr>
            <w:tcW w:w="1980" w:type="dxa"/>
            <w:vAlign w:val="center"/>
          </w:tcPr>
          <w:p w14:paraId="2E3C9729"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hCD38</w:t>
            </w:r>
          </w:p>
        </w:tc>
        <w:tc>
          <w:tcPr>
            <w:tcW w:w="1559" w:type="dxa"/>
            <w:vAlign w:val="center"/>
          </w:tcPr>
          <w:p w14:paraId="657FD0AA"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HIT2</w:t>
            </w:r>
          </w:p>
        </w:tc>
        <w:tc>
          <w:tcPr>
            <w:tcW w:w="3260" w:type="dxa"/>
            <w:vAlign w:val="center"/>
          </w:tcPr>
          <w:p w14:paraId="7375029D"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Alexa Fluor™ 700</w:t>
            </w:r>
          </w:p>
        </w:tc>
        <w:tc>
          <w:tcPr>
            <w:tcW w:w="1560" w:type="dxa"/>
            <w:vAlign w:val="center"/>
          </w:tcPr>
          <w:p w14:paraId="6AF240B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1FB005CA" w14:textId="77777777" w:rsidTr="00350559">
        <w:trPr>
          <w:trHeight w:val="283"/>
        </w:trPr>
        <w:tc>
          <w:tcPr>
            <w:tcW w:w="1980" w:type="dxa"/>
            <w:vAlign w:val="center"/>
          </w:tcPr>
          <w:p w14:paraId="01C9E99D"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hCD45</w:t>
            </w:r>
          </w:p>
        </w:tc>
        <w:tc>
          <w:tcPr>
            <w:tcW w:w="1559" w:type="dxa"/>
            <w:vAlign w:val="center"/>
          </w:tcPr>
          <w:p w14:paraId="3A13D83E"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HI30</w:t>
            </w:r>
          </w:p>
        </w:tc>
        <w:tc>
          <w:tcPr>
            <w:tcW w:w="3260" w:type="dxa"/>
            <w:vAlign w:val="center"/>
          </w:tcPr>
          <w:p w14:paraId="265BA2CF"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eFluor™ 450</w:t>
            </w:r>
          </w:p>
        </w:tc>
        <w:tc>
          <w:tcPr>
            <w:tcW w:w="1560" w:type="dxa"/>
            <w:vAlign w:val="center"/>
          </w:tcPr>
          <w:p w14:paraId="2481B95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Ebiosciences</w:t>
            </w:r>
          </w:p>
        </w:tc>
      </w:tr>
      <w:tr w:rsidR="004D0957" w:rsidRPr="00350559" w14:paraId="295E1AB6" w14:textId="77777777" w:rsidTr="00350559">
        <w:trPr>
          <w:trHeight w:val="283"/>
        </w:trPr>
        <w:tc>
          <w:tcPr>
            <w:tcW w:w="1980" w:type="dxa"/>
            <w:vAlign w:val="center"/>
          </w:tcPr>
          <w:p w14:paraId="3EDADF4A"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hCD69</w:t>
            </w:r>
          </w:p>
        </w:tc>
        <w:tc>
          <w:tcPr>
            <w:tcW w:w="1559" w:type="dxa"/>
            <w:vAlign w:val="center"/>
          </w:tcPr>
          <w:p w14:paraId="6DB4E99B"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FN50</w:t>
            </w:r>
          </w:p>
        </w:tc>
        <w:tc>
          <w:tcPr>
            <w:tcW w:w="3260" w:type="dxa"/>
            <w:vAlign w:val="center"/>
          </w:tcPr>
          <w:p w14:paraId="5072C35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APC</w:t>
            </w:r>
          </w:p>
        </w:tc>
        <w:tc>
          <w:tcPr>
            <w:tcW w:w="1560" w:type="dxa"/>
            <w:vAlign w:val="center"/>
          </w:tcPr>
          <w:p w14:paraId="5DBCA6F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5EE4B538" w14:textId="77777777" w:rsidTr="00350559">
        <w:trPr>
          <w:trHeight w:val="283"/>
        </w:trPr>
        <w:tc>
          <w:tcPr>
            <w:tcW w:w="1980" w:type="dxa"/>
            <w:vAlign w:val="center"/>
          </w:tcPr>
          <w:p w14:paraId="1A338ED0"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hCD117</w:t>
            </w:r>
          </w:p>
        </w:tc>
        <w:tc>
          <w:tcPr>
            <w:tcW w:w="1559" w:type="dxa"/>
            <w:vAlign w:val="center"/>
          </w:tcPr>
          <w:p w14:paraId="46FA7B1B"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104D2</w:t>
            </w:r>
          </w:p>
        </w:tc>
        <w:tc>
          <w:tcPr>
            <w:tcW w:w="3260" w:type="dxa"/>
            <w:vAlign w:val="center"/>
          </w:tcPr>
          <w:p w14:paraId="1251A7D5"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PE-Cy7</w:t>
            </w:r>
          </w:p>
        </w:tc>
        <w:tc>
          <w:tcPr>
            <w:tcW w:w="1560" w:type="dxa"/>
            <w:vAlign w:val="center"/>
          </w:tcPr>
          <w:p w14:paraId="61A054DE"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Ebiosciences</w:t>
            </w:r>
          </w:p>
        </w:tc>
      </w:tr>
      <w:tr w:rsidR="004D0957" w:rsidRPr="00350559" w14:paraId="002D93BA" w14:textId="77777777" w:rsidTr="00350559">
        <w:trPr>
          <w:trHeight w:val="283"/>
        </w:trPr>
        <w:tc>
          <w:tcPr>
            <w:tcW w:w="1980" w:type="dxa"/>
            <w:vAlign w:val="center"/>
          </w:tcPr>
          <w:p w14:paraId="070906C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hCD117</w:t>
            </w:r>
          </w:p>
        </w:tc>
        <w:tc>
          <w:tcPr>
            <w:tcW w:w="1559" w:type="dxa"/>
            <w:vAlign w:val="center"/>
          </w:tcPr>
          <w:p w14:paraId="0054D2B0"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104D2</w:t>
            </w:r>
          </w:p>
        </w:tc>
        <w:tc>
          <w:tcPr>
            <w:tcW w:w="3260" w:type="dxa"/>
            <w:vAlign w:val="center"/>
          </w:tcPr>
          <w:p w14:paraId="512362B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PE</w:t>
            </w:r>
          </w:p>
        </w:tc>
        <w:tc>
          <w:tcPr>
            <w:tcW w:w="1560" w:type="dxa"/>
            <w:vAlign w:val="center"/>
          </w:tcPr>
          <w:p w14:paraId="558F93FF"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Dako</w:t>
            </w:r>
          </w:p>
        </w:tc>
      </w:tr>
      <w:tr w:rsidR="004D0957" w:rsidRPr="00350559" w14:paraId="6D87FB8E" w14:textId="77777777" w:rsidTr="00350559">
        <w:trPr>
          <w:trHeight w:val="283"/>
        </w:trPr>
        <w:tc>
          <w:tcPr>
            <w:tcW w:w="1980" w:type="dxa"/>
            <w:vAlign w:val="center"/>
          </w:tcPr>
          <w:p w14:paraId="6F89043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hCD117</w:t>
            </w:r>
          </w:p>
        </w:tc>
        <w:tc>
          <w:tcPr>
            <w:tcW w:w="1559" w:type="dxa"/>
            <w:vAlign w:val="center"/>
          </w:tcPr>
          <w:p w14:paraId="76745E7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104D2</w:t>
            </w:r>
          </w:p>
        </w:tc>
        <w:tc>
          <w:tcPr>
            <w:tcW w:w="3260" w:type="dxa"/>
            <w:vAlign w:val="center"/>
          </w:tcPr>
          <w:p w14:paraId="69580BCF"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APC</w:t>
            </w:r>
          </w:p>
        </w:tc>
        <w:tc>
          <w:tcPr>
            <w:tcW w:w="1560" w:type="dxa"/>
            <w:vAlign w:val="center"/>
          </w:tcPr>
          <w:p w14:paraId="71CA00A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42E2EEDC" w14:textId="77777777" w:rsidTr="00350559">
        <w:trPr>
          <w:trHeight w:val="283"/>
        </w:trPr>
        <w:tc>
          <w:tcPr>
            <w:tcW w:w="1980" w:type="dxa"/>
            <w:vAlign w:val="center"/>
          </w:tcPr>
          <w:p w14:paraId="14CA5E3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hCD123</w:t>
            </w:r>
          </w:p>
        </w:tc>
        <w:tc>
          <w:tcPr>
            <w:tcW w:w="1559" w:type="dxa"/>
            <w:vAlign w:val="center"/>
          </w:tcPr>
          <w:p w14:paraId="328D1F8D"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6H6</w:t>
            </w:r>
          </w:p>
        </w:tc>
        <w:tc>
          <w:tcPr>
            <w:tcW w:w="3260" w:type="dxa"/>
            <w:vAlign w:val="center"/>
          </w:tcPr>
          <w:p w14:paraId="6B002735"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eFluor™780</w:t>
            </w:r>
          </w:p>
        </w:tc>
        <w:tc>
          <w:tcPr>
            <w:tcW w:w="1560" w:type="dxa"/>
            <w:vAlign w:val="center"/>
          </w:tcPr>
          <w:p w14:paraId="7FED04ED"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Thermo Fisher</w:t>
            </w:r>
          </w:p>
        </w:tc>
      </w:tr>
      <w:tr w:rsidR="004D0957" w:rsidRPr="00350559" w14:paraId="2D764973" w14:textId="77777777" w:rsidTr="00350559">
        <w:trPr>
          <w:trHeight w:val="283"/>
        </w:trPr>
        <w:tc>
          <w:tcPr>
            <w:tcW w:w="1980" w:type="dxa"/>
            <w:vAlign w:val="center"/>
          </w:tcPr>
          <w:p w14:paraId="16F24404"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hCD135</w:t>
            </w:r>
          </w:p>
        </w:tc>
        <w:tc>
          <w:tcPr>
            <w:tcW w:w="1559" w:type="dxa"/>
            <w:vAlign w:val="center"/>
          </w:tcPr>
          <w:p w14:paraId="67281BFA"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BV10A4H2</w:t>
            </w:r>
          </w:p>
        </w:tc>
        <w:tc>
          <w:tcPr>
            <w:tcW w:w="3260" w:type="dxa"/>
            <w:vAlign w:val="center"/>
          </w:tcPr>
          <w:p w14:paraId="08C62D73"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APC</w:t>
            </w:r>
          </w:p>
        </w:tc>
        <w:tc>
          <w:tcPr>
            <w:tcW w:w="1560" w:type="dxa"/>
            <w:vAlign w:val="center"/>
          </w:tcPr>
          <w:p w14:paraId="35CA5045"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0EBA3733" w14:textId="77777777" w:rsidTr="00350559">
        <w:trPr>
          <w:trHeight w:val="283"/>
        </w:trPr>
        <w:tc>
          <w:tcPr>
            <w:tcW w:w="1980" w:type="dxa"/>
            <w:vAlign w:val="center"/>
          </w:tcPr>
          <w:p w14:paraId="2DEC873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hCD371</w:t>
            </w:r>
          </w:p>
        </w:tc>
        <w:tc>
          <w:tcPr>
            <w:tcW w:w="1559" w:type="dxa"/>
            <w:vAlign w:val="center"/>
          </w:tcPr>
          <w:p w14:paraId="660BF290"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50C1</w:t>
            </w:r>
          </w:p>
        </w:tc>
        <w:tc>
          <w:tcPr>
            <w:tcW w:w="3260" w:type="dxa"/>
            <w:vAlign w:val="center"/>
          </w:tcPr>
          <w:p w14:paraId="7365773E"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Brilliant Violet 711™</w:t>
            </w:r>
          </w:p>
        </w:tc>
        <w:tc>
          <w:tcPr>
            <w:tcW w:w="1560" w:type="dxa"/>
            <w:vAlign w:val="center"/>
          </w:tcPr>
          <w:p w14:paraId="169C8C2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BD Biosciences</w:t>
            </w:r>
          </w:p>
        </w:tc>
      </w:tr>
      <w:tr w:rsidR="004D0957" w:rsidRPr="00350559" w14:paraId="60C40799" w14:textId="77777777" w:rsidTr="00350559">
        <w:trPr>
          <w:trHeight w:val="283"/>
        </w:trPr>
        <w:tc>
          <w:tcPr>
            <w:tcW w:w="1980" w:type="dxa"/>
            <w:vAlign w:val="center"/>
          </w:tcPr>
          <w:p w14:paraId="18E45062"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hCD371</w:t>
            </w:r>
          </w:p>
        </w:tc>
        <w:tc>
          <w:tcPr>
            <w:tcW w:w="1559" w:type="dxa"/>
            <w:vAlign w:val="center"/>
          </w:tcPr>
          <w:p w14:paraId="09EC839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50C1</w:t>
            </w:r>
          </w:p>
        </w:tc>
        <w:tc>
          <w:tcPr>
            <w:tcW w:w="3260" w:type="dxa"/>
            <w:vAlign w:val="center"/>
          </w:tcPr>
          <w:p w14:paraId="517FFB7C"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PerCP-Cy5.5 or APC</w:t>
            </w:r>
          </w:p>
        </w:tc>
        <w:tc>
          <w:tcPr>
            <w:tcW w:w="1560" w:type="dxa"/>
            <w:vAlign w:val="center"/>
          </w:tcPr>
          <w:p w14:paraId="35DFAB86"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0AA17F87" w14:textId="77777777" w:rsidTr="00350559">
        <w:trPr>
          <w:trHeight w:val="283"/>
        </w:trPr>
        <w:tc>
          <w:tcPr>
            <w:tcW w:w="1980" w:type="dxa"/>
            <w:vAlign w:val="center"/>
          </w:tcPr>
          <w:p w14:paraId="5B646334"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Anti-human lineage cocktail</w:t>
            </w:r>
          </w:p>
        </w:tc>
        <w:tc>
          <w:tcPr>
            <w:tcW w:w="1559" w:type="dxa"/>
            <w:vAlign w:val="center"/>
          </w:tcPr>
          <w:p w14:paraId="353EADF0"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n/a</w:t>
            </w:r>
          </w:p>
        </w:tc>
        <w:tc>
          <w:tcPr>
            <w:tcW w:w="3260" w:type="dxa"/>
            <w:vAlign w:val="center"/>
          </w:tcPr>
          <w:p w14:paraId="40A3A72E"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FITC</w:t>
            </w:r>
          </w:p>
        </w:tc>
        <w:tc>
          <w:tcPr>
            <w:tcW w:w="1560" w:type="dxa"/>
            <w:vAlign w:val="center"/>
          </w:tcPr>
          <w:p w14:paraId="61516521"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r w:rsidR="004D0957" w:rsidRPr="00350559" w14:paraId="154807CC" w14:textId="77777777" w:rsidTr="00350559">
        <w:trPr>
          <w:trHeight w:val="283"/>
        </w:trPr>
        <w:tc>
          <w:tcPr>
            <w:tcW w:w="1980" w:type="dxa"/>
            <w:vAlign w:val="center"/>
          </w:tcPr>
          <w:p w14:paraId="70A61E0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mCD45</w:t>
            </w:r>
          </w:p>
        </w:tc>
        <w:tc>
          <w:tcPr>
            <w:tcW w:w="1559" w:type="dxa"/>
            <w:vAlign w:val="center"/>
          </w:tcPr>
          <w:p w14:paraId="2FDAF764"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30-F11</w:t>
            </w:r>
          </w:p>
        </w:tc>
        <w:tc>
          <w:tcPr>
            <w:tcW w:w="3260" w:type="dxa"/>
            <w:vAlign w:val="center"/>
          </w:tcPr>
          <w:p w14:paraId="7E51931D" w14:textId="77777777" w:rsidR="004D0957" w:rsidRPr="00350559" w:rsidRDefault="004D0957" w:rsidP="004D0957">
            <w:pPr>
              <w:rPr>
                <w:rFonts w:ascii="Arial" w:hAnsi="Arial" w:cs="Arial"/>
                <w:iCs/>
                <w:sz w:val="16"/>
                <w:szCs w:val="16"/>
                <w:lang w:val="en-US"/>
              </w:rPr>
            </w:pPr>
            <w:r w:rsidRPr="00350559">
              <w:rPr>
                <w:rFonts w:ascii="Arial" w:hAnsi="Arial" w:cs="Arial"/>
                <w:iCs/>
                <w:sz w:val="16"/>
                <w:szCs w:val="16"/>
                <w:lang w:val="en-US"/>
              </w:rPr>
              <w:t>PE-Cy7 or Alexa Fluor™ 700</w:t>
            </w:r>
          </w:p>
        </w:tc>
        <w:tc>
          <w:tcPr>
            <w:tcW w:w="1560" w:type="dxa"/>
            <w:vAlign w:val="center"/>
          </w:tcPr>
          <w:p w14:paraId="1A85ACEF"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Ebiosciences</w:t>
            </w:r>
          </w:p>
        </w:tc>
      </w:tr>
      <w:tr w:rsidR="004D0957" w:rsidRPr="00350559" w14:paraId="7A84F66F" w14:textId="77777777" w:rsidTr="00350559">
        <w:trPr>
          <w:trHeight w:val="283"/>
        </w:trPr>
        <w:tc>
          <w:tcPr>
            <w:tcW w:w="1980" w:type="dxa"/>
            <w:vAlign w:val="center"/>
          </w:tcPr>
          <w:p w14:paraId="075FCEB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Fluorescein</w:t>
            </w:r>
          </w:p>
        </w:tc>
        <w:tc>
          <w:tcPr>
            <w:tcW w:w="1559" w:type="dxa"/>
            <w:vAlign w:val="center"/>
          </w:tcPr>
          <w:p w14:paraId="0189FF67"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FIT-22</w:t>
            </w:r>
          </w:p>
        </w:tc>
        <w:tc>
          <w:tcPr>
            <w:tcW w:w="3260" w:type="dxa"/>
            <w:vAlign w:val="center"/>
          </w:tcPr>
          <w:p w14:paraId="2617B962"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APC</w:t>
            </w:r>
          </w:p>
        </w:tc>
        <w:tc>
          <w:tcPr>
            <w:tcW w:w="1560" w:type="dxa"/>
            <w:vAlign w:val="center"/>
          </w:tcPr>
          <w:p w14:paraId="772FA975" w14:textId="77777777" w:rsidR="004D0957" w:rsidRPr="00350559" w:rsidRDefault="004D0957" w:rsidP="004D0957">
            <w:pPr>
              <w:rPr>
                <w:rFonts w:ascii="Arial" w:hAnsi="Arial" w:cs="Arial"/>
                <w:iCs/>
                <w:sz w:val="16"/>
                <w:szCs w:val="16"/>
              </w:rPr>
            </w:pPr>
            <w:r w:rsidRPr="00350559">
              <w:rPr>
                <w:rFonts w:ascii="Arial" w:hAnsi="Arial" w:cs="Arial"/>
                <w:iCs/>
                <w:sz w:val="16"/>
                <w:szCs w:val="16"/>
              </w:rPr>
              <w:t>Biolegend</w:t>
            </w:r>
          </w:p>
        </w:tc>
      </w:tr>
    </w:tbl>
    <w:p w14:paraId="59EEEB65" w14:textId="11062ECA" w:rsidR="00AF7245" w:rsidRPr="005F6241" w:rsidRDefault="00AF7245" w:rsidP="00AF7245">
      <w:pPr>
        <w:rPr>
          <w:rFonts w:ascii="Arial" w:hAnsi="Arial" w:cs="Arial"/>
          <w:iCs/>
          <w:szCs w:val="24"/>
        </w:rPr>
      </w:pPr>
    </w:p>
    <w:p w14:paraId="10BF7DE9" w14:textId="52182C30" w:rsidR="00B9440A" w:rsidRPr="005F6241" w:rsidRDefault="00B9440A" w:rsidP="004D0957">
      <w:pPr>
        <w:rPr>
          <w:rFonts w:ascii="Arial" w:hAnsi="Arial" w:cs="Arial"/>
          <w:iCs/>
          <w:szCs w:val="24"/>
        </w:rPr>
      </w:pPr>
    </w:p>
    <w:sectPr w:rsidR="00B9440A" w:rsidRPr="005F6241" w:rsidSect="00FD26B3">
      <w:headerReference w:type="even" r:id="rId23"/>
      <w:headerReference w:type="default" r:id="rId24"/>
      <w:footerReference w:type="even" r:id="rId25"/>
      <w:footerReference w:type="default" r:id="rId26"/>
      <w:headerReference w:type="first" r:id="rId27"/>
      <w:footerReference w:type="first" r:id="rId2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A4E41" w14:textId="77777777" w:rsidR="00FD26B3" w:rsidRDefault="00FD26B3">
      <w:r>
        <w:separator/>
      </w:r>
    </w:p>
  </w:endnote>
  <w:endnote w:type="continuationSeparator" w:id="0">
    <w:p w14:paraId="232EE223" w14:textId="77777777" w:rsidR="00FD26B3" w:rsidRDefault="00FD2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4EBB4" w14:textId="77777777" w:rsidR="006659E3" w:rsidRDefault="006659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0"/>
      </w:rPr>
      <w:id w:val="2038226229"/>
      <w:docPartObj>
        <w:docPartGallery w:val="Page Numbers (Bottom of Page)"/>
        <w:docPartUnique/>
      </w:docPartObj>
    </w:sdtPr>
    <w:sdtContent>
      <w:p w14:paraId="4E5A7B0D" w14:textId="27D1A677" w:rsidR="00F1117B" w:rsidRPr="00C4174E" w:rsidRDefault="00F1117B">
        <w:pPr>
          <w:pStyle w:val="Footer"/>
          <w:jc w:val="right"/>
          <w:rPr>
            <w:rFonts w:ascii="Arial" w:hAnsi="Arial" w:cs="Arial"/>
            <w:sz w:val="20"/>
          </w:rPr>
        </w:pPr>
        <w:r w:rsidRPr="00C4174E">
          <w:rPr>
            <w:rFonts w:ascii="Arial" w:hAnsi="Arial" w:cs="Arial"/>
            <w:sz w:val="20"/>
          </w:rPr>
          <w:fldChar w:fldCharType="begin"/>
        </w:r>
        <w:r w:rsidRPr="006659E3">
          <w:rPr>
            <w:rFonts w:ascii="Arial" w:hAnsi="Arial" w:cs="Arial"/>
            <w:sz w:val="20"/>
          </w:rPr>
          <w:instrText>PAGE   \* MERGEFORMAT</w:instrText>
        </w:r>
        <w:r w:rsidRPr="00C4174E">
          <w:rPr>
            <w:rFonts w:ascii="Arial" w:hAnsi="Arial" w:cs="Arial"/>
            <w:sz w:val="20"/>
          </w:rPr>
          <w:fldChar w:fldCharType="separate"/>
        </w:r>
        <w:r w:rsidR="006659E3" w:rsidRPr="006659E3">
          <w:rPr>
            <w:rFonts w:ascii="Arial" w:hAnsi="Arial" w:cs="Arial"/>
            <w:noProof/>
            <w:sz w:val="20"/>
            <w:lang w:val="de-DE"/>
          </w:rPr>
          <w:t>2</w:t>
        </w:r>
        <w:r w:rsidRPr="00C4174E">
          <w:rPr>
            <w:rFonts w:ascii="Arial" w:hAnsi="Arial" w:cs="Arial"/>
            <w:sz w:val="20"/>
          </w:rPr>
          <w:fldChar w:fldCharType="end"/>
        </w:r>
      </w:p>
    </w:sdtContent>
  </w:sdt>
  <w:p w14:paraId="211F3547" w14:textId="77777777" w:rsidR="00F125EE" w:rsidRDefault="00F125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7FE6E" w14:textId="77777777" w:rsidR="006659E3" w:rsidRDefault="006659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53129" w14:textId="77777777" w:rsidR="00FD26B3" w:rsidRDefault="00FD26B3">
      <w:r>
        <w:separator/>
      </w:r>
    </w:p>
  </w:footnote>
  <w:footnote w:type="continuationSeparator" w:id="0">
    <w:p w14:paraId="01D02F10" w14:textId="77777777" w:rsidR="00FD26B3" w:rsidRDefault="00FD26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E4EA5" w14:textId="77777777" w:rsidR="006659E3" w:rsidRDefault="006659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DD242" w14:textId="77777777" w:rsidR="006659E3" w:rsidRDefault="006659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1631128167">
    <w:abstractNumId w:val="9"/>
  </w:num>
  <w:num w:numId="2" w16cid:durableId="1006975688">
    <w:abstractNumId w:val="7"/>
  </w:num>
  <w:num w:numId="3" w16cid:durableId="1821265049">
    <w:abstractNumId w:val="6"/>
  </w:num>
  <w:num w:numId="4" w16cid:durableId="552885554">
    <w:abstractNumId w:val="5"/>
  </w:num>
  <w:num w:numId="5" w16cid:durableId="1722169541">
    <w:abstractNumId w:val="4"/>
  </w:num>
  <w:num w:numId="6" w16cid:durableId="1817994834">
    <w:abstractNumId w:val="8"/>
  </w:num>
  <w:num w:numId="7" w16cid:durableId="929655437">
    <w:abstractNumId w:val="3"/>
  </w:num>
  <w:num w:numId="8" w16cid:durableId="358512840">
    <w:abstractNumId w:val="2"/>
  </w:num>
  <w:num w:numId="9" w16cid:durableId="1293751295">
    <w:abstractNumId w:val="1"/>
  </w:num>
  <w:num w:numId="10" w16cid:durableId="1648968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3B44"/>
    <w:rsid w:val="00083FCC"/>
    <w:rsid w:val="000850DC"/>
    <w:rsid w:val="000C07BF"/>
    <w:rsid w:val="000C2771"/>
    <w:rsid w:val="000D46F4"/>
    <w:rsid w:val="000F0DCE"/>
    <w:rsid w:val="000F6BE3"/>
    <w:rsid w:val="00112C5B"/>
    <w:rsid w:val="00114193"/>
    <w:rsid w:val="00115A38"/>
    <w:rsid w:val="0011687B"/>
    <w:rsid w:val="00124F82"/>
    <w:rsid w:val="00147312"/>
    <w:rsid w:val="0016337A"/>
    <w:rsid w:val="00164269"/>
    <w:rsid w:val="001A1BDE"/>
    <w:rsid w:val="001B13CE"/>
    <w:rsid w:val="001F0876"/>
    <w:rsid w:val="001F167C"/>
    <w:rsid w:val="001F5E91"/>
    <w:rsid w:val="00205B68"/>
    <w:rsid w:val="002077B9"/>
    <w:rsid w:val="00262D72"/>
    <w:rsid w:val="00294FBB"/>
    <w:rsid w:val="002A41C9"/>
    <w:rsid w:val="002C030F"/>
    <w:rsid w:val="002F0FB6"/>
    <w:rsid w:val="0031671A"/>
    <w:rsid w:val="003245D1"/>
    <w:rsid w:val="0032582E"/>
    <w:rsid w:val="00331D75"/>
    <w:rsid w:val="00350559"/>
    <w:rsid w:val="00355362"/>
    <w:rsid w:val="00363E44"/>
    <w:rsid w:val="003659A8"/>
    <w:rsid w:val="003669F9"/>
    <w:rsid w:val="00392402"/>
    <w:rsid w:val="00393BAB"/>
    <w:rsid w:val="00395E86"/>
    <w:rsid w:val="003A2FD8"/>
    <w:rsid w:val="003A4862"/>
    <w:rsid w:val="003B40E6"/>
    <w:rsid w:val="003E74FB"/>
    <w:rsid w:val="003F1323"/>
    <w:rsid w:val="003F5904"/>
    <w:rsid w:val="003F6E14"/>
    <w:rsid w:val="00405336"/>
    <w:rsid w:val="00435ABE"/>
    <w:rsid w:val="004571D5"/>
    <w:rsid w:val="00461D81"/>
    <w:rsid w:val="0046356B"/>
    <w:rsid w:val="00477182"/>
    <w:rsid w:val="004779CB"/>
    <w:rsid w:val="00494D3F"/>
    <w:rsid w:val="004A6F57"/>
    <w:rsid w:val="004D0135"/>
    <w:rsid w:val="004D0957"/>
    <w:rsid w:val="004E42D8"/>
    <w:rsid w:val="004E7BA2"/>
    <w:rsid w:val="004F7EDF"/>
    <w:rsid w:val="005001AC"/>
    <w:rsid w:val="00527D71"/>
    <w:rsid w:val="00533910"/>
    <w:rsid w:val="00536ED9"/>
    <w:rsid w:val="005520A8"/>
    <w:rsid w:val="005607DD"/>
    <w:rsid w:val="005872DB"/>
    <w:rsid w:val="005A558C"/>
    <w:rsid w:val="005D712F"/>
    <w:rsid w:val="005D73A9"/>
    <w:rsid w:val="005E28F8"/>
    <w:rsid w:val="005E6513"/>
    <w:rsid w:val="005F6241"/>
    <w:rsid w:val="006033A3"/>
    <w:rsid w:val="00607B45"/>
    <w:rsid w:val="00607E8E"/>
    <w:rsid w:val="00632CA3"/>
    <w:rsid w:val="006438A5"/>
    <w:rsid w:val="00651114"/>
    <w:rsid w:val="00664560"/>
    <w:rsid w:val="0066586A"/>
    <w:rsid w:val="006659E3"/>
    <w:rsid w:val="00670299"/>
    <w:rsid w:val="00691985"/>
    <w:rsid w:val="00697611"/>
    <w:rsid w:val="006A1B64"/>
    <w:rsid w:val="006D571B"/>
    <w:rsid w:val="007108F5"/>
    <w:rsid w:val="00713113"/>
    <w:rsid w:val="00713E5B"/>
    <w:rsid w:val="007268BC"/>
    <w:rsid w:val="007402FC"/>
    <w:rsid w:val="007411A1"/>
    <w:rsid w:val="0078160A"/>
    <w:rsid w:val="00793072"/>
    <w:rsid w:val="007C45B3"/>
    <w:rsid w:val="007C4BB6"/>
    <w:rsid w:val="007E2786"/>
    <w:rsid w:val="00807D35"/>
    <w:rsid w:val="008218C4"/>
    <w:rsid w:val="0083544A"/>
    <w:rsid w:val="00837C74"/>
    <w:rsid w:val="0084458E"/>
    <w:rsid w:val="00867A98"/>
    <w:rsid w:val="00870867"/>
    <w:rsid w:val="00885C9B"/>
    <w:rsid w:val="00885FDE"/>
    <w:rsid w:val="008D379B"/>
    <w:rsid w:val="008D5D2A"/>
    <w:rsid w:val="008F5732"/>
    <w:rsid w:val="00914B63"/>
    <w:rsid w:val="009354F3"/>
    <w:rsid w:val="009447DC"/>
    <w:rsid w:val="00945471"/>
    <w:rsid w:val="00950234"/>
    <w:rsid w:val="00953E90"/>
    <w:rsid w:val="00961BA5"/>
    <w:rsid w:val="009743A9"/>
    <w:rsid w:val="009A5287"/>
    <w:rsid w:val="009A7C5F"/>
    <w:rsid w:val="009B2AC5"/>
    <w:rsid w:val="009B7984"/>
    <w:rsid w:val="009C356C"/>
    <w:rsid w:val="009F4BED"/>
    <w:rsid w:val="009F5B2D"/>
    <w:rsid w:val="009F7D93"/>
    <w:rsid w:val="00A02E0C"/>
    <w:rsid w:val="00A3403B"/>
    <w:rsid w:val="00A51A12"/>
    <w:rsid w:val="00A53A78"/>
    <w:rsid w:val="00A627D4"/>
    <w:rsid w:val="00A64FC7"/>
    <w:rsid w:val="00A74DA2"/>
    <w:rsid w:val="00A77632"/>
    <w:rsid w:val="00AB0138"/>
    <w:rsid w:val="00AB399E"/>
    <w:rsid w:val="00AC59D0"/>
    <w:rsid w:val="00AD16B1"/>
    <w:rsid w:val="00AD499C"/>
    <w:rsid w:val="00AF7245"/>
    <w:rsid w:val="00B35B90"/>
    <w:rsid w:val="00B36869"/>
    <w:rsid w:val="00B43B31"/>
    <w:rsid w:val="00B47CFA"/>
    <w:rsid w:val="00B574A3"/>
    <w:rsid w:val="00B57F00"/>
    <w:rsid w:val="00B63245"/>
    <w:rsid w:val="00B73C69"/>
    <w:rsid w:val="00B77B2A"/>
    <w:rsid w:val="00B82C22"/>
    <w:rsid w:val="00B93DBA"/>
    <w:rsid w:val="00B9440A"/>
    <w:rsid w:val="00BB2D2A"/>
    <w:rsid w:val="00BC04DE"/>
    <w:rsid w:val="00BC290E"/>
    <w:rsid w:val="00BC3E04"/>
    <w:rsid w:val="00BD05DC"/>
    <w:rsid w:val="00BD58CF"/>
    <w:rsid w:val="00BD597C"/>
    <w:rsid w:val="00BF0C92"/>
    <w:rsid w:val="00C0074E"/>
    <w:rsid w:val="00C01802"/>
    <w:rsid w:val="00C04CC1"/>
    <w:rsid w:val="00C25772"/>
    <w:rsid w:val="00C325AE"/>
    <w:rsid w:val="00C4096C"/>
    <w:rsid w:val="00C4174E"/>
    <w:rsid w:val="00C50C6D"/>
    <w:rsid w:val="00C600D9"/>
    <w:rsid w:val="00C92B22"/>
    <w:rsid w:val="00CC1384"/>
    <w:rsid w:val="00CC4AAE"/>
    <w:rsid w:val="00CD3720"/>
    <w:rsid w:val="00CE595F"/>
    <w:rsid w:val="00CF1848"/>
    <w:rsid w:val="00CF5C2F"/>
    <w:rsid w:val="00CF75FF"/>
    <w:rsid w:val="00D04BCF"/>
    <w:rsid w:val="00D11A56"/>
    <w:rsid w:val="00D143D9"/>
    <w:rsid w:val="00D30C95"/>
    <w:rsid w:val="00D51C15"/>
    <w:rsid w:val="00D5511B"/>
    <w:rsid w:val="00D72EB3"/>
    <w:rsid w:val="00D766F1"/>
    <w:rsid w:val="00D878C9"/>
    <w:rsid w:val="00DD2E17"/>
    <w:rsid w:val="00DF7D88"/>
    <w:rsid w:val="00E257C8"/>
    <w:rsid w:val="00E40A10"/>
    <w:rsid w:val="00E41512"/>
    <w:rsid w:val="00E4519A"/>
    <w:rsid w:val="00E853D5"/>
    <w:rsid w:val="00E9773B"/>
    <w:rsid w:val="00EA6F42"/>
    <w:rsid w:val="00EC13A3"/>
    <w:rsid w:val="00EC78F0"/>
    <w:rsid w:val="00EC7C85"/>
    <w:rsid w:val="00ED2CBE"/>
    <w:rsid w:val="00EF43EA"/>
    <w:rsid w:val="00F10C5D"/>
    <w:rsid w:val="00F1117B"/>
    <w:rsid w:val="00F125EE"/>
    <w:rsid w:val="00F12E98"/>
    <w:rsid w:val="00F22029"/>
    <w:rsid w:val="00F22A3F"/>
    <w:rsid w:val="00F3057A"/>
    <w:rsid w:val="00F515FB"/>
    <w:rsid w:val="00F60AD4"/>
    <w:rsid w:val="00F630EA"/>
    <w:rsid w:val="00F7007E"/>
    <w:rsid w:val="00F73193"/>
    <w:rsid w:val="00F74F95"/>
    <w:rsid w:val="00F80705"/>
    <w:rsid w:val="00FA1481"/>
    <w:rsid w:val="00FD26B3"/>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paragraph" w:customStyle="1" w:styleId="Paragraph">
    <w:name w:val="Paragraph"/>
    <w:basedOn w:val="Normal"/>
    <w:rsid w:val="00CC4AAE"/>
    <w:pPr>
      <w:spacing w:before="120"/>
      <w:ind w:firstLine="720"/>
    </w:pPr>
    <w:rPr>
      <w:szCs w:val="24"/>
    </w:rPr>
  </w:style>
  <w:style w:type="table" w:customStyle="1" w:styleId="TableGrid2">
    <w:name w:val="Table Grid2"/>
    <w:basedOn w:val="TableNormal"/>
    <w:next w:val="TableGrid"/>
    <w:uiPriority w:val="39"/>
    <w:rsid w:val="00AF7245"/>
    <w:rPr>
      <w:rFonts w:asciiTheme="minorHAnsi" w:eastAsia="Arial" w:hAnsiTheme="minorHAnsi" w:cstheme="minorBidi"/>
      <w:sz w:val="22"/>
      <w:szCs w:val="22"/>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F72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AF7245"/>
    <w:rPr>
      <w:rFonts w:asciiTheme="minorHAnsi" w:eastAsia="Arial" w:hAnsiTheme="minorHAnsi" w:cstheme="minorBidi"/>
      <w:sz w:val="22"/>
      <w:szCs w:val="22"/>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325AE"/>
    <w:rPr>
      <w:color w:val="666666"/>
    </w:rPr>
  </w:style>
  <w:style w:type="paragraph" w:customStyle="1" w:styleId="Bibliography1">
    <w:name w:val="Bibliography1"/>
    <w:basedOn w:val="Normal"/>
    <w:rsid w:val="00C325AE"/>
    <w:pPr>
      <w:spacing w:before="100" w:beforeAutospacing="1" w:after="100" w:afterAutospacing="1"/>
    </w:pPr>
    <w:rPr>
      <w:rFonts w:eastAsiaTheme="minorEastAsia"/>
      <w:szCs w:val="24"/>
      <w:lang w:eastAsia="en-GB"/>
    </w:rPr>
  </w:style>
  <w:style w:type="paragraph" w:customStyle="1" w:styleId="Literaturverzeichnis1">
    <w:name w:val="Literaturverzeichnis1"/>
    <w:basedOn w:val="Normal"/>
    <w:rsid w:val="005D73A9"/>
    <w:pPr>
      <w:spacing w:before="100" w:beforeAutospacing="1" w:after="100" w:afterAutospacing="1"/>
    </w:pPr>
    <w:rPr>
      <w:rFonts w:eastAsiaTheme="minorEastAsia"/>
      <w:szCs w:val="24"/>
      <w:lang w:eastAsia="en-GB"/>
    </w:rPr>
  </w:style>
  <w:style w:type="paragraph" w:customStyle="1" w:styleId="Head">
    <w:name w:val="Head"/>
    <w:basedOn w:val="Normal"/>
    <w:rsid w:val="00F1117B"/>
    <w:pPr>
      <w:keepNext/>
      <w:spacing w:before="120" w:after="120"/>
      <w:jc w:val="center"/>
      <w:outlineLvl w:val="0"/>
    </w:pPr>
    <w:rPr>
      <w:b/>
      <w:bCs/>
      <w:kern w:val="28"/>
      <w:sz w:val="28"/>
      <w:szCs w:val="28"/>
    </w:rPr>
  </w:style>
  <w:style w:type="paragraph" w:styleId="Revision">
    <w:name w:val="Revision"/>
    <w:hidden/>
    <w:uiPriority w:val="99"/>
    <w:semiHidden/>
    <w:rsid w:val="00D72EB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21935">
      <w:bodyDiv w:val="1"/>
      <w:marLeft w:val="0"/>
      <w:marRight w:val="0"/>
      <w:marTop w:val="0"/>
      <w:marBottom w:val="0"/>
      <w:divBdr>
        <w:top w:val="none" w:sz="0" w:space="0" w:color="auto"/>
        <w:left w:val="none" w:sz="0" w:space="0" w:color="auto"/>
        <w:bottom w:val="none" w:sz="0" w:space="0" w:color="auto"/>
        <w:right w:val="none" w:sz="0" w:space="0" w:color="auto"/>
      </w:divBdr>
    </w:div>
    <w:div w:id="81997904">
      <w:bodyDiv w:val="1"/>
      <w:marLeft w:val="0"/>
      <w:marRight w:val="0"/>
      <w:marTop w:val="0"/>
      <w:marBottom w:val="0"/>
      <w:divBdr>
        <w:top w:val="none" w:sz="0" w:space="0" w:color="auto"/>
        <w:left w:val="none" w:sz="0" w:space="0" w:color="auto"/>
        <w:bottom w:val="none" w:sz="0" w:space="0" w:color="auto"/>
        <w:right w:val="none" w:sz="0" w:space="0" w:color="auto"/>
      </w:divBdr>
    </w:div>
    <w:div w:id="131487024">
      <w:bodyDiv w:val="1"/>
      <w:marLeft w:val="0"/>
      <w:marRight w:val="0"/>
      <w:marTop w:val="0"/>
      <w:marBottom w:val="0"/>
      <w:divBdr>
        <w:top w:val="none" w:sz="0" w:space="0" w:color="auto"/>
        <w:left w:val="none" w:sz="0" w:space="0" w:color="auto"/>
        <w:bottom w:val="none" w:sz="0" w:space="0" w:color="auto"/>
        <w:right w:val="none" w:sz="0" w:space="0" w:color="auto"/>
      </w:divBdr>
    </w:div>
    <w:div w:id="145974521">
      <w:bodyDiv w:val="1"/>
      <w:marLeft w:val="0"/>
      <w:marRight w:val="0"/>
      <w:marTop w:val="0"/>
      <w:marBottom w:val="0"/>
      <w:divBdr>
        <w:top w:val="none" w:sz="0" w:space="0" w:color="auto"/>
        <w:left w:val="none" w:sz="0" w:space="0" w:color="auto"/>
        <w:bottom w:val="none" w:sz="0" w:space="0" w:color="auto"/>
        <w:right w:val="none" w:sz="0" w:space="0" w:color="auto"/>
      </w:divBdr>
    </w:div>
    <w:div w:id="152644626">
      <w:bodyDiv w:val="1"/>
      <w:marLeft w:val="0"/>
      <w:marRight w:val="0"/>
      <w:marTop w:val="0"/>
      <w:marBottom w:val="0"/>
      <w:divBdr>
        <w:top w:val="none" w:sz="0" w:space="0" w:color="auto"/>
        <w:left w:val="none" w:sz="0" w:space="0" w:color="auto"/>
        <w:bottom w:val="none" w:sz="0" w:space="0" w:color="auto"/>
        <w:right w:val="none" w:sz="0" w:space="0" w:color="auto"/>
      </w:divBdr>
    </w:div>
    <w:div w:id="181093774">
      <w:bodyDiv w:val="1"/>
      <w:marLeft w:val="0"/>
      <w:marRight w:val="0"/>
      <w:marTop w:val="0"/>
      <w:marBottom w:val="0"/>
      <w:divBdr>
        <w:top w:val="none" w:sz="0" w:space="0" w:color="auto"/>
        <w:left w:val="none" w:sz="0" w:space="0" w:color="auto"/>
        <w:bottom w:val="none" w:sz="0" w:space="0" w:color="auto"/>
        <w:right w:val="none" w:sz="0" w:space="0" w:color="auto"/>
      </w:divBdr>
    </w:div>
    <w:div w:id="189539104">
      <w:bodyDiv w:val="1"/>
      <w:marLeft w:val="0"/>
      <w:marRight w:val="0"/>
      <w:marTop w:val="0"/>
      <w:marBottom w:val="0"/>
      <w:divBdr>
        <w:top w:val="none" w:sz="0" w:space="0" w:color="auto"/>
        <w:left w:val="none" w:sz="0" w:space="0" w:color="auto"/>
        <w:bottom w:val="none" w:sz="0" w:space="0" w:color="auto"/>
        <w:right w:val="none" w:sz="0" w:space="0" w:color="auto"/>
      </w:divBdr>
    </w:div>
    <w:div w:id="191383909">
      <w:bodyDiv w:val="1"/>
      <w:marLeft w:val="0"/>
      <w:marRight w:val="0"/>
      <w:marTop w:val="0"/>
      <w:marBottom w:val="0"/>
      <w:divBdr>
        <w:top w:val="none" w:sz="0" w:space="0" w:color="auto"/>
        <w:left w:val="none" w:sz="0" w:space="0" w:color="auto"/>
        <w:bottom w:val="none" w:sz="0" w:space="0" w:color="auto"/>
        <w:right w:val="none" w:sz="0" w:space="0" w:color="auto"/>
      </w:divBdr>
    </w:div>
    <w:div w:id="192348214">
      <w:bodyDiv w:val="1"/>
      <w:marLeft w:val="0"/>
      <w:marRight w:val="0"/>
      <w:marTop w:val="0"/>
      <w:marBottom w:val="0"/>
      <w:divBdr>
        <w:top w:val="none" w:sz="0" w:space="0" w:color="auto"/>
        <w:left w:val="none" w:sz="0" w:space="0" w:color="auto"/>
        <w:bottom w:val="none" w:sz="0" w:space="0" w:color="auto"/>
        <w:right w:val="none" w:sz="0" w:space="0" w:color="auto"/>
      </w:divBdr>
    </w:div>
    <w:div w:id="203710815">
      <w:bodyDiv w:val="1"/>
      <w:marLeft w:val="0"/>
      <w:marRight w:val="0"/>
      <w:marTop w:val="0"/>
      <w:marBottom w:val="0"/>
      <w:divBdr>
        <w:top w:val="none" w:sz="0" w:space="0" w:color="auto"/>
        <w:left w:val="none" w:sz="0" w:space="0" w:color="auto"/>
        <w:bottom w:val="none" w:sz="0" w:space="0" w:color="auto"/>
        <w:right w:val="none" w:sz="0" w:space="0" w:color="auto"/>
      </w:divBdr>
    </w:div>
    <w:div w:id="205876949">
      <w:bodyDiv w:val="1"/>
      <w:marLeft w:val="0"/>
      <w:marRight w:val="0"/>
      <w:marTop w:val="0"/>
      <w:marBottom w:val="0"/>
      <w:divBdr>
        <w:top w:val="none" w:sz="0" w:space="0" w:color="auto"/>
        <w:left w:val="none" w:sz="0" w:space="0" w:color="auto"/>
        <w:bottom w:val="none" w:sz="0" w:space="0" w:color="auto"/>
        <w:right w:val="none" w:sz="0" w:space="0" w:color="auto"/>
      </w:divBdr>
    </w:div>
    <w:div w:id="206573756">
      <w:bodyDiv w:val="1"/>
      <w:marLeft w:val="0"/>
      <w:marRight w:val="0"/>
      <w:marTop w:val="0"/>
      <w:marBottom w:val="0"/>
      <w:divBdr>
        <w:top w:val="none" w:sz="0" w:space="0" w:color="auto"/>
        <w:left w:val="none" w:sz="0" w:space="0" w:color="auto"/>
        <w:bottom w:val="none" w:sz="0" w:space="0" w:color="auto"/>
        <w:right w:val="none" w:sz="0" w:space="0" w:color="auto"/>
      </w:divBdr>
    </w:div>
    <w:div w:id="234583473">
      <w:bodyDiv w:val="1"/>
      <w:marLeft w:val="0"/>
      <w:marRight w:val="0"/>
      <w:marTop w:val="0"/>
      <w:marBottom w:val="0"/>
      <w:divBdr>
        <w:top w:val="none" w:sz="0" w:space="0" w:color="auto"/>
        <w:left w:val="none" w:sz="0" w:space="0" w:color="auto"/>
        <w:bottom w:val="none" w:sz="0" w:space="0" w:color="auto"/>
        <w:right w:val="none" w:sz="0" w:space="0" w:color="auto"/>
      </w:divBdr>
    </w:div>
    <w:div w:id="241180193">
      <w:bodyDiv w:val="1"/>
      <w:marLeft w:val="0"/>
      <w:marRight w:val="0"/>
      <w:marTop w:val="0"/>
      <w:marBottom w:val="0"/>
      <w:divBdr>
        <w:top w:val="none" w:sz="0" w:space="0" w:color="auto"/>
        <w:left w:val="none" w:sz="0" w:space="0" w:color="auto"/>
        <w:bottom w:val="none" w:sz="0" w:space="0" w:color="auto"/>
        <w:right w:val="none" w:sz="0" w:space="0" w:color="auto"/>
      </w:divBdr>
    </w:div>
    <w:div w:id="267781863">
      <w:bodyDiv w:val="1"/>
      <w:marLeft w:val="0"/>
      <w:marRight w:val="0"/>
      <w:marTop w:val="0"/>
      <w:marBottom w:val="0"/>
      <w:divBdr>
        <w:top w:val="none" w:sz="0" w:space="0" w:color="auto"/>
        <w:left w:val="none" w:sz="0" w:space="0" w:color="auto"/>
        <w:bottom w:val="none" w:sz="0" w:space="0" w:color="auto"/>
        <w:right w:val="none" w:sz="0" w:space="0" w:color="auto"/>
      </w:divBdr>
    </w:div>
    <w:div w:id="300355567">
      <w:bodyDiv w:val="1"/>
      <w:marLeft w:val="0"/>
      <w:marRight w:val="0"/>
      <w:marTop w:val="0"/>
      <w:marBottom w:val="0"/>
      <w:divBdr>
        <w:top w:val="none" w:sz="0" w:space="0" w:color="auto"/>
        <w:left w:val="none" w:sz="0" w:space="0" w:color="auto"/>
        <w:bottom w:val="none" w:sz="0" w:space="0" w:color="auto"/>
        <w:right w:val="none" w:sz="0" w:space="0" w:color="auto"/>
      </w:divBdr>
    </w:div>
    <w:div w:id="305934139">
      <w:bodyDiv w:val="1"/>
      <w:marLeft w:val="0"/>
      <w:marRight w:val="0"/>
      <w:marTop w:val="0"/>
      <w:marBottom w:val="0"/>
      <w:divBdr>
        <w:top w:val="none" w:sz="0" w:space="0" w:color="auto"/>
        <w:left w:val="none" w:sz="0" w:space="0" w:color="auto"/>
        <w:bottom w:val="none" w:sz="0" w:space="0" w:color="auto"/>
        <w:right w:val="none" w:sz="0" w:space="0" w:color="auto"/>
      </w:divBdr>
    </w:div>
    <w:div w:id="329404758">
      <w:bodyDiv w:val="1"/>
      <w:marLeft w:val="0"/>
      <w:marRight w:val="0"/>
      <w:marTop w:val="0"/>
      <w:marBottom w:val="0"/>
      <w:divBdr>
        <w:top w:val="none" w:sz="0" w:space="0" w:color="auto"/>
        <w:left w:val="none" w:sz="0" w:space="0" w:color="auto"/>
        <w:bottom w:val="none" w:sz="0" w:space="0" w:color="auto"/>
        <w:right w:val="none" w:sz="0" w:space="0" w:color="auto"/>
      </w:divBdr>
    </w:div>
    <w:div w:id="361441238">
      <w:bodyDiv w:val="1"/>
      <w:marLeft w:val="0"/>
      <w:marRight w:val="0"/>
      <w:marTop w:val="0"/>
      <w:marBottom w:val="0"/>
      <w:divBdr>
        <w:top w:val="none" w:sz="0" w:space="0" w:color="auto"/>
        <w:left w:val="none" w:sz="0" w:space="0" w:color="auto"/>
        <w:bottom w:val="none" w:sz="0" w:space="0" w:color="auto"/>
        <w:right w:val="none" w:sz="0" w:space="0" w:color="auto"/>
      </w:divBdr>
    </w:div>
    <w:div w:id="371544063">
      <w:bodyDiv w:val="1"/>
      <w:marLeft w:val="0"/>
      <w:marRight w:val="0"/>
      <w:marTop w:val="0"/>
      <w:marBottom w:val="0"/>
      <w:divBdr>
        <w:top w:val="none" w:sz="0" w:space="0" w:color="auto"/>
        <w:left w:val="none" w:sz="0" w:space="0" w:color="auto"/>
        <w:bottom w:val="none" w:sz="0" w:space="0" w:color="auto"/>
        <w:right w:val="none" w:sz="0" w:space="0" w:color="auto"/>
      </w:divBdr>
    </w:div>
    <w:div w:id="437796998">
      <w:bodyDiv w:val="1"/>
      <w:marLeft w:val="0"/>
      <w:marRight w:val="0"/>
      <w:marTop w:val="0"/>
      <w:marBottom w:val="0"/>
      <w:divBdr>
        <w:top w:val="none" w:sz="0" w:space="0" w:color="auto"/>
        <w:left w:val="none" w:sz="0" w:space="0" w:color="auto"/>
        <w:bottom w:val="none" w:sz="0" w:space="0" w:color="auto"/>
        <w:right w:val="none" w:sz="0" w:space="0" w:color="auto"/>
      </w:divBdr>
    </w:div>
    <w:div w:id="446848901">
      <w:bodyDiv w:val="1"/>
      <w:marLeft w:val="0"/>
      <w:marRight w:val="0"/>
      <w:marTop w:val="0"/>
      <w:marBottom w:val="0"/>
      <w:divBdr>
        <w:top w:val="none" w:sz="0" w:space="0" w:color="auto"/>
        <w:left w:val="none" w:sz="0" w:space="0" w:color="auto"/>
        <w:bottom w:val="none" w:sz="0" w:space="0" w:color="auto"/>
        <w:right w:val="none" w:sz="0" w:space="0" w:color="auto"/>
      </w:divBdr>
    </w:div>
    <w:div w:id="447090271">
      <w:bodyDiv w:val="1"/>
      <w:marLeft w:val="0"/>
      <w:marRight w:val="0"/>
      <w:marTop w:val="0"/>
      <w:marBottom w:val="0"/>
      <w:divBdr>
        <w:top w:val="none" w:sz="0" w:space="0" w:color="auto"/>
        <w:left w:val="none" w:sz="0" w:space="0" w:color="auto"/>
        <w:bottom w:val="none" w:sz="0" w:space="0" w:color="auto"/>
        <w:right w:val="none" w:sz="0" w:space="0" w:color="auto"/>
      </w:divBdr>
    </w:div>
    <w:div w:id="448940790">
      <w:bodyDiv w:val="1"/>
      <w:marLeft w:val="0"/>
      <w:marRight w:val="0"/>
      <w:marTop w:val="0"/>
      <w:marBottom w:val="0"/>
      <w:divBdr>
        <w:top w:val="none" w:sz="0" w:space="0" w:color="auto"/>
        <w:left w:val="none" w:sz="0" w:space="0" w:color="auto"/>
        <w:bottom w:val="none" w:sz="0" w:space="0" w:color="auto"/>
        <w:right w:val="none" w:sz="0" w:space="0" w:color="auto"/>
      </w:divBdr>
    </w:div>
    <w:div w:id="473567311">
      <w:bodyDiv w:val="1"/>
      <w:marLeft w:val="0"/>
      <w:marRight w:val="0"/>
      <w:marTop w:val="0"/>
      <w:marBottom w:val="0"/>
      <w:divBdr>
        <w:top w:val="none" w:sz="0" w:space="0" w:color="auto"/>
        <w:left w:val="none" w:sz="0" w:space="0" w:color="auto"/>
        <w:bottom w:val="none" w:sz="0" w:space="0" w:color="auto"/>
        <w:right w:val="none" w:sz="0" w:space="0" w:color="auto"/>
      </w:divBdr>
    </w:div>
    <w:div w:id="486557718">
      <w:bodyDiv w:val="1"/>
      <w:marLeft w:val="0"/>
      <w:marRight w:val="0"/>
      <w:marTop w:val="0"/>
      <w:marBottom w:val="0"/>
      <w:divBdr>
        <w:top w:val="none" w:sz="0" w:space="0" w:color="auto"/>
        <w:left w:val="none" w:sz="0" w:space="0" w:color="auto"/>
        <w:bottom w:val="none" w:sz="0" w:space="0" w:color="auto"/>
        <w:right w:val="none" w:sz="0" w:space="0" w:color="auto"/>
      </w:divBdr>
    </w:div>
    <w:div w:id="549727950">
      <w:bodyDiv w:val="1"/>
      <w:marLeft w:val="0"/>
      <w:marRight w:val="0"/>
      <w:marTop w:val="0"/>
      <w:marBottom w:val="0"/>
      <w:divBdr>
        <w:top w:val="none" w:sz="0" w:space="0" w:color="auto"/>
        <w:left w:val="none" w:sz="0" w:space="0" w:color="auto"/>
        <w:bottom w:val="none" w:sz="0" w:space="0" w:color="auto"/>
        <w:right w:val="none" w:sz="0" w:space="0" w:color="auto"/>
      </w:divBdr>
    </w:div>
    <w:div w:id="595403377">
      <w:bodyDiv w:val="1"/>
      <w:marLeft w:val="0"/>
      <w:marRight w:val="0"/>
      <w:marTop w:val="0"/>
      <w:marBottom w:val="0"/>
      <w:divBdr>
        <w:top w:val="none" w:sz="0" w:space="0" w:color="auto"/>
        <w:left w:val="none" w:sz="0" w:space="0" w:color="auto"/>
        <w:bottom w:val="none" w:sz="0" w:space="0" w:color="auto"/>
        <w:right w:val="none" w:sz="0" w:space="0" w:color="auto"/>
      </w:divBdr>
    </w:div>
    <w:div w:id="623850114">
      <w:bodyDiv w:val="1"/>
      <w:marLeft w:val="0"/>
      <w:marRight w:val="0"/>
      <w:marTop w:val="0"/>
      <w:marBottom w:val="0"/>
      <w:divBdr>
        <w:top w:val="none" w:sz="0" w:space="0" w:color="auto"/>
        <w:left w:val="none" w:sz="0" w:space="0" w:color="auto"/>
        <w:bottom w:val="none" w:sz="0" w:space="0" w:color="auto"/>
        <w:right w:val="none" w:sz="0" w:space="0" w:color="auto"/>
      </w:divBdr>
    </w:div>
    <w:div w:id="659191824">
      <w:bodyDiv w:val="1"/>
      <w:marLeft w:val="0"/>
      <w:marRight w:val="0"/>
      <w:marTop w:val="0"/>
      <w:marBottom w:val="0"/>
      <w:divBdr>
        <w:top w:val="none" w:sz="0" w:space="0" w:color="auto"/>
        <w:left w:val="none" w:sz="0" w:space="0" w:color="auto"/>
        <w:bottom w:val="none" w:sz="0" w:space="0" w:color="auto"/>
        <w:right w:val="none" w:sz="0" w:space="0" w:color="auto"/>
      </w:divBdr>
    </w:div>
    <w:div w:id="683016914">
      <w:bodyDiv w:val="1"/>
      <w:marLeft w:val="0"/>
      <w:marRight w:val="0"/>
      <w:marTop w:val="0"/>
      <w:marBottom w:val="0"/>
      <w:divBdr>
        <w:top w:val="none" w:sz="0" w:space="0" w:color="auto"/>
        <w:left w:val="none" w:sz="0" w:space="0" w:color="auto"/>
        <w:bottom w:val="none" w:sz="0" w:space="0" w:color="auto"/>
        <w:right w:val="none" w:sz="0" w:space="0" w:color="auto"/>
      </w:divBdr>
    </w:div>
    <w:div w:id="689064290">
      <w:bodyDiv w:val="1"/>
      <w:marLeft w:val="0"/>
      <w:marRight w:val="0"/>
      <w:marTop w:val="0"/>
      <w:marBottom w:val="0"/>
      <w:divBdr>
        <w:top w:val="none" w:sz="0" w:space="0" w:color="auto"/>
        <w:left w:val="none" w:sz="0" w:space="0" w:color="auto"/>
        <w:bottom w:val="none" w:sz="0" w:space="0" w:color="auto"/>
        <w:right w:val="none" w:sz="0" w:space="0" w:color="auto"/>
      </w:divBdr>
    </w:div>
    <w:div w:id="738988329">
      <w:bodyDiv w:val="1"/>
      <w:marLeft w:val="0"/>
      <w:marRight w:val="0"/>
      <w:marTop w:val="0"/>
      <w:marBottom w:val="0"/>
      <w:divBdr>
        <w:top w:val="none" w:sz="0" w:space="0" w:color="auto"/>
        <w:left w:val="none" w:sz="0" w:space="0" w:color="auto"/>
        <w:bottom w:val="none" w:sz="0" w:space="0" w:color="auto"/>
        <w:right w:val="none" w:sz="0" w:space="0" w:color="auto"/>
      </w:divBdr>
    </w:div>
    <w:div w:id="749155560">
      <w:bodyDiv w:val="1"/>
      <w:marLeft w:val="0"/>
      <w:marRight w:val="0"/>
      <w:marTop w:val="0"/>
      <w:marBottom w:val="0"/>
      <w:divBdr>
        <w:top w:val="none" w:sz="0" w:space="0" w:color="auto"/>
        <w:left w:val="none" w:sz="0" w:space="0" w:color="auto"/>
        <w:bottom w:val="none" w:sz="0" w:space="0" w:color="auto"/>
        <w:right w:val="none" w:sz="0" w:space="0" w:color="auto"/>
      </w:divBdr>
    </w:div>
    <w:div w:id="781261270">
      <w:bodyDiv w:val="1"/>
      <w:marLeft w:val="0"/>
      <w:marRight w:val="0"/>
      <w:marTop w:val="0"/>
      <w:marBottom w:val="0"/>
      <w:divBdr>
        <w:top w:val="none" w:sz="0" w:space="0" w:color="auto"/>
        <w:left w:val="none" w:sz="0" w:space="0" w:color="auto"/>
        <w:bottom w:val="none" w:sz="0" w:space="0" w:color="auto"/>
        <w:right w:val="none" w:sz="0" w:space="0" w:color="auto"/>
      </w:divBdr>
    </w:div>
    <w:div w:id="844589787">
      <w:bodyDiv w:val="1"/>
      <w:marLeft w:val="0"/>
      <w:marRight w:val="0"/>
      <w:marTop w:val="0"/>
      <w:marBottom w:val="0"/>
      <w:divBdr>
        <w:top w:val="none" w:sz="0" w:space="0" w:color="auto"/>
        <w:left w:val="none" w:sz="0" w:space="0" w:color="auto"/>
        <w:bottom w:val="none" w:sz="0" w:space="0" w:color="auto"/>
        <w:right w:val="none" w:sz="0" w:space="0" w:color="auto"/>
      </w:divBdr>
    </w:div>
    <w:div w:id="886798537">
      <w:bodyDiv w:val="1"/>
      <w:marLeft w:val="0"/>
      <w:marRight w:val="0"/>
      <w:marTop w:val="0"/>
      <w:marBottom w:val="0"/>
      <w:divBdr>
        <w:top w:val="none" w:sz="0" w:space="0" w:color="auto"/>
        <w:left w:val="none" w:sz="0" w:space="0" w:color="auto"/>
        <w:bottom w:val="none" w:sz="0" w:space="0" w:color="auto"/>
        <w:right w:val="none" w:sz="0" w:space="0" w:color="auto"/>
      </w:divBdr>
    </w:div>
    <w:div w:id="896742009">
      <w:bodyDiv w:val="1"/>
      <w:marLeft w:val="0"/>
      <w:marRight w:val="0"/>
      <w:marTop w:val="0"/>
      <w:marBottom w:val="0"/>
      <w:divBdr>
        <w:top w:val="none" w:sz="0" w:space="0" w:color="auto"/>
        <w:left w:val="none" w:sz="0" w:space="0" w:color="auto"/>
        <w:bottom w:val="none" w:sz="0" w:space="0" w:color="auto"/>
        <w:right w:val="none" w:sz="0" w:space="0" w:color="auto"/>
      </w:divBdr>
    </w:div>
    <w:div w:id="927618492">
      <w:bodyDiv w:val="1"/>
      <w:marLeft w:val="0"/>
      <w:marRight w:val="0"/>
      <w:marTop w:val="0"/>
      <w:marBottom w:val="0"/>
      <w:divBdr>
        <w:top w:val="none" w:sz="0" w:space="0" w:color="auto"/>
        <w:left w:val="none" w:sz="0" w:space="0" w:color="auto"/>
        <w:bottom w:val="none" w:sz="0" w:space="0" w:color="auto"/>
        <w:right w:val="none" w:sz="0" w:space="0" w:color="auto"/>
      </w:divBdr>
    </w:div>
    <w:div w:id="938027005">
      <w:bodyDiv w:val="1"/>
      <w:marLeft w:val="0"/>
      <w:marRight w:val="0"/>
      <w:marTop w:val="0"/>
      <w:marBottom w:val="0"/>
      <w:divBdr>
        <w:top w:val="none" w:sz="0" w:space="0" w:color="auto"/>
        <w:left w:val="none" w:sz="0" w:space="0" w:color="auto"/>
        <w:bottom w:val="none" w:sz="0" w:space="0" w:color="auto"/>
        <w:right w:val="none" w:sz="0" w:space="0" w:color="auto"/>
      </w:divBdr>
    </w:div>
    <w:div w:id="938560432">
      <w:bodyDiv w:val="1"/>
      <w:marLeft w:val="0"/>
      <w:marRight w:val="0"/>
      <w:marTop w:val="0"/>
      <w:marBottom w:val="0"/>
      <w:divBdr>
        <w:top w:val="none" w:sz="0" w:space="0" w:color="auto"/>
        <w:left w:val="none" w:sz="0" w:space="0" w:color="auto"/>
        <w:bottom w:val="none" w:sz="0" w:space="0" w:color="auto"/>
        <w:right w:val="none" w:sz="0" w:space="0" w:color="auto"/>
      </w:divBdr>
    </w:div>
    <w:div w:id="993683130">
      <w:bodyDiv w:val="1"/>
      <w:marLeft w:val="0"/>
      <w:marRight w:val="0"/>
      <w:marTop w:val="0"/>
      <w:marBottom w:val="0"/>
      <w:divBdr>
        <w:top w:val="none" w:sz="0" w:space="0" w:color="auto"/>
        <w:left w:val="none" w:sz="0" w:space="0" w:color="auto"/>
        <w:bottom w:val="none" w:sz="0" w:space="0" w:color="auto"/>
        <w:right w:val="none" w:sz="0" w:space="0" w:color="auto"/>
      </w:divBdr>
    </w:div>
    <w:div w:id="1009219193">
      <w:bodyDiv w:val="1"/>
      <w:marLeft w:val="0"/>
      <w:marRight w:val="0"/>
      <w:marTop w:val="0"/>
      <w:marBottom w:val="0"/>
      <w:divBdr>
        <w:top w:val="none" w:sz="0" w:space="0" w:color="auto"/>
        <w:left w:val="none" w:sz="0" w:space="0" w:color="auto"/>
        <w:bottom w:val="none" w:sz="0" w:space="0" w:color="auto"/>
        <w:right w:val="none" w:sz="0" w:space="0" w:color="auto"/>
      </w:divBdr>
    </w:div>
    <w:div w:id="1023703088">
      <w:bodyDiv w:val="1"/>
      <w:marLeft w:val="0"/>
      <w:marRight w:val="0"/>
      <w:marTop w:val="0"/>
      <w:marBottom w:val="0"/>
      <w:divBdr>
        <w:top w:val="none" w:sz="0" w:space="0" w:color="auto"/>
        <w:left w:val="none" w:sz="0" w:space="0" w:color="auto"/>
        <w:bottom w:val="none" w:sz="0" w:space="0" w:color="auto"/>
        <w:right w:val="none" w:sz="0" w:space="0" w:color="auto"/>
      </w:divBdr>
    </w:div>
    <w:div w:id="1025523342">
      <w:bodyDiv w:val="1"/>
      <w:marLeft w:val="0"/>
      <w:marRight w:val="0"/>
      <w:marTop w:val="0"/>
      <w:marBottom w:val="0"/>
      <w:divBdr>
        <w:top w:val="none" w:sz="0" w:space="0" w:color="auto"/>
        <w:left w:val="none" w:sz="0" w:space="0" w:color="auto"/>
        <w:bottom w:val="none" w:sz="0" w:space="0" w:color="auto"/>
        <w:right w:val="none" w:sz="0" w:space="0" w:color="auto"/>
      </w:divBdr>
    </w:div>
    <w:div w:id="1035425688">
      <w:bodyDiv w:val="1"/>
      <w:marLeft w:val="0"/>
      <w:marRight w:val="0"/>
      <w:marTop w:val="0"/>
      <w:marBottom w:val="0"/>
      <w:divBdr>
        <w:top w:val="none" w:sz="0" w:space="0" w:color="auto"/>
        <w:left w:val="none" w:sz="0" w:space="0" w:color="auto"/>
        <w:bottom w:val="none" w:sz="0" w:space="0" w:color="auto"/>
        <w:right w:val="none" w:sz="0" w:space="0" w:color="auto"/>
      </w:divBdr>
    </w:div>
    <w:div w:id="1046494105">
      <w:bodyDiv w:val="1"/>
      <w:marLeft w:val="0"/>
      <w:marRight w:val="0"/>
      <w:marTop w:val="0"/>
      <w:marBottom w:val="0"/>
      <w:divBdr>
        <w:top w:val="none" w:sz="0" w:space="0" w:color="auto"/>
        <w:left w:val="none" w:sz="0" w:space="0" w:color="auto"/>
        <w:bottom w:val="none" w:sz="0" w:space="0" w:color="auto"/>
        <w:right w:val="none" w:sz="0" w:space="0" w:color="auto"/>
      </w:divBdr>
    </w:div>
    <w:div w:id="1054156743">
      <w:bodyDiv w:val="1"/>
      <w:marLeft w:val="0"/>
      <w:marRight w:val="0"/>
      <w:marTop w:val="0"/>
      <w:marBottom w:val="0"/>
      <w:divBdr>
        <w:top w:val="none" w:sz="0" w:space="0" w:color="auto"/>
        <w:left w:val="none" w:sz="0" w:space="0" w:color="auto"/>
        <w:bottom w:val="none" w:sz="0" w:space="0" w:color="auto"/>
        <w:right w:val="none" w:sz="0" w:space="0" w:color="auto"/>
      </w:divBdr>
    </w:div>
    <w:div w:id="1056009050">
      <w:bodyDiv w:val="1"/>
      <w:marLeft w:val="0"/>
      <w:marRight w:val="0"/>
      <w:marTop w:val="0"/>
      <w:marBottom w:val="0"/>
      <w:divBdr>
        <w:top w:val="none" w:sz="0" w:space="0" w:color="auto"/>
        <w:left w:val="none" w:sz="0" w:space="0" w:color="auto"/>
        <w:bottom w:val="none" w:sz="0" w:space="0" w:color="auto"/>
        <w:right w:val="none" w:sz="0" w:space="0" w:color="auto"/>
      </w:divBdr>
    </w:div>
    <w:div w:id="1092432589">
      <w:bodyDiv w:val="1"/>
      <w:marLeft w:val="0"/>
      <w:marRight w:val="0"/>
      <w:marTop w:val="0"/>
      <w:marBottom w:val="0"/>
      <w:divBdr>
        <w:top w:val="none" w:sz="0" w:space="0" w:color="auto"/>
        <w:left w:val="none" w:sz="0" w:space="0" w:color="auto"/>
        <w:bottom w:val="none" w:sz="0" w:space="0" w:color="auto"/>
        <w:right w:val="none" w:sz="0" w:space="0" w:color="auto"/>
      </w:divBdr>
    </w:div>
    <w:div w:id="1111361809">
      <w:bodyDiv w:val="1"/>
      <w:marLeft w:val="0"/>
      <w:marRight w:val="0"/>
      <w:marTop w:val="0"/>
      <w:marBottom w:val="0"/>
      <w:divBdr>
        <w:top w:val="none" w:sz="0" w:space="0" w:color="auto"/>
        <w:left w:val="none" w:sz="0" w:space="0" w:color="auto"/>
        <w:bottom w:val="none" w:sz="0" w:space="0" w:color="auto"/>
        <w:right w:val="none" w:sz="0" w:space="0" w:color="auto"/>
      </w:divBdr>
    </w:div>
    <w:div w:id="1149201640">
      <w:bodyDiv w:val="1"/>
      <w:marLeft w:val="0"/>
      <w:marRight w:val="0"/>
      <w:marTop w:val="0"/>
      <w:marBottom w:val="0"/>
      <w:divBdr>
        <w:top w:val="none" w:sz="0" w:space="0" w:color="auto"/>
        <w:left w:val="none" w:sz="0" w:space="0" w:color="auto"/>
        <w:bottom w:val="none" w:sz="0" w:space="0" w:color="auto"/>
        <w:right w:val="none" w:sz="0" w:space="0" w:color="auto"/>
      </w:divBdr>
    </w:div>
    <w:div w:id="1159082672">
      <w:bodyDiv w:val="1"/>
      <w:marLeft w:val="0"/>
      <w:marRight w:val="0"/>
      <w:marTop w:val="0"/>
      <w:marBottom w:val="0"/>
      <w:divBdr>
        <w:top w:val="none" w:sz="0" w:space="0" w:color="auto"/>
        <w:left w:val="none" w:sz="0" w:space="0" w:color="auto"/>
        <w:bottom w:val="none" w:sz="0" w:space="0" w:color="auto"/>
        <w:right w:val="none" w:sz="0" w:space="0" w:color="auto"/>
      </w:divBdr>
    </w:div>
    <w:div w:id="1235168830">
      <w:bodyDiv w:val="1"/>
      <w:marLeft w:val="0"/>
      <w:marRight w:val="0"/>
      <w:marTop w:val="0"/>
      <w:marBottom w:val="0"/>
      <w:divBdr>
        <w:top w:val="none" w:sz="0" w:space="0" w:color="auto"/>
        <w:left w:val="none" w:sz="0" w:space="0" w:color="auto"/>
        <w:bottom w:val="none" w:sz="0" w:space="0" w:color="auto"/>
        <w:right w:val="none" w:sz="0" w:space="0" w:color="auto"/>
      </w:divBdr>
    </w:div>
    <w:div w:id="1245527922">
      <w:bodyDiv w:val="1"/>
      <w:marLeft w:val="0"/>
      <w:marRight w:val="0"/>
      <w:marTop w:val="0"/>
      <w:marBottom w:val="0"/>
      <w:divBdr>
        <w:top w:val="none" w:sz="0" w:space="0" w:color="auto"/>
        <w:left w:val="none" w:sz="0" w:space="0" w:color="auto"/>
        <w:bottom w:val="none" w:sz="0" w:space="0" w:color="auto"/>
        <w:right w:val="none" w:sz="0" w:space="0" w:color="auto"/>
      </w:divBdr>
    </w:div>
    <w:div w:id="1277905138">
      <w:bodyDiv w:val="1"/>
      <w:marLeft w:val="0"/>
      <w:marRight w:val="0"/>
      <w:marTop w:val="0"/>
      <w:marBottom w:val="0"/>
      <w:divBdr>
        <w:top w:val="none" w:sz="0" w:space="0" w:color="auto"/>
        <w:left w:val="none" w:sz="0" w:space="0" w:color="auto"/>
        <w:bottom w:val="none" w:sz="0" w:space="0" w:color="auto"/>
        <w:right w:val="none" w:sz="0" w:space="0" w:color="auto"/>
      </w:divBdr>
    </w:div>
    <w:div w:id="1280378409">
      <w:bodyDiv w:val="1"/>
      <w:marLeft w:val="0"/>
      <w:marRight w:val="0"/>
      <w:marTop w:val="0"/>
      <w:marBottom w:val="0"/>
      <w:divBdr>
        <w:top w:val="none" w:sz="0" w:space="0" w:color="auto"/>
        <w:left w:val="none" w:sz="0" w:space="0" w:color="auto"/>
        <w:bottom w:val="none" w:sz="0" w:space="0" w:color="auto"/>
        <w:right w:val="none" w:sz="0" w:space="0" w:color="auto"/>
      </w:divBdr>
    </w:div>
    <w:div w:id="1306008703">
      <w:bodyDiv w:val="1"/>
      <w:marLeft w:val="0"/>
      <w:marRight w:val="0"/>
      <w:marTop w:val="0"/>
      <w:marBottom w:val="0"/>
      <w:divBdr>
        <w:top w:val="none" w:sz="0" w:space="0" w:color="auto"/>
        <w:left w:val="none" w:sz="0" w:space="0" w:color="auto"/>
        <w:bottom w:val="none" w:sz="0" w:space="0" w:color="auto"/>
        <w:right w:val="none" w:sz="0" w:space="0" w:color="auto"/>
      </w:divBdr>
    </w:div>
    <w:div w:id="1339426851">
      <w:bodyDiv w:val="1"/>
      <w:marLeft w:val="0"/>
      <w:marRight w:val="0"/>
      <w:marTop w:val="0"/>
      <w:marBottom w:val="0"/>
      <w:divBdr>
        <w:top w:val="none" w:sz="0" w:space="0" w:color="auto"/>
        <w:left w:val="none" w:sz="0" w:space="0" w:color="auto"/>
        <w:bottom w:val="none" w:sz="0" w:space="0" w:color="auto"/>
        <w:right w:val="none" w:sz="0" w:space="0" w:color="auto"/>
      </w:divBdr>
    </w:div>
    <w:div w:id="1357199099">
      <w:bodyDiv w:val="1"/>
      <w:marLeft w:val="0"/>
      <w:marRight w:val="0"/>
      <w:marTop w:val="0"/>
      <w:marBottom w:val="0"/>
      <w:divBdr>
        <w:top w:val="none" w:sz="0" w:space="0" w:color="auto"/>
        <w:left w:val="none" w:sz="0" w:space="0" w:color="auto"/>
        <w:bottom w:val="none" w:sz="0" w:space="0" w:color="auto"/>
        <w:right w:val="none" w:sz="0" w:space="0" w:color="auto"/>
      </w:divBdr>
    </w:div>
    <w:div w:id="1366754320">
      <w:bodyDiv w:val="1"/>
      <w:marLeft w:val="0"/>
      <w:marRight w:val="0"/>
      <w:marTop w:val="0"/>
      <w:marBottom w:val="0"/>
      <w:divBdr>
        <w:top w:val="none" w:sz="0" w:space="0" w:color="auto"/>
        <w:left w:val="none" w:sz="0" w:space="0" w:color="auto"/>
        <w:bottom w:val="none" w:sz="0" w:space="0" w:color="auto"/>
        <w:right w:val="none" w:sz="0" w:space="0" w:color="auto"/>
      </w:divBdr>
    </w:div>
    <w:div w:id="1378972300">
      <w:bodyDiv w:val="1"/>
      <w:marLeft w:val="0"/>
      <w:marRight w:val="0"/>
      <w:marTop w:val="0"/>
      <w:marBottom w:val="0"/>
      <w:divBdr>
        <w:top w:val="none" w:sz="0" w:space="0" w:color="auto"/>
        <w:left w:val="none" w:sz="0" w:space="0" w:color="auto"/>
        <w:bottom w:val="none" w:sz="0" w:space="0" w:color="auto"/>
        <w:right w:val="none" w:sz="0" w:space="0" w:color="auto"/>
      </w:divBdr>
    </w:div>
    <w:div w:id="1420251164">
      <w:bodyDiv w:val="1"/>
      <w:marLeft w:val="0"/>
      <w:marRight w:val="0"/>
      <w:marTop w:val="0"/>
      <w:marBottom w:val="0"/>
      <w:divBdr>
        <w:top w:val="none" w:sz="0" w:space="0" w:color="auto"/>
        <w:left w:val="none" w:sz="0" w:space="0" w:color="auto"/>
        <w:bottom w:val="none" w:sz="0" w:space="0" w:color="auto"/>
        <w:right w:val="none" w:sz="0" w:space="0" w:color="auto"/>
      </w:divBdr>
    </w:div>
    <w:div w:id="1463572351">
      <w:bodyDiv w:val="1"/>
      <w:marLeft w:val="0"/>
      <w:marRight w:val="0"/>
      <w:marTop w:val="0"/>
      <w:marBottom w:val="0"/>
      <w:divBdr>
        <w:top w:val="none" w:sz="0" w:space="0" w:color="auto"/>
        <w:left w:val="none" w:sz="0" w:space="0" w:color="auto"/>
        <w:bottom w:val="none" w:sz="0" w:space="0" w:color="auto"/>
        <w:right w:val="none" w:sz="0" w:space="0" w:color="auto"/>
      </w:divBdr>
    </w:div>
    <w:div w:id="1487085897">
      <w:bodyDiv w:val="1"/>
      <w:marLeft w:val="0"/>
      <w:marRight w:val="0"/>
      <w:marTop w:val="0"/>
      <w:marBottom w:val="0"/>
      <w:divBdr>
        <w:top w:val="none" w:sz="0" w:space="0" w:color="auto"/>
        <w:left w:val="none" w:sz="0" w:space="0" w:color="auto"/>
        <w:bottom w:val="none" w:sz="0" w:space="0" w:color="auto"/>
        <w:right w:val="none" w:sz="0" w:space="0" w:color="auto"/>
      </w:divBdr>
    </w:div>
    <w:div w:id="1490243008">
      <w:bodyDiv w:val="1"/>
      <w:marLeft w:val="0"/>
      <w:marRight w:val="0"/>
      <w:marTop w:val="0"/>
      <w:marBottom w:val="0"/>
      <w:divBdr>
        <w:top w:val="none" w:sz="0" w:space="0" w:color="auto"/>
        <w:left w:val="none" w:sz="0" w:space="0" w:color="auto"/>
        <w:bottom w:val="none" w:sz="0" w:space="0" w:color="auto"/>
        <w:right w:val="none" w:sz="0" w:space="0" w:color="auto"/>
      </w:divBdr>
    </w:div>
    <w:div w:id="1521045766">
      <w:bodyDiv w:val="1"/>
      <w:marLeft w:val="0"/>
      <w:marRight w:val="0"/>
      <w:marTop w:val="0"/>
      <w:marBottom w:val="0"/>
      <w:divBdr>
        <w:top w:val="none" w:sz="0" w:space="0" w:color="auto"/>
        <w:left w:val="none" w:sz="0" w:space="0" w:color="auto"/>
        <w:bottom w:val="none" w:sz="0" w:space="0" w:color="auto"/>
        <w:right w:val="none" w:sz="0" w:space="0" w:color="auto"/>
      </w:divBdr>
    </w:div>
    <w:div w:id="1533957904">
      <w:bodyDiv w:val="1"/>
      <w:marLeft w:val="0"/>
      <w:marRight w:val="0"/>
      <w:marTop w:val="0"/>
      <w:marBottom w:val="0"/>
      <w:divBdr>
        <w:top w:val="none" w:sz="0" w:space="0" w:color="auto"/>
        <w:left w:val="none" w:sz="0" w:space="0" w:color="auto"/>
        <w:bottom w:val="none" w:sz="0" w:space="0" w:color="auto"/>
        <w:right w:val="none" w:sz="0" w:space="0" w:color="auto"/>
      </w:divBdr>
    </w:div>
    <w:div w:id="1565337693">
      <w:bodyDiv w:val="1"/>
      <w:marLeft w:val="0"/>
      <w:marRight w:val="0"/>
      <w:marTop w:val="0"/>
      <w:marBottom w:val="0"/>
      <w:divBdr>
        <w:top w:val="none" w:sz="0" w:space="0" w:color="auto"/>
        <w:left w:val="none" w:sz="0" w:space="0" w:color="auto"/>
        <w:bottom w:val="none" w:sz="0" w:space="0" w:color="auto"/>
        <w:right w:val="none" w:sz="0" w:space="0" w:color="auto"/>
      </w:divBdr>
    </w:div>
    <w:div w:id="1570769189">
      <w:bodyDiv w:val="1"/>
      <w:marLeft w:val="0"/>
      <w:marRight w:val="0"/>
      <w:marTop w:val="0"/>
      <w:marBottom w:val="0"/>
      <w:divBdr>
        <w:top w:val="none" w:sz="0" w:space="0" w:color="auto"/>
        <w:left w:val="none" w:sz="0" w:space="0" w:color="auto"/>
        <w:bottom w:val="none" w:sz="0" w:space="0" w:color="auto"/>
        <w:right w:val="none" w:sz="0" w:space="0" w:color="auto"/>
      </w:divBdr>
    </w:div>
    <w:div w:id="1588731993">
      <w:bodyDiv w:val="1"/>
      <w:marLeft w:val="0"/>
      <w:marRight w:val="0"/>
      <w:marTop w:val="0"/>
      <w:marBottom w:val="0"/>
      <w:divBdr>
        <w:top w:val="none" w:sz="0" w:space="0" w:color="auto"/>
        <w:left w:val="none" w:sz="0" w:space="0" w:color="auto"/>
        <w:bottom w:val="none" w:sz="0" w:space="0" w:color="auto"/>
        <w:right w:val="none" w:sz="0" w:space="0" w:color="auto"/>
      </w:divBdr>
    </w:div>
    <w:div w:id="1610433232">
      <w:bodyDiv w:val="1"/>
      <w:marLeft w:val="0"/>
      <w:marRight w:val="0"/>
      <w:marTop w:val="0"/>
      <w:marBottom w:val="0"/>
      <w:divBdr>
        <w:top w:val="none" w:sz="0" w:space="0" w:color="auto"/>
        <w:left w:val="none" w:sz="0" w:space="0" w:color="auto"/>
        <w:bottom w:val="none" w:sz="0" w:space="0" w:color="auto"/>
        <w:right w:val="none" w:sz="0" w:space="0" w:color="auto"/>
      </w:divBdr>
    </w:div>
    <w:div w:id="1629504391">
      <w:bodyDiv w:val="1"/>
      <w:marLeft w:val="0"/>
      <w:marRight w:val="0"/>
      <w:marTop w:val="0"/>
      <w:marBottom w:val="0"/>
      <w:divBdr>
        <w:top w:val="none" w:sz="0" w:space="0" w:color="auto"/>
        <w:left w:val="none" w:sz="0" w:space="0" w:color="auto"/>
        <w:bottom w:val="none" w:sz="0" w:space="0" w:color="auto"/>
        <w:right w:val="none" w:sz="0" w:space="0" w:color="auto"/>
      </w:divBdr>
    </w:div>
    <w:div w:id="1657421205">
      <w:bodyDiv w:val="1"/>
      <w:marLeft w:val="0"/>
      <w:marRight w:val="0"/>
      <w:marTop w:val="0"/>
      <w:marBottom w:val="0"/>
      <w:divBdr>
        <w:top w:val="none" w:sz="0" w:space="0" w:color="auto"/>
        <w:left w:val="none" w:sz="0" w:space="0" w:color="auto"/>
        <w:bottom w:val="none" w:sz="0" w:space="0" w:color="auto"/>
        <w:right w:val="none" w:sz="0" w:space="0" w:color="auto"/>
      </w:divBdr>
    </w:div>
    <w:div w:id="1679232568">
      <w:bodyDiv w:val="1"/>
      <w:marLeft w:val="0"/>
      <w:marRight w:val="0"/>
      <w:marTop w:val="0"/>
      <w:marBottom w:val="0"/>
      <w:divBdr>
        <w:top w:val="none" w:sz="0" w:space="0" w:color="auto"/>
        <w:left w:val="none" w:sz="0" w:space="0" w:color="auto"/>
        <w:bottom w:val="none" w:sz="0" w:space="0" w:color="auto"/>
        <w:right w:val="none" w:sz="0" w:space="0" w:color="auto"/>
      </w:divBdr>
    </w:div>
    <w:div w:id="1705012112">
      <w:bodyDiv w:val="1"/>
      <w:marLeft w:val="0"/>
      <w:marRight w:val="0"/>
      <w:marTop w:val="0"/>
      <w:marBottom w:val="0"/>
      <w:divBdr>
        <w:top w:val="none" w:sz="0" w:space="0" w:color="auto"/>
        <w:left w:val="none" w:sz="0" w:space="0" w:color="auto"/>
        <w:bottom w:val="none" w:sz="0" w:space="0" w:color="auto"/>
        <w:right w:val="none" w:sz="0" w:space="0" w:color="auto"/>
      </w:divBdr>
    </w:div>
    <w:div w:id="1710567389">
      <w:bodyDiv w:val="1"/>
      <w:marLeft w:val="0"/>
      <w:marRight w:val="0"/>
      <w:marTop w:val="0"/>
      <w:marBottom w:val="0"/>
      <w:divBdr>
        <w:top w:val="none" w:sz="0" w:space="0" w:color="auto"/>
        <w:left w:val="none" w:sz="0" w:space="0" w:color="auto"/>
        <w:bottom w:val="none" w:sz="0" w:space="0" w:color="auto"/>
        <w:right w:val="none" w:sz="0" w:space="0" w:color="auto"/>
      </w:divBdr>
    </w:div>
    <w:div w:id="1735741811">
      <w:bodyDiv w:val="1"/>
      <w:marLeft w:val="0"/>
      <w:marRight w:val="0"/>
      <w:marTop w:val="0"/>
      <w:marBottom w:val="0"/>
      <w:divBdr>
        <w:top w:val="none" w:sz="0" w:space="0" w:color="auto"/>
        <w:left w:val="none" w:sz="0" w:space="0" w:color="auto"/>
        <w:bottom w:val="none" w:sz="0" w:space="0" w:color="auto"/>
        <w:right w:val="none" w:sz="0" w:space="0" w:color="auto"/>
      </w:divBdr>
    </w:div>
    <w:div w:id="1749113134">
      <w:bodyDiv w:val="1"/>
      <w:marLeft w:val="0"/>
      <w:marRight w:val="0"/>
      <w:marTop w:val="0"/>
      <w:marBottom w:val="0"/>
      <w:divBdr>
        <w:top w:val="none" w:sz="0" w:space="0" w:color="auto"/>
        <w:left w:val="none" w:sz="0" w:space="0" w:color="auto"/>
        <w:bottom w:val="none" w:sz="0" w:space="0" w:color="auto"/>
        <w:right w:val="none" w:sz="0" w:space="0" w:color="auto"/>
      </w:divBdr>
    </w:div>
    <w:div w:id="1819033579">
      <w:bodyDiv w:val="1"/>
      <w:marLeft w:val="0"/>
      <w:marRight w:val="0"/>
      <w:marTop w:val="0"/>
      <w:marBottom w:val="0"/>
      <w:divBdr>
        <w:top w:val="none" w:sz="0" w:space="0" w:color="auto"/>
        <w:left w:val="none" w:sz="0" w:space="0" w:color="auto"/>
        <w:bottom w:val="none" w:sz="0" w:space="0" w:color="auto"/>
        <w:right w:val="none" w:sz="0" w:space="0" w:color="auto"/>
      </w:divBdr>
    </w:div>
    <w:div w:id="1830903454">
      <w:bodyDiv w:val="1"/>
      <w:marLeft w:val="0"/>
      <w:marRight w:val="0"/>
      <w:marTop w:val="0"/>
      <w:marBottom w:val="0"/>
      <w:divBdr>
        <w:top w:val="none" w:sz="0" w:space="0" w:color="auto"/>
        <w:left w:val="none" w:sz="0" w:space="0" w:color="auto"/>
        <w:bottom w:val="none" w:sz="0" w:space="0" w:color="auto"/>
        <w:right w:val="none" w:sz="0" w:space="0" w:color="auto"/>
      </w:divBdr>
    </w:div>
    <w:div w:id="1919754972">
      <w:bodyDiv w:val="1"/>
      <w:marLeft w:val="0"/>
      <w:marRight w:val="0"/>
      <w:marTop w:val="0"/>
      <w:marBottom w:val="0"/>
      <w:divBdr>
        <w:top w:val="none" w:sz="0" w:space="0" w:color="auto"/>
        <w:left w:val="none" w:sz="0" w:space="0" w:color="auto"/>
        <w:bottom w:val="none" w:sz="0" w:space="0" w:color="auto"/>
        <w:right w:val="none" w:sz="0" w:space="0" w:color="auto"/>
      </w:divBdr>
    </w:div>
    <w:div w:id="1953786281">
      <w:bodyDiv w:val="1"/>
      <w:marLeft w:val="0"/>
      <w:marRight w:val="0"/>
      <w:marTop w:val="0"/>
      <w:marBottom w:val="0"/>
      <w:divBdr>
        <w:top w:val="none" w:sz="0" w:space="0" w:color="auto"/>
        <w:left w:val="none" w:sz="0" w:space="0" w:color="auto"/>
        <w:bottom w:val="none" w:sz="0" w:space="0" w:color="auto"/>
        <w:right w:val="none" w:sz="0" w:space="0" w:color="auto"/>
      </w:divBdr>
    </w:div>
    <w:div w:id="1956018815">
      <w:bodyDiv w:val="1"/>
      <w:marLeft w:val="0"/>
      <w:marRight w:val="0"/>
      <w:marTop w:val="0"/>
      <w:marBottom w:val="0"/>
      <w:divBdr>
        <w:top w:val="none" w:sz="0" w:space="0" w:color="auto"/>
        <w:left w:val="none" w:sz="0" w:space="0" w:color="auto"/>
        <w:bottom w:val="none" w:sz="0" w:space="0" w:color="auto"/>
        <w:right w:val="none" w:sz="0" w:space="0" w:color="auto"/>
      </w:divBdr>
    </w:div>
    <w:div w:id="1958179932">
      <w:bodyDiv w:val="1"/>
      <w:marLeft w:val="0"/>
      <w:marRight w:val="0"/>
      <w:marTop w:val="0"/>
      <w:marBottom w:val="0"/>
      <w:divBdr>
        <w:top w:val="none" w:sz="0" w:space="0" w:color="auto"/>
        <w:left w:val="none" w:sz="0" w:space="0" w:color="auto"/>
        <w:bottom w:val="none" w:sz="0" w:space="0" w:color="auto"/>
        <w:right w:val="none" w:sz="0" w:space="0" w:color="auto"/>
      </w:divBdr>
    </w:div>
    <w:div w:id="1963613574">
      <w:bodyDiv w:val="1"/>
      <w:marLeft w:val="0"/>
      <w:marRight w:val="0"/>
      <w:marTop w:val="0"/>
      <w:marBottom w:val="0"/>
      <w:divBdr>
        <w:top w:val="none" w:sz="0" w:space="0" w:color="auto"/>
        <w:left w:val="none" w:sz="0" w:space="0" w:color="auto"/>
        <w:bottom w:val="none" w:sz="0" w:space="0" w:color="auto"/>
        <w:right w:val="none" w:sz="0" w:space="0" w:color="auto"/>
      </w:divBdr>
    </w:div>
    <w:div w:id="1975720371">
      <w:bodyDiv w:val="1"/>
      <w:marLeft w:val="0"/>
      <w:marRight w:val="0"/>
      <w:marTop w:val="0"/>
      <w:marBottom w:val="0"/>
      <w:divBdr>
        <w:top w:val="none" w:sz="0" w:space="0" w:color="auto"/>
        <w:left w:val="none" w:sz="0" w:space="0" w:color="auto"/>
        <w:bottom w:val="none" w:sz="0" w:space="0" w:color="auto"/>
        <w:right w:val="none" w:sz="0" w:space="0" w:color="auto"/>
      </w:divBdr>
    </w:div>
    <w:div w:id="1990209654">
      <w:bodyDiv w:val="1"/>
      <w:marLeft w:val="0"/>
      <w:marRight w:val="0"/>
      <w:marTop w:val="0"/>
      <w:marBottom w:val="0"/>
      <w:divBdr>
        <w:top w:val="none" w:sz="0" w:space="0" w:color="auto"/>
        <w:left w:val="none" w:sz="0" w:space="0" w:color="auto"/>
        <w:bottom w:val="none" w:sz="0" w:space="0" w:color="auto"/>
        <w:right w:val="none" w:sz="0" w:space="0" w:color="auto"/>
      </w:divBdr>
    </w:div>
    <w:div w:id="1992102109">
      <w:bodyDiv w:val="1"/>
      <w:marLeft w:val="0"/>
      <w:marRight w:val="0"/>
      <w:marTop w:val="0"/>
      <w:marBottom w:val="0"/>
      <w:divBdr>
        <w:top w:val="none" w:sz="0" w:space="0" w:color="auto"/>
        <w:left w:val="none" w:sz="0" w:space="0" w:color="auto"/>
        <w:bottom w:val="none" w:sz="0" w:space="0" w:color="auto"/>
        <w:right w:val="none" w:sz="0" w:space="0" w:color="auto"/>
      </w:divBdr>
    </w:div>
    <w:div w:id="2025129176">
      <w:bodyDiv w:val="1"/>
      <w:marLeft w:val="0"/>
      <w:marRight w:val="0"/>
      <w:marTop w:val="0"/>
      <w:marBottom w:val="0"/>
      <w:divBdr>
        <w:top w:val="none" w:sz="0" w:space="0" w:color="auto"/>
        <w:left w:val="none" w:sz="0" w:space="0" w:color="auto"/>
        <w:bottom w:val="none" w:sz="0" w:space="0" w:color="auto"/>
        <w:right w:val="none" w:sz="0" w:space="0" w:color="auto"/>
      </w:divBdr>
    </w:div>
    <w:div w:id="2035496342">
      <w:bodyDiv w:val="1"/>
      <w:marLeft w:val="0"/>
      <w:marRight w:val="0"/>
      <w:marTop w:val="0"/>
      <w:marBottom w:val="0"/>
      <w:divBdr>
        <w:top w:val="none" w:sz="0" w:space="0" w:color="auto"/>
        <w:left w:val="none" w:sz="0" w:space="0" w:color="auto"/>
        <w:bottom w:val="none" w:sz="0" w:space="0" w:color="auto"/>
        <w:right w:val="none" w:sz="0" w:space="0" w:color="auto"/>
      </w:divBdr>
    </w:div>
    <w:div w:id="2088383909">
      <w:bodyDiv w:val="1"/>
      <w:marLeft w:val="0"/>
      <w:marRight w:val="0"/>
      <w:marTop w:val="0"/>
      <w:marBottom w:val="0"/>
      <w:divBdr>
        <w:top w:val="none" w:sz="0" w:space="0" w:color="auto"/>
        <w:left w:val="none" w:sz="0" w:space="0" w:color="auto"/>
        <w:bottom w:val="none" w:sz="0" w:space="0" w:color="auto"/>
        <w:right w:val="none" w:sz="0" w:space="0" w:color="auto"/>
      </w:divBdr>
    </w:div>
    <w:div w:id="2122797670">
      <w:bodyDiv w:val="1"/>
      <w:marLeft w:val="0"/>
      <w:marRight w:val="0"/>
      <w:marTop w:val="0"/>
      <w:marBottom w:val="0"/>
      <w:divBdr>
        <w:top w:val="none" w:sz="0" w:space="0" w:color="auto"/>
        <w:left w:val="none" w:sz="0" w:space="0" w:color="auto"/>
        <w:bottom w:val="none" w:sz="0" w:space="0" w:color="auto"/>
        <w:right w:val="none" w:sz="0" w:space="0" w:color="auto"/>
      </w:divBdr>
    </w:div>
    <w:div w:id="214276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image" Target="media/image10.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9.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image" Target="media/image12.tiff"/><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A21B31E-C02A-1046-96EE-F107AEEB7DBB}">
  <we:reference id="wa104380917" version="1.0.1.0" store="en-US"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2AEA26-82C2-4D18-9710-6F26D3945A56}">
  <ds:schemaRefs>
    <ds:schemaRef ds:uri="http://schemas.openxmlformats.org/officeDocument/2006/bibliography"/>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4.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2098</Words>
  <Characters>12300</Characters>
  <Application>Microsoft Office Word</Application>
  <DocSecurity>0</DocSecurity>
  <Lines>205</Lines>
  <Paragraphs>41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Laura Volta</cp:lastModifiedBy>
  <cp:revision>3</cp:revision>
  <cp:lastPrinted>2018-01-11T19:53:00Z</cp:lastPrinted>
  <dcterms:created xsi:type="dcterms:W3CDTF">2024-05-12T08:43:00Z</dcterms:created>
  <dcterms:modified xsi:type="dcterms:W3CDTF">2024-05-12T08:44:00Z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