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7CF4D" w14:textId="77777777" w:rsidR="00EC7C85" w:rsidRDefault="00EC7C85" w:rsidP="00F125EE">
      <w:pPr>
        <w:rPr>
          <w:sz w:val="36"/>
          <w:szCs w:val="36"/>
        </w:rPr>
      </w:pPr>
    </w:p>
    <w:p w14:paraId="31C337D1" w14:textId="2866271E" w:rsidR="00D04BCF" w:rsidRPr="00E67F5D" w:rsidRDefault="00F34B75" w:rsidP="00FA1481">
      <w:pPr>
        <w:jc w:val="center"/>
        <w:rPr>
          <w:sz w:val="28"/>
          <w:szCs w:val="28"/>
        </w:rPr>
      </w:pPr>
      <w:r w:rsidRPr="00E67F5D">
        <w:rPr>
          <w:sz w:val="28"/>
          <w:szCs w:val="28"/>
        </w:rPr>
        <w:t xml:space="preserve">Extended data figures and tables </w:t>
      </w:r>
      <w:r w:rsidR="009743A9" w:rsidRPr="00E67F5D">
        <w:rPr>
          <w:sz w:val="28"/>
          <w:szCs w:val="28"/>
        </w:rPr>
        <w:t>for</w:t>
      </w:r>
    </w:p>
    <w:p w14:paraId="29411C5A" w14:textId="77777777" w:rsidR="005001AC" w:rsidRPr="00E67F5D" w:rsidRDefault="005001AC">
      <w:pPr>
        <w:rPr>
          <w:sz w:val="28"/>
          <w:szCs w:val="28"/>
        </w:rPr>
      </w:pPr>
    </w:p>
    <w:p w14:paraId="1282938F" w14:textId="70E3F789" w:rsidR="00E67F5D" w:rsidRPr="00E67F5D" w:rsidRDefault="00E67F5D" w:rsidP="00E67F5D">
      <w:pPr>
        <w:jc w:val="center"/>
        <w:rPr>
          <w:b/>
          <w:bCs/>
          <w:sz w:val="28"/>
          <w:szCs w:val="28"/>
        </w:rPr>
      </w:pPr>
      <w:r w:rsidRPr="00E67F5D">
        <w:rPr>
          <w:b/>
          <w:bCs/>
          <w:sz w:val="28"/>
          <w:szCs w:val="28"/>
        </w:rPr>
        <w:t xml:space="preserve">Human tNeurons reveal </w:t>
      </w:r>
      <w:r w:rsidR="00B41B81">
        <w:rPr>
          <w:b/>
          <w:bCs/>
          <w:sz w:val="28"/>
          <w:szCs w:val="28"/>
        </w:rPr>
        <w:t xml:space="preserve">aging-linked </w:t>
      </w:r>
      <w:r w:rsidRPr="00E67F5D">
        <w:rPr>
          <w:b/>
          <w:bCs/>
          <w:sz w:val="28"/>
          <w:szCs w:val="28"/>
        </w:rPr>
        <w:t>proteostasis deficits driving Alzheimer’s phenotypes</w:t>
      </w:r>
    </w:p>
    <w:p w14:paraId="339B31F7" w14:textId="77777777" w:rsidR="00015F74" w:rsidRPr="007108F5" w:rsidRDefault="00015F74" w:rsidP="003B40E6">
      <w:pPr>
        <w:jc w:val="center"/>
        <w:rPr>
          <w:sz w:val="28"/>
          <w:szCs w:val="28"/>
        </w:rPr>
      </w:pPr>
    </w:p>
    <w:p w14:paraId="582AA5B7" w14:textId="5E8A68B4" w:rsidR="0004340B" w:rsidRPr="0004340B" w:rsidRDefault="0004340B" w:rsidP="0004340B">
      <w:pPr>
        <w:jc w:val="center"/>
        <w:rPr>
          <w:szCs w:val="24"/>
        </w:rPr>
      </w:pPr>
      <w:r w:rsidRPr="0004340B">
        <w:rPr>
          <w:szCs w:val="24"/>
        </w:rPr>
        <w:t>Ching-Chieh Chou, Ryan Vest, Miguel A. Prado, Joshua Wilson-Grady, Joao A. Paulo, Yohei Shibuya, Patricia Moran-Losada, Ting-Ting Lee, Jian Luo, Steven P. Gygi, Jeffery W. Kelly, Daniel Finley, Marius Wernig, Tony Wyss-Coray, Judith Frydman</w:t>
      </w:r>
    </w:p>
    <w:p w14:paraId="0648E06D" w14:textId="77777777" w:rsidR="000F0DCE" w:rsidRDefault="000F0DCE" w:rsidP="005001AC">
      <w:pPr>
        <w:jc w:val="center"/>
        <w:rPr>
          <w:szCs w:val="24"/>
        </w:rPr>
      </w:pPr>
    </w:p>
    <w:p w14:paraId="34D67477" w14:textId="4B895D17" w:rsidR="004779CB" w:rsidRDefault="00E4519A" w:rsidP="005001AC">
      <w:pPr>
        <w:jc w:val="center"/>
        <w:rPr>
          <w:szCs w:val="24"/>
        </w:rPr>
      </w:pPr>
      <w:r>
        <w:rPr>
          <w:szCs w:val="24"/>
        </w:rPr>
        <w:t>Correspond</w:t>
      </w:r>
      <w:r w:rsidR="00F4427B">
        <w:rPr>
          <w:szCs w:val="24"/>
        </w:rPr>
        <w:t>ing author</w:t>
      </w:r>
      <w:r w:rsidR="004779CB">
        <w:rPr>
          <w:szCs w:val="24"/>
        </w:rPr>
        <w:t>:</w:t>
      </w:r>
      <w:r w:rsidR="00BC3E04">
        <w:rPr>
          <w:szCs w:val="24"/>
        </w:rPr>
        <w:t xml:space="preserve"> </w:t>
      </w:r>
      <w:r w:rsidR="0004340B" w:rsidRPr="0004340B">
        <w:t>cchou6@stanford.edu (C.-C.C.), jfrydman@stanford.edu (J.F.)</w:t>
      </w:r>
    </w:p>
    <w:p w14:paraId="223EBBEB" w14:textId="77777777" w:rsidR="002C030F" w:rsidRDefault="002C030F"/>
    <w:p w14:paraId="5BBBF32C" w14:textId="77777777" w:rsidR="00015F74" w:rsidRDefault="00015F74">
      <w:pPr>
        <w:rPr>
          <w:b/>
        </w:rPr>
      </w:pPr>
    </w:p>
    <w:p w14:paraId="546CBFCA" w14:textId="4FE42C5F" w:rsidR="002C030F" w:rsidRPr="00262D72" w:rsidRDefault="009743A9">
      <w:pPr>
        <w:rPr>
          <w:b/>
        </w:rPr>
      </w:pPr>
      <w:r>
        <w:rPr>
          <w:b/>
        </w:rPr>
        <w:t>Th</w:t>
      </w:r>
      <w:r w:rsidR="006B024D">
        <w:rPr>
          <w:b/>
        </w:rPr>
        <w:t>e</w:t>
      </w:r>
      <w:r>
        <w:rPr>
          <w:b/>
        </w:rPr>
        <w:t xml:space="preserve"> PDF file </w:t>
      </w:r>
      <w:r w:rsidR="002C030F" w:rsidRPr="00262D72">
        <w:rPr>
          <w:b/>
        </w:rPr>
        <w:t>includes:</w:t>
      </w:r>
    </w:p>
    <w:p w14:paraId="6B069C4B" w14:textId="77777777" w:rsidR="002C030F" w:rsidRDefault="002C030F"/>
    <w:p w14:paraId="4235C75A" w14:textId="11BA14BB" w:rsidR="007D6A8D" w:rsidRDefault="007D6A8D" w:rsidP="00AA73CD">
      <w:pPr>
        <w:ind w:left="720"/>
      </w:pPr>
      <w:r w:rsidRPr="007D6A8D">
        <w:t xml:space="preserve">Extended </w:t>
      </w:r>
      <w:r w:rsidR="00633DE2">
        <w:t>D</w:t>
      </w:r>
      <w:r w:rsidRPr="007D6A8D">
        <w:t xml:space="preserve">ata </w:t>
      </w:r>
      <w:r w:rsidR="00633DE2">
        <w:t>F</w:t>
      </w:r>
      <w:r w:rsidRPr="007D6A8D">
        <w:t>ig</w:t>
      </w:r>
      <w:r w:rsidR="000E7709">
        <w:t>ure</w:t>
      </w:r>
      <w:r w:rsidR="00235519">
        <w:t xml:space="preserve"> 1-14</w:t>
      </w:r>
    </w:p>
    <w:p w14:paraId="3BBEC8A2" w14:textId="2AB9FDA3" w:rsidR="00AA73CD" w:rsidRPr="00AA73CD" w:rsidRDefault="007D6A8D" w:rsidP="00AA73CD">
      <w:pPr>
        <w:ind w:left="720"/>
      </w:pPr>
      <w:r w:rsidRPr="007D6A8D">
        <w:t xml:space="preserve">Extended </w:t>
      </w:r>
      <w:r w:rsidR="00633DE2">
        <w:t>D</w:t>
      </w:r>
      <w:r w:rsidRPr="007D6A8D">
        <w:t xml:space="preserve">ata </w:t>
      </w:r>
      <w:r w:rsidR="00AA73CD" w:rsidRPr="00AA73CD">
        <w:t>Table</w:t>
      </w:r>
      <w:r w:rsidR="00633DE2">
        <w:t xml:space="preserve"> </w:t>
      </w:r>
      <w:r w:rsidR="0020211B">
        <w:t>1-4</w:t>
      </w:r>
    </w:p>
    <w:p w14:paraId="68691C5A" w14:textId="77777777" w:rsidR="00065EBD" w:rsidRDefault="00065EBD" w:rsidP="00AA73CD"/>
    <w:p w14:paraId="23718CE0" w14:textId="77777777" w:rsidR="00015F74" w:rsidRDefault="00015F74" w:rsidP="00262D72">
      <w:pPr>
        <w:ind w:left="720"/>
      </w:pPr>
      <w:r>
        <w:br/>
      </w:r>
    </w:p>
    <w:p w14:paraId="25DDDAC6" w14:textId="4D2C6FA9" w:rsidR="00F56715" w:rsidRPr="00F56715" w:rsidRDefault="00015F74" w:rsidP="00236951">
      <w:pPr>
        <w:pStyle w:val="SMHeading"/>
      </w:pPr>
      <w:r>
        <w:br w:type="page"/>
      </w:r>
      <w:bookmarkStart w:id="0" w:name="Tables"/>
      <w:bookmarkStart w:id="1" w:name="MaterialsMethods"/>
      <w:bookmarkEnd w:id="0"/>
      <w:bookmarkEnd w:id="1"/>
    </w:p>
    <w:p w14:paraId="4A8C22C8" w14:textId="7CBA02AE" w:rsidR="00C87215" w:rsidRPr="00836767" w:rsidRDefault="005D46DF" w:rsidP="00C87215">
      <w:pPr>
        <w:autoSpaceDE w:val="0"/>
        <w:autoSpaceDN w:val="0"/>
        <w:adjustRightInd w:val="0"/>
        <w:spacing w:line="360" w:lineRule="auto"/>
        <w:jc w:val="center"/>
        <w:rPr>
          <w:rFonts w:ascii="Arial" w:hAnsi="Arial" w:cs="Arial"/>
          <w:b/>
          <w:bCs/>
          <w:color w:val="000000" w:themeColor="text1"/>
          <w:sz w:val="22"/>
          <w:szCs w:val="22"/>
        </w:rPr>
      </w:pPr>
      <w:r w:rsidRPr="005D46DF">
        <w:rPr>
          <w:rFonts w:ascii="Arial" w:hAnsi="Arial" w:cs="Arial"/>
          <w:b/>
          <w:bCs/>
          <w:noProof/>
          <w:color w:val="000000" w:themeColor="text1"/>
          <w:sz w:val="22"/>
          <w:szCs w:val="22"/>
        </w:rPr>
        <w:lastRenderedPageBreak/>
        <w:drawing>
          <wp:inline distT="0" distB="0" distL="0" distR="0" wp14:anchorId="0705DA14" wp14:editId="01107CDE">
            <wp:extent cx="5486400" cy="4149969"/>
            <wp:effectExtent l="0" t="0" r="0" b="3175"/>
            <wp:docPr id="460629464" name="Picture 1" descr="A collage of images of different typ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629464" name="Picture 1" descr="A collage of images of different types of cells&#10;&#10;Description automatically generated"/>
                    <pic:cNvPicPr/>
                  </pic:nvPicPr>
                  <pic:blipFill>
                    <a:blip r:embed="rId7"/>
                    <a:stretch>
                      <a:fillRect/>
                    </a:stretch>
                  </pic:blipFill>
                  <pic:spPr>
                    <a:xfrm>
                      <a:off x="0" y="0"/>
                      <a:ext cx="5486400" cy="4149969"/>
                    </a:xfrm>
                    <a:prstGeom prst="rect">
                      <a:avLst/>
                    </a:prstGeom>
                  </pic:spPr>
                </pic:pic>
              </a:graphicData>
            </a:graphic>
          </wp:inline>
        </w:drawing>
      </w:r>
    </w:p>
    <w:p w14:paraId="7D1F2573" w14:textId="77777777" w:rsidR="00C87215" w:rsidRPr="00C87215" w:rsidRDefault="00C87215" w:rsidP="00C87215">
      <w:pPr>
        <w:autoSpaceDE w:val="0"/>
        <w:autoSpaceDN w:val="0"/>
        <w:adjustRightInd w:val="0"/>
        <w:rPr>
          <w:b/>
          <w:bCs/>
          <w:color w:val="000000" w:themeColor="text1"/>
          <w:szCs w:val="24"/>
        </w:rPr>
      </w:pPr>
    </w:p>
    <w:p w14:paraId="3738B202" w14:textId="64503812" w:rsidR="00F91BCB" w:rsidRPr="00C87215" w:rsidRDefault="000130C3" w:rsidP="00C87215">
      <w:pPr>
        <w:rPr>
          <w:b/>
          <w:bCs/>
          <w:color w:val="000000" w:themeColor="text1"/>
          <w:szCs w:val="24"/>
        </w:rPr>
      </w:pPr>
      <w:r w:rsidRPr="000130C3">
        <w:rPr>
          <w:b/>
          <w:bCs/>
          <w:color w:val="000000" w:themeColor="text1"/>
          <w:szCs w:val="24"/>
        </w:rPr>
        <w:t>Extended Data Fig.</w:t>
      </w:r>
      <w:r w:rsidR="00C87215" w:rsidRPr="00C87215">
        <w:rPr>
          <w:b/>
          <w:bCs/>
          <w:color w:val="000000" w:themeColor="text1"/>
          <w:szCs w:val="24"/>
        </w:rPr>
        <w:t>1 Proteostasis signatures of aging and Alzheimer’s disease (AD) are present in human adult fibroblasts.</w:t>
      </w:r>
    </w:p>
    <w:p w14:paraId="470E5DDE" w14:textId="046671CA" w:rsidR="00C87215" w:rsidRPr="00C87215" w:rsidRDefault="00C87215" w:rsidP="00C87215">
      <w:pPr>
        <w:rPr>
          <w:color w:val="000000" w:themeColor="text1"/>
          <w:szCs w:val="24"/>
        </w:rPr>
      </w:pPr>
      <w:r w:rsidRPr="00C87215">
        <w:rPr>
          <w:b/>
          <w:bCs/>
          <w:color w:val="000000" w:themeColor="text1"/>
          <w:szCs w:val="24"/>
        </w:rPr>
        <w:t>(</w:t>
      </w:r>
      <w:r w:rsidR="005E660A">
        <w:rPr>
          <w:b/>
          <w:bCs/>
          <w:color w:val="000000" w:themeColor="text1"/>
          <w:szCs w:val="24"/>
        </w:rPr>
        <w:t>a</w:t>
      </w:r>
      <w:r w:rsidRPr="00C87215">
        <w:rPr>
          <w:b/>
          <w:bCs/>
          <w:color w:val="000000" w:themeColor="text1"/>
          <w:szCs w:val="24"/>
        </w:rPr>
        <w:t>)</w:t>
      </w:r>
      <w:r w:rsidRPr="00C87215">
        <w:rPr>
          <w:color w:val="000000" w:themeColor="text1"/>
          <w:szCs w:val="24"/>
        </w:rPr>
        <w:t xml:space="preserve"> Representative images of endogenous ubiquitin and p62/SQSTM1 in young fibroblasts treated with DMSO control (Ctrl), proteasome inhibitor Bortezomib (BTZ, 25 nM) or autophagy inhibitor Chloroquine (CQ, 25 µM) for 24 hr. Insert: higher magnification view of ubiquitin and p62/SQSTM1. Scale bar: 40 μm.</w:t>
      </w:r>
    </w:p>
    <w:p w14:paraId="0D33DF06" w14:textId="393E9058" w:rsidR="00C87215" w:rsidRPr="00C87215" w:rsidRDefault="00C87215" w:rsidP="00C87215">
      <w:pPr>
        <w:rPr>
          <w:color w:val="000000" w:themeColor="text1"/>
          <w:szCs w:val="24"/>
        </w:rPr>
      </w:pPr>
      <w:r w:rsidRPr="00C87215">
        <w:rPr>
          <w:b/>
          <w:bCs/>
          <w:color w:val="000000" w:themeColor="text1"/>
          <w:szCs w:val="24"/>
        </w:rPr>
        <w:t>(</w:t>
      </w:r>
      <w:r w:rsidR="005E660A">
        <w:rPr>
          <w:b/>
          <w:bCs/>
          <w:color w:val="000000" w:themeColor="text1"/>
          <w:szCs w:val="24"/>
        </w:rPr>
        <w:t>b</w:t>
      </w:r>
      <w:r w:rsidRPr="00C87215">
        <w:rPr>
          <w:b/>
          <w:bCs/>
          <w:color w:val="000000" w:themeColor="text1"/>
          <w:szCs w:val="24"/>
        </w:rPr>
        <w:t>)</w:t>
      </w:r>
      <w:r w:rsidRPr="00C87215">
        <w:rPr>
          <w:color w:val="000000" w:themeColor="text1"/>
          <w:szCs w:val="24"/>
        </w:rPr>
        <w:t xml:space="preserve"> Immunofluorescence (IF) quantification of proteostasis markers shown in panel (</w:t>
      </w:r>
      <w:r w:rsidR="005E660A">
        <w:rPr>
          <w:color w:val="000000" w:themeColor="text1"/>
          <w:szCs w:val="24"/>
        </w:rPr>
        <w:t>a</w:t>
      </w:r>
      <w:r w:rsidRPr="00C87215">
        <w:rPr>
          <w:color w:val="000000" w:themeColor="text1"/>
          <w:szCs w:val="24"/>
        </w:rPr>
        <w:t>) for changes in ubiquitin and p62/SQSTM1 by the treatment of BTZ and CQ, respectively, in young, aged and aged/sAD fibroblasts. Data represent as fold changes in ubiquitin and p62/SQSTM1 levels (% of area per image field) relative to young fibroblasts treated with DMSO Ctrl.</w:t>
      </w:r>
    </w:p>
    <w:p w14:paraId="51C3F8BA" w14:textId="77777777" w:rsidR="004A0D56" w:rsidRDefault="004A0D56" w:rsidP="00C87215">
      <w:pPr>
        <w:rPr>
          <w:color w:val="000000" w:themeColor="text1"/>
          <w:szCs w:val="24"/>
        </w:rPr>
      </w:pPr>
    </w:p>
    <w:p w14:paraId="19FFA6B3" w14:textId="4BE95739" w:rsidR="00C87215" w:rsidRPr="00C87215" w:rsidRDefault="00C87215" w:rsidP="00C87215">
      <w:pPr>
        <w:rPr>
          <w:color w:val="000000" w:themeColor="text1"/>
          <w:szCs w:val="24"/>
        </w:rPr>
      </w:pPr>
      <w:r w:rsidRPr="00C87215">
        <w:rPr>
          <w:color w:val="000000" w:themeColor="text1"/>
          <w:szCs w:val="24"/>
        </w:rPr>
        <w:t>Data show box-and-whisker plots of 3 independent experiments and cells from 3 independent healthy control (HC) and AD donors. Box-and-whisker plots depict 5th, 25th, 50, 75th and 95th percentiles. Differences between groups are compared with Two-Way ANOVA followed by Bonferroni post-hoc analysis. **P &lt; 0.01 and ***P &lt; 0.001.</w:t>
      </w:r>
    </w:p>
    <w:p w14:paraId="7FAAD95F" w14:textId="77777777" w:rsidR="00C87215" w:rsidRPr="00C87215" w:rsidRDefault="00C87215" w:rsidP="00C87215">
      <w:pPr>
        <w:rPr>
          <w:color w:val="000000" w:themeColor="text1"/>
          <w:szCs w:val="24"/>
        </w:rPr>
      </w:pPr>
      <w:r w:rsidRPr="00C87215">
        <w:rPr>
          <w:color w:val="000000" w:themeColor="text1"/>
          <w:szCs w:val="24"/>
        </w:rPr>
        <w:br w:type="page"/>
      </w:r>
    </w:p>
    <w:p w14:paraId="58620221" w14:textId="65831998" w:rsidR="00C87215" w:rsidRPr="00C87215" w:rsidRDefault="00864339" w:rsidP="00C87215">
      <w:pPr>
        <w:rPr>
          <w:b/>
          <w:bCs/>
          <w:color w:val="000000" w:themeColor="text1"/>
          <w:szCs w:val="24"/>
        </w:rPr>
      </w:pPr>
      <w:r w:rsidRPr="00864339">
        <w:rPr>
          <w:b/>
          <w:bCs/>
          <w:noProof/>
          <w:color w:val="000000" w:themeColor="text1"/>
          <w:szCs w:val="24"/>
        </w:rPr>
        <w:lastRenderedPageBreak/>
        <w:drawing>
          <wp:inline distT="0" distB="0" distL="0" distR="0" wp14:anchorId="7179D021" wp14:editId="72F76FF3">
            <wp:extent cx="5943600" cy="3888105"/>
            <wp:effectExtent l="0" t="0" r="0" b="0"/>
            <wp:docPr id="1137279593" name="Picture 1" descr="A close-up of a scientific present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79593" name="Picture 1" descr="A close-up of a scientific presentation&#10;&#10;Description automatically generated"/>
                    <pic:cNvPicPr/>
                  </pic:nvPicPr>
                  <pic:blipFill>
                    <a:blip r:embed="rId8"/>
                    <a:stretch>
                      <a:fillRect/>
                    </a:stretch>
                  </pic:blipFill>
                  <pic:spPr>
                    <a:xfrm>
                      <a:off x="0" y="0"/>
                      <a:ext cx="5943600" cy="3888105"/>
                    </a:xfrm>
                    <a:prstGeom prst="rect">
                      <a:avLst/>
                    </a:prstGeom>
                  </pic:spPr>
                </pic:pic>
              </a:graphicData>
            </a:graphic>
          </wp:inline>
        </w:drawing>
      </w:r>
    </w:p>
    <w:p w14:paraId="42F88621" w14:textId="77777777" w:rsidR="00C87215" w:rsidRPr="00C87215" w:rsidRDefault="00C87215" w:rsidP="00C87215">
      <w:pPr>
        <w:rPr>
          <w:b/>
          <w:bCs/>
          <w:color w:val="000000" w:themeColor="text1"/>
          <w:szCs w:val="24"/>
        </w:rPr>
      </w:pPr>
    </w:p>
    <w:p w14:paraId="533E672B" w14:textId="0A5E3946" w:rsidR="00C87215" w:rsidRPr="00C87215" w:rsidRDefault="00235519" w:rsidP="00C87215">
      <w:pPr>
        <w:rPr>
          <w:b/>
          <w:bCs/>
          <w:color w:val="000000" w:themeColor="text1"/>
          <w:szCs w:val="24"/>
        </w:rPr>
      </w:pPr>
      <w:r w:rsidRPr="000130C3">
        <w:rPr>
          <w:b/>
          <w:bCs/>
          <w:color w:val="000000" w:themeColor="text1"/>
          <w:szCs w:val="24"/>
        </w:rPr>
        <w:t>Extended Data Fig.</w:t>
      </w:r>
      <w:r w:rsidR="00C87215" w:rsidRPr="00C87215">
        <w:rPr>
          <w:b/>
          <w:bCs/>
          <w:color w:val="000000" w:themeColor="text1"/>
          <w:szCs w:val="24"/>
        </w:rPr>
        <w:t>2 Cortical neurons are generated directly from human adult fibroblasts using a combinatorial transcription-factor and small-molecule protocol.</w:t>
      </w:r>
    </w:p>
    <w:p w14:paraId="1C08CBE4" w14:textId="082269DA"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a</w:t>
      </w:r>
      <w:r w:rsidRPr="00C87215">
        <w:rPr>
          <w:b/>
          <w:bCs/>
          <w:color w:val="000000" w:themeColor="text1"/>
          <w:szCs w:val="24"/>
        </w:rPr>
        <w:t>)</w:t>
      </w:r>
      <w:r w:rsidRPr="00C87215">
        <w:rPr>
          <w:color w:val="000000" w:themeColor="text1"/>
          <w:szCs w:val="24"/>
        </w:rPr>
        <w:t xml:space="preserve"> Transdifferentiation scheme using transcription factors </w:t>
      </w:r>
      <w:r w:rsidRPr="00C87215">
        <w:rPr>
          <w:i/>
          <w:iCs/>
          <w:color w:val="000000" w:themeColor="text1"/>
          <w:szCs w:val="24"/>
        </w:rPr>
        <w:t>Brn2</w:t>
      </w:r>
      <w:r w:rsidRPr="00C87215">
        <w:rPr>
          <w:color w:val="000000" w:themeColor="text1"/>
          <w:szCs w:val="24"/>
        </w:rPr>
        <w:t xml:space="preserve">, </w:t>
      </w:r>
      <w:r w:rsidRPr="00C87215">
        <w:rPr>
          <w:i/>
          <w:iCs/>
          <w:color w:val="000000" w:themeColor="text1"/>
          <w:szCs w:val="24"/>
        </w:rPr>
        <w:t>Ascl1</w:t>
      </w:r>
      <w:r w:rsidRPr="00C87215">
        <w:rPr>
          <w:color w:val="000000" w:themeColor="text1"/>
          <w:szCs w:val="24"/>
        </w:rPr>
        <w:t xml:space="preserve">, </w:t>
      </w:r>
      <w:r w:rsidRPr="00C87215">
        <w:rPr>
          <w:i/>
          <w:iCs/>
          <w:color w:val="000000" w:themeColor="text1"/>
          <w:szCs w:val="24"/>
        </w:rPr>
        <w:t>Myt1l</w:t>
      </w:r>
      <w:r w:rsidRPr="00C87215">
        <w:rPr>
          <w:color w:val="000000" w:themeColor="text1"/>
          <w:szCs w:val="24"/>
        </w:rPr>
        <w:t xml:space="preserve">, and </w:t>
      </w:r>
      <w:r w:rsidRPr="00C87215">
        <w:rPr>
          <w:i/>
          <w:iCs/>
          <w:color w:val="000000" w:themeColor="text1"/>
          <w:szCs w:val="24"/>
        </w:rPr>
        <w:t>Ngn2</w:t>
      </w:r>
      <w:r w:rsidRPr="00C87215">
        <w:rPr>
          <w:color w:val="000000" w:themeColor="text1"/>
          <w:szCs w:val="24"/>
        </w:rPr>
        <w:t xml:space="preserve"> (herein BAMN factors) that induces a global transcriptional change in fibroblasts to constitute a new neuronal cell state. Fibroblasts are plated one day before transdifferentiation. On Day 0, cells are infected with lentiviruses expressing BAMN factors and harvested four days after doxycycline-induction. Transduced cells expressing PSA-NCAM are magnetically isolated and replated to vitronectin/laminin-coated plates on Day 4 and switched to reprogramming medium (DMEM/F12/Neuronal) supplemented with small molecules 5 µM Forskolin, 10 µM SB 431542, 2 µM Dorsomorphin and 2 µM XAV939 on Day 5. BDNF and NT-3 are added into the reprogramming medium after one week. Cells are switched to maturation medium (Neuronal) on Day 20 and used for experiments after Day 35.</w:t>
      </w:r>
    </w:p>
    <w:p w14:paraId="1882B98E" w14:textId="5AF66E6F"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b</w:t>
      </w:r>
      <w:r w:rsidRPr="00C87215">
        <w:rPr>
          <w:b/>
          <w:bCs/>
          <w:color w:val="000000" w:themeColor="text1"/>
          <w:szCs w:val="24"/>
        </w:rPr>
        <w:t>)</w:t>
      </w:r>
      <w:r w:rsidRPr="00C87215">
        <w:rPr>
          <w:color w:val="000000" w:themeColor="text1"/>
          <w:szCs w:val="24"/>
        </w:rPr>
        <w:t xml:space="preserve"> Fibroblasts are infected with lentiviruses expressing BAMN factors and GFP and monitored for morphological changes after viral induction. Transduced cells undergo PSA-NCAM sorting by flow cytometry on Day 4. Scale bar: 200 μm.</w:t>
      </w:r>
    </w:p>
    <w:p w14:paraId="6A153A40" w14:textId="13F76417"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c</w:t>
      </w:r>
      <w:r w:rsidRPr="00C87215">
        <w:rPr>
          <w:b/>
          <w:bCs/>
          <w:color w:val="000000" w:themeColor="text1"/>
          <w:szCs w:val="24"/>
        </w:rPr>
        <w:t>-</w:t>
      </w:r>
      <w:r w:rsidR="00FC2144">
        <w:rPr>
          <w:b/>
          <w:bCs/>
          <w:color w:val="000000" w:themeColor="text1"/>
          <w:szCs w:val="24"/>
        </w:rPr>
        <w:t>d</w:t>
      </w:r>
      <w:r w:rsidRPr="00C87215">
        <w:rPr>
          <w:b/>
          <w:bCs/>
          <w:color w:val="000000" w:themeColor="text1"/>
          <w:szCs w:val="24"/>
        </w:rPr>
        <w:t xml:space="preserve">) </w:t>
      </w:r>
      <w:r w:rsidRPr="00C87215">
        <w:rPr>
          <w:color w:val="000000" w:themeColor="text1"/>
          <w:szCs w:val="24"/>
        </w:rPr>
        <w:t>IF images of neuronal markers in tNeurons at PID 35. Quantification of the percentage of cells positive for both NeuN and Tuj1 (</w:t>
      </w:r>
      <w:r w:rsidR="00FC2144">
        <w:rPr>
          <w:color w:val="000000" w:themeColor="text1"/>
          <w:szCs w:val="24"/>
        </w:rPr>
        <w:t>c</w:t>
      </w:r>
      <w:r w:rsidRPr="00C87215">
        <w:rPr>
          <w:color w:val="000000" w:themeColor="text1"/>
          <w:szCs w:val="24"/>
        </w:rPr>
        <w:t>) and the numbers of Syn-1 puncta in the soma (</w:t>
      </w:r>
      <w:r w:rsidR="00FC2144">
        <w:rPr>
          <w:color w:val="000000" w:themeColor="text1"/>
          <w:szCs w:val="24"/>
        </w:rPr>
        <w:t>d</w:t>
      </w:r>
      <w:r w:rsidRPr="00C87215">
        <w:rPr>
          <w:color w:val="000000" w:themeColor="text1"/>
          <w:szCs w:val="24"/>
        </w:rPr>
        <w:t>). Scale bar: 100 μm (</w:t>
      </w:r>
      <w:r w:rsidR="00FC2144">
        <w:rPr>
          <w:color w:val="000000" w:themeColor="text1"/>
          <w:szCs w:val="24"/>
        </w:rPr>
        <w:t>c</w:t>
      </w:r>
      <w:r w:rsidRPr="00C87215">
        <w:rPr>
          <w:color w:val="000000" w:themeColor="text1"/>
          <w:szCs w:val="24"/>
        </w:rPr>
        <w:t>); Scale bar: 20 μm (</w:t>
      </w:r>
      <w:r w:rsidR="00FC2144">
        <w:rPr>
          <w:color w:val="000000" w:themeColor="text1"/>
          <w:szCs w:val="24"/>
        </w:rPr>
        <w:t>d</w:t>
      </w:r>
      <w:r w:rsidRPr="00C87215">
        <w:rPr>
          <w:color w:val="000000" w:themeColor="text1"/>
          <w:szCs w:val="24"/>
        </w:rPr>
        <w:t>).</w:t>
      </w:r>
    </w:p>
    <w:p w14:paraId="07E75F66" w14:textId="77777777" w:rsidR="00731BB1" w:rsidRDefault="00731BB1" w:rsidP="00C87215">
      <w:pPr>
        <w:rPr>
          <w:color w:val="000000" w:themeColor="text1"/>
          <w:szCs w:val="24"/>
        </w:rPr>
      </w:pPr>
    </w:p>
    <w:p w14:paraId="064B5A92" w14:textId="362F6F4A" w:rsidR="00C87215" w:rsidRPr="00C87215" w:rsidRDefault="00C87215" w:rsidP="00C87215">
      <w:pPr>
        <w:rPr>
          <w:color w:val="000000" w:themeColor="text1"/>
          <w:szCs w:val="24"/>
        </w:rPr>
      </w:pPr>
      <w:r w:rsidRPr="00C87215">
        <w:rPr>
          <w:color w:val="000000" w:themeColor="text1"/>
          <w:szCs w:val="24"/>
        </w:rPr>
        <w:t>Data show box-and-whisker plots of 2 to 4 independent experiments and cells from independent HC and AD patients. Box-and-whisker plots depict 5th, 25th, 50, 75th and 95th percentiles. Differences between groups are compared with One-Way ANOVA followed by Bonferroni post-hoc analysis. *P &lt; 0.05 and ***P &lt; 0.001.</w:t>
      </w:r>
    </w:p>
    <w:p w14:paraId="13DE477E" w14:textId="2B03A283" w:rsidR="00C87215" w:rsidRPr="00C87215" w:rsidRDefault="008E11BD" w:rsidP="00C87215">
      <w:pPr>
        <w:rPr>
          <w:color w:val="000000" w:themeColor="text1"/>
          <w:szCs w:val="24"/>
        </w:rPr>
      </w:pPr>
      <w:r w:rsidRPr="008E11BD">
        <w:rPr>
          <w:noProof/>
          <w:color w:val="000000" w:themeColor="text1"/>
          <w:szCs w:val="24"/>
        </w:rPr>
        <w:lastRenderedPageBreak/>
        <w:drawing>
          <wp:inline distT="0" distB="0" distL="0" distR="0" wp14:anchorId="457E3369" wp14:editId="09F035E3">
            <wp:extent cx="5943600" cy="5135880"/>
            <wp:effectExtent l="0" t="0" r="0" b="0"/>
            <wp:docPr id="1577023150" name="Picture 1" descr="A collage of images of neur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023150" name="Picture 1" descr="A collage of images of neurons&#10;&#10;Description automatically generated"/>
                    <pic:cNvPicPr/>
                  </pic:nvPicPr>
                  <pic:blipFill>
                    <a:blip r:embed="rId9"/>
                    <a:stretch>
                      <a:fillRect/>
                    </a:stretch>
                  </pic:blipFill>
                  <pic:spPr>
                    <a:xfrm>
                      <a:off x="0" y="0"/>
                      <a:ext cx="5943600" cy="5135880"/>
                    </a:xfrm>
                    <a:prstGeom prst="rect">
                      <a:avLst/>
                    </a:prstGeom>
                  </pic:spPr>
                </pic:pic>
              </a:graphicData>
            </a:graphic>
          </wp:inline>
        </w:drawing>
      </w:r>
    </w:p>
    <w:p w14:paraId="516965F1" w14:textId="77777777" w:rsidR="00C87215" w:rsidRPr="00C87215" w:rsidRDefault="00C87215" w:rsidP="00C87215">
      <w:pPr>
        <w:rPr>
          <w:b/>
          <w:bCs/>
          <w:color w:val="000000" w:themeColor="text1"/>
          <w:szCs w:val="24"/>
        </w:rPr>
      </w:pPr>
    </w:p>
    <w:p w14:paraId="5378BF18" w14:textId="0DB0268E" w:rsidR="00C87215" w:rsidRPr="00C87215" w:rsidRDefault="00235519" w:rsidP="00C87215">
      <w:pPr>
        <w:rPr>
          <w:b/>
          <w:bCs/>
          <w:color w:val="000000" w:themeColor="text1"/>
          <w:szCs w:val="24"/>
        </w:rPr>
      </w:pPr>
      <w:r>
        <w:rPr>
          <w:b/>
          <w:bCs/>
          <w:color w:val="000000" w:themeColor="text1"/>
          <w:szCs w:val="24"/>
        </w:rPr>
        <w:t>Extended Data Fig.</w:t>
      </w:r>
      <w:r w:rsidR="00C87215" w:rsidRPr="00C87215">
        <w:rPr>
          <w:b/>
          <w:bCs/>
          <w:color w:val="000000" w:themeColor="text1"/>
          <w:szCs w:val="24"/>
        </w:rPr>
        <w:t>3 Human tNeurons derived from sAD patients exhibit disease-related protein pathologies.</w:t>
      </w:r>
    </w:p>
    <w:p w14:paraId="5A47CED0" w14:textId="45B339DE"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a</w:t>
      </w:r>
      <w:r w:rsidRPr="00C87215">
        <w:rPr>
          <w:b/>
          <w:bCs/>
          <w:color w:val="000000" w:themeColor="text1"/>
          <w:szCs w:val="24"/>
        </w:rPr>
        <w:t>)</w:t>
      </w:r>
      <w:r w:rsidRPr="00C87215">
        <w:rPr>
          <w:color w:val="000000" w:themeColor="text1"/>
          <w:szCs w:val="24"/>
        </w:rPr>
        <w:t xml:space="preserve"> IF images and quantification of proteostasis- and disease-associated protein markers, including autophagy adaptor p62/SQSTM1, ubiquitin, total Aβ, Aβ42, hyper-phosphorylated tau (pTau) and TDP-43 (pTDP-43) and nuclear-to-cytoplasmic (N-to-C) ratio of TDP-43 in tNeurons shown as full images for Fig. 1G. Cells are co-stained with Tuj1. White dash line represents the nuclear region (N). Scale bar: 20 μm.</w:t>
      </w:r>
    </w:p>
    <w:p w14:paraId="0FD5EC43" w14:textId="648E9AAD"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b</w:t>
      </w:r>
      <w:r w:rsidRPr="00C87215">
        <w:rPr>
          <w:b/>
          <w:bCs/>
          <w:color w:val="000000" w:themeColor="text1"/>
          <w:szCs w:val="24"/>
        </w:rPr>
        <w:t>)</w:t>
      </w:r>
      <w:r w:rsidRPr="00C87215">
        <w:rPr>
          <w:color w:val="000000" w:themeColor="text1"/>
          <w:szCs w:val="24"/>
        </w:rPr>
        <w:t xml:space="preserve"> Sandwich ELISA assay for detecting endogenous Aβ42 in total cell lysates of tNeurons. The values are revealed by a fold change relative to young tNeurons.</w:t>
      </w:r>
    </w:p>
    <w:p w14:paraId="1CD592FE" w14:textId="5DF90AB3"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c</w:t>
      </w:r>
      <w:r w:rsidRPr="00C87215">
        <w:rPr>
          <w:b/>
          <w:bCs/>
          <w:color w:val="000000" w:themeColor="text1"/>
          <w:szCs w:val="24"/>
        </w:rPr>
        <w:t>)</w:t>
      </w:r>
      <w:r w:rsidRPr="00C87215">
        <w:rPr>
          <w:color w:val="000000" w:themeColor="text1"/>
          <w:szCs w:val="24"/>
        </w:rPr>
        <w:t xml:space="preserve"> Immunostaining of pTau and pTDP-43 with p62/SQSTM1 and ubiquitin in aged/sAD tNeurons. Cells are co-stained with Tuj1 and DAPI. White dash line represents the nuclear region (N). Arrowhead: protein colocalization. Scale bar: 20 μm.</w:t>
      </w:r>
    </w:p>
    <w:p w14:paraId="32A2995A" w14:textId="77777777" w:rsidR="00D65E56" w:rsidRDefault="00D65E56" w:rsidP="00C87215">
      <w:pPr>
        <w:rPr>
          <w:color w:val="000000" w:themeColor="text1"/>
          <w:szCs w:val="24"/>
        </w:rPr>
      </w:pPr>
    </w:p>
    <w:p w14:paraId="4874ED25" w14:textId="45ADABBF" w:rsidR="00C87215" w:rsidRPr="00C87215" w:rsidRDefault="00C87215" w:rsidP="00C87215">
      <w:pPr>
        <w:rPr>
          <w:color w:val="000000" w:themeColor="text1"/>
          <w:szCs w:val="24"/>
        </w:rPr>
      </w:pPr>
      <w:r w:rsidRPr="00C87215">
        <w:rPr>
          <w:color w:val="000000" w:themeColor="text1"/>
          <w:szCs w:val="24"/>
        </w:rPr>
        <w:t xml:space="preserve">Data show box-and-whisker plots of 2 to 3 independent experiments and cells from independent HC and AD patients. Box-and-whisker plots depict 5th, 25th, 50, 75th and 95th percentiles. </w:t>
      </w:r>
      <w:r w:rsidRPr="00C87215">
        <w:rPr>
          <w:color w:val="000000" w:themeColor="text1"/>
          <w:szCs w:val="24"/>
        </w:rPr>
        <w:lastRenderedPageBreak/>
        <w:t>Differences between groups are compared with One-Way ANOVA followed by Bonferroni post-hoc analysis. *P &lt; 0.05, **P &lt; 0.01 and ***P &lt; 0.001.</w:t>
      </w:r>
      <w:r w:rsidRPr="00C87215">
        <w:rPr>
          <w:color w:val="000000" w:themeColor="text1"/>
          <w:szCs w:val="24"/>
        </w:rPr>
        <w:br w:type="page"/>
      </w:r>
    </w:p>
    <w:p w14:paraId="48BA7A3C" w14:textId="718F99A9" w:rsidR="00C87215" w:rsidRPr="00C87215" w:rsidRDefault="004F19B7" w:rsidP="00C87215">
      <w:pPr>
        <w:rPr>
          <w:color w:val="000000" w:themeColor="text1"/>
          <w:szCs w:val="24"/>
        </w:rPr>
      </w:pPr>
      <w:r w:rsidRPr="004F19B7">
        <w:rPr>
          <w:noProof/>
          <w:color w:val="000000" w:themeColor="text1"/>
          <w:szCs w:val="24"/>
        </w:rPr>
        <w:lastRenderedPageBreak/>
        <w:drawing>
          <wp:inline distT="0" distB="0" distL="0" distR="0" wp14:anchorId="2D06EE71" wp14:editId="5558FE3B">
            <wp:extent cx="5943600" cy="4198620"/>
            <wp:effectExtent l="0" t="0" r="0" b="5080"/>
            <wp:docPr id="788433277" name="Picture 1"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433277" name="Picture 1" descr="A close-up of a chart&#10;&#10;Description automatically generated"/>
                    <pic:cNvPicPr/>
                  </pic:nvPicPr>
                  <pic:blipFill>
                    <a:blip r:embed="rId10"/>
                    <a:stretch>
                      <a:fillRect/>
                    </a:stretch>
                  </pic:blipFill>
                  <pic:spPr>
                    <a:xfrm>
                      <a:off x="0" y="0"/>
                      <a:ext cx="5943600" cy="4198620"/>
                    </a:xfrm>
                    <a:prstGeom prst="rect">
                      <a:avLst/>
                    </a:prstGeom>
                  </pic:spPr>
                </pic:pic>
              </a:graphicData>
            </a:graphic>
          </wp:inline>
        </w:drawing>
      </w:r>
    </w:p>
    <w:p w14:paraId="34F028D0" w14:textId="77777777" w:rsidR="00C87215" w:rsidRPr="00C87215" w:rsidRDefault="00C87215" w:rsidP="00C87215">
      <w:pPr>
        <w:rPr>
          <w:b/>
          <w:bCs/>
          <w:color w:val="000000" w:themeColor="text1"/>
          <w:szCs w:val="24"/>
        </w:rPr>
      </w:pPr>
    </w:p>
    <w:p w14:paraId="7C5A854E" w14:textId="276CB7D5" w:rsidR="00C87215" w:rsidRPr="00C87215" w:rsidRDefault="00235519" w:rsidP="00C87215">
      <w:pPr>
        <w:rPr>
          <w:b/>
          <w:bCs/>
          <w:color w:val="000000" w:themeColor="text1"/>
          <w:szCs w:val="24"/>
        </w:rPr>
      </w:pPr>
      <w:r>
        <w:rPr>
          <w:b/>
          <w:bCs/>
          <w:color w:val="000000" w:themeColor="text1"/>
          <w:szCs w:val="24"/>
        </w:rPr>
        <w:t>Extended Data Fig.</w:t>
      </w:r>
      <w:r w:rsidR="00C87215" w:rsidRPr="00C87215">
        <w:rPr>
          <w:b/>
          <w:bCs/>
          <w:color w:val="000000" w:themeColor="text1"/>
          <w:szCs w:val="24"/>
        </w:rPr>
        <w:t>4 Quantitative proteomic analysis of human tNeurons identifies proteins and pathways associated with aging and sAD.</w:t>
      </w:r>
    </w:p>
    <w:p w14:paraId="37B9080F" w14:textId="78D9377F"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a</w:t>
      </w:r>
      <w:r w:rsidRPr="00C87215">
        <w:rPr>
          <w:b/>
          <w:bCs/>
          <w:color w:val="000000" w:themeColor="text1"/>
          <w:szCs w:val="24"/>
        </w:rPr>
        <w:t xml:space="preserve">) </w:t>
      </w:r>
      <w:r w:rsidRPr="00C87215">
        <w:rPr>
          <w:color w:val="000000" w:themeColor="text1"/>
          <w:szCs w:val="24"/>
        </w:rPr>
        <w:t xml:space="preserve">Heatmap of the differentially expressed proteins across tNeurons from young, aged, aged/sAD and fAD-PSEN1 donors. </w:t>
      </w:r>
    </w:p>
    <w:p w14:paraId="5076F18D" w14:textId="7E50A694"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b</w:t>
      </w:r>
      <w:r w:rsidRPr="00C87215">
        <w:rPr>
          <w:b/>
          <w:bCs/>
          <w:color w:val="000000" w:themeColor="text1"/>
          <w:szCs w:val="24"/>
        </w:rPr>
        <w:t>)</w:t>
      </w:r>
      <w:r w:rsidRPr="00C87215">
        <w:rPr>
          <w:color w:val="000000" w:themeColor="text1"/>
          <w:szCs w:val="24"/>
        </w:rPr>
        <w:t xml:space="preserve"> Top-ranked proteins (rows) changing with aging and sAD (columns) based on log-2 fold change (FC).</w:t>
      </w:r>
    </w:p>
    <w:p w14:paraId="7E1DA0B6" w14:textId="40B01477"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c</w:t>
      </w:r>
      <w:r w:rsidRPr="00C87215">
        <w:rPr>
          <w:b/>
          <w:bCs/>
          <w:color w:val="000000" w:themeColor="text1"/>
          <w:szCs w:val="24"/>
        </w:rPr>
        <w:t>)</w:t>
      </w:r>
      <w:r w:rsidRPr="00C87215">
        <w:rPr>
          <w:color w:val="000000" w:themeColor="text1"/>
          <w:szCs w:val="24"/>
        </w:rPr>
        <w:t xml:space="preserve"> GO analysis of the differentially expressed proteins between young, aged and aged/sAD tNeurons. Circle sizes reflect the number (#) of proteins.</w:t>
      </w:r>
    </w:p>
    <w:p w14:paraId="51AB54EF" w14:textId="3877C81C"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d</w:t>
      </w:r>
      <w:r w:rsidRPr="00C87215">
        <w:rPr>
          <w:b/>
          <w:bCs/>
          <w:color w:val="000000" w:themeColor="text1"/>
          <w:szCs w:val="24"/>
        </w:rPr>
        <w:t>)</w:t>
      </w:r>
      <w:r w:rsidRPr="00C87215">
        <w:rPr>
          <w:color w:val="000000" w:themeColor="text1"/>
          <w:szCs w:val="24"/>
        </w:rPr>
        <w:t xml:space="preserve"> Network analysis of tNeuron proteomes, including proteins in the top-ranked pathways associated with young and sAD by GeneMANIA and GO. Comparison between healthy young (n = 3) and aged/sAD tNeurons (n = 6) at PID 40. Colored circles represent the enrichment of identified proteins revealing by log2-fold change: increase in red and decrease in blue.</w:t>
      </w:r>
    </w:p>
    <w:p w14:paraId="34E6478A" w14:textId="71568FD1"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e</w:t>
      </w:r>
      <w:r w:rsidRPr="00C87215">
        <w:rPr>
          <w:b/>
          <w:bCs/>
          <w:color w:val="000000" w:themeColor="text1"/>
          <w:szCs w:val="24"/>
        </w:rPr>
        <w:t>)</w:t>
      </w:r>
      <w:r w:rsidRPr="00C87215">
        <w:rPr>
          <w:color w:val="000000" w:themeColor="text1"/>
          <w:szCs w:val="24"/>
        </w:rPr>
        <w:t xml:space="preserve"> Venn diagram reveals an overlapping of differentially expressed proteins between tNeurons from aged and young donors, and between tNeurons from aged/sAD and young donors. The shared hits and assigned GO terms are showed in light green color. Interaction network for the shared hits that are either increased or decreased in aged and aged/sAD tNeurons as compared with young tNeurons. Each node representing an single protein that is divided to reflect the individual change for aged vs. young (left) and aged/sAD vs. young (right). Protein abundance increases are shown in red, and decreases shown in blue.</w:t>
      </w:r>
    </w:p>
    <w:p w14:paraId="0153567F" w14:textId="77777777" w:rsidR="00C87215" w:rsidRPr="00C87215" w:rsidRDefault="00C87215" w:rsidP="00C87215">
      <w:pPr>
        <w:rPr>
          <w:color w:val="000000" w:themeColor="text1"/>
          <w:szCs w:val="24"/>
        </w:rPr>
      </w:pPr>
    </w:p>
    <w:p w14:paraId="752A060C" w14:textId="77777777" w:rsidR="00C87215" w:rsidRPr="00C87215" w:rsidRDefault="00C87215" w:rsidP="00C87215">
      <w:pPr>
        <w:rPr>
          <w:color w:val="000000" w:themeColor="text1"/>
          <w:szCs w:val="24"/>
        </w:rPr>
      </w:pPr>
      <w:r w:rsidRPr="00C87215">
        <w:rPr>
          <w:color w:val="000000" w:themeColor="text1"/>
          <w:szCs w:val="24"/>
        </w:rPr>
        <w:br w:type="page"/>
      </w:r>
    </w:p>
    <w:p w14:paraId="6836F83D" w14:textId="4E4F8882" w:rsidR="00C87215" w:rsidRPr="00C87215" w:rsidRDefault="001D634F" w:rsidP="00C87215">
      <w:pPr>
        <w:rPr>
          <w:color w:val="000000" w:themeColor="text1"/>
          <w:szCs w:val="24"/>
        </w:rPr>
      </w:pPr>
      <w:r w:rsidRPr="001D634F">
        <w:rPr>
          <w:noProof/>
          <w:color w:val="000000" w:themeColor="text1"/>
          <w:szCs w:val="24"/>
        </w:rPr>
        <w:lastRenderedPageBreak/>
        <w:drawing>
          <wp:inline distT="0" distB="0" distL="0" distR="0" wp14:anchorId="5C34B499" wp14:editId="376E8969">
            <wp:extent cx="5748020" cy="8229600"/>
            <wp:effectExtent l="0" t="0" r="5080" b="0"/>
            <wp:docPr id="1642447532" name="Picture 1" descr="A screenshot of a po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447532" name="Picture 1" descr="A screenshot of a poster&#10;&#10;Description automatically generated"/>
                    <pic:cNvPicPr/>
                  </pic:nvPicPr>
                  <pic:blipFill>
                    <a:blip r:embed="rId11"/>
                    <a:stretch>
                      <a:fillRect/>
                    </a:stretch>
                  </pic:blipFill>
                  <pic:spPr>
                    <a:xfrm>
                      <a:off x="0" y="0"/>
                      <a:ext cx="5748020" cy="8229600"/>
                    </a:xfrm>
                    <a:prstGeom prst="rect">
                      <a:avLst/>
                    </a:prstGeom>
                  </pic:spPr>
                </pic:pic>
              </a:graphicData>
            </a:graphic>
          </wp:inline>
        </w:drawing>
      </w:r>
    </w:p>
    <w:p w14:paraId="1FDE2789" w14:textId="5AFFF036" w:rsidR="00C87215" w:rsidRPr="00C87215" w:rsidRDefault="00235519" w:rsidP="00C87215">
      <w:pPr>
        <w:rPr>
          <w:b/>
          <w:bCs/>
          <w:color w:val="000000" w:themeColor="text1"/>
          <w:szCs w:val="24"/>
        </w:rPr>
      </w:pPr>
      <w:r>
        <w:rPr>
          <w:b/>
          <w:bCs/>
          <w:color w:val="000000" w:themeColor="text1"/>
          <w:szCs w:val="24"/>
        </w:rPr>
        <w:lastRenderedPageBreak/>
        <w:t>Extended Data Fig.</w:t>
      </w:r>
      <w:r w:rsidR="00C87215" w:rsidRPr="00C87215">
        <w:rPr>
          <w:b/>
          <w:bCs/>
          <w:color w:val="000000" w:themeColor="text1"/>
          <w:szCs w:val="24"/>
        </w:rPr>
        <w:t xml:space="preserve">5 Quantitative proteomic and molecular analysis of tNeurons identify signatures of pathogenic mutations in the </w:t>
      </w:r>
      <w:r w:rsidR="00C87215" w:rsidRPr="00C87215">
        <w:rPr>
          <w:b/>
          <w:bCs/>
          <w:i/>
          <w:iCs/>
          <w:color w:val="000000" w:themeColor="text1"/>
          <w:szCs w:val="24"/>
        </w:rPr>
        <w:t>PSEN1</w:t>
      </w:r>
      <w:r w:rsidR="00C87215" w:rsidRPr="00C87215">
        <w:rPr>
          <w:b/>
          <w:bCs/>
          <w:color w:val="000000" w:themeColor="text1"/>
          <w:szCs w:val="24"/>
        </w:rPr>
        <w:t xml:space="preserve"> gene in patient neurons.</w:t>
      </w:r>
    </w:p>
    <w:p w14:paraId="289F7169" w14:textId="20997A80"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a</w:t>
      </w:r>
      <w:r w:rsidRPr="00C87215">
        <w:rPr>
          <w:b/>
          <w:bCs/>
          <w:color w:val="000000" w:themeColor="text1"/>
          <w:szCs w:val="24"/>
        </w:rPr>
        <w:t>)</w:t>
      </w:r>
      <w:r w:rsidRPr="00C87215">
        <w:rPr>
          <w:color w:val="000000" w:themeColor="text1"/>
          <w:szCs w:val="24"/>
        </w:rPr>
        <w:t xml:space="preserve"> IF images and quantification of proteostasis- and disease-associated protein markers in tNeurons from healthy young donors as well as AD patients with aged/sAD and fAD-PSEN1. White dash line represents the nuclear region (N). Scale bar: 20 μm.</w:t>
      </w:r>
    </w:p>
    <w:p w14:paraId="07CE9D4B" w14:textId="21D64BEE"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b</w:t>
      </w:r>
      <w:r w:rsidRPr="00C87215">
        <w:rPr>
          <w:b/>
          <w:bCs/>
          <w:color w:val="000000" w:themeColor="text1"/>
          <w:szCs w:val="24"/>
        </w:rPr>
        <w:t>)</w:t>
      </w:r>
      <w:r w:rsidRPr="00C87215">
        <w:rPr>
          <w:color w:val="000000" w:themeColor="text1"/>
          <w:szCs w:val="24"/>
        </w:rPr>
        <w:t xml:space="preserve"> Detection of endogenous Aβ42 in total cell lysates of tNeurons using sandwich ELISA assay. The values are revealed by a fold change relative to young tNeurons.</w:t>
      </w:r>
    </w:p>
    <w:p w14:paraId="1C74F90D" w14:textId="67C2B73E"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c</w:t>
      </w:r>
      <w:r w:rsidRPr="00C87215">
        <w:rPr>
          <w:b/>
          <w:bCs/>
          <w:color w:val="000000" w:themeColor="text1"/>
          <w:szCs w:val="24"/>
        </w:rPr>
        <w:t>)</w:t>
      </w:r>
      <w:r w:rsidRPr="00C87215">
        <w:rPr>
          <w:color w:val="000000" w:themeColor="text1"/>
          <w:szCs w:val="24"/>
        </w:rPr>
        <w:t xml:space="preserve"> Top-ranked proteins (rows) changing with aged/sAD and fAD-PSEN1 (columns) based on log-2 FC.</w:t>
      </w:r>
    </w:p>
    <w:p w14:paraId="4E83210B" w14:textId="7FB68AB8"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d</w:t>
      </w:r>
      <w:r w:rsidRPr="00C87215">
        <w:rPr>
          <w:b/>
          <w:bCs/>
          <w:color w:val="000000" w:themeColor="text1"/>
          <w:szCs w:val="24"/>
        </w:rPr>
        <w:t>)</w:t>
      </w:r>
      <w:r w:rsidRPr="00C87215">
        <w:rPr>
          <w:color w:val="000000" w:themeColor="text1"/>
          <w:szCs w:val="24"/>
        </w:rPr>
        <w:t xml:space="preserve"> Network analysis of tNeuron proteins in the top-ranked pathways associated with aged/sAD and fAD-PSEN1 by GeneMANIA and GO. Comparison between aged/sAD (n = 6) and fAD-PSEN1 (n = 2) at PID 40. Colored circles represent the enrichment of identified proteins revealing by log2-fold change: increase in red and decrease in blue.</w:t>
      </w:r>
    </w:p>
    <w:p w14:paraId="17977B1D" w14:textId="7C9658C4"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e</w:t>
      </w:r>
      <w:r w:rsidRPr="00C87215">
        <w:rPr>
          <w:b/>
          <w:bCs/>
          <w:color w:val="000000" w:themeColor="text1"/>
          <w:szCs w:val="24"/>
        </w:rPr>
        <w:t>)</w:t>
      </w:r>
      <w:r w:rsidRPr="00C87215">
        <w:rPr>
          <w:color w:val="000000" w:themeColor="text1"/>
          <w:szCs w:val="24"/>
        </w:rPr>
        <w:t xml:space="preserve"> GO analysis of the differentially expressed proteins across aged/sAD and fAD-PSEN1 tNeurons. Circle sizes reflect the number (#) of proteins.</w:t>
      </w:r>
    </w:p>
    <w:p w14:paraId="295AD264" w14:textId="38F7CC7C"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f</w:t>
      </w:r>
      <w:r w:rsidRPr="00C87215">
        <w:rPr>
          <w:b/>
          <w:bCs/>
          <w:color w:val="000000" w:themeColor="text1"/>
          <w:szCs w:val="24"/>
        </w:rPr>
        <w:t>)</w:t>
      </w:r>
      <w:r w:rsidRPr="00C87215">
        <w:rPr>
          <w:color w:val="000000" w:themeColor="text1"/>
          <w:szCs w:val="24"/>
        </w:rPr>
        <w:t xml:space="preserve"> Lists of top-ranked proteins (rows) changing with fAD-PSEN1 and young (columns) based on log-2 FC.</w:t>
      </w:r>
    </w:p>
    <w:p w14:paraId="1C460B6A" w14:textId="7F865EBB" w:rsidR="00C87215" w:rsidRPr="00C87215" w:rsidRDefault="00C87215" w:rsidP="00C87215">
      <w:pPr>
        <w:rPr>
          <w:b/>
          <w:bCs/>
          <w:color w:val="000000" w:themeColor="text1"/>
          <w:szCs w:val="24"/>
        </w:rPr>
      </w:pPr>
      <w:r w:rsidRPr="00C87215">
        <w:rPr>
          <w:b/>
          <w:bCs/>
          <w:color w:val="000000" w:themeColor="text1"/>
          <w:szCs w:val="24"/>
        </w:rPr>
        <w:t>(</w:t>
      </w:r>
      <w:r w:rsidR="00FC2144">
        <w:rPr>
          <w:b/>
          <w:bCs/>
          <w:color w:val="000000" w:themeColor="text1"/>
          <w:szCs w:val="24"/>
        </w:rPr>
        <w:t>g</w:t>
      </w:r>
      <w:r w:rsidRPr="00C87215">
        <w:rPr>
          <w:b/>
          <w:bCs/>
          <w:color w:val="000000" w:themeColor="text1"/>
          <w:szCs w:val="24"/>
        </w:rPr>
        <w:t>)</w:t>
      </w:r>
      <w:r w:rsidRPr="00C87215">
        <w:rPr>
          <w:color w:val="000000" w:themeColor="text1"/>
          <w:szCs w:val="24"/>
        </w:rPr>
        <w:t xml:space="preserve"> Network analysis and differential expression of proteins detected in tNeurons from healthy young donors (n = 3) and patients with fAD-PSEN1 (n = 2) at PID 40. The top-ranked pathways for fAD-PSEN1 proteome are analyzed using GO databases. Colored circles represent the enrichment of identified proteins revealing by log2-fold change: increase in red and decrease in blue.</w:t>
      </w:r>
    </w:p>
    <w:p w14:paraId="4630A71E" w14:textId="02B24FB2" w:rsidR="00C87215" w:rsidRPr="00C87215" w:rsidRDefault="00C87215" w:rsidP="00C87215">
      <w:pPr>
        <w:rPr>
          <w:color w:val="000000" w:themeColor="text1"/>
          <w:szCs w:val="24"/>
        </w:rPr>
      </w:pPr>
      <w:r w:rsidRPr="00C87215">
        <w:rPr>
          <w:b/>
          <w:bCs/>
          <w:color w:val="000000" w:themeColor="text1"/>
          <w:szCs w:val="24"/>
        </w:rPr>
        <w:t>(</w:t>
      </w:r>
      <w:r w:rsidR="00FC2144">
        <w:rPr>
          <w:b/>
          <w:bCs/>
          <w:color w:val="000000" w:themeColor="text1"/>
          <w:szCs w:val="24"/>
        </w:rPr>
        <w:t>h</w:t>
      </w:r>
      <w:r w:rsidRPr="00C87215">
        <w:rPr>
          <w:b/>
          <w:bCs/>
          <w:color w:val="000000" w:themeColor="text1"/>
          <w:szCs w:val="24"/>
        </w:rPr>
        <w:t>)</w:t>
      </w:r>
      <w:r w:rsidRPr="00C87215">
        <w:rPr>
          <w:color w:val="000000" w:themeColor="text1"/>
          <w:szCs w:val="24"/>
        </w:rPr>
        <w:t xml:space="preserve"> GO analysis of the differentially expressed proteins across fAD-PSEN1 and young tNeurons. Circle sizes reflect the number (#) of proteins.</w:t>
      </w:r>
    </w:p>
    <w:p w14:paraId="5387F9EC" w14:textId="77777777" w:rsidR="00C87215" w:rsidRPr="00C87215" w:rsidRDefault="00C87215" w:rsidP="00C87215">
      <w:pPr>
        <w:rPr>
          <w:b/>
          <w:bCs/>
          <w:color w:val="000000" w:themeColor="text1"/>
          <w:szCs w:val="24"/>
        </w:rPr>
      </w:pPr>
    </w:p>
    <w:p w14:paraId="228BAC47" w14:textId="77777777" w:rsidR="00C87215" w:rsidRPr="00C87215" w:rsidRDefault="00C87215" w:rsidP="00C87215">
      <w:pPr>
        <w:rPr>
          <w:color w:val="000000" w:themeColor="text1"/>
          <w:szCs w:val="24"/>
        </w:rPr>
      </w:pPr>
    </w:p>
    <w:p w14:paraId="635CD597" w14:textId="77777777" w:rsidR="00C87215" w:rsidRPr="00C87215" w:rsidRDefault="00C87215" w:rsidP="00C87215">
      <w:pPr>
        <w:rPr>
          <w:color w:val="000000" w:themeColor="text1"/>
          <w:szCs w:val="24"/>
        </w:rPr>
      </w:pPr>
    </w:p>
    <w:p w14:paraId="7B7AEBBA" w14:textId="77777777" w:rsidR="00C87215" w:rsidRPr="00C87215" w:rsidRDefault="00C87215" w:rsidP="00C87215">
      <w:pPr>
        <w:rPr>
          <w:color w:val="000000" w:themeColor="text1"/>
          <w:szCs w:val="24"/>
        </w:rPr>
      </w:pPr>
    </w:p>
    <w:p w14:paraId="35B231A9" w14:textId="77777777" w:rsidR="00C87215" w:rsidRPr="00C87215" w:rsidRDefault="00C87215" w:rsidP="00C87215">
      <w:pPr>
        <w:rPr>
          <w:color w:val="000000" w:themeColor="text1"/>
          <w:szCs w:val="24"/>
        </w:rPr>
      </w:pPr>
    </w:p>
    <w:p w14:paraId="1027FA3D" w14:textId="77777777" w:rsidR="00C87215" w:rsidRPr="00C87215" w:rsidRDefault="00C87215" w:rsidP="00C87215">
      <w:pPr>
        <w:rPr>
          <w:color w:val="000000" w:themeColor="text1"/>
          <w:szCs w:val="24"/>
        </w:rPr>
      </w:pPr>
      <w:r w:rsidRPr="00C87215">
        <w:rPr>
          <w:color w:val="000000" w:themeColor="text1"/>
          <w:szCs w:val="24"/>
        </w:rPr>
        <w:br w:type="page"/>
      </w:r>
    </w:p>
    <w:p w14:paraId="68B7A177" w14:textId="7FCC7AEA" w:rsidR="00C87215" w:rsidRPr="00C87215" w:rsidRDefault="009A0B33" w:rsidP="00C87215">
      <w:pPr>
        <w:rPr>
          <w:b/>
          <w:bCs/>
          <w:color w:val="000000" w:themeColor="text1"/>
          <w:szCs w:val="24"/>
        </w:rPr>
      </w:pPr>
      <w:r w:rsidRPr="009A0B33">
        <w:rPr>
          <w:b/>
          <w:bCs/>
          <w:noProof/>
          <w:color w:val="000000" w:themeColor="text1"/>
          <w:szCs w:val="24"/>
        </w:rPr>
        <w:lastRenderedPageBreak/>
        <w:drawing>
          <wp:inline distT="0" distB="0" distL="0" distR="0" wp14:anchorId="62945D10" wp14:editId="49A7D5BE">
            <wp:extent cx="5943600" cy="3778885"/>
            <wp:effectExtent l="0" t="0" r="0" b="5715"/>
            <wp:docPr id="861580782" name="Picture 1"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580782" name="Picture 1" descr="A collage of images of cells&#10;&#10;Description automatically generated"/>
                    <pic:cNvPicPr/>
                  </pic:nvPicPr>
                  <pic:blipFill>
                    <a:blip r:embed="rId12"/>
                    <a:stretch>
                      <a:fillRect/>
                    </a:stretch>
                  </pic:blipFill>
                  <pic:spPr>
                    <a:xfrm>
                      <a:off x="0" y="0"/>
                      <a:ext cx="5943600" cy="3778885"/>
                    </a:xfrm>
                    <a:prstGeom prst="rect">
                      <a:avLst/>
                    </a:prstGeom>
                  </pic:spPr>
                </pic:pic>
              </a:graphicData>
            </a:graphic>
          </wp:inline>
        </w:drawing>
      </w:r>
    </w:p>
    <w:p w14:paraId="67BA51FB" w14:textId="77777777" w:rsidR="00C87215" w:rsidRPr="00C87215" w:rsidRDefault="00C87215" w:rsidP="00C87215">
      <w:pPr>
        <w:rPr>
          <w:b/>
          <w:bCs/>
          <w:color w:val="000000" w:themeColor="text1"/>
          <w:szCs w:val="24"/>
        </w:rPr>
      </w:pPr>
    </w:p>
    <w:p w14:paraId="71E7FEC5" w14:textId="06864174" w:rsidR="00C87215" w:rsidRPr="00C87215" w:rsidRDefault="00235519" w:rsidP="00C87215">
      <w:pPr>
        <w:rPr>
          <w:b/>
          <w:bCs/>
          <w:color w:val="000000" w:themeColor="text1"/>
          <w:szCs w:val="24"/>
        </w:rPr>
      </w:pPr>
      <w:r>
        <w:rPr>
          <w:b/>
          <w:bCs/>
          <w:color w:val="000000" w:themeColor="text1"/>
          <w:szCs w:val="24"/>
        </w:rPr>
        <w:t>Extended Data Fig.</w:t>
      </w:r>
      <w:r w:rsidR="00C87215" w:rsidRPr="00C87215">
        <w:rPr>
          <w:b/>
          <w:bCs/>
          <w:color w:val="000000" w:themeColor="text1"/>
          <w:szCs w:val="24"/>
        </w:rPr>
        <w:t>6 Aberrant response to lysosomal damage at basal conditions and during LLOME treatment are prominent in aged/sAD tNeurons.</w:t>
      </w:r>
    </w:p>
    <w:p w14:paraId="6C25BDAE" w14:textId="6F40F3FE" w:rsidR="00C87215" w:rsidRPr="00C87215" w:rsidRDefault="00C87215" w:rsidP="00C87215">
      <w:pPr>
        <w:rPr>
          <w:color w:val="000000" w:themeColor="text1"/>
          <w:szCs w:val="24"/>
        </w:rPr>
      </w:pPr>
      <w:r w:rsidRPr="00C87215">
        <w:rPr>
          <w:b/>
          <w:bCs/>
          <w:color w:val="000000" w:themeColor="text1"/>
          <w:szCs w:val="24"/>
        </w:rPr>
        <w:t>(</w:t>
      </w:r>
      <w:r w:rsidR="00B83081">
        <w:rPr>
          <w:b/>
          <w:bCs/>
          <w:color w:val="000000" w:themeColor="text1"/>
          <w:szCs w:val="24"/>
        </w:rPr>
        <w:t>a</w:t>
      </w:r>
      <w:r w:rsidRPr="00C87215">
        <w:rPr>
          <w:b/>
          <w:bCs/>
          <w:color w:val="000000" w:themeColor="text1"/>
          <w:szCs w:val="24"/>
        </w:rPr>
        <w:t>)</w:t>
      </w:r>
      <w:r w:rsidRPr="00C87215">
        <w:rPr>
          <w:color w:val="000000" w:themeColor="text1"/>
          <w:szCs w:val="24"/>
        </w:rPr>
        <w:t xml:space="preserve"> Schematic for describing the ESCRT- and Galectin-mediated lysosomal quality control (LQC) machinery. When undergoing lysosomal damage stress, lysosomal membrane is subjected to rupture. To avoid the leakage of lysosomal contents and activation of cell death pathways, compromised lysosomes recruit ESCRT proteins (ESCRTs) to repair the small membrane wounds and Galectins to target the massively damaged lysosomes for lysophagy.</w:t>
      </w:r>
    </w:p>
    <w:p w14:paraId="7EEAAE9F" w14:textId="2A4102C7" w:rsidR="00C87215" w:rsidRPr="00C87215" w:rsidRDefault="00C87215" w:rsidP="00C87215">
      <w:pPr>
        <w:rPr>
          <w:color w:val="000000" w:themeColor="text1"/>
          <w:szCs w:val="24"/>
        </w:rPr>
      </w:pPr>
      <w:r w:rsidRPr="00C87215">
        <w:rPr>
          <w:b/>
          <w:bCs/>
          <w:color w:val="000000" w:themeColor="text1"/>
          <w:szCs w:val="24"/>
        </w:rPr>
        <w:t>(</w:t>
      </w:r>
      <w:r w:rsidR="00B83081">
        <w:rPr>
          <w:b/>
          <w:bCs/>
          <w:color w:val="000000" w:themeColor="text1"/>
          <w:szCs w:val="24"/>
        </w:rPr>
        <w:t>b</w:t>
      </w:r>
      <w:r w:rsidRPr="00C87215">
        <w:rPr>
          <w:b/>
          <w:bCs/>
          <w:color w:val="000000" w:themeColor="text1"/>
          <w:szCs w:val="24"/>
        </w:rPr>
        <w:t>)</w:t>
      </w:r>
      <w:r w:rsidRPr="00C87215">
        <w:rPr>
          <w:color w:val="000000" w:themeColor="text1"/>
          <w:szCs w:val="24"/>
        </w:rPr>
        <w:t xml:space="preserve"> Representative images for immunostaining of CHMP2B (magenta), LAMP2 (green) and Tuj1 (blue) in young, aged and aged/sAD tNeurons, related to Fig. 3C. Arrowhead: high-density accumulations of CHMP2B in the vicinity of plasma membrane and within neurites. Scale bar: 10 μm.</w:t>
      </w:r>
    </w:p>
    <w:p w14:paraId="0C3A180E" w14:textId="76127561" w:rsidR="00C87215" w:rsidRPr="00C87215" w:rsidRDefault="00C87215" w:rsidP="00C87215">
      <w:pPr>
        <w:rPr>
          <w:color w:val="000000" w:themeColor="text1"/>
          <w:szCs w:val="24"/>
        </w:rPr>
      </w:pPr>
      <w:r w:rsidRPr="00C87215">
        <w:rPr>
          <w:b/>
          <w:bCs/>
          <w:color w:val="000000" w:themeColor="text1"/>
          <w:szCs w:val="24"/>
        </w:rPr>
        <w:t>(</w:t>
      </w:r>
      <w:r w:rsidR="00B83081">
        <w:rPr>
          <w:b/>
          <w:bCs/>
          <w:color w:val="000000" w:themeColor="text1"/>
          <w:szCs w:val="24"/>
        </w:rPr>
        <w:t>c</w:t>
      </w:r>
      <w:r w:rsidRPr="00C87215">
        <w:rPr>
          <w:b/>
          <w:bCs/>
          <w:color w:val="000000" w:themeColor="text1"/>
          <w:szCs w:val="24"/>
        </w:rPr>
        <w:t>)</w:t>
      </w:r>
      <w:r w:rsidRPr="00C87215">
        <w:rPr>
          <w:color w:val="000000" w:themeColor="text1"/>
          <w:szCs w:val="24"/>
        </w:rPr>
        <w:t xml:space="preserve"> Representative images for immunostaining of Galectin-3 (magenta), LAMP2 (green) and Tuj1 (blue) in young, aged and aged/sAD tNeurons, related to Fig. 3C. Scale bar: 10 μm.</w:t>
      </w:r>
    </w:p>
    <w:p w14:paraId="2BB9822A" w14:textId="26B8AC3D" w:rsidR="00C87215" w:rsidRPr="00C87215" w:rsidRDefault="00C87215" w:rsidP="00C87215">
      <w:pPr>
        <w:rPr>
          <w:color w:val="000000" w:themeColor="text1"/>
          <w:szCs w:val="24"/>
        </w:rPr>
      </w:pPr>
      <w:r w:rsidRPr="00C87215">
        <w:rPr>
          <w:b/>
          <w:bCs/>
          <w:color w:val="000000" w:themeColor="text1"/>
          <w:szCs w:val="24"/>
        </w:rPr>
        <w:t>(</w:t>
      </w:r>
      <w:r w:rsidR="00B83081">
        <w:rPr>
          <w:b/>
          <w:bCs/>
          <w:color w:val="000000" w:themeColor="text1"/>
          <w:szCs w:val="24"/>
        </w:rPr>
        <w:t>d</w:t>
      </w:r>
      <w:r w:rsidRPr="00C87215">
        <w:rPr>
          <w:b/>
          <w:bCs/>
          <w:color w:val="000000" w:themeColor="text1"/>
          <w:szCs w:val="24"/>
        </w:rPr>
        <w:t xml:space="preserve">) </w:t>
      </w:r>
      <w:r w:rsidRPr="00C87215">
        <w:rPr>
          <w:color w:val="000000" w:themeColor="text1"/>
          <w:szCs w:val="24"/>
        </w:rPr>
        <w:t>Measurement of spontaneous cell death, indicated by apoptosis markers (e.g. active Caspase-3/7), in young, aged, aged/sAD and fAD-PSEN1 tNeurons during</w:t>
      </w:r>
      <w:r w:rsidRPr="00C87215">
        <w:rPr>
          <w:i/>
          <w:iCs/>
          <w:color w:val="000000" w:themeColor="text1"/>
          <w:szCs w:val="24"/>
        </w:rPr>
        <w:t xml:space="preserve"> in vitro</w:t>
      </w:r>
      <w:r w:rsidRPr="00C87215">
        <w:rPr>
          <w:color w:val="000000" w:themeColor="text1"/>
          <w:szCs w:val="24"/>
        </w:rPr>
        <w:t xml:space="preserve"> culture at PID 35, 38 and 42.</w:t>
      </w:r>
    </w:p>
    <w:p w14:paraId="06C35E20" w14:textId="44AE26B8" w:rsidR="00C87215" w:rsidRPr="00C87215" w:rsidRDefault="00C87215" w:rsidP="00C87215">
      <w:pPr>
        <w:rPr>
          <w:color w:val="000000" w:themeColor="text1"/>
          <w:szCs w:val="24"/>
        </w:rPr>
      </w:pPr>
      <w:r w:rsidRPr="00C87215">
        <w:rPr>
          <w:b/>
          <w:bCs/>
          <w:color w:val="000000" w:themeColor="text1"/>
          <w:szCs w:val="24"/>
        </w:rPr>
        <w:t>(</w:t>
      </w:r>
      <w:r w:rsidR="00B83081">
        <w:rPr>
          <w:b/>
          <w:bCs/>
          <w:color w:val="000000" w:themeColor="text1"/>
          <w:szCs w:val="24"/>
        </w:rPr>
        <w:t>e</w:t>
      </w:r>
      <w:r w:rsidRPr="00C87215">
        <w:rPr>
          <w:b/>
          <w:bCs/>
          <w:color w:val="000000" w:themeColor="text1"/>
          <w:szCs w:val="24"/>
        </w:rPr>
        <w:t>)</w:t>
      </w:r>
      <w:r w:rsidRPr="00C87215">
        <w:rPr>
          <w:color w:val="000000" w:themeColor="text1"/>
          <w:szCs w:val="24"/>
        </w:rPr>
        <w:t xml:space="preserve"> Immunostaining of TDP-43 and Hsp70 (magenta), LAMP1 (green) and Tuj1 (blue) during DMSO Ctrl or 0.25 mM LLOME treatment for 30 min in young, aged, aged/sAD tNeurons at PID 35. Scale bar: 10 μm.</w:t>
      </w:r>
    </w:p>
    <w:p w14:paraId="0FFEB570" w14:textId="523AB6A6" w:rsidR="00C87215" w:rsidRPr="00C87215" w:rsidRDefault="00C87215" w:rsidP="00C87215">
      <w:pPr>
        <w:rPr>
          <w:color w:val="000000" w:themeColor="text1"/>
          <w:szCs w:val="24"/>
        </w:rPr>
      </w:pPr>
      <w:r w:rsidRPr="00C87215">
        <w:rPr>
          <w:b/>
          <w:bCs/>
          <w:color w:val="000000" w:themeColor="text1"/>
          <w:szCs w:val="24"/>
        </w:rPr>
        <w:t>(</w:t>
      </w:r>
      <w:r w:rsidR="00B83081">
        <w:rPr>
          <w:b/>
          <w:bCs/>
          <w:color w:val="000000" w:themeColor="text1"/>
          <w:szCs w:val="24"/>
        </w:rPr>
        <w:t>f</w:t>
      </w:r>
      <w:r w:rsidRPr="00C87215">
        <w:rPr>
          <w:b/>
          <w:bCs/>
          <w:color w:val="000000" w:themeColor="text1"/>
          <w:szCs w:val="24"/>
        </w:rPr>
        <w:t xml:space="preserve">) </w:t>
      </w:r>
      <w:r w:rsidRPr="00C87215">
        <w:rPr>
          <w:color w:val="000000" w:themeColor="text1"/>
          <w:szCs w:val="24"/>
        </w:rPr>
        <w:t>Changes in lysosomal acidification by detecting the intensity of preloaded pH-sensitive FITC-conjugated Dextran in tNeurons at basal conditions and during 0.25 mM LLOME treatment for 30 min.</w:t>
      </w:r>
    </w:p>
    <w:p w14:paraId="39834BED" w14:textId="46C8135C" w:rsidR="00C87215" w:rsidRPr="00C87215" w:rsidRDefault="00C87215" w:rsidP="00C87215">
      <w:pPr>
        <w:rPr>
          <w:color w:val="000000" w:themeColor="text1"/>
          <w:szCs w:val="24"/>
        </w:rPr>
      </w:pPr>
      <w:r w:rsidRPr="00C87215">
        <w:rPr>
          <w:b/>
          <w:bCs/>
          <w:color w:val="000000" w:themeColor="text1"/>
          <w:szCs w:val="24"/>
        </w:rPr>
        <w:t>(</w:t>
      </w:r>
      <w:r w:rsidR="00B83081">
        <w:rPr>
          <w:b/>
          <w:bCs/>
          <w:color w:val="000000" w:themeColor="text1"/>
          <w:szCs w:val="24"/>
        </w:rPr>
        <w:t>g</w:t>
      </w:r>
      <w:r w:rsidRPr="00C87215">
        <w:rPr>
          <w:b/>
          <w:bCs/>
          <w:color w:val="000000" w:themeColor="text1"/>
          <w:szCs w:val="24"/>
        </w:rPr>
        <w:t xml:space="preserve">) </w:t>
      </w:r>
      <w:r w:rsidRPr="00C87215">
        <w:rPr>
          <w:color w:val="000000" w:themeColor="text1"/>
          <w:szCs w:val="24"/>
        </w:rPr>
        <w:t>IF analysis of colocalization of Aβ42 with LC3B in aged/sAD tNeurons. Insert: higher magnification view of Aβ42, LAMP1 and LC3B. Scale bar: 10 μm.</w:t>
      </w:r>
    </w:p>
    <w:p w14:paraId="1ABF4913" w14:textId="77777777" w:rsidR="009C065A" w:rsidRDefault="009C065A" w:rsidP="00C87215">
      <w:pPr>
        <w:rPr>
          <w:color w:val="000000" w:themeColor="text1"/>
          <w:szCs w:val="24"/>
        </w:rPr>
      </w:pPr>
    </w:p>
    <w:p w14:paraId="7D048C73" w14:textId="4C6A07EF" w:rsidR="00C87215" w:rsidRPr="00C87215" w:rsidRDefault="00C87215" w:rsidP="00C87215">
      <w:pPr>
        <w:rPr>
          <w:color w:val="000000" w:themeColor="text1"/>
          <w:szCs w:val="24"/>
        </w:rPr>
      </w:pPr>
      <w:r w:rsidRPr="00C87215">
        <w:rPr>
          <w:color w:val="000000" w:themeColor="text1"/>
          <w:szCs w:val="24"/>
        </w:rPr>
        <w:t>Data show box-and-whisker plots of 3 independent experiments and 3 cell lines from independent HC and AD donors. Differences between groups are compared with Two-Way ANOVA followed by Bonferroni post-hoc analysis.</w:t>
      </w:r>
    </w:p>
    <w:p w14:paraId="328D1150" w14:textId="77777777" w:rsidR="00C87215" w:rsidRPr="00C87215" w:rsidRDefault="00C87215" w:rsidP="00C87215">
      <w:pPr>
        <w:rPr>
          <w:color w:val="000000" w:themeColor="text1"/>
          <w:szCs w:val="24"/>
        </w:rPr>
      </w:pPr>
    </w:p>
    <w:p w14:paraId="68DDF55D" w14:textId="77777777" w:rsidR="00C87215" w:rsidRPr="00C87215" w:rsidRDefault="00C87215" w:rsidP="00C87215">
      <w:pPr>
        <w:rPr>
          <w:color w:val="000000" w:themeColor="text1"/>
          <w:szCs w:val="24"/>
        </w:rPr>
      </w:pPr>
    </w:p>
    <w:p w14:paraId="261ADFAE" w14:textId="77777777" w:rsidR="00C87215" w:rsidRPr="00C87215" w:rsidRDefault="00C87215" w:rsidP="00C87215">
      <w:pPr>
        <w:rPr>
          <w:color w:val="000000" w:themeColor="text1"/>
          <w:szCs w:val="24"/>
        </w:rPr>
      </w:pPr>
      <w:r w:rsidRPr="00C87215">
        <w:rPr>
          <w:color w:val="000000" w:themeColor="text1"/>
          <w:szCs w:val="24"/>
        </w:rPr>
        <w:br w:type="page"/>
      </w:r>
    </w:p>
    <w:p w14:paraId="7003E974" w14:textId="47900A63" w:rsidR="00C87215" w:rsidRPr="00C87215" w:rsidRDefault="00BF4183" w:rsidP="00C87215">
      <w:pPr>
        <w:jc w:val="center"/>
        <w:rPr>
          <w:color w:val="000000" w:themeColor="text1"/>
          <w:szCs w:val="24"/>
        </w:rPr>
      </w:pPr>
      <w:r w:rsidRPr="00BF4183">
        <w:rPr>
          <w:noProof/>
          <w:color w:val="000000" w:themeColor="text1"/>
          <w:szCs w:val="24"/>
        </w:rPr>
        <w:lastRenderedPageBreak/>
        <w:drawing>
          <wp:inline distT="0" distB="0" distL="0" distR="0" wp14:anchorId="7BEB4909" wp14:editId="241CAB6B">
            <wp:extent cx="5486400" cy="4266028"/>
            <wp:effectExtent l="0" t="0" r="0" b="1270"/>
            <wp:docPr id="744478370" name="Picture 1"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478370" name="Picture 1" descr="A collage of graphs and diagrams&#10;&#10;Description automatically generated"/>
                    <pic:cNvPicPr/>
                  </pic:nvPicPr>
                  <pic:blipFill>
                    <a:blip r:embed="rId13"/>
                    <a:stretch>
                      <a:fillRect/>
                    </a:stretch>
                  </pic:blipFill>
                  <pic:spPr>
                    <a:xfrm>
                      <a:off x="0" y="0"/>
                      <a:ext cx="5486400" cy="4266028"/>
                    </a:xfrm>
                    <a:prstGeom prst="rect">
                      <a:avLst/>
                    </a:prstGeom>
                  </pic:spPr>
                </pic:pic>
              </a:graphicData>
            </a:graphic>
          </wp:inline>
        </w:drawing>
      </w:r>
    </w:p>
    <w:p w14:paraId="611FFFC6" w14:textId="77777777" w:rsidR="00C87215" w:rsidRPr="00C87215" w:rsidRDefault="00C87215" w:rsidP="00C87215">
      <w:pPr>
        <w:rPr>
          <w:color w:val="000000" w:themeColor="text1"/>
          <w:szCs w:val="24"/>
        </w:rPr>
      </w:pPr>
    </w:p>
    <w:p w14:paraId="23A439B4" w14:textId="283FECF4" w:rsidR="00C87215" w:rsidRPr="00C87215" w:rsidRDefault="00235519" w:rsidP="00C87215">
      <w:pPr>
        <w:rPr>
          <w:b/>
          <w:bCs/>
          <w:color w:val="000000" w:themeColor="text1"/>
          <w:szCs w:val="24"/>
        </w:rPr>
      </w:pPr>
      <w:r>
        <w:rPr>
          <w:b/>
          <w:bCs/>
          <w:color w:val="000000" w:themeColor="text1"/>
          <w:szCs w:val="24"/>
        </w:rPr>
        <w:t>Extended Data Fig.</w:t>
      </w:r>
      <w:r w:rsidR="00C87215" w:rsidRPr="00C87215">
        <w:rPr>
          <w:b/>
          <w:bCs/>
          <w:color w:val="000000" w:themeColor="text1"/>
          <w:szCs w:val="24"/>
        </w:rPr>
        <w:t>7</w:t>
      </w:r>
      <w:r w:rsidR="00C87215" w:rsidRPr="00C87215">
        <w:rPr>
          <w:color w:val="000000" w:themeColor="text1"/>
          <w:szCs w:val="24"/>
        </w:rPr>
        <w:t xml:space="preserve"> </w:t>
      </w:r>
      <w:r w:rsidR="00C87215" w:rsidRPr="00C87215">
        <w:rPr>
          <w:b/>
          <w:bCs/>
          <w:color w:val="000000" w:themeColor="text1"/>
          <w:szCs w:val="24"/>
        </w:rPr>
        <w:t xml:space="preserve">Abnormal lysosomal damage response emerges in fAD-PSEN1 tNeurons, linking to defective organelle homeostasis in AD patient neurons. </w:t>
      </w:r>
    </w:p>
    <w:p w14:paraId="6E468202" w14:textId="5DCC213E" w:rsidR="00C87215" w:rsidRPr="00C87215" w:rsidRDefault="00C87215" w:rsidP="00C87215">
      <w:pPr>
        <w:rPr>
          <w:color w:val="000000" w:themeColor="text1"/>
          <w:szCs w:val="24"/>
        </w:rPr>
      </w:pPr>
      <w:r w:rsidRPr="00C87215">
        <w:rPr>
          <w:b/>
          <w:bCs/>
          <w:color w:val="000000" w:themeColor="text1"/>
          <w:szCs w:val="24"/>
        </w:rPr>
        <w:t>(</w:t>
      </w:r>
      <w:r w:rsidR="00B83081">
        <w:rPr>
          <w:b/>
          <w:bCs/>
          <w:color w:val="000000" w:themeColor="text1"/>
          <w:szCs w:val="24"/>
        </w:rPr>
        <w:t>a</w:t>
      </w:r>
      <w:r w:rsidRPr="00C87215">
        <w:rPr>
          <w:b/>
          <w:bCs/>
          <w:color w:val="000000" w:themeColor="text1"/>
          <w:szCs w:val="24"/>
        </w:rPr>
        <w:t xml:space="preserve">) </w:t>
      </w:r>
      <w:r w:rsidRPr="00C87215">
        <w:rPr>
          <w:color w:val="000000" w:themeColor="text1"/>
          <w:szCs w:val="24"/>
        </w:rPr>
        <w:t>Quantification of numbers of ESCRT-III CHMP2B and Galectin-3 puncta in the cell body of young, aged/sAD and fAD-PSEN1 tNeurons in the absence of lysosomal damage insults.</w:t>
      </w:r>
    </w:p>
    <w:p w14:paraId="21F67BD7" w14:textId="380071D7" w:rsidR="00C87215" w:rsidRPr="00C87215" w:rsidRDefault="00C87215" w:rsidP="00C87215">
      <w:pPr>
        <w:rPr>
          <w:color w:val="000000" w:themeColor="text1"/>
          <w:szCs w:val="24"/>
        </w:rPr>
      </w:pPr>
      <w:r w:rsidRPr="00C87215">
        <w:rPr>
          <w:b/>
          <w:bCs/>
          <w:color w:val="000000" w:themeColor="text1"/>
          <w:szCs w:val="24"/>
        </w:rPr>
        <w:t>(</w:t>
      </w:r>
      <w:r w:rsidR="00B83081">
        <w:rPr>
          <w:b/>
          <w:bCs/>
          <w:color w:val="000000" w:themeColor="text1"/>
          <w:szCs w:val="24"/>
        </w:rPr>
        <w:t>b</w:t>
      </w:r>
      <w:r w:rsidRPr="00C87215">
        <w:rPr>
          <w:b/>
          <w:bCs/>
          <w:color w:val="000000" w:themeColor="text1"/>
          <w:szCs w:val="24"/>
        </w:rPr>
        <w:t xml:space="preserve">) </w:t>
      </w:r>
      <w:r w:rsidRPr="00C87215">
        <w:rPr>
          <w:color w:val="000000" w:themeColor="text1"/>
          <w:szCs w:val="24"/>
        </w:rPr>
        <w:t>Quantification of numbers of ESCRT-0 HGS puncta in the cell body of young, aged/sAD and fAD-PSEN1 tNeurons during lysosomal damage insults mediated by LLOME treatment, and recovery from lysosomal damage after LLOME washout for up to 8 hr. The half-life (t</w:t>
      </w:r>
      <w:r w:rsidRPr="00C87215">
        <w:rPr>
          <w:i/>
          <w:iCs/>
          <w:color w:val="000000" w:themeColor="text1"/>
          <w:szCs w:val="24"/>
          <w:vertAlign w:val="subscript"/>
        </w:rPr>
        <w:t>1/2</w:t>
      </w:r>
      <w:r w:rsidRPr="00C87215">
        <w:rPr>
          <w:color w:val="000000" w:themeColor="text1"/>
          <w:szCs w:val="24"/>
        </w:rPr>
        <w:t>) represents the time required for lysosomal repair.</w:t>
      </w:r>
    </w:p>
    <w:p w14:paraId="07F9BD5A" w14:textId="4574803E" w:rsidR="00C87215" w:rsidRPr="00C87215" w:rsidRDefault="00C87215" w:rsidP="00C87215">
      <w:pPr>
        <w:rPr>
          <w:color w:val="000000" w:themeColor="text1"/>
          <w:szCs w:val="24"/>
        </w:rPr>
      </w:pPr>
      <w:r w:rsidRPr="00C87215">
        <w:rPr>
          <w:b/>
          <w:bCs/>
          <w:color w:val="000000" w:themeColor="text1"/>
          <w:szCs w:val="24"/>
        </w:rPr>
        <w:t>(</w:t>
      </w:r>
      <w:r w:rsidR="00B83081">
        <w:rPr>
          <w:b/>
          <w:bCs/>
          <w:color w:val="000000" w:themeColor="text1"/>
          <w:szCs w:val="24"/>
        </w:rPr>
        <w:t>c</w:t>
      </w:r>
      <w:r w:rsidRPr="00C87215">
        <w:rPr>
          <w:b/>
          <w:bCs/>
          <w:color w:val="000000" w:themeColor="text1"/>
          <w:szCs w:val="24"/>
        </w:rPr>
        <w:t xml:space="preserve">) </w:t>
      </w:r>
      <w:r w:rsidRPr="00C87215">
        <w:rPr>
          <w:color w:val="000000" w:themeColor="text1"/>
          <w:szCs w:val="24"/>
        </w:rPr>
        <w:t>Quantification of changes in mitochondrial membrane potential in young, aged/sAD and fAD-PSEN1 tNeurons at basal conditions and after the treatment of DMSO Ctrl, 20 µM FCCP or 0.25 mM LLOME for 30 min by analyzing TMRE intensity. The values are revealed by a fold change relative to young tNeurons treated with DMSO.</w:t>
      </w:r>
    </w:p>
    <w:p w14:paraId="12E1DBCC" w14:textId="45A19F07" w:rsidR="00C87215" w:rsidRPr="00C87215" w:rsidRDefault="00C87215" w:rsidP="00C87215">
      <w:pPr>
        <w:rPr>
          <w:color w:val="000000" w:themeColor="text1"/>
          <w:szCs w:val="24"/>
        </w:rPr>
      </w:pPr>
      <w:r w:rsidRPr="00C87215">
        <w:rPr>
          <w:b/>
          <w:bCs/>
          <w:color w:val="000000" w:themeColor="text1"/>
          <w:szCs w:val="24"/>
        </w:rPr>
        <w:t>(</w:t>
      </w:r>
      <w:r w:rsidR="00B83081">
        <w:rPr>
          <w:b/>
          <w:bCs/>
          <w:color w:val="000000" w:themeColor="text1"/>
          <w:szCs w:val="24"/>
        </w:rPr>
        <w:t>d</w:t>
      </w:r>
      <w:r w:rsidRPr="00C87215">
        <w:rPr>
          <w:b/>
          <w:bCs/>
          <w:color w:val="000000" w:themeColor="text1"/>
          <w:szCs w:val="24"/>
        </w:rPr>
        <w:t xml:space="preserve">) </w:t>
      </w:r>
      <w:r w:rsidRPr="00C87215">
        <w:rPr>
          <w:color w:val="000000" w:themeColor="text1"/>
          <w:szCs w:val="24"/>
        </w:rPr>
        <w:t>Changes in lysosomal acidification revealed by the intensity of preloaded pH-sensitive FITC-conjugated Dextran in young, aged/sAD and fAD-PSEN1 tNeurons at basal conditions or during 0.25 mM LLOME treatment for 30 min.</w:t>
      </w:r>
    </w:p>
    <w:p w14:paraId="664B7AB9" w14:textId="77777777" w:rsidR="004C2202" w:rsidRDefault="004C2202" w:rsidP="00C87215">
      <w:pPr>
        <w:rPr>
          <w:color w:val="000000" w:themeColor="text1"/>
          <w:szCs w:val="24"/>
        </w:rPr>
      </w:pPr>
    </w:p>
    <w:p w14:paraId="7DB9DA20" w14:textId="65F7963C" w:rsidR="00C87215" w:rsidRPr="00C87215" w:rsidRDefault="00C87215" w:rsidP="00C87215">
      <w:pPr>
        <w:rPr>
          <w:color w:val="000000" w:themeColor="text1"/>
          <w:szCs w:val="24"/>
        </w:rPr>
      </w:pPr>
      <w:r w:rsidRPr="00C87215">
        <w:rPr>
          <w:color w:val="000000" w:themeColor="text1"/>
          <w:szCs w:val="24"/>
        </w:rPr>
        <w:t xml:space="preserve">Data show mean and SD or box-and-whisker plots. Differences between groups are compared with One-Way or Two-Way ANOVA followed by Bonferroni post-hoc analysis. **P &lt; 0.01 and ***P &lt; 0.001. ###P &lt; 0.001. </w:t>
      </w:r>
    </w:p>
    <w:p w14:paraId="5DF20698" w14:textId="77777777" w:rsidR="00C87215" w:rsidRPr="00C87215" w:rsidRDefault="00C87215" w:rsidP="00C87215">
      <w:pPr>
        <w:rPr>
          <w:color w:val="000000" w:themeColor="text1"/>
          <w:szCs w:val="24"/>
        </w:rPr>
      </w:pPr>
      <w:r w:rsidRPr="00C87215">
        <w:rPr>
          <w:color w:val="000000" w:themeColor="text1"/>
          <w:szCs w:val="24"/>
        </w:rPr>
        <w:br w:type="page"/>
      </w:r>
    </w:p>
    <w:p w14:paraId="28F3D08F" w14:textId="24C6CE84" w:rsidR="00C87215" w:rsidRPr="00C87215" w:rsidRDefault="004E386D" w:rsidP="00C87215">
      <w:pPr>
        <w:jc w:val="center"/>
        <w:rPr>
          <w:b/>
          <w:bCs/>
          <w:color w:val="000000" w:themeColor="text1"/>
          <w:szCs w:val="24"/>
        </w:rPr>
      </w:pPr>
      <w:r w:rsidRPr="004E386D">
        <w:rPr>
          <w:b/>
          <w:bCs/>
          <w:noProof/>
          <w:color w:val="000000" w:themeColor="text1"/>
          <w:szCs w:val="24"/>
        </w:rPr>
        <w:lastRenderedPageBreak/>
        <w:drawing>
          <wp:inline distT="0" distB="0" distL="0" distR="0" wp14:anchorId="79ED5D7D" wp14:editId="11CAD46D">
            <wp:extent cx="5486400" cy="4281268"/>
            <wp:effectExtent l="0" t="0" r="0" b="0"/>
            <wp:docPr id="1793013458" name="Picture 1" descr="A group of graphs showing different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013458" name="Picture 1" descr="A group of graphs showing different numbers&#10;&#10;Description automatically generated with medium confidence"/>
                    <pic:cNvPicPr/>
                  </pic:nvPicPr>
                  <pic:blipFill>
                    <a:blip r:embed="rId14"/>
                    <a:stretch>
                      <a:fillRect/>
                    </a:stretch>
                  </pic:blipFill>
                  <pic:spPr>
                    <a:xfrm>
                      <a:off x="0" y="0"/>
                      <a:ext cx="5486400" cy="4281268"/>
                    </a:xfrm>
                    <a:prstGeom prst="rect">
                      <a:avLst/>
                    </a:prstGeom>
                  </pic:spPr>
                </pic:pic>
              </a:graphicData>
            </a:graphic>
          </wp:inline>
        </w:drawing>
      </w:r>
    </w:p>
    <w:p w14:paraId="2C94C189" w14:textId="77777777" w:rsidR="00C87215" w:rsidRPr="00C87215" w:rsidRDefault="00C87215" w:rsidP="00C87215">
      <w:pPr>
        <w:rPr>
          <w:b/>
          <w:bCs/>
          <w:color w:val="000000" w:themeColor="text1"/>
          <w:szCs w:val="24"/>
        </w:rPr>
      </w:pPr>
    </w:p>
    <w:p w14:paraId="3C0742F3" w14:textId="2ECDDD93" w:rsidR="00C87215" w:rsidRPr="00C87215" w:rsidRDefault="00235519" w:rsidP="00C87215">
      <w:pPr>
        <w:rPr>
          <w:b/>
          <w:bCs/>
          <w:color w:val="000000" w:themeColor="text1"/>
          <w:szCs w:val="24"/>
        </w:rPr>
      </w:pPr>
      <w:r>
        <w:rPr>
          <w:b/>
          <w:bCs/>
          <w:color w:val="000000" w:themeColor="text1"/>
          <w:szCs w:val="24"/>
        </w:rPr>
        <w:t>Extended Data Fig.</w:t>
      </w:r>
      <w:r w:rsidR="00C87215" w:rsidRPr="00C87215">
        <w:rPr>
          <w:b/>
          <w:bCs/>
          <w:color w:val="000000" w:themeColor="text1"/>
          <w:szCs w:val="24"/>
        </w:rPr>
        <w:t>8</w:t>
      </w:r>
      <w:r w:rsidR="00C87215" w:rsidRPr="00C87215">
        <w:rPr>
          <w:color w:val="000000" w:themeColor="text1"/>
          <w:szCs w:val="24"/>
        </w:rPr>
        <w:t xml:space="preserve"> </w:t>
      </w:r>
      <w:r w:rsidR="00C87215" w:rsidRPr="00C87215">
        <w:rPr>
          <w:b/>
          <w:bCs/>
          <w:color w:val="000000" w:themeColor="text1"/>
          <w:szCs w:val="24"/>
        </w:rPr>
        <w:t>Lysosomal damage positively correlates with aging and intrinsic disease</w:t>
      </w:r>
      <w:r w:rsidR="00D62C70">
        <w:rPr>
          <w:b/>
          <w:bCs/>
          <w:color w:val="000000" w:themeColor="text1"/>
          <w:szCs w:val="24"/>
        </w:rPr>
        <w:t xml:space="preserve"> </w:t>
      </w:r>
      <w:r w:rsidR="00C87215" w:rsidRPr="00C87215">
        <w:rPr>
          <w:b/>
          <w:bCs/>
          <w:color w:val="000000" w:themeColor="text1"/>
          <w:szCs w:val="24"/>
        </w:rPr>
        <w:t>properties in AD patient neurons.</w:t>
      </w:r>
    </w:p>
    <w:p w14:paraId="7DA03652" w14:textId="3A37FA89" w:rsidR="00C87215" w:rsidRPr="00C87215" w:rsidRDefault="00C87215" w:rsidP="00C87215">
      <w:pPr>
        <w:rPr>
          <w:color w:val="000000" w:themeColor="text1"/>
          <w:szCs w:val="24"/>
        </w:rPr>
      </w:pPr>
      <w:r w:rsidRPr="00C87215">
        <w:rPr>
          <w:b/>
          <w:bCs/>
          <w:color w:val="000000" w:themeColor="text1"/>
          <w:szCs w:val="24"/>
        </w:rPr>
        <w:t>(</w:t>
      </w:r>
      <w:r w:rsidR="00C50607">
        <w:rPr>
          <w:b/>
          <w:bCs/>
          <w:color w:val="000000" w:themeColor="text1"/>
          <w:szCs w:val="24"/>
        </w:rPr>
        <w:t>a</w:t>
      </w:r>
      <w:r w:rsidRPr="00C87215">
        <w:rPr>
          <w:b/>
          <w:bCs/>
          <w:color w:val="000000" w:themeColor="text1"/>
          <w:szCs w:val="24"/>
        </w:rPr>
        <w:t xml:space="preserve">) </w:t>
      </w:r>
      <w:r w:rsidRPr="00C87215">
        <w:rPr>
          <w:color w:val="000000" w:themeColor="text1"/>
          <w:szCs w:val="24"/>
        </w:rPr>
        <w:t xml:space="preserve">Analysis of correlation between intra-cellular Aβ42 level and CHMP2B puncta number in young, aged, aged/sAD and fAD-PSEN1 tNeurons. </w:t>
      </w:r>
    </w:p>
    <w:p w14:paraId="0650E406" w14:textId="78AE8AAC" w:rsidR="00C87215" w:rsidRPr="00C87215" w:rsidRDefault="00C87215" w:rsidP="00C87215">
      <w:pPr>
        <w:rPr>
          <w:color w:val="000000" w:themeColor="text1"/>
          <w:szCs w:val="24"/>
        </w:rPr>
      </w:pPr>
      <w:r w:rsidRPr="00C87215">
        <w:rPr>
          <w:b/>
          <w:bCs/>
          <w:color w:val="000000" w:themeColor="text1"/>
          <w:szCs w:val="24"/>
        </w:rPr>
        <w:t>(</w:t>
      </w:r>
      <w:r w:rsidR="00C50607">
        <w:rPr>
          <w:b/>
          <w:bCs/>
          <w:color w:val="000000" w:themeColor="text1"/>
          <w:szCs w:val="24"/>
        </w:rPr>
        <w:t>b</w:t>
      </w:r>
      <w:r w:rsidRPr="00C87215">
        <w:rPr>
          <w:b/>
          <w:bCs/>
          <w:color w:val="000000" w:themeColor="text1"/>
          <w:szCs w:val="24"/>
        </w:rPr>
        <w:t xml:space="preserve">) </w:t>
      </w:r>
      <w:r w:rsidRPr="00C87215">
        <w:rPr>
          <w:color w:val="000000" w:themeColor="text1"/>
          <w:szCs w:val="24"/>
        </w:rPr>
        <w:t xml:space="preserve">Analysis of correlation between intra-cellular total Aβ level and Galectin-3 or CHMP2B puncta number in young, aged, aged/sAD and fAD-PSEN1 tNeurons. </w:t>
      </w:r>
    </w:p>
    <w:p w14:paraId="684873CC" w14:textId="77777777" w:rsidR="00C87215" w:rsidRPr="00C87215" w:rsidRDefault="00C87215" w:rsidP="00C87215">
      <w:pPr>
        <w:rPr>
          <w:color w:val="000000" w:themeColor="text1"/>
          <w:szCs w:val="24"/>
        </w:rPr>
      </w:pPr>
      <w:r w:rsidRPr="00C87215">
        <w:rPr>
          <w:color w:val="000000" w:themeColor="text1"/>
          <w:szCs w:val="24"/>
        </w:rPr>
        <w:t>Black solid line represents the fitted linear correlation. Coefficient of Discrimination (R</w:t>
      </w:r>
      <w:r w:rsidRPr="00C87215">
        <w:rPr>
          <w:color w:val="000000" w:themeColor="text1"/>
          <w:szCs w:val="24"/>
          <w:vertAlign w:val="superscript"/>
        </w:rPr>
        <w:t>2</w:t>
      </w:r>
      <w:r w:rsidRPr="00C87215">
        <w:rPr>
          <w:color w:val="000000" w:themeColor="text1"/>
          <w:szCs w:val="24"/>
        </w:rPr>
        <w:t>) is calculated using Pearson’s correlation.</w:t>
      </w:r>
    </w:p>
    <w:p w14:paraId="3E8F4D19" w14:textId="77777777" w:rsidR="00C87215" w:rsidRPr="00C87215" w:rsidRDefault="00C87215" w:rsidP="00C87215">
      <w:pPr>
        <w:rPr>
          <w:color w:val="000000" w:themeColor="text1"/>
          <w:szCs w:val="24"/>
        </w:rPr>
      </w:pPr>
    </w:p>
    <w:p w14:paraId="1A8D98D1" w14:textId="77777777" w:rsidR="00C87215" w:rsidRPr="00C87215" w:rsidRDefault="00C87215" w:rsidP="00C87215">
      <w:pPr>
        <w:rPr>
          <w:color w:val="000000" w:themeColor="text1"/>
          <w:szCs w:val="24"/>
        </w:rPr>
      </w:pPr>
    </w:p>
    <w:p w14:paraId="452C5082" w14:textId="77777777" w:rsidR="00C87215" w:rsidRPr="00C87215" w:rsidRDefault="00C87215" w:rsidP="00C87215">
      <w:pPr>
        <w:rPr>
          <w:color w:val="000000" w:themeColor="text1"/>
          <w:szCs w:val="24"/>
        </w:rPr>
      </w:pPr>
    </w:p>
    <w:p w14:paraId="5019691C" w14:textId="77777777" w:rsidR="00C87215" w:rsidRPr="00C87215" w:rsidRDefault="00C87215" w:rsidP="00C87215">
      <w:pPr>
        <w:rPr>
          <w:b/>
          <w:bCs/>
          <w:color w:val="000000" w:themeColor="text1"/>
          <w:szCs w:val="24"/>
        </w:rPr>
      </w:pPr>
      <w:r w:rsidRPr="00C87215">
        <w:rPr>
          <w:b/>
          <w:bCs/>
          <w:color w:val="000000" w:themeColor="text1"/>
          <w:szCs w:val="24"/>
        </w:rPr>
        <w:br w:type="page"/>
      </w:r>
    </w:p>
    <w:p w14:paraId="79E247DC" w14:textId="4FA207CB" w:rsidR="00C87215" w:rsidRPr="00C87215" w:rsidRDefault="00B55DD1" w:rsidP="00C87215">
      <w:pPr>
        <w:rPr>
          <w:b/>
          <w:bCs/>
          <w:color w:val="000000" w:themeColor="text1"/>
          <w:szCs w:val="24"/>
        </w:rPr>
      </w:pPr>
      <w:r w:rsidRPr="00B55DD1">
        <w:rPr>
          <w:b/>
          <w:bCs/>
          <w:noProof/>
          <w:color w:val="000000" w:themeColor="text1"/>
          <w:szCs w:val="24"/>
        </w:rPr>
        <w:lastRenderedPageBreak/>
        <w:drawing>
          <wp:inline distT="0" distB="0" distL="0" distR="0" wp14:anchorId="1611E39F" wp14:editId="3A721E28">
            <wp:extent cx="5943600" cy="3964940"/>
            <wp:effectExtent l="0" t="0" r="0" b="0"/>
            <wp:docPr id="597456712" name="Picture 1"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456712" name="Picture 1" descr="A collage of images of cells&#10;&#10;Description automatically generated"/>
                    <pic:cNvPicPr/>
                  </pic:nvPicPr>
                  <pic:blipFill>
                    <a:blip r:embed="rId15"/>
                    <a:stretch>
                      <a:fillRect/>
                    </a:stretch>
                  </pic:blipFill>
                  <pic:spPr>
                    <a:xfrm>
                      <a:off x="0" y="0"/>
                      <a:ext cx="5943600" cy="3964940"/>
                    </a:xfrm>
                    <a:prstGeom prst="rect">
                      <a:avLst/>
                    </a:prstGeom>
                  </pic:spPr>
                </pic:pic>
              </a:graphicData>
            </a:graphic>
          </wp:inline>
        </w:drawing>
      </w:r>
    </w:p>
    <w:p w14:paraId="78EBCA50" w14:textId="77777777" w:rsidR="00C87215" w:rsidRPr="00C87215" w:rsidRDefault="00C87215" w:rsidP="00C87215">
      <w:pPr>
        <w:rPr>
          <w:b/>
          <w:bCs/>
          <w:color w:val="000000" w:themeColor="text1"/>
          <w:szCs w:val="24"/>
        </w:rPr>
      </w:pPr>
    </w:p>
    <w:p w14:paraId="08BD67F6" w14:textId="606A8215" w:rsidR="00C87215" w:rsidRPr="00C87215" w:rsidRDefault="00235519" w:rsidP="00C87215">
      <w:pPr>
        <w:rPr>
          <w:b/>
          <w:bCs/>
          <w:color w:val="000000" w:themeColor="text1"/>
          <w:szCs w:val="24"/>
        </w:rPr>
      </w:pPr>
      <w:r>
        <w:rPr>
          <w:b/>
          <w:bCs/>
          <w:color w:val="000000" w:themeColor="text1"/>
          <w:szCs w:val="24"/>
        </w:rPr>
        <w:t>Extended Data Fig.</w:t>
      </w:r>
      <w:r w:rsidR="00C87215" w:rsidRPr="00C87215">
        <w:rPr>
          <w:b/>
          <w:bCs/>
          <w:color w:val="000000" w:themeColor="text1"/>
          <w:szCs w:val="24"/>
        </w:rPr>
        <w:t>9 Lysosomal damage markers are elevated in the cortex of old mice.</w:t>
      </w:r>
    </w:p>
    <w:p w14:paraId="6549F672" w14:textId="4901228D" w:rsidR="00C87215" w:rsidRPr="00C87215" w:rsidRDefault="00C87215" w:rsidP="00C87215">
      <w:pPr>
        <w:rPr>
          <w:color w:val="000000" w:themeColor="text1"/>
          <w:szCs w:val="24"/>
        </w:rPr>
      </w:pPr>
      <w:r w:rsidRPr="00C87215">
        <w:rPr>
          <w:b/>
          <w:bCs/>
          <w:color w:val="000000" w:themeColor="text1"/>
          <w:szCs w:val="24"/>
        </w:rPr>
        <w:t>(</w:t>
      </w:r>
      <w:r w:rsidR="00C50607">
        <w:rPr>
          <w:b/>
          <w:bCs/>
          <w:color w:val="000000" w:themeColor="text1"/>
          <w:szCs w:val="24"/>
        </w:rPr>
        <w:t>a</w:t>
      </w:r>
      <w:r w:rsidRPr="00C87215">
        <w:rPr>
          <w:b/>
          <w:bCs/>
          <w:color w:val="000000" w:themeColor="text1"/>
          <w:szCs w:val="24"/>
        </w:rPr>
        <w:t>)</w:t>
      </w:r>
      <w:r w:rsidRPr="00C87215">
        <w:rPr>
          <w:color w:val="000000" w:themeColor="text1"/>
          <w:szCs w:val="24"/>
        </w:rPr>
        <w:t xml:space="preserve"> Experimental schematic for wild-type young mice (3-month old) and old mice (20-24-month old).</w:t>
      </w:r>
    </w:p>
    <w:p w14:paraId="61806873" w14:textId="0850B0DC" w:rsidR="00C87215" w:rsidRPr="00C87215" w:rsidRDefault="00C87215" w:rsidP="00C87215">
      <w:pPr>
        <w:rPr>
          <w:color w:val="000000" w:themeColor="text1"/>
          <w:szCs w:val="24"/>
        </w:rPr>
      </w:pPr>
      <w:r w:rsidRPr="00C87215">
        <w:rPr>
          <w:b/>
          <w:bCs/>
          <w:color w:val="000000" w:themeColor="text1"/>
          <w:szCs w:val="24"/>
        </w:rPr>
        <w:t>(</w:t>
      </w:r>
      <w:r w:rsidR="00C50607">
        <w:rPr>
          <w:b/>
          <w:bCs/>
          <w:color w:val="000000" w:themeColor="text1"/>
          <w:szCs w:val="24"/>
        </w:rPr>
        <w:t>b</w:t>
      </w:r>
      <w:r w:rsidRPr="00C87215">
        <w:rPr>
          <w:b/>
          <w:bCs/>
          <w:color w:val="000000" w:themeColor="text1"/>
          <w:szCs w:val="24"/>
        </w:rPr>
        <w:t>)</w:t>
      </w:r>
      <w:r w:rsidRPr="00C87215">
        <w:rPr>
          <w:color w:val="000000" w:themeColor="text1"/>
          <w:szCs w:val="24"/>
        </w:rPr>
        <w:t xml:space="preserve"> Representative images and IF quantification of Galectin-3 immunoreactivity and lysosomal size based on LAMP1 signals in neurons of wild-type young and old mice. Scale bar: 50 μm.</w:t>
      </w:r>
    </w:p>
    <w:p w14:paraId="65F06582" w14:textId="77777777" w:rsidR="0031267C" w:rsidRDefault="0031267C" w:rsidP="00C87215">
      <w:pPr>
        <w:rPr>
          <w:color w:val="000000" w:themeColor="text1"/>
          <w:szCs w:val="24"/>
        </w:rPr>
      </w:pPr>
    </w:p>
    <w:p w14:paraId="1633F958" w14:textId="1F14398C" w:rsidR="00C87215" w:rsidRPr="00C87215" w:rsidRDefault="00C87215" w:rsidP="00C87215">
      <w:pPr>
        <w:rPr>
          <w:color w:val="000000" w:themeColor="text1"/>
          <w:szCs w:val="24"/>
        </w:rPr>
      </w:pPr>
      <w:r w:rsidRPr="00C87215">
        <w:rPr>
          <w:color w:val="000000" w:themeColor="text1"/>
          <w:szCs w:val="24"/>
        </w:rPr>
        <w:t>Data show mean and SD plots of independent experiments in mice (Galectin-3: n = 3; Lysosomal size: n = 4).</w:t>
      </w:r>
    </w:p>
    <w:p w14:paraId="62F15838" w14:textId="77777777" w:rsidR="00C87215" w:rsidRPr="00C87215" w:rsidRDefault="00C87215" w:rsidP="00C87215">
      <w:pPr>
        <w:rPr>
          <w:color w:val="000000" w:themeColor="text1"/>
          <w:szCs w:val="24"/>
        </w:rPr>
      </w:pPr>
    </w:p>
    <w:p w14:paraId="5FD23F79" w14:textId="77777777" w:rsidR="00C87215" w:rsidRPr="00C87215" w:rsidRDefault="00C87215" w:rsidP="00C87215">
      <w:pPr>
        <w:rPr>
          <w:color w:val="000000" w:themeColor="text1"/>
          <w:szCs w:val="24"/>
        </w:rPr>
      </w:pPr>
    </w:p>
    <w:p w14:paraId="1FD9EAB6" w14:textId="77777777" w:rsidR="00C87215" w:rsidRPr="00C87215" w:rsidRDefault="00C87215" w:rsidP="00C87215">
      <w:pPr>
        <w:rPr>
          <w:color w:val="000000" w:themeColor="text1"/>
          <w:szCs w:val="24"/>
        </w:rPr>
      </w:pPr>
      <w:r w:rsidRPr="00C87215">
        <w:rPr>
          <w:color w:val="000000" w:themeColor="text1"/>
          <w:szCs w:val="24"/>
        </w:rPr>
        <w:br w:type="page"/>
      </w:r>
    </w:p>
    <w:p w14:paraId="060E1539" w14:textId="76338233" w:rsidR="00C87215" w:rsidRPr="00C87215" w:rsidRDefault="00FB4463" w:rsidP="00C87215">
      <w:pPr>
        <w:rPr>
          <w:color w:val="000000" w:themeColor="text1"/>
          <w:szCs w:val="24"/>
        </w:rPr>
      </w:pPr>
      <w:r w:rsidRPr="00FB4463">
        <w:rPr>
          <w:noProof/>
          <w:color w:val="000000" w:themeColor="text1"/>
          <w:szCs w:val="24"/>
        </w:rPr>
        <w:lastRenderedPageBreak/>
        <w:drawing>
          <wp:inline distT="0" distB="0" distL="0" distR="0" wp14:anchorId="3116C4F5" wp14:editId="7446FA77">
            <wp:extent cx="5943600" cy="5558790"/>
            <wp:effectExtent l="0" t="0" r="0" b="3810"/>
            <wp:docPr id="2147438764" name="Picture 1"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438764" name="Picture 1" descr="A collage of images of cells&#10;&#10;Description automatically generated"/>
                    <pic:cNvPicPr/>
                  </pic:nvPicPr>
                  <pic:blipFill>
                    <a:blip r:embed="rId16"/>
                    <a:stretch>
                      <a:fillRect/>
                    </a:stretch>
                  </pic:blipFill>
                  <pic:spPr>
                    <a:xfrm>
                      <a:off x="0" y="0"/>
                      <a:ext cx="5943600" cy="5558790"/>
                    </a:xfrm>
                    <a:prstGeom prst="rect">
                      <a:avLst/>
                    </a:prstGeom>
                  </pic:spPr>
                </pic:pic>
              </a:graphicData>
            </a:graphic>
          </wp:inline>
        </w:drawing>
      </w:r>
    </w:p>
    <w:p w14:paraId="6550DBA9" w14:textId="77777777" w:rsidR="00C87215" w:rsidRPr="00C87215" w:rsidRDefault="00C87215" w:rsidP="00C87215">
      <w:pPr>
        <w:rPr>
          <w:b/>
          <w:bCs/>
          <w:color w:val="000000" w:themeColor="text1"/>
          <w:szCs w:val="24"/>
        </w:rPr>
      </w:pPr>
    </w:p>
    <w:p w14:paraId="6A07C5D2" w14:textId="278452AD" w:rsidR="00C87215" w:rsidRPr="00C87215" w:rsidRDefault="00235519" w:rsidP="00C87215">
      <w:pPr>
        <w:rPr>
          <w:b/>
          <w:bCs/>
          <w:color w:val="000000" w:themeColor="text1"/>
          <w:szCs w:val="24"/>
        </w:rPr>
      </w:pPr>
      <w:r>
        <w:rPr>
          <w:b/>
          <w:bCs/>
          <w:color w:val="000000" w:themeColor="text1"/>
          <w:szCs w:val="24"/>
        </w:rPr>
        <w:t>Extended Data Fig.</w:t>
      </w:r>
      <w:r w:rsidR="00C87215" w:rsidRPr="00C87215">
        <w:rPr>
          <w:b/>
          <w:bCs/>
          <w:color w:val="000000" w:themeColor="text1"/>
          <w:szCs w:val="24"/>
        </w:rPr>
        <w:t>10 Lysosomal damage markers are associated with neuropathological signatures of AD in the cortex of APP-transgenic mice.</w:t>
      </w:r>
    </w:p>
    <w:p w14:paraId="473D0AEA" w14:textId="295CE0E1" w:rsidR="00C87215" w:rsidRPr="00C87215" w:rsidRDefault="00C87215" w:rsidP="00C87215">
      <w:pPr>
        <w:rPr>
          <w:color w:val="000000" w:themeColor="text1"/>
          <w:szCs w:val="24"/>
        </w:rPr>
      </w:pPr>
      <w:r w:rsidRPr="00C87215">
        <w:rPr>
          <w:b/>
          <w:bCs/>
          <w:color w:val="000000" w:themeColor="text1"/>
          <w:szCs w:val="24"/>
        </w:rPr>
        <w:t>(</w:t>
      </w:r>
      <w:r w:rsidR="00C50607">
        <w:rPr>
          <w:b/>
          <w:bCs/>
          <w:color w:val="000000" w:themeColor="text1"/>
          <w:szCs w:val="24"/>
        </w:rPr>
        <w:t>a</w:t>
      </w:r>
      <w:r w:rsidRPr="00C87215">
        <w:rPr>
          <w:b/>
          <w:bCs/>
          <w:color w:val="000000" w:themeColor="text1"/>
          <w:szCs w:val="24"/>
        </w:rPr>
        <w:t>)</w:t>
      </w:r>
      <w:r w:rsidRPr="00C87215">
        <w:rPr>
          <w:color w:val="000000" w:themeColor="text1"/>
          <w:szCs w:val="24"/>
        </w:rPr>
        <w:t xml:space="preserve"> Experimental schematic for non-transgenic wild-type mice (NTg) and transgenic mice expressing mutant human APP with the Swedish (K670N/M671L) and London (V717I) mutations (APP</w:t>
      </w:r>
      <w:r w:rsidRPr="00C87215">
        <w:rPr>
          <w:color w:val="000000" w:themeColor="text1"/>
          <w:szCs w:val="24"/>
          <w:vertAlign w:val="superscript"/>
        </w:rPr>
        <w:t>Lon/Swe</w:t>
      </w:r>
      <w:r w:rsidRPr="00C87215">
        <w:rPr>
          <w:color w:val="000000" w:themeColor="text1"/>
          <w:szCs w:val="24"/>
        </w:rPr>
        <w:t>) (3-6-month old).</w:t>
      </w:r>
    </w:p>
    <w:p w14:paraId="0BD895FE" w14:textId="0B5EE04D" w:rsidR="00C87215" w:rsidRPr="00C87215" w:rsidRDefault="00C87215" w:rsidP="00C87215">
      <w:pPr>
        <w:rPr>
          <w:color w:val="000000" w:themeColor="text1"/>
          <w:szCs w:val="24"/>
        </w:rPr>
      </w:pPr>
      <w:r w:rsidRPr="00C87215">
        <w:rPr>
          <w:b/>
          <w:bCs/>
          <w:color w:val="000000" w:themeColor="text1"/>
          <w:szCs w:val="24"/>
        </w:rPr>
        <w:t>(</w:t>
      </w:r>
      <w:r w:rsidR="00C50607">
        <w:rPr>
          <w:b/>
          <w:bCs/>
          <w:color w:val="000000" w:themeColor="text1"/>
          <w:szCs w:val="24"/>
        </w:rPr>
        <w:t>b</w:t>
      </w:r>
      <w:r w:rsidRPr="00C87215">
        <w:rPr>
          <w:b/>
          <w:bCs/>
          <w:color w:val="000000" w:themeColor="text1"/>
          <w:szCs w:val="24"/>
        </w:rPr>
        <w:t xml:space="preserve">) </w:t>
      </w:r>
      <w:r w:rsidRPr="00C87215">
        <w:rPr>
          <w:color w:val="000000" w:themeColor="text1"/>
          <w:szCs w:val="24"/>
        </w:rPr>
        <w:t>IF staining and quantification of Aβ42, LAMP1, CHMP2B and Galectin-3 in the neocortex of NTg and APP</w:t>
      </w:r>
      <w:r w:rsidRPr="00C87215">
        <w:rPr>
          <w:color w:val="000000" w:themeColor="text1"/>
          <w:szCs w:val="24"/>
          <w:vertAlign w:val="superscript"/>
        </w:rPr>
        <w:t>Lon/Swe</w:t>
      </w:r>
      <w:r w:rsidRPr="00C87215">
        <w:rPr>
          <w:color w:val="000000" w:themeColor="text1"/>
          <w:szCs w:val="24"/>
        </w:rPr>
        <w:t xml:space="preserve"> transgenic mice, related to Fig. 4B. Extra-cellular and intra-neuronal colocalization of CHPM2B with LAMP1 in the brain of APP</w:t>
      </w:r>
      <w:r w:rsidRPr="00C87215">
        <w:rPr>
          <w:color w:val="000000" w:themeColor="text1"/>
          <w:szCs w:val="24"/>
          <w:vertAlign w:val="superscript"/>
        </w:rPr>
        <w:t>Lon/Swe</w:t>
      </w:r>
      <w:r w:rsidRPr="00C87215">
        <w:rPr>
          <w:color w:val="000000" w:themeColor="text1"/>
          <w:szCs w:val="24"/>
        </w:rPr>
        <w:t xml:space="preserve"> mice. The brain tissue is co-stained with MAP2 and Hoechst. Insert: higher magnification view of colocalization between CHMP2B, Galectin-3, LAMP1 and Aβ42. Scale bar: 50 μm. </w:t>
      </w:r>
    </w:p>
    <w:p w14:paraId="0EFEE2BB" w14:textId="2539D20E" w:rsidR="00C87215" w:rsidRPr="00C87215" w:rsidRDefault="00C87215" w:rsidP="00C87215">
      <w:pPr>
        <w:rPr>
          <w:color w:val="000000" w:themeColor="text1"/>
          <w:szCs w:val="24"/>
        </w:rPr>
      </w:pPr>
      <w:r w:rsidRPr="00C87215">
        <w:rPr>
          <w:b/>
          <w:bCs/>
          <w:color w:val="000000" w:themeColor="text1"/>
          <w:szCs w:val="24"/>
        </w:rPr>
        <w:t>(</w:t>
      </w:r>
      <w:r w:rsidR="00C50607">
        <w:rPr>
          <w:b/>
          <w:bCs/>
          <w:color w:val="000000" w:themeColor="text1"/>
          <w:szCs w:val="24"/>
        </w:rPr>
        <w:t>c</w:t>
      </w:r>
      <w:r w:rsidRPr="00C87215">
        <w:rPr>
          <w:b/>
          <w:bCs/>
          <w:color w:val="000000" w:themeColor="text1"/>
          <w:szCs w:val="24"/>
        </w:rPr>
        <w:t>)</w:t>
      </w:r>
      <w:r w:rsidRPr="00C87215">
        <w:rPr>
          <w:color w:val="000000" w:themeColor="text1"/>
          <w:szCs w:val="24"/>
        </w:rPr>
        <w:t xml:space="preserve"> Immunostaining of Galectin-3 (magenta), LAMP1 (cyan) and MAP2 (grey) counterstained with Hoechst (yellow) in the cortex of NTg and APP</w:t>
      </w:r>
      <w:r w:rsidRPr="00C87215">
        <w:rPr>
          <w:color w:val="000000" w:themeColor="text1"/>
          <w:szCs w:val="24"/>
          <w:vertAlign w:val="superscript"/>
        </w:rPr>
        <w:t>Lon/Swe</w:t>
      </w:r>
      <w:r w:rsidRPr="00C87215">
        <w:rPr>
          <w:color w:val="000000" w:themeColor="text1"/>
          <w:szCs w:val="24"/>
        </w:rPr>
        <w:t xml:space="preserve"> mice. Inset: higher magnification view of LAMP1-positive inclusions. Scale bar: 50 μm.</w:t>
      </w:r>
    </w:p>
    <w:p w14:paraId="634CCEE9" w14:textId="3C28CDBE" w:rsidR="00C87215" w:rsidRPr="00C87215" w:rsidRDefault="00C87215" w:rsidP="00C87215">
      <w:pPr>
        <w:rPr>
          <w:color w:val="000000" w:themeColor="text1"/>
          <w:szCs w:val="24"/>
        </w:rPr>
      </w:pPr>
      <w:r w:rsidRPr="00C87215">
        <w:rPr>
          <w:b/>
          <w:bCs/>
          <w:color w:val="000000" w:themeColor="text1"/>
          <w:szCs w:val="24"/>
        </w:rPr>
        <w:lastRenderedPageBreak/>
        <w:t>(</w:t>
      </w:r>
      <w:r w:rsidR="00C50607">
        <w:rPr>
          <w:b/>
          <w:bCs/>
          <w:color w:val="000000" w:themeColor="text1"/>
          <w:szCs w:val="24"/>
        </w:rPr>
        <w:t>d</w:t>
      </w:r>
      <w:r w:rsidRPr="00C87215">
        <w:rPr>
          <w:b/>
          <w:bCs/>
          <w:color w:val="000000" w:themeColor="text1"/>
          <w:szCs w:val="24"/>
        </w:rPr>
        <w:t>)</w:t>
      </w:r>
      <w:r w:rsidRPr="00C87215">
        <w:rPr>
          <w:color w:val="000000" w:themeColor="text1"/>
          <w:szCs w:val="24"/>
        </w:rPr>
        <w:t xml:space="preserve"> Immunostaining of Hsp70 (magenta), LAMP1 (cyan) and MAP2 (grey) counterstained with Hoechst (yellow) in the cortex of NTg and APP</w:t>
      </w:r>
      <w:r w:rsidRPr="00C87215">
        <w:rPr>
          <w:color w:val="000000" w:themeColor="text1"/>
          <w:szCs w:val="24"/>
          <w:vertAlign w:val="superscript"/>
        </w:rPr>
        <w:t>Lon/Swe</w:t>
      </w:r>
      <w:r w:rsidRPr="00C87215">
        <w:rPr>
          <w:color w:val="000000" w:themeColor="text1"/>
          <w:szCs w:val="24"/>
        </w:rPr>
        <w:t xml:space="preserve"> mice. Inset: higher magnification view of LAMP1-positive inclusions. Scale bar: 50 μm.</w:t>
      </w:r>
    </w:p>
    <w:p w14:paraId="0D77EA67" w14:textId="77777777" w:rsidR="00C26217" w:rsidRDefault="00C26217" w:rsidP="00C87215">
      <w:pPr>
        <w:rPr>
          <w:color w:val="000000" w:themeColor="text1"/>
          <w:szCs w:val="24"/>
        </w:rPr>
      </w:pPr>
    </w:p>
    <w:p w14:paraId="14AABC94" w14:textId="4A111C4F" w:rsidR="00C87215" w:rsidRPr="00C87215" w:rsidRDefault="00C87215" w:rsidP="00C87215">
      <w:pPr>
        <w:rPr>
          <w:color w:val="000000" w:themeColor="text1"/>
          <w:szCs w:val="24"/>
        </w:rPr>
      </w:pPr>
      <w:r w:rsidRPr="00C87215">
        <w:rPr>
          <w:color w:val="000000" w:themeColor="text1"/>
          <w:szCs w:val="24"/>
        </w:rPr>
        <w:t>Data show mean and SD plots of 3 independent experiments in mice (NTg: n = 8 to 10; APP</w:t>
      </w:r>
      <w:r w:rsidRPr="00C87215">
        <w:rPr>
          <w:color w:val="000000" w:themeColor="text1"/>
          <w:szCs w:val="24"/>
          <w:vertAlign w:val="superscript"/>
        </w:rPr>
        <w:t>Lon/Swe</w:t>
      </w:r>
      <w:r w:rsidRPr="00C87215">
        <w:rPr>
          <w:color w:val="000000" w:themeColor="text1"/>
          <w:szCs w:val="24"/>
        </w:rPr>
        <w:t>: n = 10 to 13). Differences between groups are compared with unpaired t test. ***P &lt; 0.001.</w:t>
      </w:r>
    </w:p>
    <w:p w14:paraId="75113DDF" w14:textId="77777777" w:rsidR="00C87215" w:rsidRPr="00C87215" w:rsidRDefault="00C87215" w:rsidP="00C87215">
      <w:pPr>
        <w:rPr>
          <w:color w:val="000000" w:themeColor="text1"/>
          <w:szCs w:val="24"/>
        </w:rPr>
      </w:pPr>
      <w:r w:rsidRPr="00C87215">
        <w:rPr>
          <w:color w:val="000000" w:themeColor="text1"/>
          <w:szCs w:val="24"/>
        </w:rPr>
        <w:br w:type="page"/>
      </w:r>
    </w:p>
    <w:p w14:paraId="317F987C" w14:textId="56C6F930" w:rsidR="00C87215" w:rsidRPr="00C87215" w:rsidRDefault="0002419C" w:rsidP="00C87215">
      <w:pPr>
        <w:rPr>
          <w:color w:val="000000" w:themeColor="text1"/>
          <w:szCs w:val="24"/>
        </w:rPr>
      </w:pPr>
      <w:r w:rsidRPr="0002419C">
        <w:rPr>
          <w:noProof/>
          <w:color w:val="000000" w:themeColor="text1"/>
          <w:szCs w:val="24"/>
        </w:rPr>
        <w:lastRenderedPageBreak/>
        <w:drawing>
          <wp:inline distT="0" distB="0" distL="0" distR="0" wp14:anchorId="2A527A82" wp14:editId="1270BAF1">
            <wp:extent cx="5943600" cy="5140325"/>
            <wp:effectExtent l="0" t="0" r="0" b="3175"/>
            <wp:docPr id="1763258661" name="Picture 1"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58661" name="Picture 1" descr="A collage of images of cells&#10;&#10;Description automatically generated"/>
                    <pic:cNvPicPr/>
                  </pic:nvPicPr>
                  <pic:blipFill>
                    <a:blip r:embed="rId17"/>
                    <a:stretch>
                      <a:fillRect/>
                    </a:stretch>
                  </pic:blipFill>
                  <pic:spPr>
                    <a:xfrm>
                      <a:off x="0" y="0"/>
                      <a:ext cx="5943600" cy="5140325"/>
                    </a:xfrm>
                    <a:prstGeom prst="rect">
                      <a:avLst/>
                    </a:prstGeom>
                  </pic:spPr>
                </pic:pic>
              </a:graphicData>
            </a:graphic>
          </wp:inline>
        </w:drawing>
      </w:r>
    </w:p>
    <w:p w14:paraId="0709AC49" w14:textId="77777777" w:rsidR="00C87215" w:rsidRPr="00C87215" w:rsidRDefault="00C87215" w:rsidP="00C87215">
      <w:pPr>
        <w:rPr>
          <w:color w:val="000000" w:themeColor="text1"/>
          <w:szCs w:val="24"/>
        </w:rPr>
      </w:pPr>
    </w:p>
    <w:p w14:paraId="19231AD4" w14:textId="1BF06591" w:rsidR="00C87215" w:rsidRPr="00C87215" w:rsidRDefault="00235519" w:rsidP="00C87215">
      <w:pPr>
        <w:rPr>
          <w:b/>
          <w:bCs/>
          <w:color w:val="000000" w:themeColor="text1"/>
          <w:szCs w:val="24"/>
        </w:rPr>
      </w:pPr>
      <w:r>
        <w:rPr>
          <w:b/>
          <w:bCs/>
          <w:color w:val="000000" w:themeColor="text1"/>
          <w:szCs w:val="24"/>
        </w:rPr>
        <w:t>Extended Data Fig.</w:t>
      </w:r>
      <w:r w:rsidR="00C87215" w:rsidRPr="00C87215">
        <w:rPr>
          <w:b/>
          <w:bCs/>
          <w:color w:val="000000" w:themeColor="text1"/>
          <w:szCs w:val="24"/>
        </w:rPr>
        <w:t xml:space="preserve">11 Lysosomal damage phenotypes are prominent in brain tissue of AD patients. </w:t>
      </w:r>
    </w:p>
    <w:p w14:paraId="72C8F43B" w14:textId="7BE6D5E1" w:rsidR="00C87215" w:rsidRPr="00C87215" w:rsidRDefault="00C87215" w:rsidP="00C87215">
      <w:pPr>
        <w:rPr>
          <w:color w:val="000000" w:themeColor="text1"/>
          <w:szCs w:val="24"/>
        </w:rPr>
      </w:pPr>
      <w:r w:rsidRPr="00C87215">
        <w:rPr>
          <w:b/>
          <w:bCs/>
          <w:color w:val="000000" w:themeColor="text1"/>
          <w:szCs w:val="24"/>
        </w:rPr>
        <w:t>(</w:t>
      </w:r>
      <w:r w:rsidR="00C50607">
        <w:rPr>
          <w:b/>
          <w:bCs/>
          <w:color w:val="000000" w:themeColor="text1"/>
          <w:szCs w:val="24"/>
        </w:rPr>
        <w:t>a</w:t>
      </w:r>
      <w:r w:rsidRPr="00C87215">
        <w:rPr>
          <w:b/>
          <w:bCs/>
          <w:color w:val="000000" w:themeColor="text1"/>
          <w:szCs w:val="24"/>
        </w:rPr>
        <w:t>-</w:t>
      </w:r>
      <w:r w:rsidR="00C50607">
        <w:rPr>
          <w:b/>
          <w:bCs/>
          <w:color w:val="000000" w:themeColor="text1"/>
          <w:szCs w:val="24"/>
        </w:rPr>
        <w:t>c</w:t>
      </w:r>
      <w:r w:rsidRPr="00C87215">
        <w:rPr>
          <w:b/>
          <w:bCs/>
          <w:color w:val="000000" w:themeColor="text1"/>
          <w:szCs w:val="24"/>
        </w:rPr>
        <w:t>)</w:t>
      </w:r>
      <w:r w:rsidRPr="00C87215">
        <w:rPr>
          <w:color w:val="000000" w:themeColor="text1"/>
          <w:szCs w:val="24"/>
        </w:rPr>
        <w:t xml:space="preserve"> Immunostaining of LAMP2 (cyan) and MAP2 (grey) along with CHMP2B (</w:t>
      </w:r>
      <w:r w:rsidR="00E75B5F">
        <w:rPr>
          <w:color w:val="000000" w:themeColor="text1"/>
          <w:szCs w:val="24"/>
        </w:rPr>
        <w:t>a</w:t>
      </w:r>
      <w:r w:rsidRPr="00C87215">
        <w:rPr>
          <w:color w:val="000000" w:themeColor="text1"/>
          <w:szCs w:val="24"/>
        </w:rPr>
        <w:t>), Galectin-3 (</w:t>
      </w:r>
      <w:r w:rsidR="00E75B5F">
        <w:rPr>
          <w:color w:val="000000" w:themeColor="text1"/>
          <w:szCs w:val="24"/>
        </w:rPr>
        <w:t>b</w:t>
      </w:r>
      <w:r w:rsidRPr="00C87215">
        <w:rPr>
          <w:color w:val="000000" w:themeColor="text1"/>
          <w:szCs w:val="24"/>
        </w:rPr>
        <w:t>) or Aβ(6E10) (</w:t>
      </w:r>
      <w:r w:rsidR="00E75B5F">
        <w:rPr>
          <w:color w:val="000000" w:themeColor="text1"/>
          <w:szCs w:val="24"/>
        </w:rPr>
        <w:t>c</w:t>
      </w:r>
      <w:r w:rsidRPr="00C87215">
        <w:rPr>
          <w:color w:val="000000" w:themeColor="text1"/>
          <w:szCs w:val="24"/>
        </w:rPr>
        <w:t>) (magenta), in the post-mortem cerebral cortex of HC and AD donors, related to Fig.4</w:t>
      </w:r>
      <w:r w:rsidR="00E75B5F">
        <w:rPr>
          <w:color w:val="000000" w:themeColor="text1"/>
          <w:szCs w:val="24"/>
        </w:rPr>
        <w:t>c</w:t>
      </w:r>
      <w:r w:rsidRPr="00C87215">
        <w:rPr>
          <w:color w:val="000000" w:themeColor="text1"/>
          <w:szCs w:val="24"/>
        </w:rPr>
        <w:t>. #: indicates images acquired from different individuals. Scale bar: 20 μm.</w:t>
      </w:r>
    </w:p>
    <w:p w14:paraId="224E64A3" w14:textId="1E5CA5FF" w:rsidR="00C87215" w:rsidRDefault="00C87215" w:rsidP="00C87215">
      <w:pPr>
        <w:rPr>
          <w:color w:val="000000" w:themeColor="text1"/>
          <w:szCs w:val="24"/>
        </w:rPr>
      </w:pPr>
      <w:r w:rsidRPr="00C87215">
        <w:rPr>
          <w:b/>
          <w:bCs/>
          <w:color w:val="000000" w:themeColor="text1"/>
          <w:szCs w:val="24"/>
        </w:rPr>
        <w:t>(</w:t>
      </w:r>
      <w:r w:rsidR="00C50607">
        <w:rPr>
          <w:b/>
          <w:bCs/>
          <w:color w:val="000000" w:themeColor="text1"/>
          <w:szCs w:val="24"/>
        </w:rPr>
        <w:t>d</w:t>
      </w:r>
      <w:r w:rsidRPr="00C87215">
        <w:rPr>
          <w:b/>
          <w:bCs/>
          <w:color w:val="000000" w:themeColor="text1"/>
          <w:szCs w:val="24"/>
        </w:rPr>
        <w:t xml:space="preserve">) </w:t>
      </w:r>
      <w:r w:rsidRPr="00C87215">
        <w:rPr>
          <w:color w:val="000000" w:themeColor="text1"/>
          <w:szCs w:val="24"/>
        </w:rPr>
        <w:t>IF quantification of LAMP2, CHMP2B, Galectin-3 and Aβ(6E10) in the post-mortem cerebral cortex of HC and AD donors.</w:t>
      </w:r>
    </w:p>
    <w:p w14:paraId="10BD59E4" w14:textId="77777777" w:rsidR="00BA6647" w:rsidRDefault="00BA6647" w:rsidP="00C87215">
      <w:pPr>
        <w:rPr>
          <w:color w:val="000000" w:themeColor="text1"/>
          <w:szCs w:val="24"/>
        </w:rPr>
      </w:pPr>
    </w:p>
    <w:p w14:paraId="34167DB0" w14:textId="5FB5FDB2" w:rsidR="00BA6647" w:rsidRPr="00C87215" w:rsidRDefault="00BA6647" w:rsidP="00BA6647">
      <w:pPr>
        <w:rPr>
          <w:color w:val="000000" w:themeColor="text1"/>
          <w:szCs w:val="24"/>
        </w:rPr>
      </w:pPr>
      <w:r w:rsidRPr="00C87215">
        <w:rPr>
          <w:color w:val="000000" w:themeColor="text1"/>
          <w:szCs w:val="24"/>
        </w:rPr>
        <w:t>Data show mean and SD plots (</w:t>
      </w:r>
      <w:r w:rsidR="001934D6">
        <w:rPr>
          <w:color w:val="000000" w:themeColor="text1"/>
          <w:szCs w:val="24"/>
        </w:rPr>
        <w:t>HC</w:t>
      </w:r>
      <w:r w:rsidRPr="00C87215">
        <w:rPr>
          <w:color w:val="000000" w:themeColor="text1"/>
          <w:szCs w:val="24"/>
        </w:rPr>
        <w:t xml:space="preserve">: n = </w:t>
      </w:r>
      <w:r w:rsidR="001934D6">
        <w:rPr>
          <w:color w:val="000000" w:themeColor="text1"/>
          <w:szCs w:val="24"/>
        </w:rPr>
        <w:t>4</w:t>
      </w:r>
      <w:r w:rsidRPr="00C87215">
        <w:rPr>
          <w:color w:val="000000" w:themeColor="text1"/>
          <w:szCs w:val="24"/>
        </w:rPr>
        <w:t xml:space="preserve">; </w:t>
      </w:r>
      <w:r w:rsidR="001934D6">
        <w:rPr>
          <w:color w:val="000000" w:themeColor="text1"/>
          <w:szCs w:val="24"/>
        </w:rPr>
        <w:t>AD</w:t>
      </w:r>
      <w:r w:rsidRPr="00C87215">
        <w:rPr>
          <w:color w:val="000000" w:themeColor="text1"/>
          <w:szCs w:val="24"/>
        </w:rPr>
        <w:t xml:space="preserve">: n = </w:t>
      </w:r>
      <w:r w:rsidR="001934D6">
        <w:rPr>
          <w:color w:val="000000" w:themeColor="text1"/>
          <w:szCs w:val="24"/>
        </w:rPr>
        <w:t>4</w:t>
      </w:r>
      <w:r w:rsidRPr="00C87215">
        <w:rPr>
          <w:color w:val="000000" w:themeColor="text1"/>
          <w:szCs w:val="24"/>
        </w:rPr>
        <w:t xml:space="preserve">). Differences between groups are compared with unpaired t test. </w:t>
      </w:r>
      <w:r w:rsidR="00C626DA" w:rsidRPr="00C87215">
        <w:rPr>
          <w:color w:val="000000" w:themeColor="text1"/>
          <w:szCs w:val="24"/>
        </w:rPr>
        <w:t>*P &lt; 0.0</w:t>
      </w:r>
      <w:r w:rsidR="00C626DA">
        <w:rPr>
          <w:color w:val="000000" w:themeColor="text1"/>
          <w:szCs w:val="24"/>
        </w:rPr>
        <w:t xml:space="preserve">5, </w:t>
      </w:r>
      <w:r w:rsidRPr="00C87215">
        <w:rPr>
          <w:color w:val="000000" w:themeColor="text1"/>
          <w:szCs w:val="24"/>
        </w:rPr>
        <w:t>**P &lt; 0.01.</w:t>
      </w:r>
    </w:p>
    <w:p w14:paraId="48A66FA9" w14:textId="77777777" w:rsidR="00BA6647" w:rsidRPr="00C87215" w:rsidRDefault="00BA6647" w:rsidP="00C87215">
      <w:pPr>
        <w:rPr>
          <w:color w:val="000000" w:themeColor="text1"/>
          <w:szCs w:val="24"/>
        </w:rPr>
      </w:pPr>
    </w:p>
    <w:p w14:paraId="34777597" w14:textId="77777777" w:rsidR="00C87215" w:rsidRPr="00C87215" w:rsidRDefault="00C87215" w:rsidP="00C87215">
      <w:pPr>
        <w:rPr>
          <w:color w:val="000000" w:themeColor="text1"/>
          <w:szCs w:val="24"/>
        </w:rPr>
      </w:pPr>
      <w:r w:rsidRPr="00C87215">
        <w:rPr>
          <w:color w:val="000000" w:themeColor="text1"/>
          <w:szCs w:val="24"/>
        </w:rPr>
        <w:br w:type="page"/>
      </w:r>
    </w:p>
    <w:p w14:paraId="65E6FA6B" w14:textId="326F9E4E" w:rsidR="00C87215" w:rsidRPr="00C87215" w:rsidRDefault="007C73F9" w:rsidP="00C87215">
      <w:pPr>
        <w:rPr>
          <w:b/>
          <w:bCs/>
          <w:color w:val="000000" w:themeColor="text1"/>
          <w:szCs w:val="24"/>
        </w:rPr>
      </w:pPr>
      <w:r w:rsidRPr="007C73F9">
        <w:rPr>
          <w:b/>
          <w:bCs/>
          <w:noProof/>
          <w:color w:val="000000" w:themeColor="text1"/>
          <w:szCs w:val="24"/>
        </w:rPr>
        <w:lastRenderedPageBreak/>
        <w:drawing>
          <wp:inline distT="0" distB="0" distL="0" distR="0" wp14:anchorId="7F18E708" wp14:editId="280CAFF1">
            <wp:extent cx="5943600" cy="5300980"/>
            <wp:effectExtent l="0" t="0" r="0" b="0"/>
            <wp:docPr id="1449883348" name="Picture 1" descr="A chart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883348" name="Picture 1" descr="A chart of different types of data&#10;&#10;Description automatically generated with medium confidence"/>
                    <pic:cNvPicPr/>
                  </pic:nvPicPr>
                  <pic:blipFill>
                    <a:blip r:embed="rId18"/>
                    <a:stretch>
                      <a:fillRect/>
                    </a:stretch>
                  </pic:blipFill>
                  <pic:spPr>
                    <a:xfrm>
                      <a:off x="0" y="0"/>
                      <a:ext cx="5943600" cy="5300980"/>
                    </a:xfrm>
                    <a:prstGeom prst="rect">
                      <a:avLst/>
                    </a:prstGeom>
                  </pic:spPr>
                </pic:pic>
              </a:graphicData>
            </a:graphic>
          </wp:inline>
        </w:drawing>
      </w:r>
    </w:p>
    <w:p w14:paraId="6921CF88" w14:textId="77777777" w:rsidR="00C87215" w:rsidRPr="00C87215" w:rsidRDefault="00C87215" w:rsidP="00C87215">
      <w:pPr>
        <w:rPr>
          <w:b/>
          <w:bCs/>
          <w:color w:val="000000" w:themeColor="text1"/>
          <w:szCs w:val="24"/>
        </w:rPr>
      </w:pPr>
    </w:p>
    <w:p w14:paraId="51238D7D" w14:textId="575E76AB" w:rsidR="00C87215" w:rsidRPr="00C87215" w:rsidRDefault="00235519" w:rsidP="00C87215">
      <w:pPr>
        <w:rPr>
          <w:b/>
          <w:bCs/>
          <w:color w:val="000000" w:themeColor="text1"/>
          <w:szCs w:val="24"/>
        </w:rPr>
      </w:pPr>
      <w:r>
        <w:rPr>
          <w:b/>
          <w:bCs/>
          <w:color w:val="000000" w:themeColor="text1"/>
          <w:szCs w:val="24"/>
        </w:rPr>
        <w:t>Extended Data Fig.</w:t>
      </w:r>
      <w:r w:rsidR="00C87215" w:rsidRPr="00C87215">
        <w:rPr>
          <w:b/>
          <w:bCs/>
          <w:color w:val="000000" w:themeColor="text1"/>
          <w:szCs w:val="24"/>
        </w:rPr>
        <w:t xml:space="preserve">12 Secretion of inflammatory factors from human tNeuron is linked to AD phenotypes and can be reduced by ameliorating lysosomal deficits. </w:t>
      </w:r>
    </w:p>
    <w:p w14:paraId="5BF7E2A1" w14:textId="4DE69852" w:rsidR="00C87215" w:rsidRPr="00C87215" w:rsidRDefault="00C87215" w:rsidP="00C87215">
      <w:pPr>
        <w:rPr>
          <w:color w:val="000000" w:themeColor="text1"/>
          <w:szCs w:val="24"/>
        </w:rPr>
      </w:pPr>
      <w:r w:rsidRPr="00C87215">
        <w:rPr>
          <w:b/>
          <w:bCs/>
          <w:color w:val="000000" w:themeColor="text1"/>
          <w:szCs w:val="24"/>
        </w:rPr>
        <w:t>(</w:t>
      </w:r>
      <w:r w:rsidR="00E75B5F">
        <w:rPr>
          <w:b/>
          <w:bCs/>
          <w:color w:val="000000" w:themeColor="text1"/>
          <w:szCs w:val="24"/>
        </w:rPr>
        <w:t>a</w:t>
      </w:r>
      <w:r w:rsidRPr="00C87215">
        <w:rPr>
          <w:b/>
          <w:bCs/>
          <w:color w:val="000000" w:themeColor="text1"/>
          <w:szCs w:val="24"/>
        </w:rPr>
        <w:t>)</w:t>
      </w:r>
      <w:r w:rsidRPr="00C87215">
        <w:rPr>
          <w:color w:val="000000" w:themeColor="text1"/>
          <w:szCs w:val="24"/>
        </w:rPr>
        <w:t xml:space="preserve"> Plots with statistical analysis of changes in inflammatory factor levels in the conditioned medium from young, aged, aged/sAD and fAD-PSEN1 tNeurons at basal conditions and young tNeurons with the treatment with 0.1 mM LLOME for 7 days, related to Fig.5</w:t>
      </w:r>
      <w:r w:rsidR="00E75B5F">
        <w:rPr>
          <w:color w:val="000000" w:themeColor="text1"/>
          <w:szCs w:val="24"/>
        </w:rPr>
        <w:t>d</w:t>
      </w:r>
      <w:r w:rsidRPr="00C87215">
        <w:rPr>
          <w:color w:val="000000" w:themeColor="text1"/>
          <w:szCs w:val="24"/>
        </w:rPr>
        <w:t>,</w:t>
      </w:r>
      <w:r w:rsidR="00E75B5F">
        <w:rPr>
          <w:color w:val="000000" w:themeColor="text1"/>
          <w:szCs w:val="24"/>
        </w:rPr>
        <w:t>e</w:t>
      </w:r>
      <w:r w:rsidRPr="00C87215">
        <w:rPr>
          <w:color w:val="000000" w:themeColor="text1"/>
          <w:szCs w:val="24"/>
        </w:rPr>
        <w:t>.</w:t>
      </w:r>
    </w:p>
    <w:p w14:paraId="4FBE1BBF" w14:textId="6DA19B3E" w:rsidR="00C87215" w:rsidRPr="00C87215" w:rsidRDefault="00C87215" w:rsidP="00C87215">
      <w:pPr>
        <w:rPr>
          <w:color w:val="000000" w:themeColor="text1"/>
          <w:szCs w:val="24"/>
        </w:rPr>
      </w:pPr>
      <w:r w:rsidRPr="00C87215">
        <w:rPr>
          <w:b/>
          <w:bCs/>
          <w:color w:val="000000" w:themeColor="text1"/>
          <w:szCs w:val="24"/>
        </w:rPr>
        <w:t>(</w:t>
      </w:r>
      <w:r w:rsidR="00E75B5F">
        <w:rPr>
          <w:b/>
          <w:bCs/>
          <w:color w:val="000000" w:themeColor="text1"/>
          <w:szCs w:val="24"/>
        </w:rPr>
        <w:t>b</w:t>
      </w:r>
      <w:r w:rsidRPr="00C87215">
        <w:rPr>
          <w:b/>
          <w:bCs/>
          <w:color w:val="000000" w:themeColor="text1"/>
          <w:szCs w:val="24"/>
        </w:rPr>
        <w:t>)</w:t>
      </w:r>
      <w:r w:rsidRPr="00C87215">
        <w:rPr>
          <w:color w:val="000000" w:themeColor="text1"/>
          <w:szCs w:val="24"/>
        </w:rPr>
        <w:t xml:space="preserve"> Plots with statistical analysis of changes in inflammatory factor levels in the conditioned medium from aged/sAD and fAD-PSEN1 tNeurons with the treatment of DMSO (vehicle) or 3.1 µM C381 for 7 days as shown in Fig.5</w:t>
      </w:r>
      <w:r w:rsidR="00E75B5F">
        <w:rPr>
          <w:color w:val="000000" w:themeColor="text1"/>
          <w:szCs w:val="24"/>
        </w:rPr>
        <w:t>g</w:t>
      </w:r>
      <w:r w:rsidRPr="00C87215">
        <w:rPr>
          <w:color w:val="000000" w:themeColor="text1"/>
          <w:szCs w:val="24"/>
        </w:rPr>
        <w:t>.</w:t>
      </w:r>
    </w:p>
    <w:p w14:paraId="4C98244A" w14:textId="77777777" w:rsidR="00282292" w:rsidRDefault="00282292" w:rsidP="00C87215">
      <w:pPr>
        <w:rPr>
          <w:color w:val="000000" w:themeColor="text1"/>
          <w:szCs w:val="24"/>
        </w:rPr>
      </w:pPr>
    </w:p>
    <w:p w14:paraId="5C844550" w14:textId="4595BF7D" w:rsidR="00C87215" w:rsidRPr="00282292" w:rsidRDefault="00C87215" w:rsidP="00C87215">
      <w:pPr>
        <w:rPr>
          <w:color w:val="000000" w:themeColor="text1"/>
          <w:szCs w:val="24"/>
        </w:rPr>
      </w:pPr>
      <w:r w:rsidRPr="00C87215">
        <w:rPr>
          <w:color w:val="000000" w:themeColor="text1"/>
          <w:szCs w:val="24"/>
        </w:rPr>
        <w:t>Data show box-and-whisker plots of inflammatory profiling conducted in technical replicates and 2 to 6 cell lines in tNeurons. Box-and-whisker plots depict 5th, 25th, 50, 75th and 95th percentiles. Differences between groups are compared with unpaired t test or One-Way ANOVA followed by Bonferroni post-hoc analysis. *P &lt; 0.05, **P &lt; 0.01 and ***P &lt; 0.001. In panel (</w:t>
      </w:r>
      <w:r w:rsidR="00E75B5F">
        <w:rPr>
          <w:color w:val="000000" w:themeColor="text1"/>
          <w:szCs w:val="24"/>
        </w:rPr>
        <w:t>a</w:t>
      </w:r>
      <w:r w:rsidRPr="00C87215">
        <w:rPr>
          <w:color w:val="000000" w:themeColor="text1"/>
          <w:szCs w:val="24"/>
        </w:rPr>
        <w:t xml:space="preserve">), #P &lt; 0.05, ##P &lt; 0.01 and ###P &lt; 0.001 as compared between young tNeurons with and without LLOME treatment. </w:t>
      </w:r>
      <w:r w:rsidRPr="00C87215">
        <w:rPr>
          <w:b/>
          <w:bCs/>
          <w:color w:val="000000" w:themeColor="text1"/>
          <w:szCs w:val="24"/>
        </w:rPr>
        <w:br w:type="page"/>
      </w:r>
    </w:p>
    <w:p w14:paraId="5963FCCE" w14:textId="77777777" w:rsidR="00C87215" w:rsidRPr="00C87215" w:rsidRDefault="00C87215" w:rsidP="00C87215">
      <w:pPr>
        <w:jc w:val="center"/>
        <w:rPr>
          <w:b/>
          <w:bCs/>
          <w:color w:val="000000" w:themeColor="text1"/>
          <w:szCs w:val="24"/>
        </w:rPr>
      </w:pPr>
      <w:r w:rsidRPr="00C87215">
        <w:rPr>
          <w:b/>
          <w:bCs/>
          <w:noProof/>
          <w:color w:val="000000" w:themeColor="text1"/>
          <w:szCs w:val="24"/>
        </w:rPr>
        <w:lastRenderedPageBreak/>
        <w:drawing>
          <wp:inline distT="0" distB="0" distL="0" distR="0" wp14:anchorId="0EA396C1" wp14:editId="6BD86131">
            <wp:extent cx="3559337" cy="4572000"/>
            <wp:effectExtent l="0" t="0" r="0" b="0"/>
            <wp:docPr id="594903446" name="Picture 1" descr="A graph of different types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903446" name="Picture 1" descr="A graph of different types of numbers&#10;&#10;Description automatically generated with medium confidence"/>
                    <pic:cNvPicPr/>
                  </pic:nvPicPr>
                  <pic:blipFill>
                    <a:blip r:embed="rId19"/>
                    <a:stretch>
                      <a:fillRect/>
                    </a:stretch>
                  </pic:blipFill>
                  <pic:spPr>
                    <a:xfrm>
                      <a:off x="0" y="0"/>
                      <a:ext cx="3559337" cy="4572000"/>
                    </a:xfrm>
                    <a:prstGeom prst="rect">
                      <a:avLst/>
                    </a:prstGeom>
                  </pic:spPr>
                </pic:pic>
              </a:graphicData>
            </a:graphic>
          </wp:inline>
        </w:drawing>
      </w:r>
    </w:p>
    <w:p w14:paraId="6BE65681" w14:textId="77777777" w:rsidR="00C87215" w:rsidRPr="00C87215" w:rsidRDefault="00C87215" w:rsidP="00C87215">
      <w:pPr>
        <w:jc w:val="center"/>
        <w:rPr>
          <w:b/>
          <w:bCs/>
          <w:color w:val="000000" w:themeColor="text1"/>
          <w:szCs w:val="24"/>
        </w:rPr>
      </w:pPr>
    </w:p>
    <w:p w14:paraId="7E9193BD" w14:textId="0F4A7FF4" w:rsidR="00C87215" w:rsidRPr="00C87215" w:rsidRDefault="00235519" w:rsidP="00C87215">
      <w:pPr>
        <w:rPr>
          <w:b/>
          <w:bCs/>
          <w:color w:val="000000" w:themeColor="text1"/>
          <w:szCs w:val="24"/>
        </w:rPr>
      </w:pPr>
      <w:r>
        <w:rPr>
          <w:b/>
          <w:bCs/>
          <w:color w:val="000000" w:themeColor="text1"/>
          <w:szCs w:val="24"/>
        </w:rPr>
        <w:t>Extended Data Fig.</w:t>
      </w:r>
      <w:r w:rsidR="00C87215" w:rsidRPr="00C87215">
        <w:rPr>
          <w:b/>
          <w:bCs/>
          <w:color w:val="000000" w:themeColor="text1"/>
          <w:szCs w:val="24"/>
        </w:rPr>
        <w:t>13 Secreted inflammatory factors by human tNeurons are detected in human brain cells.</w:t>
      </w:r>
    </w:p>
    <w:p w14:paraId="31DDA3AF" w14:textId="33B80A2F" w:rsidR="00C87215" w:rsidRPr="00C87215" w:rsidRDefault="00C87215" w:rsidP="00C87215">
      <w:pPr>
        <w:rPr>
          <w:color w:val="000000" w:themeColor="text1"/>
          <w:szCs w:val="24"/>
        </w:rPr>
      </w:pPr>
      <w:r w:rsidRPr="00C87215">
        <w:rPr>
          <w:color w:val="000000" w:themeColor="text1"/>
          <w:szCs w:val="24"/>
        </w:rPr>
        <w:t>Single-cell transcriptomic analysis of selected cytokines and chemokines from Fig.5</w:t>
      </w:r>
      <w:r w:rsidR="000F3FBE">
        <w:rPr>
          <w:color w:val="000000" w:themeColor="text1"/>
          <w:szCs w:val="24"/>
        </w:rPr>
        <w:t>d</w:t>
      </w:r>
      <w:r w:rsidRPr="00C87215">
        <w:rPr>
          <w:color w:val="000000" w:themeColor="text1"/>
          <w:szCs w:val="24"/>
        </w:rPr>
        <w:t>,</w:t>
      </w:r>
      <w:r w:rsidR="000F3FBE">
        <w:rPr>
          <w:color w:val="000000" w:themeColor="text1"/>
          <w:szCs w:val="24"/>
        </w:rPr>
        <w:t>e</w:t>
      </w:r>
      <w:r w:rsidRPr="00C87215">
        <w:rPr>
          <w:color w:val="000000" w:themeColor="text1"/>
          <w:szCs w:val="24"/>
        </w:rPr>
        <w:t xml:space="preserve"> in major cell types of human brain, including neuron, astrocyte, microglia and oligodendrocyte. The transcript expression scores (H: high; M: medium; L: low) is determined by the expression level of each transcript in public datasets retrieved from the Human Cell Atlas and Allen Brain Map.</w:t>
      </w:r>
    </w:p>
    <w:p w14:paraId="1EDD4B51" w14:textId="77777777" w:rsidR="00C87215" w:rsidRPr="00C87215" w:rsidRDefault="00C87215" w:rsidP="00C87215">
      <w:pPr>
        <w:rPr>
          <w:b/>
          <w:bCs/>
          <w:color w:val="000000" w:themeColor="text1"/>
          <w:szCs w:val="24"/>
        </w:rPr>
      </w:pPr>
    </w:p>
    <w:p w14:paraId="2A9F14A1" w14:textId="77777777" w:rsidR="00C87215" w:rsidRPr="00C87215" w:rsidRDefault="00C87215" w:rsidP="00C87215">
      <w:pPr>
        <w:rPr>
          <w:b/>
          <w:bCs/>
          <w:color w:val="000000" w:themeColor="text1"/>
          <w:szCs w:val="24"/>
        </w:rPr>
      </w:pPr>
      <w:r w:rsidRPr="00C87215">
        <w:rPr>
          <w:b/>
          <w:bCs/>
          <w:color w:val="000000" w:themeColor="text1"/>
          <w:szCs w:val="24"/>
        </w:rPr>
        <w:br w:type="page"/>
      </w:r>
    </w:p>
    <w:p w14:paraId="33E732CA" w14:textId="77777777" w:rsidR="00C87215" w:rsidRPr="00C87215" w:rsidRDefault="00C87215" w:rsidP="00C87215">
      <w:pPr>
        <w:jc w:val="center"/>
        <w:rPr>
          <w:b/>
          <w:bCs/>
          <w:color w:val="000000" w:themeColor="text1"/>
          <w:szCs w:val="24"/>
        </w:rPr>
      </w:pPr>
      <w:r w:rsidRPr="00C87215">
        <w:rPr>
          <w:b/>
          <w:bCs/>
          <w:noProof/>
          <w:color w:val="000000" w:themeColor="text1"/>
          <w:szCs w:val="24"/>
        </w:rPr>
        <w:lastRenderedPageBreak/>
        <w:drawing>
          <wp:inline distT="0" distB="0" distL="0" distR="0" wp14:anchorId="5843F669" wp14:editId="67159257">
            <wp:extent cx="3810000" cy="4572000"/>
            <wp:effectExtent l="0" t="0" r="0" b="0"/>
            <wp:docPr id="625929344" name="Picture 1" descr="A group of diagrams with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929344" name="Picture 1" descr="A group of diagrams with red and blue lines&#10;&#10;Description automatically generated"/>
                    <pic:cNvPicPr/>
                  </pic:nvPicPr>
                  <pic:blipFill>
                    <a:blip r:embed="rId20"/>
                    <a:stretch>
                      <a:fillRect/>
                    </a:stretch>
                  </pic:blipFill>
                  <pic:spPr>
                    <a:xfrm>
                      <a:off x="0" y="0"/>
                      <a:ext cx="3810000" cy="4572000"/>
                    </a:xfrm>
                    <a:prstGeom prst="rect">
                      <a:avLst/>
                    </a:prstGeom>
                  </pic:spPr>
                </pic:pic>
              </a:graphicData>
            </a:graphic>
          </wp:inline>
        </w:drawing>
      </w:r>
    </w:p>
    <w:p w14:paraId="4794421A" w14:textId="77777777" w:rsidR="00C87215" w:rsidRPr="00C87215" w:rsidRDefault="00C87215" w:rsidP="00C87215">
      <w:pPr>
        <w:rPr>
          <w:b/>
          <w:bCs/>
          <w:color w:val="000000" w:themeColor="text1"/>
          <w:szCs w:val="24"/>
        </w:rPr>
      </w:pPr>
    </w:p>
    <w:p w14:paraId="1DB8CDAB" w14:textId="11D09339" w:rsidR="00C87215" w:rsidRPr="00C87215" w:rsidRDefault="00235519" w:rsidP="00C87215">
      <w:pPr>
        <w:rPr>
          <w:b/>
          <w:bCs/>
          <w:color w:val="000000" w:themeColor="text1"/>
          <w:szCs w:val="24"/>
        </w:rPr>
      </w:pPr>
      <w:r>
        <w:rPr>
          <w:b/>
          <w:bCs/>
          <w:color w:val="000000" w:themeColor="text1"/>
          <w:szCs w:val="24"/>
        </w:rPr>
        <w:t>Extended Data Fig.</w:t>
      </w:r>
      <w:r w:rsidR="00C87215" w:rsidRPr="00C87215">
        <w:rPr>
          <w:b/>
          <w:bCs/>
          <w:color w:val="000000" w:themeColor="text1"/>
          <w:szCs w:val="24"/>
        </w:rPr>
        <w:t xml:space="preserve">14 Secreted inflammatory factors are elevated in CSF samples from AD patients. </w:t>
      </w:r>
    </w:p>
    <w:p w14:paraId="55B6D404" w14:textId="77777777" w:rsidR="00C87215" w:rsidRPr="00C87215" w:rsidRDefault="00C87215" w:rsidP="00C87215">
      <w:pPr>
        <w:rPr>
          <w:color w:val="000000" w:themeColor="text1"/>
          <w:szCs w:val="24"/>
        </w:rPr>
      </w:pPr>
      <w:r w:rsidRPr="00C87215">
        <w:rPr>
          <w:color w:val="000000" w:themeColor="text1"/>
          <w:szCs w:val="24"/>
        </w:rPr>
        <w:t>Quantification of changes in the levels of inflammatory panel biomarkers measured in human CSF from HC and AD donors using the SOMAScan assay platform.</w:t>
      </w:r>
    </w:p>
    <w:p w14:paraId="1920239E" w14:textId="77777777" w:rsidR="00AE536E" w:rsidRDefault="00AE536E" w:rsidP="00C87215">
      <w:pPr>
        <w:rPr>
          <w:color w:val="000000" w:themeColor="text1"/>
          <w:szCs w:val="24"/>
        </w:rPr>
      </w:pPr>
    </w:p>
    <w:p w14:paraId="61F06E73" w14:textId="782AB2F4" w:rsidR="00C87215" w:rsidRPr="00C87215" w:rsidRDefault="00C87215" w:rsidP="00C87215">
      <w:pPr>
        <w:rPr>
          <w:color w:val="000000" w:themeColor="text1"/>
          <w:szCs w:val="24"/>
        </w:rPr>
      </w:pPr>
      <w:r w:rsidRPr="00C87215">
        <w:rPr>
          <w:color w:val="000000" w:themeColor="text1"/>
          <w:szCs w:val="24"/>
        </w:rPr>
        <w:t xml:space="preserve">Data show box-and-whisker plots of inflammatory profiling conducted in human CSF (HC: n = 50; AD: n = 29). Box-and-whisker plots depict 5th, 25th, 50, 75th and 95th percentiles. Differences between groups are compared with unpaired t test. *P &lt; 0.05. </w:t>
      </w:r>
    </w:p>
    <w:p w14:paraId="250EF9A6" w14:textId="77777777" w:rsidR="00C87215" w:rsidRDefault="00C87215" w:rsidP="009A5287">
      <w:pPr>
        <w:pStyle w:val="SMcaption"/>
      </w:pPr>
    </w:p>
    <w:p w14:paraId="08DC9151" w14:textId="08926FEC" w:rsidR="008B125F" w:rsidRDefault="008B125F" w:rsidP="00477182">
      <w:pPr>
        <w:pStyle w:val="SMcaption"/>
      </w:pPr>
      <w:r>
        <w:br w:type="page"/>
      </w:r>
    </w:p>
    <w:p w14:paraId="4456B04D" w14:textId="74C020D2" w:rsidR="008B125F" w:rsidRPr="009A04A5" w:rsidRDefault="00ED2E26" w:rsidP="00DE0D29">
      <w:pPr>
        <w:rPr>
          <w:b/>
          <w:bCs/>
          <w:color w:val="000000" w:themeColor="text1"/>
          <w:szCs w:val="24"/>
        </w:rPr>
      </w:pPr>
      <w:r w:rsidRPr="00ED2E26">
        <w:rPr>
          <w:b/>
          <w:bCs/>
          <w:color w:val="000000" w:themeColor="text1"/>
          <w:szCs w:val="24"/>
        </w:rPr>
        <w:lastRenderedPageBreak/>
        <w:t>Extended Data Table</w:t>
      </w:r>
      <w:r>
        <w:rPr>
          <w:b/>
          <w:bCs/>
          <w:color w:val="000000" w:themeColor="text1"/>
          <w:szCs w:val="24"/>
        </w:rPr>
        <w:t xml:space="preserve"> </w:t>
      </w:r>
      <w:r w:rsidR="008B125F" w:rsidRPr="009A04A5">
        <w:rPr>
          <w:b/>
          <w:bCs/>
          <w:color w:val="000000" w:themeColor="text1"/>
          <w:szCs w:val="24"/>
        </w:rPr>
        <w:t>1. List of human adult fibroblasts, tNeurons and post-mortem brain tissue used in this study and the sample information.</w:t>
      </w:r>
    </w:p>
    <w:tbl>
      <w:tblPr>
        <w:tblStyle w:val="PlainTable3"/>
        <w:tblW w:w="0" w:type="auto"/>
        <w:tblLook w:val="04A0" w:firstRow="1" w:lastRow="0" w:firstColumn="1" w:lastColumn="0" w:noHBand="0" w:noVBand="1"/>
      </w:tblPr>
      <w:tblGrid>
        <w:gridCol w:w="1170"/>
        <w:gridCol w:w="1263"/>
        <w:gridCol w:w="895"/>
        <w:gridCol w:w="673"/>
        <w:gridCol w:w="897"/>
        <w:gridCol w:w="1589"/>
        <w:gridCol w:w="1585"/>
        <w:gridCol w:w="1288"/>
      </w:tblGrid>
      <w:tr w:rsidR="008B125F" w:rsidRPr="00DE0D29" w14:paraId="2E1870E2" w14:textId="77777777" w:rsidTr="00B30FC9">
        <w:trPr>
          <w:cnfStyle w:val="100000000000" w:firstRow="1" w:lastRow="0" w:firstColumn="0" w:lastColumn="0" w:oddVBand="0" w:evenVBand="0" w:oddHBand="0" w:evenHBand="0" w:firstRowFirstColumn="0" w:firstRowLastColumn="0" w:lastRowFirstColumn="0" w:lastRowLastColumn="0"/>
          <w:trHeight w:val="576"/>
        </w:trPr>
        <w:tc>
          <w:tcPr>
            <w:cnfStyle w:val="001000000100" w:firstRow="0" w:lastRow="0" w:firstColumn="1" w:lastColumn="0" w:oddVBand="0" w:evenVBand="0" w:oddHBand="0" w:evenHBand="0" w:firstRowFirstColumn="1" w:firstRowLastColumn="0" w:lastRowFirstColumn="0" w:lastRowLastColumn="0"/>
            <w:tcW w:w="1151" w:type="dxa"/>
            <w:tcBorders>
              <w:top w:val="single" w:sz="12" w:space="0" w:color="auto"/>
              <w:bottom w:val="single" w:sz="12" w:space="0" w:color="auto"/>
            </w:tcBorders>
            <w:vAlign w:val="center"/>
          </w:tcPr>
          <w:p w14:paraId="4CB64B6B"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aps w:val="0"/>
                <w:color w:val="000000" w:themeColor="text1"/>
                <w:sz w:val="22"/>
                <w:szCs w:val="22"/>
              </w:rPr>
              <w:t>Sample ID</w:t>
            </w:r>
          </w:p>
        </w:tc>
        <w:tc>
          <w:tcPr>
            <w:tcW w:w="1407" w:type="dxa"/>
            <w:tcBorders>
              <w:top w:val="single" w:sz="12" w:space="0" w:color="auto"/>
              <w:bottom w:val="single" w:sz="12" w:space="0" w:color="auto"/>
            </w:tcBorders>
            <w:vAlign w:val="center"/>
          </w:tcPr>
          <w:p w14:paraId="087832B9" w14:textId="77777777" w:rsidR="008B125F" w:rsidRPr="00DE0D29"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aps w:val="0"/>
                <w:color w:val="000000" w:themeColor="text1"/>
                <w:sz w:val="22"/>
                <w:szCs w:val="22"/>
              </w:rPr>
              <w:t>Diagnosis</w:t>
            </w:r>
          </w:p>
        </w:tc>
        <w:tc>
          <w:tcPr>
            <w:tcW w:w="1080" w:type="dxa"/>
            <w:tcBorders>
              <w:top w:val="single" w:sz="12" w:space="0" w:color="auto"/>
              <w:bottom w:val="single" w:sz="12" w:space="0" w:color="auto"/>
            </w:tcBorders>
            <w:vAlign w:val="center"/>
          </w:tcPr>
          <w:p w14:paraId="063E9770" w14:textId="77777777" w:rsidR="008B125F" w:rsidRPr="00DE0D29"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aps w:val="0"/>
                <w:color w:val="000000" w:themeColor="text1"/>
                <w:sz w:val="22"/>
                <w:szCs w:val="22"/>
              </w:rPr>
              <w:t>Age, years</w:t>
            </w:r>
          </w:p>
        </w:tc>
        <w:tc>
          <w:tcPr>
            <w:tcW w:w="783" w:type="dxa"/>
            <w:tcBorders>
              <w:top w:val="single" w:sz="12" w:space="0" w:color="auto"/>
              <w:bottom w:val="single" w:sz="12" w:space="0" w:color="auto"/>
            </w:tcBorders>
            <w:vAlign w:val="center"/>
          </w:tcPr>
          <w:p w14:paraId="2A4447F4" w14:textId="77777777" w:rsidR="008B125F" w:rsidRPr="00DE0D29"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aps w:val="0"/>
                <w:color w:val="000000" w:themeColor="text1"/>
                <w:sz w:val="22"/>
                <w:szCs w:val="22"/>
              </w:rPr>
              <w:t>Sex</w:t>
            </w:r>
          </w:p>
        </w:tc>
        <w:tc>
          <w:tcPr>
            <w:tcW w:w="956" w:type="dxa"/>
            <w:tcBorders>
              <w:top w:val="single" w:sz="12" w:space="0" w:color="auto"/>
              <w:bottom w:val="single" w:sz="12" w:space="0" w:color="auto"/>
            </w:tcBorders>
            <w:vAlign w:val="center"/>
          </w:tcPr>
          <w:p w14:paraId="1889322F" w14:textId="77777777" w:rsidR="008B125F" w:rsidRPr="00DE0D29"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aps w:val="0"/>
                <w:color w:val="000000" w:themeColor="text1"/>
                <w:sz w:val="22"/>
                <w:szCs w:val="22"/>
              </w:rPr>
              <w:t>Source</w:t>
            </w:r>
          </w:p>
        </w:tc>
        <w:tc>
          <w:tcPr>
            <w:tcW w:w="1783" w:type="dxa"/>
            <w:tcBorders>
              <w:top w:val="single" w:sz="12" w:space="0" w:color="auto"/>
              <w:bottom w:val="single" w:sz="12" w:space="0" w:color="auto"/>
            </w:tcBorders>
            <w:vAlign w:val="center"/>
          </w:tcPr>
          <w:p w14:paraId="6257070B" w14:textId="77777777" w:rsidR="008B125F" w:rsidRPr="00DE0D29"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aps w:val="0"/>
                <w:color w:val="000000" w:themeColor="text1"/>
                <w:sz w:val="22"/>
                <w:szCs w:val="22"/>
              </w:rPr>
              <w:t>Biospecimen samples</w:t>
            </w:r>
          </w:p>
        </w:tc>
        <w:tc>
          <w:tcPr>
            <w:tcW w:w="1573" w:type="dxa"/>
            <w:tcBorders>
              <w:top w:val="single" w:sz="12" w:space="0" w:color="auto"/>
              <w:bottom w:val="single" w:sz="12" w:space="0" w:color="auto"/>
            </w:tcBorders>
            <w:vAlign w:val="center"/>
          </w:tcPr>
          <w:p w14:paraId="3FB62642" w14:textId="77777777" w:rsidR="008B125F" w:rsidRPr="00DE0D29"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aps w:val="0"/>
                <w:color w:val="000000" w:themeColor="text1"/>
                <w:sz w:val="22"/>
                <w:szCs w:val="22"/>
              </w:rPr>
              <w:t>Passage at reprogramming</w:t>
            </w:r>
          </w:p>
        </w:tc>
        <w:tc>
          <w:tcPr>
            <w:tcW w:w="1337" w:type="dxa"/>
            <w:tcBorders>
              <w:top w:val="single" w:sz="12" w:space="0" w:color="auto"/>
              <w:bottom w:val="single" w:sz="12" w:space="0" w:color="auto"/>
            </w:tcBorders>
            <w:vAlign w:val="center"/>
          </w:tcPr>
          <w:p w14:paraId="49E69615" w14:textId="77777777" w:rsidR="008B125F" w:rsidRPr="00DE0D29"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aps w:val="0"/>
                <w:color w:val="000000" w:themeColor="text1"/>
                <w:sz w:val="22"/>
                <w:szCs w:val="22"/>
              </w:rPr>
              <w:t>Derivatives</w:t>
            </w:r>
          </w:p>
        </w:tc>
      </w:tr>
      <w:tr w:rsidR="008B125F" w:rsidRPr="00DE0D29" w14:paraId="66DDB8C1"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tcBorders>
              <w:top w:val="single" w:sz="12" w:space="0" w:color="auto"/>
            </w:tcBorders>
            <w:vAlign w:val="center"/>
          </w:tcPr>
          <w:p w14:paraId="7AAF4BFD"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AG04062</w:t>
            </w:r>
          </w:p>
        </w:tc>
        <w:tc>
          <w:tcPr>
            <w:tcW w:w="1407" w:type="dxa"/>
            <w:tcBorders>
              <w:top w:val="single" w:sz="12" w:space="0" w:color="auto"/>
            </w:tcBorders>
            <w:vAlign w:val="center"/>
          </w:tcPr>
          <w:p w14:paraId="32032A76"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tcBorders>
              <w:top w:val="single" w:sz="12" w:space="0" w:color="auto"/>
            </w:tcBorders>
            <w:vAlign w:val="center"/>
          </w:tcPr>
          <w:p w14:paraId="3E80CCF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31</w:t>
            </w:r>
          </w:p>
        </w:tc>
        <w:tc>
          <w:tcPr>
            <w:tcW w:w="783" w:type="dxa"/>
            <w:tcBorders>
              <w:top w:val="single" w:sz="12" w:space="0" w:color="auto"/>
            </w:tcBorders>
            <w:vAlign w:val="center"/>
          </w:tcPr>
          <w:p w14:paraId="6E438F8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tcBorders>
              <w:top w:val="single" w:sz="12" w:space="0" w:color="auto"/>
            </w:tcBorders>
            <w:vAlign w:val="center"/>
          </w:tcPr>
          <w:p w14:paraId="30E6BEB5"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tcBorders>
              <w:top w:val="single" w:sz="12" w:space="0" w:color="auto"/>
            </w:tcBorders>
            <w:vAlign w:val="center"/>
          </w:tcPr>
          <w:p w14:paraId="1F2EFF4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tcBorders>
              <w:top w:val="single" w:sz="12" w:space="0" w:color="auto"/>
            </w:tcBorders>
            <w:vAlign w:val="center"/>
          </w:tcPr>
          <w:p w14:paraId="6904BC6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P4</w:t>
            </w:r>
          </w:p>
        </w:tc>
        <w:tc>
          <w:tcPr>
            <w:tcW w:w="1337" w:type="dxa"/>
            <w:tcBorders>
              <w:top w:val="single" w:sz="12" w:space="0" w:color="auto"/>
            </w:tcBorders>
            <w:vAlign w:val="center"/>
          </w:tcPr>
          <w:p w14:paraId="75BCCBA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69DED645"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6305C450"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AG09599</w:t>
            </w:r>
          </w:p>
        </w:tc>
        <w:tc>
          <w:tcPr>
            <w:tcW w:w="1407" w:type="dxa"/>
            <w:vAlign w:val="center"/>
          </w:tcPr>
          <w:p w14:paraId="6F49291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64BA7D7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30</w:t>
            </w:r>
          </w:p>
        </w:tc>
        <w:tc>
          <w:tcPr>
            <w:tcW w:w="783" w:type="dxa"/>
            <w:vAlign w:val="center"/>
          </w:tcPr>
          <w:p w14:paraId="616C594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14A90BB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343299E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1446545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P4</w:t>
            </w:r>
          </w:p>
        </w:tc>
        <w:tc>
          <w:tcPr>
            <w:tcW w:w="1337" w:type="dxa"/>
            <w:vAlign w:val="center"/>
          </w:tcPr>
          <w:p w14:paraId="691F1E6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2FCBF798"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24CF0862"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AG11732</w:t>
            </w:r>
          </w:p>
        </w:tc>
        <w:tc>
          <w:tcPr>
            <w:tcW w:w="1407" w:type="dxa"/>
            <w:vAlign w:val="center"/>
          </w:tcPr>
          <w:p w14:paraId="35815FF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3F4C0BD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24</w:t>
            </w:r>
          </w:p>
        </w:tc>
        <w:tc>
          <w:tcPr>
            <w:tcW w:w="783" w:type="dxa"/>
            <w:vAlign w:val="center"/>
          </w:tcPr>
          <w:p w14:paraId="636FAB1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4E02BB9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59E25DF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5C3C116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P3</w:t>
            </w:r>
          </w:p>
        </w:tc>
        <w:tc>
          <w:tcPr>
            <w:tcW w:w="1337" w:type="dxa"/>
            <w:vAlign w:val="center"/>
          </w:tcPr>
          <w:p w14:paraId="0775084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4EC512F4"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3EE64D99"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AG11735</w:t>
            </w:r>
          </w:p>
        </w:tc>
        <w:tc>
          <w:tcPr>
            <w:tcW w:w="1407" w:type="dxa"/>
            <w:vAlign w:val="center"/>
          </w:tcPr>
          <w:p w14:paraId="243BB615"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21C512C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25</w:t>
            </w:r>
          </w:p>
        </w:tc>
        <w:tc>
          <w:tcPr>
            <w:tcW w:w="783" w:type="dxa"/>
            <w:vAlign w:val="center"/>
          </w:tcPr>
          <w:p w14:paraId="206D48C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1B8D21B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1053C1F4"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784457E6"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P8</w:t>
            </w:r>
          </w:p>
        </w:tc>
        <w:tc>
          <w:tcPr>
            <w:tcW w:w="1337" w:type="dxa"/>
            <w:vAlign w:val="center"/>
          </w:tcPr>
          <w:p w14:paraId="70ECFD7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472016F0"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7974E830"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AG11747</w:t>
            </w:r>
          </w:p>
        </w:tc>
        <w:tc>
          <w:tcPr>
            <w:tcW w:w="1407" w:type="dxa"/>
            <w:vAlign w:val="center"/>
          </w:tcPr>
          <w:p w14:paraId="14FC799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34D07A6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22</w:t>
            </w:r>
          </w:p>
        </w:tc>
        <w:tc>
          <w:tcPr>
            <w:tcW w:w="783" w:type="dxa"/>
            <w:vAlign w:val="center"/>
          </w:tcPr>
          <w:p w14:paraId="3CF3B8C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6D036B9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3743C23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3D7EBEED"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P4</w:t>
            </w:r>
          </w:p>
        </w:tc>
        <w:tc>
          <w:tcPr>
            <w:tcW w:w="1337" w:type="dxa"/>
            <w:vAlign w:val="center"/>
          </w:tcPr>
          <w:p w14:paraId="426F691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599A655D"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351CBEC5"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CH01842</w:t>
            </w:r>
          </w:p>
        </w:tc>
        <w:tc>
          <w:tcPr>
            <w:tcW w:w="1407" w:type="dxa"/>
            <w:vAlign w:val="center"/>
          </w:tcPr>
          <w:p w14:paraId="2ACF4D4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6DD4821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31</w:t>
            </w:r>
          </w:p>
        </w:tc>
        <w:tc>
          <w:tcPr>
            <w:tcW w:w="783" w:type="dxa"/>
            <w:vAlign w:val="center"/>
          </w:tcPr>
          <w:p w14:paraId="0C8FC2B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022E956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CHDI</w:t>
            </w:r>
          </w:p>
        </w:tc>
        <w:tc>
          <w:tcPr>
            <w:tcW w:w="1783" w:type="dxa"/>
            <w:vAlign w:val="center"/>
          </w:tcPr>
          <w:p w14:paraId="5026EBA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002B784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P7</w:t>
            </w:r>
          </w:p>
        </w:tc>
        <w:tc>
          <w:tcPr>
            <w:tcW w:w="1337" w:type="dxa"/>
            <w:vAlign w:val="center"/>
          </w:tcPr>
          <w:p w14:paraId="1EB324E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3C29E3B3"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132F8DA9"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GM03651</w:t>
            </w:r>
          </w:p>
        </w:tc>
        <w:tc>
          <w:tcPr>
            <w:tcW w:w="1407" w:type="dxa"/>
            <w:vAlign w:val="center"/>
          </w:tcPr>
          <w:p w14:paraId="225A3CF3"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7AE104B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25</w:t>
            </w:r>
          </w:p>
        </w:tc>
        <w:tc>
          <w:tcPr>
            <w:tcW w:w="783" w:type="dxa"/>
            <w:vAlign w:val="center"/>
          </w:tcPr>
          <w:p w14:paraId="257F343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1C037B0D"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4C945D5D"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72CEA91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7D3A2EF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22511575"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2E1115A2"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AG06234</w:t>
            </w:r>
          </w:p>
        </w:tc>
        <w:tc>
          <w:tcPr>
            <w:tcW w:w="1407" w:type="dxa"/>
            <w:vAlign w:val="center"/>
          </w:tcPr>
          <w:p w14:paraId="6077A5E4"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692404F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17</w:t>
            </w:r>
          </w:p>
        </w:tc>
        <w:tc>
          <w:tcPr>
            <w:tcW w:w="783" w:type="dxa"/>
            <w:vAlign w:val="center"/>
          </w:tcPr>
          <w:p w14:paraId="25DED86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712110D4"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1C8F894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49934B94"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32C7493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6D718CA0"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1BB0E5C0"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AG05095</w:t>
            </w:r>
          </w:p>
        </w:tc>
        <w:tc>
          <w:tcPr>
            <w:tcW w:w="1407" w:type="dxa"/>
            <w:vAlign w:val="center"/>
          </w:tcPr>
          <w:p w14:paraId="6C6AABB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534AC22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69</w:t>
            </w:r>
          </w:p>
        </w:tc>
        <w:tc>
          <w:tcPr>
            <w:tcW w:w="783" w:type="dxa"/>
            <w:vAlign w:val="center"/>
          </w:tcPr>
          <w:p w14:paraId="76074C3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110422C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66B7716D"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26875ED5"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P3</w:t>
            </w:r>
          </w:p>
        </w:tc>
        <w:tc>
          <w:tcPr>
            <w:tcW w:w="1337" w:type="dxa"/>
            <w:vAlign w:val="center"/>
          </w:tcPr>
          <w:p w14:paraId="324DCB0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073582FB"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382CB6DC"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AG11363</w:t>
            </w:r>
          </w:p>
        </w:tc>
        <w:tc>
          <w:tcPr>
            <w:tcW w:w="1407" w:type="dxa"/>
            <w:vAlign w:val="center"/>
          </w:tcPr>
          <w:p w14:paraId="266FDC95"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2C6DFE9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74</w:t>
            </w:r>
          </w:p>
        </w:tc>
        <w:tc>
          <w:tcPr>
            <w:tcW w:w="783" w:type="dxa"/>
            <w:vAlign w:val="center"/>
          </w:tcPr>
          <w:p w14:paraId="12CDDFF9"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7F160E7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0C37237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3A57388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P4</w:t>
            </w:r>
          </w:p>
        </w:tc>
        <w:tc>
          <w:tcPr>
            <w:tcW w:w="1337" w:type="dxa"/>
            <w:vAlign w:val="center"/>
          </w:tcPr>
          <w:p w14:paraId="3F219A9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4F7CDF1A"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2AEE9A05"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PIDN0749</w:t>
            </w:r>
          </w:p>
        </w:tc>
        <w:tc>
          <w:tcPr>
            <w:tcW w:w="1407" w:type="dxa"/>
            <w:vAlign w:val="center"/>
          </w:tcPr>
          <w:p w14:paraId="1E978C8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36F7FC2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71</w:t>
            </w:r>
          </w:p>
        </w:tc>
        <w:tc>
          <w:tcPr>
            <w:tcW w:w="783" w:type="dxa"/>
            <w:vAlign w:val="center"/>
          </w:tcPr>
          <w:p w14:paraId="6291327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7749F85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6BC8034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7332C27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7D5C0D73"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0747A637"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0487B8B3"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PIDN0781</w:t>
            </w:r>
          </w:p>
        </w:tc>
        <w:tc>
          <w:tcPr>
            <w:tcW w:w="1407" w:type="dxa"/>
            <w:vAlign w:val="center"/>
          </w:tcPr>
          <w:p w14:paraId="65C54CB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5D1E0B2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68</w:t>
            </w:r>
          </w:p>
        </w:tc>
        <w:tc>
          <w:tcPr>
            <w:tcW w:w="783" w:type="dxa"/>
            <w:vAlign w:val="center"/>
          </w:tcPr>
          <w:p w14:paraId="649FF51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67899C1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2534FA9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7C7D3D9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6BB12E3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5D6606DE"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62C04D8A"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PIDN0144</w:t>
            </w:r>
          </w:p>
        </w:tc>
        <w:tc>
          <w:tcPr>
            <w:tcW w:w="1407" w:type="dxa"/>
            <w:vAlign w:val="center"/>
          </w:tcPr>
          <w:p w14:paraId="066BA4DE"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6AA0842E"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77</w:t>
            </w:r>
          </w:p>
        </w:tc>
        <w:tc>
          <w:tcPr>
            <w:tcW w:w="783" w:type="dxa"/>
            <w:vAlign w:val="center"/>
          </w:tcPr>
          <w:p w14:paraId="2AFBC70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180E599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798FC2B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1B2E67B6"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P5</w:t>
            </w:r>
          </w:p>
        </w:tc>
        <w:tc>
          <w:tcPr>
            <w:tcW w:w="1337" w:type="dxa"/>
            <w:vAlign w:val="center"/>
          </w:tcPr>
          <w:p w14:paraId="5E4D7A9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371D2743"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2E225C13"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PIDN0450</w:t>
            </w:r>
          </w:p>
        </w:tc>
        <w:tc>
          <w:tcPr>
            <w:tcW w:w="1407" w:type="dxa"/>
            <w:vAlign w:val="center"/>
          </w:tcPr>
          <w:p w14:paraId="77330E2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7CB3ED46"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79</w:t>
            </w:r>
          </w:p>
        </w:tc>
        <w:tc>
          <w:tcPr>
            <w:tcW w:w="783" w:type="dxa"/>
            <w:vAlign w:val="center"/>
          </w:tcPr>
          <w:p w14:paraId="1DA28C4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7FECE87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3E9E3707"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56B1EAA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P4</w:t>
            </w:r>
          </w:p>
        </w:tc>
        <w:tc>
          <w:tcPr>
            <w:tcW w:w="1337" w:type="dxa"/>
            <w:vAlign w:val="center"/>
          </w:tcPr>
          <w:p w14:paraId="0284AE3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5E176640"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74780BA8"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PIDN0477</w:t>
            </w:r>
          </w:p>
        </w:tc>
        <w:tc>
          <w:tcPr>
            <w:tcW w:w="1407" w:type="dxa"/>
            <w:vAlign w:val="center"/>
          </w:tcPr>
          <w:p w14:paraId="3C64267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6924756D"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62</w:t>
            </w:r>
          </w:p>
        </w:tc>
        <w:tc>
          <w:tcPr>
            <w:tcW w:w="783" w:type="dxa"/>
            <w:vAlign w:val="center"/>
          </w:tcPr>
          <w:p w14:paraId="36B9BA6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0E30D92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0307C846"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5C9AD8C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3B7A4E3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3A91F833"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42BA9006"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PIDN0648</w:t>
            </w:r>
          </w:p>
        </w:tc>
        <w:tc>
          <w:tcPr>
            <w:tcW w:w="1407" w:type="dxa"/>
            <w:vAlign w:val="center"/>
          </w:tcPr>
          <w:p w14:paraId="0A3409C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0968CC3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72</w:t>
            </w:r>
          </w:p>
        </w:tc>
        <w:tc>
          <w:tcPr>
            <w:tcW w:w="783" w:type="dxa"/>
            <w:vAlign w:val="center"/>
          </w:tcPr>
          <w:p w14:paraId="146F7CE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141672D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3C419227"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3A90C466"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P3</w:t>
            </w:r>
          </w:p>
        </w:tc>
        <w:tc>
          <w:tcPr>
            <w:tcW w:w="1337" w:type="dxa"/>
            <w:vAlign w:val="center"/>
          </w:tcPr>
          <w:p w14:paraId="5ECB5BE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3D340311"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0CEB8E5A"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PIDN0717</w:t>
            </w:r>
          </w:p>
        </w:tc>
        <w:tc>
          <w:tcPr>
            <w:tcW w:w="1407" w:type="dxa"/>
            <w:vAlign w:val="center"/>
          </w:tcPr>
          <w:p w14:paraId="43C0D3A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5784C06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75</w:t>
            </w:r>
          </w:p>
        </w:tc>
        <w:tc>
          <w:tcPr>
            <w:tcW w:w="783" w:type="dxa"/>
            <w:vAlign w:val="center"/>
          </w:tcPr>
          <w:p w14:paraId="1AD515BE"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7BAFDEF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25093B0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6E2AC6F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P3</w:t>
            </w:r>
          </w:p>
        </w:tc>
        <w:tc>
          <w:tcPr>
            <w:tcW w:w="1337" w:type="dxa"/>
            <w:vAlign w:val="center"/>
          </w:tcPr>
          <w:p w14:paraId="7A201E36"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5D32C34A"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0F6669FC"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PIDN0600</w:t>
            </w:r>
          </w:p>
        </w:tc>
        <w:tc>
          <w:tcPr>
            <w:tcW w:w="1407" w:type="dxa"/>
            <w:vAlign w:val="center"/>
          </w:tcPr>
          <w:p w14:paraId="66FCB4F9"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07B798C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64</w:t>
            </w:r>
          </w:p>
        </w:tc>
        <w:tc>
          <w:tcPr>
            <w:tcW w:w="783" w:type="dxa"/>
            <w:vAlign w:val="center"/>
          </w:tcPr>
          <w:p w14:paraId="296D392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5E374B3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0A4E3F7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76E5D667"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6A5F184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6C4D9774"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7F7ADEDF"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AG08379</w:t>
            </w:r>
          </w:p>
        </w:tc>
        <w:tc>
          <w:tcPr>
            <w:tcW w:w="1407" w:type="dxa"/>
            <w:vAlign w:val="center"/>
          </w:tcPr>
          <w:p w14:paraId="27C50DE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4DB3C26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60</w:t>
            </w:r>
          </w:p>
        </w:tc>
        <w:tc>
          <w:tcPr>
            <w:tcW w:w="783" w:type="dxa"/>
            <w:vAlign w:val="center"/>
          </w:tcPr>
          <w:p w14:paraId="043658BE"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33F72AA5"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2C2BC99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26E0A06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P7</w:t>
            </w:r>
          </w:p>
        </w:tc>
        <w:tc>
          <w:tcPr>
            <w:tcW w:w="1337" w:type="dxa"/>
            <w:vAlign w:val="center"/>
          </w:tcPr>
          <w:p w14:paraId="1276A2B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38A0CBAE"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77B82DD4"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AG04455</w:t>
            </w:r>
          </w:p>
        </w:tc>
        <w:tc>
          <w:tcPr>
            <w:tcW w:w="1407" w:type="dxa"/>
            <w:vAlign w:val="center"/>
          </w:tcPr>
          <w:p w14:paraId="6FC32569"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2C7F0FA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72</w:t>
            </w:r>
          </w:p>
        </w:tc>
        <w:tc>
          <w:tcPr>
            <w:tcW w:w="783" w:type="dxa"/>
            <w:vAlign w:val="center"/>
          </w:tcPr>
          <w:p w14:paraId="2189344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27A7EFE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70ABFFE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11864D7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P8</w:t>
            </w:r>
          </w:p>
        </w:tc>
        <w:tc>
          <w:tcPr>
            <w:tcW w:w="1337" w:type="dxa"/>
            <w:vAlign w:val="center"/>
          </w:tcPr>
          <w:p w14:paraId="6855A4D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406856F8"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0BB29F51"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AG10788</w:t>
            </w:r>
          </w:p>
        </w:tc>
        <w:tc>
          <w:tcPr>
            <w:tcW w:w="1407" w:type="dxa"/>
            <w:vAlign w:val="center"/>
          </w:tcPr>
          <w:p w14:paraId="5E96966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5213EAA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87</w:t>
            </w:r>
          </w:p>
        </w:tc>
        <w:tc>
          <w:tcPr>
            <w:tcW w:w="783" w:type="dxa"/>
            <w:vAlign w:val="center"/>
          </w:tcPr>
          <w:p w14:paraId="611E7D6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69BCFB9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120C5AF3"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7F09CB4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P5</w:t>
            </w:r>
          </w:p>
        </w:tc>
        <w:tc>
          <w:tcPr>
            <w:tcW w:w="1337" w:type="dxa"/>
            <w:vAlign w:val="center"/>
          </w:tcPr>
          <w:p w14:paraId="35C7788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7C4093EB"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7DDD4633"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AG11368</w:t>
            </w:r>
          </w:p>
        </w:tc>
        <w:tc>
          <w:tcPr>
            <w:tcW w:w="1407" w:type="dxa"/>
            <w:vAlign w:val="center"/>
          </w:tcPr>
          <w:p w14:paraId="2CDB182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6C39585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77</w:t>
            </w:r>
          </w:p>
        </w:tc>
        <w:tc>
          <w:tcPr>
            <w:tcW w:w="783" w:type="dxa"/>
            <w:vAlign w:val="center"/>
          </w:tcPr>
          <w:p w14:paraId="6EFFF8B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6CF4A9B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0120B937"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5F6E28B4"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201C644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0B97AA71"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5477962E"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AG08243</w:t>
            </w:r>
          </w:p>
        </w:tc>
        <w:tc>
          <w:tcPr>
            <w:tcW w:w="1407" w:type="dxa"/>
            <w:vAlign w:val="center"/>
          </w:tcPr>
          <w:p w14:paraId="0AC94DA3"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67B4216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72</w:t>
            </w:r>
          </w:p>
        </w:tc>
        <w:tc>
          <w:tcPr>
            <w:tcW w:w="783" w:type="dxa"/>
            <w:vAlign w:val="center"/>
          </w:tcPr>
          <w:p w14:paraId="04727FA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37980096"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5D5B48F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120A2636"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2A68A53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679D108B"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54727B01"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AG06263</w:t>
            </w:r>
          </w:p>
        </w:tc>
        <w:tc>
          <w:tcPr>
            <w:tcW w:w="1407" w:type="dxa"/>
            <w:vAlign w:val="center"/>
          </w:tcPr>
          <w:p w14:paraId="46E5B9E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761A3D1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67</w:t>
            </w:r>
          </w:p>
        </w:tc>
        <w:tc>
          <w:tcPr>
            <w:tcW w:w="783" w:type="dxa"/>
            <w:vAlign w:val="center"/>
          </w:tcPr>
          <w:p w14:paraId="67A5A71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5907149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7FAE91E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6720B7C4"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P12</w:t>
            </w:r>
          </w:p>
        </w:tc>
        <w:tc>
          <w:tcPr>
            <w:tcW w:w="1337" w:type="dxa"/>
            <w:vAlign w:val="center"/>
          </w:tcPr>
          <w:p w14:paraId="6D36BA7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03C17AE1"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0F909B1C"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AG06869</w:t>
            </w:r>
          </w:p>
        </w:tc>
        <w:tc>
          <w:tcPr>
            <w:tcW w:w="1407" w:type="dxa"/>
            <w:vAlign w:val="center"/>
          </w:tcPr>
          <w:p w14:paraId="399B494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1556126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60</w:t>
            </w:r>
          </w:p>
        </w:tc>
        <w:tc>
          <w:tcPr>
            <w:tcW w:w="783" w:type="dxa"/>
            <w:vAlign w:val="center"/>
          </w:tcPr>
          <w:p w14:paraId="220D3125"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6F231A9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30C06EB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616379F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P9</w:t>
            </w:r>
          </w:p>
        </w:tc>
        <w:tc>
          <w:tcPr>
            <w:tcW w:w="1337" w:type="dxa"/>
            <w:vAlign w:val="center"/>
          </w:tcPr>
          <w:p w14:paraId="404A76E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4DDC7219"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3093CB3A"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AG07375</w:t>
            </w:r>
          </w:p>
        </w:tc>
        <w:tc>
          <w:tcPr>
            <w:tcW w:w="1407" w:type="dxa"/>
            <w:vAlign w:val="center"/>
          </w:tcPr>
          <w:p w14:paraId="30E8407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58FE119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71</w:t>
            </w:r>
          </w:p>
        </w:tc>
        <w:tc>
          <w:tcPr>
            <w:tcW w:w="783" w:type="dxa"/>
            <w:vAlign w:val="center"/>
          </w:tcPr>
          <w:p w14:paraId="25F67B9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7BF03B99"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4A2B646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7DB88F9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P10</w:t>
            </w:r>
          </w:p>
        </w:tc>
        <w:tc>
          <w:tcPr>
            <w:tcW w:w="1337" w:type="dxa"/>
            <w:vAlign w:val="center"/>
          </w:tcPr>
          <w:p w14:paraId="2C68DC69"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1CC61803"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1D120DA3"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AG07376</w:t>
            </w:r>
          </w:p>
        </w:tc>
        <w:tc>
          <w:tcPr>
            <w:tcW w:w="1407" w:type="dxa"/>
            <w:vAlign w:val="center"/>
          </w:tcPr>
          <w:p w14:paraId="58A1F6E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588A3A8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60</w:t>
            </w:r>
          </w:p>
        </w:tc>
        <w:tc>
          <w:tcPr>
            <w:tcW w:w="783" w:type="dxa"/>
            <w:vAlign w:val="center"/>
          </w:tcPr>
          <w:p w14:paraId="49F4773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428DF323"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5AB5591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7A28676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P11</w:t>
            </w:r>
          </w:p>
        </w:tc>
        <w:tc>
          <w:tcPr>
            <w:tcW w:w="1337" w:type="dxa"/>
            <w:vAlign w:val="center"/>
          </w:tcPr>
          <w:p w14:paraId="7B12D6C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5853D406"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7693F9D6"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PIDN0254</w:t>
            </w:r>
          </w:p>
        </w:tc>
        <w:tc>
          <w:tcPr>
            <w:tcW w:w="1407" w:type="dxa"/>
            <w:vAlign w:val="center"/>
          </w:tcPr>
          <w:p w14:paraId="25E48346"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4A8CE9E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70</w:t>
            </w:r>
          </w:p>
        </w:tc>
        <w:tc>
          <w:tcPr>
            <w:tcW w:w="783" w:type="dxa"/>
            <w:vAlign w:val="center"/>
          </w:tcPr>
          <w:p w14:paraId="1AF6E63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0CEB9465"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44A89F3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13EFCCA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P3</w:t>
            </w:r>
          </w:p>
        </w:tc>
        <w:tc>
          <w:tcPr>
            <w:tcW w:w="1337" w:type="dxa"/>
            <w:vAlign w:val="center"/>
          </w:tcPr>
          <w:p w14:paraId="718A0E4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053EE16F"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22F9D69A"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PIDN0340</w:t>
            </w:r>
          </w:p>
        </w:tc>
        <w:tc>
          <w:tcPr>
            <w:tcW w:w="1407" w:type="dxa"/>
            <w:vAlign w:val="center"/>
          </w:tcPr>
          <w:p w14:paraId="65AAA56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5E98BAA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69</w:t>
            </w:r>
          </w:p>
        </w:tc>
        <w:tc>
          <w:tcPr>
            <w:tcW w:w="783" w:type="dxa"/>
            <w:vAlign w:val="center"/>
          </w:tcPr>
          <w:p w14:paraId="243EA9F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130BFD4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4E00EA6E"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142E630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P3</w:t>
            </w:r>
          </w:p>
        </w:tc>
        <w:tc>
          <w:tcPr>
            <w:tcW w:w="1337" w:type="dxa"/>
            <w:vAlign w:val="center"/>
          </w:tcPr>
          <w:p w14:paraId="529A51B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19921093"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585B1905"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PIDN0818</w:t>
            </w:r>
          </w:p>
        </w:tc>
        <w:tc>
          <w:tcPr>
            <w:tcW w:w="1407" w:type="dxa"/>
            <w:vAlign w:val="center"/>
          </w:tcPr>
          <w:p w14:paraId="39DBA969"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3AFEFDC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76</w:t>
            </w:r>
          </w:p>
        </w:tc>
        <w:tc>
          <w:tcPr>
            <w:tcW w:w="783" w:type="dxa"/>
            <w:vAlign w:val="center"/>
          </w:tcPr>
          <w:p w14:paraId="6359C26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0584F6B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58F89A06"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5439BB16"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45CB0BD7"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4B818F5E"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1392863C"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PIDN0932</w:t>
            </w:r>
          </w:p>
        </w:tc>
        <w:tc>
          <w:tcPr>
            <w:tcW w:w="1407" w:type="dxa"/>
            <w:vAlign w:val="center"/>
          </w:tcPr>
          <w:p w14:paraId="7734736D"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323D0F5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58</w:t>
            </w:r>
          </w:p>
        </w:tc>
        <w:tc>
          <w:tcPr>
            <w:tcW w:w="783" w:type="dxa"/>
            <w:vAlign w:val="center"/>
          </w:tcPr>
          <w:p w14:paraId="6B814D7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5A86EE6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0573F90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4D242ED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P4</w:t>
            </w:r>
          </w:p>
        </w:tc>
        <w:tc>
          <w:tcPr>
            <w:tcW w:w="1337" w:type="dxa"/>
            <w:vAlign w:val="center"/>
          </w:tcPr>
          <w:p w14:paraId="0025F70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77C7847B"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4465F738"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PIDN1001</w:t>
            </w:r>
          </w:p>
        </w:tc>
        <w:tc>
          <w:tcPr>
            <w:tcW w:w="1407" w:type="dxa"/>
            <w:vAlign w:val="center"/>
          </w:tcPr>
          <w:p w14:paraId="16CA010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5E97242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71</w:t>
            </w:r>
          </w:p>
        </w:tc>
        <w:tc>
          <w:tcPr>
            <w:tcW w:w="783" w:type="dxa"/>
            <w:vAlign w:val="center"/>
          </w:tcPr>
          <w:p w14:paraId="6753544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02D5B6D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5BD2FCD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48399AB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64F0750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04FD189E"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3C326030"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lastRenderedPageBreak/>
              <w:t>PIDN1034</w:t>
            </w:r>
          </w:p>
        </w:tc>
        <w:tc>
          <w:tcPr>
            <w:tcW w:w="1407" w:type="dxa"/>
            <w:vAlign w:val="center"/>
          </w:tcPr>
          <w:p w14:paraId="73A0F4DD"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00DEC3E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60</w:t>
            </w:r>
          </w:p>
        </w:tc>
        <w:tc>
          <w:tcPr>
            <w:tcW w:w="783" w:type="dxa"/>
            <w:vAlign w:val="center"/>
          </w:tcPr>
          <w:p w14:paraId="7D0EA49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35CE65F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4A29AF6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3C3C09D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P4</w:t>
            </w:r>
          </w:p>
        </w:tc>
        <w:tc>
          <w:tcPr>
            <w:tcW w:w="1337" w:type="dxa"/>
            <w:vAlign w:val="center"/>
          </w:tcPr>
          <w:p w14:paraId="6652791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6E1734E4"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7CA61905"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PIDN0942</w:t>
            </w:r>
          </w:p>
        </w:tc>
        <w:tc>
          <w:tcPr>
            <w:tcW w:w="1407" w:type="dxa"/>
            <w:vAlign w:val="center"/>
          </w:tcPr>
          <w:p w14:paraId="0B1ADAC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2048488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61</w:t>
            </w:r>
          </w:p>
        </w:tc>
        <w:tc>
          <w:tcPr>
            <w:tcW w:w="783" w:type="dxa"/>
            <w:vAlign w:val="center"/>
          </w:tcPr>
          <w:p w14:paraId="1013586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51326C4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1672023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2ECAF66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3B5CB1A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103B8BBE"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0B551301"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PIDN0953</w:t>
            </w:r>
          </w:p>
        </w:tc>
        <w:tc>
          <w:tcPr>
            <w:tcW w:w="1407" w:type="dxa"/>
            <w:vAlign w:val="center"/>
          </w:tcPr>
          <w:p w14:paraId="59C6D0B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3B422E5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83</w:t>
            </w:r>
          </w:p>
        </w:tc>
        <w:tc>
          <w:tcPr>
            <w:tcW w:w="783" w:type="dxa"/>
            <w:vAlign w:val="center"/>
          </w:tcPr>
          <w:p w14:paraId="74F9618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1E1E62C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0EC09975"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0DCBC83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5DCCADF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30335917"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576CC0C7"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PIDN1092</w:t>
            </w:r>
          </w:p>
        </w:tc>
        <w:tc>
          <w:tcPr>
            <w:tcW w:w="1407" w:type="dxa"/>
            <w:vAlign w:val="center"/>
          </w:tcPr>
          <w:p w14:paraId="022C7A7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7F622D5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84</w:t>
            </w:r>
          </w:p>
        </w:tc>
        <w:tc>
          <w:tcPr>
            <w:tcW w:w="783" w:type="dxa"/>
            <w:vAlign w:val="center"/>
          </w:tcPr>
          <w:p w14:paraId="74718EA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437BD5E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00CA8C7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757A6606"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P3</w:t>
            </w:r>
          </w:p>
        </w:tc>
        <w:tc>
          <w:tcPr>
            <w:tcW w:w="1337" w:type="dxa"/>
            <w:vAlign w:val="center"/>
          </w:tcPr>
          <w:p w14:paraId="73A8DD0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5DA4708E"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3CED8639"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PIDN0690</w:t>
            </w:r>
          </w:p>
        </w:tc>
        <w:tc>
          <w:tcPr>
            <w:tcW w:w="1407" w:type="dxa"/>
            <w:vAlign w:val="center"/>
          </w:tcPr>
          <w:p w14:paraId="7F42FB6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 PSEN1 mutation (F386L)</w:t>
            </w:r>
          </w:p>
        </w:tc>
        <w:tc>
          <w:tcPr>
            <w:tcW w:w="1080" w:type="dxa"/>
            <w:vAlign w:val="center"/>
          </w:tcPr>
          <w:p w14:paraId="47B31E7E"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47</w:t>
            </w:r>
          </w:p>
        </w:tc>
        <w:tc>
          <w:tcPr>
            <w:tcW w:w="783" w:type="dxa"/>
            <w:vAlign w:val="center"/>
          </w:tcPr>
          <w:p w14:paraId="3DA5A8A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1744098E"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282F3BDE"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37187EB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P5</w:t>
            </w:r>
          </w:p>
        </w:tc>
        <w:tc>
          <w:tcPr>
            <w:tcW w:w="1337" w:type="dxa"/>
            <w:vAlign w:val="center"/>
          </w:tcPr>
          <w:p w14:paraId="41C27F8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7818E9EA"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087EEF1A"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PIDN0906</w:t>
            </w:r>
          </w:p>
        </w:tc>
        <w:tc>
          <w:tcPr>
            <w:tcW w:w="1407" w:type="dxa"/>
            <w:vAlign w:val="center"/>
          </w:tcPr>
          <w:p w14:paraId="08A7610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 PSEN1 mutation (A431E)</w:t>
            </w:r>
          </w:p>
        </w:tc>
        <w:tc>
          <w:tcPr>
            <w:tcW w:w="1080" w:type="dxa"/>
            <w:vAlign w:val="center"/>
          </w:tcPr>
          <w:p w14:paraId="18434129"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46</w:t>
            </w:r>
          </w:p>
        </w:tc>
        <w:tc>
          <w:tcPr>
            <w:tcW w:w="783" w:type="dxa"/>
            <w:vAlign w:val="center"/>
          </w:tcPr>
          <w:p w14:paraId="67278B06"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730D49C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5FD561D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1818490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P5</w:t>
            </w:r>
          </w:p>
        </w:tc>
        <w:tc>
          <w:tcPr>
            <w:tcW w:w="1337" w:type="dxa"/>
            <w:vAlign w:val="center"/>
          </w:tcPr>
          <w:p w14:paraId="76B77BE5"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5097121D"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6ED29B3C"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AG07768</w:t>
            </w:r>
          </w:p>
        </w:tc>
        <w:tc>
          <w:tcPr>
            <w:tcW w:w="1407" w:type="dxa"/>
            <w:vAlign w:val="center"/>
          </w:tcPr>
          <w:p w14:paraId="209A35E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 PSEN1 mutation (A246E)</w:t>
            </w:r>
          </w:p>
        </w:tc>
        <w:tc>
          <w:tcPr>
            <w:tcW w:w="1080" w:type="dxa"/>
            <w:vAlign w:val="center"/>
          </w:tcPr>
          <w:p w14:paraId="5713729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31</w:t>
            </w:r>
          </w:p>
        </w:tc>
        <w:tc>
          <w:tcPr>
            <w:tcW w:w="783" w:type="dxa"/>
            <w:vAlign w:val="center"/>
          </w:tcPr>
          <w:p w14:paraId="201F7B6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72CEA80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7D115E3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1E59963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P6</w:t>
            </w:r>
          </w:p>
        </w:tc>
        <w:tc>
          <w:tcPr>
            <w:tcW w:w="1337" w:type="dxa"/>
            <w:vAlign w:val="center"/>
          </w:tcPr>
          <w:p w14:paraId="6DE3A0A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740177DF"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4E9ECE82"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AG08170</w:t>
            </w:r>
          </w:p>
        </w:tc>
        <w:tc>
          <w:tcPr>
            <w:tcW w:w="1407" w:type="dxa"/>
            <w:vAlign w:val="center"/>
          </w:tcPr>
          <w:p w14:paraId="3D65214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 PSEN1 mutation (A246E)</w:t>
            </w:r>
          </w:p>
        </w:tc>
        <w:tc>
          <w:tcPr>
            <w:tcW w:w="1080" w:type="dxa"/>
            <w:vAlign w:val="center"/>
          </w:tcPr>
          <w:p w14:paraId="6BB96DC9"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56</w:t>
            </w:r>
          </w:p>
        </w:tc>
        <w:tc>
          <w:tcPr>
            <w:tcW w:w="783" w:type="dxa"/>
            <w:vAlign w:val="center"/>
          </w:tcPr>
          <w:p w14:paraId="43B5BA8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2DC2505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1292193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09DF130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P11</w:t>
            </w:r>
          </w:p>
        </w:tc>
        <w:tc>
          <w:tcPr>
            <w:tcW w:w="1337" w:type="dxa"/>
            <w:vAlign w:val="center"/>
          </w:tcPr>
          <w:p w14:paraId="4DE8B8A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tNeuron</w:t>
            </w:r>
          </w:p>
        </w:tc>
      </w:tr>
      <w:tr w:rsidR="008B125F" w:rsidRPr="00DE0D29" w14:paraId="3B093260"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77609A99"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AG06848</w:t>
            </w:r>
          </w:p>
        </w:tc>
        <w:tc>
          <w:tcPr>
            <w:tcW w:w="1407" w:type="dxa"/>
            <w:vAlign w:val="center"/>
          </w:tcPr>
          <w:p w14:paraId="5017D1B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 PSEN1 mutation (A246E)</w:t>
            </w:r>
          </w:p>
        </w:tc>
        <w:tc>
          <w:tcPr>
            <w:tcW w:w="1080" w:type="dxa"/>
            <w:vAlign w:val="center"/>
          </w:tcPr>
          <w:p w14:paraId="3CD48C15"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56</w:t>
            </w:r>
          </w:p>
        </w:tc>
        <w:tc>
          <w:tcPr>
            <w:tcW w:w="783" w:type="dxa"/>
            <w:vAlign w:val="center"/>
          </w:tcPr>
          <w:p w14:paraId="410EC31E"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6E60264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Coriell</w:t>
            </w:r>
          </w:p>
        </w:tc>
        <w:tc>
          <w:tcPr>
            <w:tcW w:w="1783" w:type="dxa"/>
            <w:vAlign w:val="center"/>
          </w:tcPr>
          <w:p w14:paraId="79AA07A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Fibroblast</w:t>
            </w:r>
          </w:p>
        </w:tc>
        <w:tc>
          <w:tcPr>
            <w:tcW w:w="1573" w:type="dxa"/>
            <w:vAlign w:val="center"/>
          </w:tcPr>
          <w:p w14:paraId="0AF3730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389158D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765698E1"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6ADE6EA7"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15-34479</w:t>
            </w:r>
          </w:p>
        </w:tc>
        <w:tc>
          <w:tcPr>
            <w:tcW w:w="1407" w:type="dxa"/>
            <w:vAlign w:val="center"/>
          </w:tcPr>
          <w:p w14:paraId="7247FE7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4EF925F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78</w:t>
            </w:r>
          </w:p>
        </w:tc>
        <w:tc>
          <w:tcPr>
            <w:tcW w:w="783" w:type="dxa"/>
            <w:vAlign w:val="center"/>
          </w:tcPr>
          <w:p w14:paraId="47326AB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7435D815"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50AF8E65"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79F6A0C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0582648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7DEC3370"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7333DEC7"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15-34621</w:t>
            </w:r>
          </w:p>
        </w:tc>
        <w:tc>
          <w:tcPr>
            <w:tcW w:w="1407" w:type="dxa"/>
            <w:vAlign w:val="center"/>
          </w:tcPr>
          <w:p w14:paraId="27F67FD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36932536"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69</w:t>
            </w:r>
          </w:p>
        </w:tc>
        <w:tc>
          <w:tcPr>
            <w:tcW w:w="783" w:type="dxa"/>
            <w:vAlign w:val="center"/>
          </w:tcPr>
          <w:p w14:paraId="460754B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224AEBD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2F4689B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401F3AC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091ECEB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523D6323"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697E5967"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15-34549</w:t>
            </w:r>
          </w:p>
        </w:tc>
        <w:tc>
          <w:tcPr>
            <w:tcW w:w="1407" w:type="dxa"/>
            <w:vAlign w:val="center"/>
          </w:tcPr>
          <w:p w14:paraId="2F38BF14"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2F07230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68</w:t>
            </w:r>
          </w:p>
        </w:tc>
        <w:tc>
          <w:tcPr>
            <w:tcW w:w="783" w:type="dxa"/>
            <w:vAlign w:val="center"/>
          </w:tcPr>
          <w:p w14:paraId="3FD6B4C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2AE31BB4"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65AA8C3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5AD1692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2EBAE05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53A8D071"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18112762"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15-34605</w:t>
            </w:r>
          </w:p>
        </w:tc>
        <w:tc>
          <w:tcPr>
            <w:tcW w:w="1407" w:type="dxa"/>
            <w:vAlign w:val="center"/>
          </w:tcPr>
          <w:p w14:paraId="6520A32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301F229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80</w:t>
            </w:r>
          </w:p>
        </w:tc>
        <w:tc>
          <w:tcPr>
            <w:tcW w:w="783" w:type="dxa"/>
            <w:vAlign w:val="center"/>
          </w:tcPr>
          <w:p w14:paraId="357F19D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680FAAF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3C1EBFB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02AD9E3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599C139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5D564B8D"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0E515333"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15-34642</w:t>
            </w:r>
          </w:p>
        </w:tc>
        <w:tc>
          <w:tcPr>
            <w:tcW w:w="1407" w:type="dxa"/>
            <w:vAlign w:val="center"/>
          </w:tcPr>
          <w:p w14:paraId="60F17E54"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2B883C3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49</w:t>
            </w:r>
          </w:p>
        </w:tc>
        <w:tc>
          <w:tcPr>
            <w:tcW w:w="783" w:type="dxa"/>
            <w:vAlign w:val="center"/>
          </w:tcPr>
          <w:p w14:paraId="247A48A5"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0241ACC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2C8ED33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7E48EAC5"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4E6394F5"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0476F733"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529D442D"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15-35095</w:t>
            </w:r>
          </w:p>
        </w:tc>
        <w:tc>
          <w:tcPr>
            <w:tcW w:w="1407" w:type="dxa"/>
            <w:vAlign w:val="center"/>
          </w:tcPr>
          <w:p w14:paraId="764D5806"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1036CAAE"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41</w:t>
            </w:r>
          </w:p>
        </w:tc>
        <w:tc>
          <w:tcPr>
            <w:tcW w:w="783" w:type="dxa"/>
            <w:vAlign w:val="center"/>
          </w:tcPr>
          <w:p w14:paraId="210A294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1DDEB89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045BBE3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4E9C08A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53051156"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4612E020"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62F602AB"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15-34291</w:t>
            </w:r>
          </w:p>
        </w:tc>
        <w:tc>
          <w:tcPr>
            <w:tcW w:w="1407" w:type="dxa"/>
            <w:vAlign w:val="center"/>
          </w:tcPr>
          <w:p w14:paraId="12D13B3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7FDA097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63</w:t>
            </w:r>
          </w:p>
        </w:tc>
        <w:tc>
          <w:tcPr>
            <w:tcW w:w="783" w:type="dxa"/>
            <w:vAlign w:val="center"/>
          </w:tcPr>
          <w:p w14:paraId="6AAB166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4087D31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35B94F54"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212511A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2623CA4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0D82B243"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5D2D1486"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15-34992</w:t>
            </w:r>
          </w:p>
        </w:tc>
        <w:tc>
          <w:tcPr>
            <w:tcW w:w="1407" w:type="dxa"/>
            <w:vAlign w:val="center"/>
          </w:tcPr>
          <w:p w14:paraId="25793DE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HC</w:t>
            </w:r>
          </w:p>
        </w:tc>
        <w:tc>
          <w:tcPr>
            <w:tcW w:w="1080" w:type="dxa"/>
            <w:vAlign w:val="center"/>
          </w:tcPr>
          <w:p w14:paraId="3748D655"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68</w:t>
            </w:r>
          </w:p>
        </w:tc>
        <w:tc>
          <w:tcPr>
            <w:tcW w:w="783" w:type="dxa"/>
            <w:vAlign w:val="center"/>
          </w:tcPr>
          <w:p w14:paraId="005347A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15F1BF05"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7639F05E"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27C72E4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1F474DDC"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553DEE6E"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69FD76CD"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15-34583</w:t>
            </w:r>
          </w:p>
        </w:tc>
        <w:tc>
          <w:tcPr>
            <w:tcW w:w="1407" w:type="dxa"/>
            <w:vAlign w:val="center"/>
          </w:tcPr>
          <w:p w14:paraId="3BC374B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5462171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89</w:t>
            </w:r>
          </w:p>
        </w:tc>
        <w:tc>
          <w:tcPr>
            <w:tcW w:w="783" w:type="dxa"/>
            <w:vAlign w:val="center"/>
          </w:tcPr>
          <w:p w14:paraId="521D333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4543692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4624D2C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0DB71A8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4482492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0A5B165A"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43F0DCCF"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15-34644</w:t>
            </w:r>
          </w:p>
        </w:tc>
        <w:tc>
          <w:tcPr>
            <w:tcW w:w="1407" w:type="dxa"/>
            <w:vAlign w:val="center"/>
          </w:tcPr>
          <w:p w14:paraId="0A53CBC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4BBDCF03"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80</w:t>
            </w:r>
          </w:p>
        </w:tc>
        <w:tc>
          <w:tcPr>
            <w:tcW w:w="783" w:type="dxa"/>
            <w:vAlign w:val="center"/>
          </w:tcPr>
          <w:p w14:paraId="4BBB7CA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72A924D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5DF6818D"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54D4E26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05FE5DA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6B569372"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63752FE4"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15-34674</w:t>
            </w:r>
          </w:p>
        </w:tc>
        <w:tc>
          <w:tcPr>
            <w:tcW w:w="1407" w:type="dxa"/>
            <w:vAlign w:val="center"/>
          </w:tcPr>
          <w:p w14:paraId="21BB3CA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2713CCE8"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79</w:t>
            </w:r>
          </w:p>
        </w:tc>
        <w:tc>
          <w:tcPr>
            <w:tcW w:w="783" w:type="dxa"/>
            <w:vAlign w:val="center"/>
          </w:tcPr>
          <w:p w14:paraId="3DA8B72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0C860E1C"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0DD80697"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33818E19"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0C351440"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2CDA3487"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73635F18"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16-34858</w:t>
            </w:r>
          </w:p>
        </w:tc>
        <w:tc>
          <w:tcPr>
            <w:tcW w:w="1407" w:type="dxa"/>
            <w:vAlign w:val="center"/>
          </w:tcPr>
          <w:p w14:paraId="4643FE1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3977F1F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93</w:t>
            </w:r>
          </w:p>
        </w:tc>
        <w:tc>
          <w:tcPr>
            <w:tcW w:w="783" w:type="dxa"/>
            <w:vAlign w:val="center"/>
          </w:tcPr>
          <w:p w14:paraId="4989F48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4C77E066"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2DE889B7"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4CF7F11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5EE907B9"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1B8DBF29"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4A1DDD3C"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17-34912</w:t>
            </w:r>
          </w:p>
        </w:tc>
        <w:tc>
          <w:tcPr>
            <w:tcW w:w="1407" w:type="dxa"/>
            <w:vAlign w:val="center"/>
          </w:tcPr>
          <w:p w14:paraId="76BD177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4F3B2EAA"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89</w:t>
            </w:r>
          </w:p>
        </w:tc>
        <w:tc>
          <w:tcPr>
            <w:tcW w:w="783" w:type="dxa"/>
            <w:vAlign w:val="center"/>
          </w:tcPr>
          <w:p w14:paraId="2C7A0D3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6158FE0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2E16E5C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3F78FD5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1F9B1552"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5A14A095"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27EB4F9A"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17-34933</w:t>
            </w:r>
          </w:p>
        </w:tc>
        <w:tc>
          <w:tcPr>
            <w:tcW w:w="1407" w:type="dxa"/>
            <w:vAlign w:val="center"/>
          </w:tcPr>
          <w:p w14:paraId="09599A45"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4D7FFBF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80</w:t>
            </w:r>
          </w:p>
        </w:tc>
        <w:tc>
          <w:tcPr>
            <w:tcW w:w="783" w:type="dxa"/>
            <w:vAlign w:val="center"/>
          </w:tcPr>
          <w:p w14:paraId="41F1333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5D4625E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672840B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0E46AE3B"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4896BE7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474F1C46"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6461626C"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17-34995</w:t>
            </w:r>
          </w:p>
        </w:tc>
        <w:tc>
          <w:tcPr>
            <w:tcW w:w="1407" w:type="dxa"/>
            <w:vAlign w:val="center"/>
          </w:tcPr>
          <w:p w14:paraId="0709B177"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19E9C8B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65</w:t>
            </w:r>
          </w:p>
        </w:tc>
        <w:tc>
          <w:tcPr>
            <w:tcW w:w="783" w:type="dxa"/>
            <w:vAlign w:val="center"/>
          </w:tcPr>
          <w:p w14:paraId="38C708C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F</w:t>
            </w:r>
          </w:p>
        </w:tc>
        <w:tc>
          <w:tcPr>
            <w:tcW w:w="956" w:type="dxa"/>
            <w:vAlign w:val="center"/>
          </w:tcPr>
          <w:p w14:paraId="46A969E7"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6C509D0E"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6BA60FA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5CB282C1"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24B21A99"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40FC946D"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lastRenderedPageBreak/>
              <w:t>17-35036</w:t>
            </w:r>
          </w:p>
        </w:tc>
        <w:tc>
          <w:tcPr>
            <w:tcW w:w="1407" w:type="dxa"/>
            <w:vAlign w:val="center"/>
          </w:tcPr>
          <w:p w14:paraId="34D70220"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37794803"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92</w:t>
            </w:r>
          </w:p>
        </w:tc>
        <w:tc>
          <w:tcPr>
            <w:tcW w:w="783" w:type="dxa"/>
            <w:vAlign w:val="center"/>
          </w:tcPr>
          <w:p w14:paraId="42CC726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384CE48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78E80175"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778CCD5A"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6FAEEC74"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50FF0878"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1151" w:type="dxa"/>
            <w:vAlign w:val="center"/>
          </w:tcPr>
          <w:p w14:paraId="5FB32E2E"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17-35038</w:t>
            </w:r>
          </w:p>
        </w:tc>
        <w:tc>
          <w:tcPr>
            <w:tcW w:w="1407" w:type="dxa"/>
            <w:vAlign w:val="center"/>
          </w:tcPr>
          <w:p w14:paraId="77FF894D"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vAlign w:val="center"/>
          </w:tcPr>
          <w:p w14:paraId="2143531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88</w:t>
            </w:r>
          </w:p>
        </w:tc>
        <w:tc>
          <w:tcPr>
            <w:tcW w:w="783" w:type="dxa"/>
            <w:vAlign w:val="center"/>
          </w:tcPr>
          <w:p w14:paraId="2ED6BC5F"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vAlign w:val="center"/>
          </w:tcPr>
          <w:p w14:paraId="7F055263"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vAlign w:val="center"/>
          </w:tcPr>
          <w:p w14:paraId="0A36A3E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vAlign w:val="center"/>
          </w:tcPr>
          <w:p w14:paraId="6D3B1CE6"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vAlign w:val="center"/>
          </w:tcPr>
          <w:p w14:paraId="0FD09C0B" w14:textId="77777777" w:rsidR="008B125F" w:rsidRPr="00DE0D29"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DE0D29" w14:paraId="082ECBC7"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151" w:type="dxa"/>
            <w:tcBorders>
              <w:bottom w:val="single" w:sz="12" w:space="0" w:color="auto"/>
            </w:tcBorders>
            <w:vAlign w:val="center"/>
          </w:tcPr>
          <w:p w14:paraId="62F4BF74" w14:textId="77777777" w:rsidR="008B125F" w:rsidRPr="00DE0D29" w:rsidRDefault="008B125F" w:rsidP="00B30FC9">
            <w:pPr>
              <w:jc w:val="center"/>
              <w:rPr>
                <w:rFonts w:ascii="Times New Roman" w:hAnsi="Times New Roman" w:cs="Times New Roman"/>
                <w:b w:val="0"/>
                <w:bCs w:val="0"/>
                <w:color w:val="000000" w:themeColor="text1"/>
                <w:sz w:val="22"/>
                <w:szCs w:val="22"/>
              </w:rPr>
            </w:pPr>
            <w:r w:rsidRPr="00DE0D29">
              <w:rPr>
                <w:rFonts w:ascii="Times New Roman" w:hAnsi="Times New Roman" w:cs="Times New Roman"/>
                <w:b w:val="0"/>
                <w:bCs w:val="0"/>
                <w:color w:val="000000" w:themeColor="text1"/>
                <w:sz w:val="22"/>
                <w:szCs w:val="22"/>
              </w:rPr>
              <w:t>18-35127</w:t>
            </w:r>
          </w:p>
        </w:tc>
        <w:tc>
          <w:tcPr>
            <w:tcW w:w="1407" w:type="dxa"/>
            <w:tcBorders>
              <w:bottom w:val="single" w:sz="12" w:space="0" w:color="auto"/>
            </w:tcBorders>
            <w:vAlign w:val="center"/>
          </w:tcPr>
          <w:p w14:paraId="6261B981"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w:t>
            </w:r>
          </w:p>
        </w:tc>
        <w:tc>
          <w:tcPr>
            <w:tcW w:w="1080" w:type="dxa"/>
            <w:tcBorders>
              <w:bottom w:val="single" w:sz="12" w:space="0" w:color="auto"/>
            </w:tcBorders>
            <w:vAlign w:val="center"/>
          </w:tcPr>
          <w:p w14:paraId="5A166713"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76</w:t>
            </w:r>
          </w:p>
        </w:tc>
        <w:tc>
          <w:tcPr>
            <w:tcW w:w="783" w:type="dxa"/>
            <w:tcBorders>
              <w:bottom w:val="single" w:sz="12" w:space="0" w:color="auto"/>
            </w:tcBorders>
            <w:vAlign w:val="center"/>
          </w:tcPr>
          <w:p w14:paraId="287D1C3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M</w:t>
            </w:r>
          </w:p>
        </w:tc>
        <w:tc>
          <w:tcPr>
            <w:tcW w:w="956" w:type="dxa"/>
            <w:tcBorders>
              <w:bottom w:val="single" w:sz="12" w:space="0" w:color="auto"/>
            </w:tcBorders>
            <w:vAlign w:val="center"/>
          </w:tcPr>
          <w:p w14:paraId="62B15648"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ADRC</w:t>
            </w:r>
          </w:p>
        </w:tc>
        <w:tc>
          <w:tcPr>
            <w:tcW w:w="1783" w:type="dxa"/>
            <w:tcBorders>
              <w:bottom w:val="single" w:sz="12" w:space="0" w:color="auto"/>
            </w:tcBorders>
            <w:vAlign w:val="center"/>
          </w:tcPr>
          <w:p w14:paraId="4847E73D"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DE0D29">
              <w:rPr>
                <w:rFonts w:ascii="Times New Roman" w:hAnsi="Times New Roman" w:cs="Times New Roman"/>
                <w:color w:val="000000" w:themeColor="text1"/>
                <w:sz w:val="22"/>
                <w:szCs w:val="22"/>
              </w:rPr>
              <w:t>Post-mortem cerebral cortex</w:t>
            </w:r>
          </w:p>
        </w:tc>
        <w:tc>
          <w:tcPr>
            <w:tcW w:w="1573" w:type="dxa"/>
            <w:tcBorders>
              <w:bottom w:val="single" w:sz="12" w:space="0" w:color="auto"/>
            </w:tcBorders>
            <w:vAlign w:val="center"/>
          </w:tcPr>
          <w:p w14:paraId="097EFC42"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1337" w:type="dxa"/>
            <w:tcBorders>
              <w:bottom w:val="single" w:sz="12" w:space="0" w:color="auto"/>
            </w:tcBorders>
            <w:vAlign w:val="center"/>
          </w:tcPr>
          <w:p w14:paraId="67A0356F" w14:textId="77777777" w:rsidR="008B125F" w:rsidRPr="00DE0D29"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bl>
    <w:p w14:paraId="064C4CB7" w14:textId="77777777" w:rsidR="008B125F" w:rsidRPr="00DE0D29" w:rsidRDefault="008B125F" w:rsidP="008B125F">
      <w:pPr>
        <w:rPr>
          <w:color w:val="000000" w:themeColor="text1"/>
          <w:sz w:val="22"/>
          <w:szCs w:val="22"/>
        </w:rPr>
      </w:pPr>
      <w:r w:rsidRPr="00DE0D29">
        <w:rPr>
          <w:color w:val="000000" w:themeColor="text1"/>
          <w:sz w:val="22"/>
          <w:szCs w:val="22"/>
        </w:rPr>
        <w:t>Note: HC: Healthy control; AD: Alzheimer’s disease</w:t>
      </w:r>
    </w:p>
    <w:p w14:paraId="3827BD88" w14:textId="77777777" w:rsidR="008B125F" w:rsidRPr="008B125F" w:rsidRDefault="008B125F" w:rsidP="008B125F">
      <w:pPr>
        <w:spacing w:line="360" w:lineRule="auto"/>
        <w:rPr>
          <w:color w:val="000000" w:themeColor="text1"/>
          <w:sz w:val="20"/>
        </w:rPr>
      </w:pPr>
      <w:r w:rsidRPr="008B125F">
        <w:rPr>
          <w:color w:val="000000" w:themeColor="text1"/>
          <w:sz w:val="20"/>
        </w:rPr>
        <w:br w:type="page"/>
      </w:r>
    </w:p>
    <w:p w14:paraId="679ED4F5" w14:textId="6EA10E85" w:rsidR="008B125F" w:rsidRPr="008A77D7" w:rsidRDefault="00ED2E26" w:rsidP="008A77D7">
      <w:pPr>
        <w:rPr>
          <w:b/>
          <w:bCs/>
          <w:color w:val="000000" w:themeColor="text1"/>
          <w:szCs w:val="24"/>
        </w:rPr>
      </w:pPr>
      <w:r w:rsidRPr="00ED2E26">
        <w:rPr>
          <w:b/>
          <w:bCs/>
          <w:color w:val="000000" w:themeColor="text1"/>
          <w:szCs w:val="24"/>
        </w:rPr>
        <w:lastRenderedPageBreak/>
        <w:t>Extended Data Table</w:t>
      </w:r>
      <w:r>
        <w:rPr>
          <w:b/>
          <w:bCs/>
          <w:color w:val="000000" w:themeColor="text1"/>
          <w:szCs w:val="24"/>
        </w:rPr>
        <w:t xml:space="preserve"> </w:t>
      </w:r>
      <w:r w:rsidR="008B125F" w:rsidRPr="008A77D7">
        <w:rPr>
          <w:b/>
          <w:bCs/>
          <w:color w:val="000000" w:themeColor="text1"/>
          <w:szCs w:val="24"/>
        </w:rPr>
        <w:t>2. Comparative analysis between this study and published AD genetics, transcriptomics and proteomics datasets.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6"/>
        <w:gridCol w:w="1382"/>
        <w:gridCol w:w="3119"/>
        <w:gridCol w:w="1383"/>
      </w:tblGrid>
      <w:tr w:rsidR="008B125F" w:rsidRPr="00C925F2" w14:paraId="25FCE3A5" w14:textId="77777777" w:rsidTr="00C925F2">
        <w:tc>
          <w:tcPr>
            <w:tcW w:w="5000" w:type="pct"/>
            <w:gridSpan w:val="4"/>
            <w:tcBorders>
              <w:top w:val="single" w:sz="12" w:space="0" w:color="auto"/>
              <w:bottom w:val="single" w:sz="12" w:space="0" w:color="auto"/>
            </w:tcBorders>
            <w:shd w:val="clear" w:color="auto" w:fill="auto"/>
            <w:vAlign w:val="center"/>
          </w:tcPr>
          <w:p w14:paraId="535CB0F1" w14:textId="77777777" w:rsidR="008B125F" w:rsidRPr="00C925F2" w:rsidRDefault="008B125F" w:rsidP="00B30FC9">
            <w:pPr>
              <w:spacing w:before="120" w:after="120"/>
              <w:jc w:val="center"/>
              <w:rPr>
                <w:rFonts w:ascii="Times New Roman" w:hAnsi="Times New Roman" w:cs="Times New Roman"/>
                <w:b/>
                <w:bCs/>
                <w:color w:val="000000" w:themeColor="text1"/>
                <w:sz w:val="22"/>
                <w:szCs w:val="22"/>
              </w:rPr>
            </w:pPr>
            <w:r w:rsidRPr="00C925F2">
              <w:rPr>
                <w:rFonts w:ascii="Times New Roman" w:hAnsi="Times New Roman" w:cs="Times New Roman"/>
                <w:b/>
                <w:bCs/>
                <w:color w:val="000000" w:themeColor="text1"/>
                <w:sz w:val="22"/>
                <w:szCs w:val="22"/>
              </w:rPr>
              <w:t>Comparison between AD GWAS data (Grubman et al., 2019; Sims et al., 2020; Schwartzentruber et al., 2021; Wightman et al., 2021) and TMT-based aged/sAD tNeuron proteomics data</w:t>
            </w:r>
          </w:p>
        </w:tc>
      </w:tr>
      <w:tr w:rsidR="008B125F" w:rsidRPr="00C925F2" w14:paraId="6B68367D" w14:textId="77777777" w:rsidTr="00C925F2">
        <w:tc>
          <w:tcPr>
            <w:tcW w:w="1857" w:type="pct"/>
            <w:tcBorders>
              <w:top w:val="single" w:sz="12" w:space="0" w:color="auto"/>
              <w:bottom w:val="single" w:sz="6" w:space="0" w:color="auto"/>
            </w:tcBorders>
            <w:shd w:val="clear" w:color="auto" w:fill="D9D9D9" w:themeFill="background1" w:themeFillShade="D9"/>
            <w:vAlign w:val="center"/>
          </w:tcPr>
          <w:p w14:paraId="71B5FF7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Overlapped Genes</w:t>
            </w:r>
          </w:p>
        </w:tc>
        <w:tc>
          <w:tcPr>
            <w:tcW w:w="3143" w:type="pct"/>
            <w:gridSpan w:val="3"/>
            <w:tcBorders>
              <w:top w:val="single" w:sz="12" w:space="0" w:color="auto"/>
              <w:bottom w:val="single" w:sz="6" w:space="0" w:color="auto"/>
            </w:tcBorders>
            <w:shd w:val="clear" w:color="auto" w:fill="D9D9D9" w:themeFill="background1" w:themeFillShade="D9"/>
            <w:vAlign w:val="center"/>
          </w:tcPr>
          <w:p w14:paraId="6E165FD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Biological Function</w:t>
            </w:r>
          </w:p>
        </w:tc>
      </w:tr>
      <w:tr w:rsidR="008B125F" w:rsidRPr="00C925F2" w14:paraId="2C02F341" w14:textId="77777777" w:rsidTr="00C925F2">
        <w:tc>
          <w:tcPr>
            <w:tcW w:w="1857" w:type="pct"/>
            <w:tcBorders>
              <w:top w:val="single" w:sz="6" w:space="0" w:color="auto"/>
            </w:tcBorders>
            <w:vAlign w:val="center"/>
          </w:tcPr>
          <w:p w14:paraId="17FF42D6" w14:textId="77777777" w:rsidR="008B125F" w:rsidRPr="00C925F2" w:rsidRDefault="008B125F" w:rsidP="00B30FC9">
            <w:pPr>
              <w:jc w:val="center"/>
              <w:rPr>
                <w:rFonts w:ascii="Times New Roman" w:hAnsi="Times New Roman" w:cs="Times New Roman"/>
                <w:i/>
                <w:iCs/>
                <w:color w:val="000000" w:themeColor="text1"/>
                <w:sz w:val="22"/>
                <w:szCs w:val="22"/>
              </w:rPr>
            </w:pPr>
            <w:r w:rsidRPr="00C925F2">
              <w:rPr>
                <w:rFonts w:ascii="Times New Roman" w:hAnsi="Times New Roman" w:cs="Times New Roman"/>
                <w:i/>
                <w:iCs/>
                <w:color w:val="000000" w:themeColor="text1"/>
                <w:sz w:val="22"/>
                <w:szCs w:val="22"/>
              </w:rPr>
              <w:t>ABCA8</w:t>
            </w:r>
          </w:p>
        </w:tc>
        <w:tc>
          <w:tcPr>
            <w:tcW w:w="3143" w:type="pct"/>
            <w:gridSpan w:val="3"/>
            <w:tcBorders>
              <w:top w:val="single" w:sz="6" w:space="0" w:color="auto"/>
            </w:tcBorders>
            <w:vAlign w:val="center"/>
          </w:tcPr>
          <w:p w14:paraId="36B3D519"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Lipid and cholesterol transport</w:t>
            </w:r>
          </w:p>
        </w:tc>
      </w:tr>
      <w:tr w:rsidR="008B125F" w:rsidRPr="00C925F2" w14:paraId="6D789B29" w14:textId="77777777" w:rsidTr="00C925F2">
        <w:tc>
          <w:tcPr>
            <w:tcW w:w="1857" w:type="pct"/>
            <w:vAlign w:val="center"/>
          </w:tcPr>
          <w:p w14:paraId="083ACFEC" w14:textId="77777777" w:rsidR="008B125F" w:rsidRPr="00C925F2" w:rsidRDefault="008B125F" w:rsidP="00B30FC9">
            <w:pPr>
              <w:jc w:val="center"/>
              <w:rPr>
                <w:rFonts w:ascii="Times New Roman" w:hAnsi="Times New Roman" w:cs="Times New Roman"/>
                <w:i/>
                <w:iCs/>
                <w:color w:val="000000" w:themeColor="text1"/>
                <w:sz w:val="22"/>
                <w:szCs w:val="22"/>
              </w:rPr>
            </w:pPr>
            <w:r w:rsidRPr="00C925F2">
              <w:rPr>
                <w:rFonts w:ascii="Times New Roman" w:hAnsi="Times New Roman" w:cs="Times New Roman"/>
                <w:i/>
                <w:iCs/>
                <w:color w:val="000000" w:themeColor="text1"/>
                <w:sz w:val="22"/>
                <w:szCs w:val="22"/>
              </w:rPr>
              <w:t>CLU</w:t>
            </w:r>
          </w:p>
        </w:tc>
        <w:tc>
          <w:tcPr>
            <w:tcW w:w="3143" w:type="pct"/>
            <w:gridSpan w:val="3"/>
            <w:vAlign w:val="center"/>
          </w:tcPr>
          <w:p w14:paraId="534732E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Chaperone, lipid metabolism, apoptosis and immune response</w:t>
            </w:r>
          </w:p>
        </w:tc>
      </w:tr>
      <w:tr w:rsidR="008B125F" w:rsidRPr="00C925F2" w14:paraId="0092628D" w14:textId="77777777" w:rsidTr="00C925F2">
        <w:tc>
          <w:tcPr>
            <w:tcW w:w="1857" w:type="pct"/>
            <w:vAlign w:val="center"/>
          </w:tcPr>
          <w:p w14:paraId="46E56C87" w14:textId="77777777" w:rsidR="008B125F" w:rsidRPr="00C925F2" w:rsidRDefault="008B125F" w:rsidP="00B30FC9">
            <w:pPr>
              <w:jc w:val="center"/>
              <w:rPr>
                <w:rFonts w:ascii="Times New Roman" w:hAnsi="Times New Roman" w:cs="Times New Roman"/>
                <w:i/>
                <w:iCs/>
                <w:color w:val="000000" w:themeColor="text1"/>
                <w:sz w:val="22"/>
                <w:szCs w:val="22"/>
              </w:rPr>
            </w:pPr>
            <w:r w:rsidRPr="00C925F2">
              <w:rPr>
                <w:rFonts w:ascii="Times New Roman" w:hAnsi="Times New Roman" w:cs="Times New Roman"/>
                <w:i/>
                <w:iCs/>
                <w:color w:val="000000" w:themeColor="text1"/>
                <w:sz w:val="22"/>
                <w:szCs w:val="22"/>
              </w:rPr>
              <w:t>HMCN1</w:t>
            </w:r>
          </w:p>
        </w:tc>
        <w:tc>
          <w:tcPr>
            <w:tcW w:w="3143" w:type="pct"/>
            <w:gridSpan w:val="3"/>
            <w:vAlign w:val="center"/>
          </w:tcPr>
          <w:p w14:paraId="6A8161D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Cell cycle, cell-cell adhesion and stimulus response</w:t>
            </w:r>
          </w:p>
        </w:tc>
      </w:tr>
      <w:tr w:rsidR="008B125F" w:rsidRPr="00C925F2" w14:paraId="32B0721A" w14:textId="77777777" w:rsidTr="00C925F2">
        <w:tc>
          <w:tcPr>
            <w:tcW w:w="1857" w:type="pct"/>
            <w:vAlign w:val="center"/>
          </w:tcPr>
          <w:p w14:paraId="0ADB639D" w14:textId="77777777" w:rsidR="008B125F" w:rsidRPr="00C925F2" w:rsidRDefault="008B125F" w:rsidP="00B30FC9">
            <w:pPr>
              <w:jc w:val="center"/>
              <w:rPr>
                <w:rFonts w:ascii="Times New Roman" w:hAnsi="Times New Roman" w:cs="Times New Roman"/>
                <w:i/>
                <w:iCs/>
                <w:color w:val="000000" w:themeColor="text1"/>
                <w:sz w:val="22"/>
                <w:szCs w:val="22"/>
              </w:rPr>
            </w:pPr>
            <w:r w:rsidRPr="00C925F2">
              <w:rPr>
                <w:rFonts w:ascii="Times New Roman" w:hAnsi="Times New Roman" w:cs="Times New Roman"/>
                <w:i/>
                <w:iCs/>
                <w:color w:val="000000" w:themeColor="text1"/>
                <w:sz w:val="22"/>
                <w:szCs w:val="22"/>
              </w:rPr>
              <w:t>HMGA2</w:t>
            </w:r>
          </w:p>
        </w:tc>
        <w:tc>
          <w:tcPr>
            <w:tcW w:w="3143" w:type="pct"/>
            <w:gridSpan w:val="3"/>
            <w:vAlign w:val="center"/>
          </w:tcPr>
          <w:p w14:paraId="1D892DD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Cell cycle, DNA repair and transcription regulator</w:t>
            </w:r>
          </w:p>
        </w:tc>
      </w:tr>
      <w:tr w:rsidR="008B125F" w:rsidRPr="00C925F2" w14:paraId="1F9A4DBB" w14:textId="77777777" w:rsidTr="00C925F2">
        <w:tc>
          <w:tcPr>
            <w:tcW w:w="1857" w:type="pct"/>
            <w:tcBorders>
              <w:bottom w:val="single" w:sz="6" w:space="0" w:color="auto"/>
            </w:tcBorders>
            <w:vAlign w:val="center"/>
          </w:tcPr>
          <w:p w14:paraId="36161B3C" w14:textId="77777777" w:rsidR="008B125F" w:rsidRPr="00C925F2" w:rsidRDefault="008B125F" w:rsidP="00B30FC9">
            <w:pPr>
              <w:spacing w:after="120"/>
              <w:jc w:val="center"/>
              <w:rPr>
                <w:rFonts w:ascii="Times New Roman" w:hAnsi="Times New Roman" w:cs="Times New Roman"/>
                <w:i/>
                <w:iCs/>
                <w:color w:val="000000" w:themeColor="text1"/>
                <w:sz w:val="22"/>
                <w:szCs w:val="22"/>
              </w:rPr>
            </w:pPr>
            <w:r w:rsidRPr="00C925F2">
              <w:rPr>
                <w:rFonts w:ascii="Times New Roman" w:hAnsi="Times New Roman" w:cs="Times New Roman"/>
                <w:i/>
                <w:iCs/>
                <w:color w:val="000000" w:themeColor="text1"/>
                <w:sz w:val="22"/>
                <w:szCs w:val="22"/>
              </w:rPr>
              <w:t>PLCG2</w:t>
            </w:r>
          </w:p>
        </w:tc>
        <w:tc>
          <w:tcPr>
            <w:tcW w:w="3143" w:type="pct"/>
            <w:gridSpan w:val="3"/>
            <w:tcBorders>
              <w:bottom w:val="single" w:sz="6" w:space="0" w:color="auto"/>
            </w:tcBorders>
            <w:vAlign w:val="center"/>
          </w:tcPr>
          <w:p w14:paraId="091FAF72"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Lipid metabolism, immune response and calcium signaling</w:t>
            </w:r>
          </w:p>
        </w:tc>
      </w:tr>
      <w:tr w:rsidR="008B125F" w:rsidRPr="00C925F2" w14:paraId="603711C4" w14:textId="77777777" w:rsidTr="00C925F2">
        <w:tc>
          <w:tcPr>
            <w:tcW w:w="1857" w:type="pct"/>
            <w:tcBorders>
              <w:top w:val="single" w:sz="6" w:space="0" w:color="auto"/>
              <w:bottom w:val="single" w:sz="6" w:space="0" w:color="auto"/>
            </w:tcBorders>
            <w:shd w:val="clear" w:color="auto" w:fill="D9D9D9" w:themeFill="background1" w:themeFillShade="D9"/>
            <w:vAlign w:val="center"/>
          </w:tcPr>
          <w:p w14:paraId="7DA4C3F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GO Terms for AD GWAS data</w:t>
            </w:r>
          </w:p>
        </w:tc>
        <w:tc>
          <w:tcPr>
            <w:tcW w:w="738" w:type="pct"/>
            <w:tcBorders>
              <w:top w:val="single" w:sz="6" w:space="0" w:color="auto"/>
              <w:bottom w:val="single" w:sz="6" w:space="0" w:color="auto"/>
              <w:right w:val="double" w:sz="4" w:space="0" w:color="auto"/>
            </w:tcBorders>
            <w:shd w:val="clear" w:color="auto" w:fill="D9D9D9" w:themeFill="background1" w:themeFillShade="D9"/>
            <w:vAlign w:val="center"/>
          </w:tcPr>
          <w:p w14:paraId="34FDD98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P-value</w:t>
            </w:r>
          </w:p>
        </w:tc>
        <w:tc>
          <w:tcPr>
            <w:tcW w:w="1666" w:type="pct"/>
            <w:tcBorders>
              <w:top w:val="single" w:sz="6" w:space="0" w:color="auto"/>
              <w:left w:val="double" w:sz="4" w:space="0" w:color="auto"/>
              <w:bottom w:val="single" w:sz="6" w:space="0" w:color="auto"/>
            </w:tcBorders>
            <w:shd w:val="clear" w:color="auto" w:fill="D9D9D9" w:themeFill="background1" w:themeFillShade="D9"/>
            <w:vAlign w:val="center"/>
          </w:tcPr>
          <w:p w14:paraId="098FF0B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GO Terms AD GWAS data</w:t>
            </w:r>
          </w:p>
        </w:tc>
        <w:tc>
          <w:tcPr>
            <w:tcW w:w="738" w:type="pct"/>
            <w:tcBorders>
              <w:top w:val="single" w:sz="6" w:space="0" w:color="auto"/>
              <w:bottom w:val="single" w:sz="6" w:space="0" w:color="auto"/>
            </w:tcBorders>
            <w:shd w:val="clear" w:color="auto" w:fill="D9D9D9" w:themeFill="background1" w:themeFillShade="D9"/>
            <w:vAlign w:val="center"/>
          </w:tcPr>
          <w:p w14:paraId="72130F1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P-value</w:t>
            </w:r>
          </w:p>
        </w:tc>
      </w:tr>
      <w:tr w:rsidR="008B125F" w:rsidRPr="00C925F2" w14:paraId="7944888F" w14:textId="77777777" w:rsidTr="00C925F2">
        <w:tc>
          <w:tcPr>
            <w:tcW w:w="1857" w:type="pct"/>
            <w:tcBorders>
              <w:top w:val="single" w:sz="6" w:space="0" w:color="auto"/>
            </w:tcBorders>
            <w:shd w:val="clear" w:color="auto" w:fill="auto"/>
            <w:vAlign w:val="center"/>
          </w:tcPr>
          <w:p w14:paraId="3BB1646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amyloid precursor protein catabolic process (GO:0042987)</w:t>
            </w:r>
          </w:p>
        </w:tc>
        <w:tc>
          <w:tcPr>
            <w:tcW w:w="738" w:type="pct"/>
            <w:tcBorders>
              <w:top w:val="single" w:sz="6" w:space="0" w:color="auto"/>
              <w:right w:val="double" w:sz="4" w:space="0" w:color="auto"/>
            </w:tcBorders>
            <w:shd w:val="clear" w:color="auto" w:fill="auto"/>
            <w:vAlign w:val="center"/>
          </w:tcPr>
          <w:p w14:paraId="1F65488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3.31E-08</w:t>
            </w:r>
          </w:p>
        </w:tc>
        <w:tc>
          <w:tcPr>
            <w:tcW w:w="1666" w:type="pct"/>
            <w:tcBorders>
              <w:top w:val="single" w:sz="6" w:space="0" w:color="auto"/>
              <w:left w:val="double" w:sz="4" w:space="0" w:color="auto"/>
            </w:tcBorders>
            <w:vAlign w:val="center"/>
          </w:tcPr>
          <w:p w14:paraId="0B9BB0E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cell migration (GO:0030334)</w:t>
            </w:r>
          </w:p>
        </w:tc>
        <w:tc>
          <w:tcPr>
            <w:tcW w:w="738" w:type="pct"/>
            <w:tcBorders>
              <w:top w:val="single" w:sz="6" w:space="0" w:color="auto"/>
            </w:tcBorders>
            <w:vAlign w:val="center"/>
          </w:tcPr>
          <w:p w14:paraId="6EDEED5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1.41E-06</w:t>
            </w:r>
          </w:p>
        </w:tc>
      </w:tr>
      <w:tr w:rsidR="008B125F" w:rsidRPr="00C925F2" w14:paraId="7B164528" w14:textId="77777777" w:rsidTr="00C925F2">
        <w:tc>
          <w:tcPr>
            <w:tcW w:w="1857" w:type="pct"/>
            <w:shd w:val="clear" w:color="auto" w:fill="auto"/>
            <w:vAlign w:val="center"/>
          </w:tcPr>
          <w:p w14:paraId="5537C15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amyloid fibril formation (GO:1905906)</w:t>
            </w:r>
          </w:p>
        </w:tc>
        <w:tc>
          <w:tcPr>
            <w:tcW w:w="738" w:type="pct"/>
            <w:tcBorders>
              <w:right w:val="double" w:sz="4" w:space="0" w:color="auto"/>
            </w:tcBorders>
            <w:shd w:val="clear" w:color="auto" w:fill="auto"/>
            <w:vAlign w:val="center"/>
          </w:tcPr>
          <w:p w14:paraId="57004BD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4.94E-08</w:t>
            </w:r>
          </w:p>
        </w:tc>
        <w:tc>
          <w:tcPr>
            <w:tcW w:w="1666" w:type="pct"/>
            <w:tcBorders>
              <w:left w:val="double" w:sz="4" w:space="0" w:color="auto"/>
            </w:tcBorders>
            <w:vAlign w:val="center"/>
          </w:tcPr>
          <w:p w14:paraId="416B5EC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MAPK cascade (GO:0043410)</w:t>
            </w:r>
          </w:p>
        </w:tc>
        <w:tc>
          <w:tcPr>
            <w:tcW w:w="738" w:type="pct"/>
            <w:vAlign w:val="center"/>
          </w:tcPr>
          <w:p w14:paraId="4F1F33E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4.57E-06</w:t>
            </w:r>
          </w:p>
        </w:tc>
      </w:tr>
      <w:tr w:rsidR="008B125F" w:rsidRPr="00C925F2" w14:paraId="1C6F378F" w14:textId="77777777" w:rsidTr="00C925F2">
        <w:tc>
          <w:tcPr>
            <w:tcW w:w="1857" w:type="pct"/>
            <w:shd w:val="clear" w:color="auto" w:fill="auto"/>
            <w:vAlign w:val="center"/>
          </w:tcPr>
          <w:p w14:paraId="20680A7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Notch receptor processing, ligand-dependent (GO:0035333)</w:t>
            </w:r>
          </w:p>
        </w:tc>
        <w:tc>
          <w:tcPr>
            <w:tcW w:w="738" w:type="pct"/>
            <w:tcBorders>
              <w:right w:val="double" w:sz="4" w:space="0" w:color="auto"/>
            </w:tcBorders>
            <w:shd w:val="clear" w:color="auto" w:fill="auto"/>
            <w:vAlign w:val="center"/>
          </w:tcPr>
          <w:p w14:paraId="52673A1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8.62E-08</w:t>
            </w:r>
          </w:p>
        </w:tc>
        <w:tc>
          <w:tcPr>
            <w:tcW w:w="1666" w:type="pct"/>
            <w:tcBorders>
              <w:left w:val="double" w:sz="4" w:space="0" w:color="auto"/>
            </w:tcBorders>
            <w:vAlign w:val="center"/>
          </w:tcPr>
          <w:p w14:paraId="5D2C9F0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macrophage activation (GO:0042116)</w:t>
            </w:r>
          </w:p>
        </w:tc>
        <w:tc>
          <w:tcPr>
            <w:tcW w:w="738" w:type="pct"/>
            <w:vAlign w:val="center"/>
          </w:tcPr>
          <w:p w14:paraId="13DCE5F9"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5.49E-06</w:t>
            </w:r>
          </w:p>
        </w:tc>
      </w:tr>
      <w:tr w:rsidR="008B125F" w:rsidRPr="00C925F2" w14:paraId="6A9CAE5B" w14:textId="77777777" w:rsidTr="00C925F2">
        <w:tc>
          <w:tcPr>
            <w:tcW w:w="1857" w:type="pct"/>
            <w:shd w:val="clear" w:color="auto" w:fill="auto"/>
            <w:vAlign w:val="center"/>
          </w:tcPr>
          <w:p w14:paraId="71B321F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supramolecular fiber organization (GO:1902905)</w:t>
            </w:r>
          </w:p>
        </w:tc>
        <w:tc>
          <w:tcPr>
            <w:tcW w:w="738" w:type="pct"/>
            <w:tcBorders>
              <w:right w:val="double" w:sz="4" w:space="0" w:color="auto"/>
            </w:tcBorders>
            <w:shd w:val="clear" w:color="auto" w:fill="auto"/>
            <w:vAlign w:val="center"/>
          </w:tcPr>
          <w:p w14:paraId="002B09B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2.89E-07</w:t>
            </w:r>
          </w:p>
        </w:tc>
        <w:tc>
          <w:tcPr>
            <w:tcW w:w="1666" w:type="pct"/>
            <w:tcBorders>
              <w:left w:val="double" w:sz="4" w:space="0" w:color="auto"/>
            </w:tcBorders>
            <w:vAlign w:val="center"/>
          </w:tcPr>
          <w:p w14:paraId="0E1FF35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gene expression (GO:0010468)</w:t>
            </w:r>
          </w:p>
        </w:tc>
        <w:tc>
          <w:tcPr>
            <w:tcW w:w="738" w:type="pct"/>
            <w:vAlign w:val="center"/>
          </w:tcPr>
          <w:p w14:paraId="7AC820B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8.42E-06</w:t>
            </w:r>
          </w:p>
        </w:tc>
      </w:tr>
      <w:tr w:rsidR="008B125F" w:rsidRPr="00C925F2" w14:paraId="74ACDC3A" w14:textId="77777777" w:rsidTr="00C925F2">
        <w:tc>
          <w:tcPr>
            <w:tcW w:w="1857" w:type="pct"/>
            <w:shd w:val="clear" w:color="auto" w:fill="auto"/>
            <w:vAlign w:val="center"/>
          </w:tcPr>
          <w:p w14:paraId="17D9D83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membrane protein intracellular domain proteolysis (GO:0031293)</w:t>
            </w:r>
          </w:p>
        </w:tc>
        <w:tc>
          <w:tcPr>
            <w:tcW w:w="738" w:type="pct"/>
            <w:tcBorders>
              <w:right w:val="double" w:sz="4" w:space="0" w:color="auto"/>
            </w:tcBorders>
            <w:shd w:val="clear" w:color="auto" w:fill="auto"/>
            <w:vAlign w:val="center"/>
          </w:tcPr>
          <w:p w14:paraId="1B4872D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4.16E-07</w:t>
            </w:r>
          </w:p>
        </w:tc>
        <w:tc>
          <w:tcPr>
            <w:tcW w:w="1666" w:type="pct"/>
            <w:tcBorders>
              <w:left w:val="double" w:sz="4" w:space="0" w:color="auto"/>
            </w:tcBorders>
            <w:vAlign w:val="center"/>
          </w:tcPr>
          <w:p w14:paraId="4569CF0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nucleic acid-templated transcription (GO:1903508)</w:t>
            </w:r>
          </w:p>
        </w:tc>
        <w:tc>
          <w:tcPr>
            <w:tcW w:w="738" w:type="pct"/>
            <w:vAlign w:val="center"/>
          </w:tcPr>
          <w:p w14:paraId="07376F1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1.85E-05</w:t>
            </w:r>
          </w:p>
        </w:tc>
      </w:tr>
      <w:tr w:rsidR="008B125F" w:rsidRPr="00C925F2" w14:paraId="699903BC" w14:textId="77777777" w:rsidTr="00C925F2">
        <w:tc>
          <w:tcPr>
            <w:tcW w:w="1857" w:type="pct"/>
            <w:shd w:val="clear" w:color="auto" w:fill="auto"/>
            <w:vAlign w:val="center"/>
          </w:tcPr>
          <w:p w14:paraId="2689A35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microglial cell activation (GO:0001774)</w:t>
            </w:r>
          </w:p>
        </w:tc>
        <w:tc>
          <w:tcPr>
            <w:tcW w:w="738" w:type="pct"/>
            <w:tcBorders>
              <w:right w:val="double" w:sz="4" w:space="0" w:color="auto"/>
            </w:tcBorders>
            <w:shd w:val="clear" w:color="auto" w:fill="auto"/>
            <w:vAlign w:val="center"/>
          </w:tcPr>
          <w:p w14:paraId="094C2DA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4.16E-07</w:t>
            </w:r>
          </w:p>
        </w:tc>
        <w:tc>
          <w:tcPr>
            <w:tcW w:w="1666" w:type="pct"/>
            <w:tcBorders>
              <w:left w:val="double" w:sz="4" w:space="0" w:color="auto"/>
            </w:tcBorders>
            <w:vAlign w:val="center"/>
          </w:tcPr>
          <w:p w14:paraId="4A7F37F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cholesterol efflux (GO:0010875)</w:t>
            </w:r>
          </w:p>
        </w:tc>
        <w:tc>
          <w:tcPr>
            <w:tcW w:w="738" w:type="pct"/>
            <w:vAlign w:val="center"/>
          </w:tcPr>
          <w:p w14:paraId="0D935E6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2.00E-05</w:t>
            </w:r>
          </w:p>
        </w:tc>
      </w:tr>
      <w:tr w:rsidR="008B125F" w:rsidRPr="00C925F2" w14:paraId="59BF625D" w14:textId="77777777" w:rsidTr="00C925F2">
        <w:tc>
          <w:tcPr>
            <w:tcW w:w="1857" w:type="pct"/>
            <w:tcBorders>
              <w:bottom w:val="single" w:sz="12" w:space="0" w:color="auto"/>
            </w:tcBorders>
            <w:shd w:val="clear" w:color="auto" w:fill="auto"/>
            <w:vAlign w:val="center"/>
          </w:tcPr>
          <w:p w14:paraId="2E31223C"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ERK1 and ERK2 cascade (GO:0070372)</w:t>
            </w:r>
          </w:p>
        </w:tc>
        <w:tc>
          <w:tcPr>
            <w:tcW w:w="738" w:type="pct"/>
            <w:tcBorders>
              <w:bottom w:val="single" w:sz="12" w:space="0" w:color="auto"/>
              <w:right w:val="double" w:sz="4" w:space="0" w:color="auto"/>
            </w:tcBorders>
            <w:shd w:val="clear" w:color="auto" w:fill="auto"/>
            <w:vAlign w:val="center"/>
          </w:tcPr>
          <w:p w14:paraId="2DFB1098"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1.17E-06</w:t>
            </w:r>
          </w:p>
        </w:tc>
        <w:tc>
          <w:tcPr>
            <w:tcW w:w="1666" w:type="pct"/>
            <w:tcBorders>
              <w:left w:val="double" w:sz="4" w:space="0" w:color="auto"/>
              <w:bottom w:val="single" w:sz="12" w:space="0" w:color="auto"/>
            </w:tcBorders>
            <w:vAlign w:val="center"/>
          </w:tcPr>
          <w:p w14:paraId="13B864EC"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negative regulation of receptor-mediated endocytosis (GO:0048261)</w:t>
            </w:r>
          </w:p>
        </w:tc>
        <w:tc>
          <w:tcPr>
            <w:tcW w:w="738" w:type="pct"/>
            <w:tcBorders>
              <w:bottom w:val="single" w:sz="12" w:space="0" w:color="auto"/>
            </w:tcBorders>
            <w:vAlign w:val="center"/>
          </w:tcPr>
          <w:p w14:paraId="24047313"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3.31E-05</w:t>
            </w:r>
          </w:p>
        </w:tc>
      </w:tr>
      <w:tr w:rsidR="008B125F" w:rsidRPr="00C925F2" w14:paraId="4EFD5B2B" w14:textId="77777777" w:rsidTr="00C925F2">
        <w:tc>
          <w:tcPr>
            <w:tcW w:w="5000" w:type="pct"/>
            <w:gridSpan w:val="4"/>
            <w:tcBorders>
              <w:top w:val="single" w:sz="12" w:space="0" w:color="auto"/>
              <w:bottom w:val="single" w:sz="12" w:space="0" w:color="auto"/>
            </w:tcBorders>
            <w:shd w:val="clear" w:color="auto" w:fill="auto"/>
            <w:vAlign w:val="center"/>
          </w:tcPr>
          <w:p w14:paraId="1E2D680C" w14:textId="77777777" w:rsidR="008B125F" w:rsidRPr="00C925F2" w:rsidRDefault="008B125F" w:rsidP="00B30FC9">
            <w:pPr>
              <w:spacing w:before="120" w:after="120"/>
              <w:jc w:val="center"/>
              <w:rPr>
                <w:rFonts w:ascii="Times New Roman" w:hAnsi="Times New Roman" w:cs="Times New Roman"/>
                <w:b/>
                <w:bCs/>
                <w:color w:val="000000" w:themeColor="text1"/>
                <w:sz w:val="22"/>
                <w:szCs w:val="22"/>
              </w:rPr>
            </w:pPr>
            <w:r w:rsidRPr="00C925F2">
              <w:rPr>
                <w:rFonts w:ascii="Times New Roman" w:hAnsi="Times New Roman" w:cs="Times New Roman"/>
                <w:b/>
                <w:bCs/>
                <w:color w:val="000000" w:themeColor="text1"/>
                <w:sz w:val="22"/>
                <w:szCs w:val="22"/>
              </w:rPr>
              <w:t>Comparison between AD PWAS data (Wingo et al., 2021) and TMT-based aged/sAD tNeuron proteomics data</w:t>
            </w:r>
          </w:p>
        </w:tc>
      </w:tr>
      <w:tr w:rsidR="008B125F" w:rsidRPr="00C925F2" w14:paraId="5189A718" w14:textId="77777777" w:rsidTr="00C925F2">
        <w:tc>
          <w:tcPr>
            <w:tcW w:w="1857" w:type="pct"/>
            <w:tcBorders>
              <w:top w:val="single" w:sz="12" w:space="0" w:color="auto"/>
              <w:bottom w:val="single" w:sz="6" w:space="0" w:color="auto"/>
            </w:tcBorders>
            <w:shd w:val="clear" w:color="auto" w:fill="D9D9D9" w:themeFill="background1" w:themeFillShade="D9"/>
            <w:vAlign w:val="center"/>
          </w:tcPr>
          <w:p w14:paraId="689F4D0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Overlapped Genes</w:t>
            </w:r>
          </w:p>
        </w:tc>
        <w:tc>
          <w:tcPr>
            <w:tcW w:w="3143" w:type="pct"/>
            <w:gridSpan w:val="3"/>
            <w:tcBorders>
              <w:top w:val="single" w:sz="12" w:space="0" w:color="auto"/>
              <w:bottom w:val="single" w:sz="6" w:space="0" w:color="auto"/>
            </w:tcBorders>
            <w:shd w:val="clear" w:color="auto" w:fill="D9D9D9" w:themeFill="background1" w:themeFillShade="D9"/>
            <w:vAlign w:val="center"/>
          </w:tcPr>
          <w:p w14:paraId="425BA9B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Biological Function</w:t>
            </w:r>
          </w:p>
        </w:tc>
      </w:tr>
      <w:tr w:rsidR="008B125F" w:rsidRPr="00C925F2" w14:paraId="120493FF" w14:textId="77777777" w:rsidTr="00C925F2">
        <w:tc>
          <w:tcPr>
            <w:tcW w:w="1857" w:type="pct"/>
            <w:tcBorders>
              <w:top w:val="single" w:sz="6" w:space="0" w:color="auto"/>
            </w:tcBorders>
            <w:shd w:val="clear" w:color="auto" w:fill="auto"/>
            <w:vAlign w:val="center"/>
          </w:tcPr>
          <w:p w14:paraId="28DC1B9D" w14:textId="77777777" w:rsidR="008B125F" w:rsidRPr="00C925F2" w:rsidRDefault="008B125F" w:rsidP="00B30FC9">
            <w:pPr>
              <w:jc w:val="center"/>
              <w:rPr>
                <w:rFonts w:ascii="Times New Roman" w:hAnsi="Times New Roman" w:cs="Times New Roman"/>
                <w:i/>
                <w:iCs/>
                <w:color w:val="000000" w:themeColor="text1"/>
                <w:sz w:val="22"/>
                <w:szCs w:val="22"/>
              </w:rPr>
            </w:pPr>
            <w:r w:rsidRPr="00C925F2">
              <w:rPr>
                <w:rFonts w:ascii="Times New Roman" w:hAnsi="Times New Roman" w:cs="Times New Roman"/>
                <w:i/>
                <w:iCs/>
                <w:color w:val="000000" w:themeColor="text1"/>
                <w:sz w:val="22"/>
                <w:szCs w:val="22"/>
              </w:rPr>
              <w:t>EPHX2</w:t>
            </w:r>
          </w:p>
        </w:tc>
        <w:tc>
          <w:tcPr>
            <w:tcW w:w="3143" w:type="pct"/>
            <w:gridSpan w:val="3"/>
            <w:tcBorders>
              <w:top w:val="single" w:sz="6" w:space="0" w:color="auto"/>
            </w:tcBorders>
            <w:shd w:val="clear" w:color="auto" w:fill="auto"/>
            <w:vAlign w:val="center"/>
          </w:tcPr>
          <w:p w14:paraId="1F1C0BF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Lipid metabolism, epoxide metabolic process and dephosphorylation</w:t>
            </w:r>
          </w:p>
        </w:tc>
      </w:tr>
      <w:tr w:rsidR="008B125F" w:rsidRPr="00C925F2" w14:paraId="62A78AD2" w14:textId="77777777" w:rsidTr="00C925F2">
        <w:tc>
          <w:tcPr>
            <w:tcW w:w="1857" w:type="pct"/>
            <w:tcBorders>
              <w:bottom w:val="single" w:sz="12" w:space="0" w:color="auto"/>
            </w:tcBorders>
            <w:shd w:val="clear" w:color="auto" w:fill="auto"/>
            <w:vAlign w:val="center"/>
          </w:tcPr>
          <w:p w14:paraId="54AE621F" w14:textId="77777777" w:rsidR="008B125F" w:rsidRPr="00C925F2" w:rsidRDefault="008B125F" w:rsidP="00B30FC9">
            <w:pPr>
              <w:spacing w:after="120"/>
              <w:jc w:val="center"/>
              <w:rPr>
                <w:rFonts w:ascii="Times New Roman" w:hAnsi="Times New Roman" w:cs="Times New Roman"/>
                <w:i/>
                <w:iCs/>
                <w:color w:val="000000" w:themeColor="text1"/>
                <w:sz w:val="22"/>
                <w:szCs w:val="22"/>
              </w:rPr>
            </w:pPr>
            <w:r w:rsidRPr="00C925F2">
              <w:rPr>
                <w:rFonts w:ascii="Times New Roman" w:hAnsi="Times New Roman" w:cs="Times New Roman"/>
                <w:i/>
                <w:iCs/>
                <w:color w:val="000000" w:themeColor="text1"/>
                <w:sz w:val="22"/>
                <w:szCs w:val="22"/>
              </w:rPr>
              <w:t>SNX32</w:t>
            </w:r>
          </w:p>
        </w:tc>
        <w:tc>
          <w:tcPr>
            <w:tcW w:w="3143" w:type="pct"/>
            <w:gridSpan w:val="3"/>
            <w:tcBorders>
              <w:bottom w:val="single" w:sz="12" w:space="0" w:color="auto"/>
            </w:tcBorders>
            <w:shd w:val="clear" w:color="auto" w:fill="auto"/>
            <w:vAlign w:val="center"/>
          </w:tcPr>
          <w:p w14:paraId="40F719DA"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Endosome-to-Golgi transport and regulation of autophagy</w:t>
            </w:r>
          </w:p>
        </w:tc>
      </w:tr>
      <w:tr w:rsidR="008B125F" w:rsidRPr="00C925F2" w14:paraId="30062B23" w14:textId="77777777" w:rsidTr="00C925F2">
        <w:tc>
          <w:tcPr>
            <w:tcW w:w="5000" w:type="pct"/>
            <w:gridSpan w:val="4"/>
            <w:tcBorders>
              <w:top w:val="single" w:sz="12" w:space="0" w:color="auto"/>
              <w:bottom w:val="single" w:sz="12" w:space="0" w:color="auto"/>
            </w:tcBorders>
            <w:shd w:val="clear" w:color="auto" w:fill="auto"/>
            <w:vAlign w:val="center"/>
          </w:tcPr>
          <w:p w14:paraId="50859732" w14:textId="77777777" w:rsidR="008B125F" w:rsidRPr="00C925F2" w:rsidRDefault="008B125F" w:rsidP="00B30FC9">
            <w:pPr>
              <w:spacing w:before="120" w:after="120"/>
              <w:jc w:val="center"/>
              <w:rPr>
                <w:rFonts w:ascii="Times New Roman" w:hAnsi="Times New Roman" w:cs="Times New Roman"/>
                <w:b/>
                <w:bCs/>
                <w:color w:val="000000" w:themeColor="text1"/>
                <w:sz w:val="22"/>
                <w:szCs w:val="22"/>
              </w:rPr>
            </w:pPr>
            <w:r w:rsidRPr="00C925F2">
              <w:rPr>
                <w:rFonts w:ascii="Times New Roman" w:hAnsi="Times New Roman" w:cs="Times New Roman"/>
                <w:b/>
                <w:bCs/>
                <w:color w:val="000000" w:themeColor="text1"/>
                <w:sz w:val="22"/>
                <w:szCs w:val="22"/>
              </w:rPr>
              <w:t>Comparison between AD brain snRNA-seq data (differentially expressed between AD and HC neurons in the entorhinal cortex, Grubman et al., 2019) and TMT-based aged/sAD tNeuron proteomics data</w:t>
            </w:r>
          </w:p>
        </w:tc>
      </w:tr>
      <w:tr w:rsidR="008B125F" w:rsidRPr="00C925F2" w14:paraId="7637E723" w14:textId="77777777" w:rsidTr="00C925F2">
        <w:tc>
          <w:tcPr>
            <w:tcW w:w="5000" w:type="pct"/>
            <w:gridSpan w:val="4"/>
            <w:tcBorders>
              <w:top w:val="single" w:sz="12" w:space="0" w:color="auto"/>
              <w:bottom w:val="single" w:sz="6" w:space="0" w:color="auto"/>
            </w:tcBorders>
            <w:shd w:val="clear" w:color="auto" w:fill="D9D9D9" w:themeFill="background1" w:themeFillShade="D9"/>
            <w:vAlign w:val="center"/>
          </w:tcPr>
          <w:p w14:paraId="77B1AC9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Overlapped Genes</w:t>
            </w:r>
          </w:p>
        </w:tc>
      </w:tr>
      <w:tr w:rsidR="008B125F" w:rsidRPr="00C925F2" w14:paraId="149103D9" w14:textId="77777777" w:rsidTr="00C925F2">
        <w:tc>
          <w:tcPr>
            <w:tcW w:w="5000" w:type="pct"/>
            <w:gridSpan w:val="4"/>
            <w:tcBorders>
              <w:top w:val="single" w:sz="6" w:space="0" w:color="auto"/>
              <w:bottom w:val="single" w:sz="6" w:space="0" w:color="auto"/>
            </w:tcBorders>
            <w:shd w:val="clear" w:color="auto" w:fill="auto"/>
            <w:vAlign w:val="center"/>
          </w:tcPr>
          <w:p w14:paraId="59AB1D54" w14:textId="77777777" w:rsidR="008B125F" w:rsidRPr="00C925F2" w:rsidRDefault="008B125F" w:rsidP="00B30FC9">
            <w:pPr>
              <w:spacing w:after="120"/>
              <w:jc w:val="center"/>
              <w:rPr>
                <w:rFonts w:ascii="Times New Roman" w:hAnsi="Times New Roman" w:cs="Times New Roman"/>
                <w:i/>
                <w:iCs/>
                <w:color w:val="000000" w:themeColor="text1"/>
                <w:sz w:val="22"/>
                <w:szCs w:val="22"/>
              </w:rPr>
            </w:pPr>
            <w:r w:rsidRPr="00C925F2">
              <w:rPr>
                <w:rFonts w:ascii="Times New Roman" w:hAnsi="Times New Roman" w:cs="Times New Roman"/>
                <w:i/>
                <w:iCs/>
                <w:color w:val="000000" w:themeColor="text1"/>
                <w:sz w:val="22"/>
                <w:szCs w:val="22"/>
              </w:rPr>
              <w:t>ABCA8, APOD, BCAR1, CADPS, CDC42EP1, CDH13, CSRP1, CYP27A1, DPP7, FLNA, KIAA1217, MYL6, NDRG1, PAM, PBXIP1, PDE10A, PDE3A, PPM1L, PREX1, PRNP, RTN1, SDC4, SLC38A2, SLC3A2, SLC7A5, ZCCHC3</w:t>
            </w:r>
          </w:p>
        </w:tc>
      </w:tr>
      <w:tr w:rsidR="008B125F" w:rsidRPr="00C925F2" w14:paraId="0D783928" w14:textId="77777777" w:rsidTr="00C925F2">
        <w:tc>
          <w:tcPr>
            <w:tcW w:w="1857" w:type="pct"/>
            <w:tcBorders>
              <w:top w:val="single" w:sz="6" w:space="0" w:color="auto"/>
              <w:bottom w:val="single" w:sz="6" w:space="0" w:color="auto"/>
            </w:tcBorders>
            <w:shd w:val="clear" w:color="auto" w:fill="D9D9D9" w:themeFill="background1" w:themeFillShade="D9"/>
            <w:vAlign w:val="center"/>
          </w:tcPr>
          <w:p w14:paraId="1A4D57A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GO Terms (Grubman et al., 2019)</w:t>
            </w:r>
          </w:p>
        </w:tc>
        <w:tc>
          <w:tcPr>
            <w:tcW w:w="738" w:type="pct"/>
            <w:tcBorders>
              <w:top w:val="single" w:sz="6" w:space="0" w:color="auto"/>
              <w:bottom w:val="single" w:sz="6" w:space="0" w:color="auto"/>
              <w:right w:val="double" w:sz="4" w:space="0" w:color="auto"/>
            </w:tcBorders>
            <w:shd w:val="clear" w:color="auto" w:fill="D9D9D9" w:themeFill="background1" w:themeFillShade="D9"/>
            <w:vAlign w:val="center"/>
          </w:tcPr>
          <w:p w14:paraId="24276D0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P-value</w:t>
            </w:r>
          </w:p>
        </w:tc>
        <w:tc>
          <w:tcPr>
            <w:tcW w:w="1666" w:type="pct"/>
            <w:tcBorders>
              <w:top w:val="single" w:sz="6" w:space="0" w:color="auto"/>
              <w:left w:val="double" w:sz="4" w:space="0" w:color="auto"/>
              <w:bottom w:val="single" w:sz="6" w:space="0" w:color="auto"/>
            </w:tcBorders>
            <w:shd w:val="clear" w:color="auto" w:fill="D9D9D9" w:themeFill="background1" w:themeFillShade="D9"/>
            <w:vAlign w:val="center"/>
          </w:tcPr>
          <w:p w14:paraId="178E0EC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GO Terms (Overlapped genes)</w:t>
            </w:r>
          </w:p>
        </w:tc>
        <w:tc>
          <w:tcPr>
            <w:tcW w:w="738" w:type="pct"/>
            <w:tcBorders>
              <w:top w:val="single" w:sz="6" w:space="0" w:color="auto"/>
              <w:bottom w:val="single" w:sz="6" w:space="0" w:color="auto"/>
            </w:tcBorders>
            <w:shd w:val="clear" w:color="auto" w:fill="D9D9D9" w:themeFill="background1" w:themeFillShade="D9"/>
            <w:vAlign w:val="center"/>
          </w:tcPr>
          <w:p w14:paraId="3FD946A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P-value</w:t>
            </w:r>
          </w:p>
        </w:tc>
      </w:tr>
      <w:tr w:rsidR="008B125F" w:rsidRPr="00C925F2" w14:paraId="73E79F05" w14:textId="77777777" w:rsidTr="00C925F2">
        <w:tc>
          <w:tcPr>
            <w:tcW w:w="1857" w:type="pct"/>
            <w:tcBorders>
              <w:top w:val="single" w:sz="6" w:space="0" w:color="auto"/>
            </w:tcBorders>
            <w:shd w:val="clear" w:color="auto" w:fill="auto"/>
            <w:vAlign w:val="center"/>
          </w:tcPr>
          <w:p w14:paraId="583567C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Nervous System Development (GO:0007399)</w:t>
            </w:r>
          </w:p>
        </w:tc>
        <w:tc>
          <w:tcPr>
            <w:tcW w:w="738" w:type="pct"/>
            <w:tcBorders>
              <w:top w:val="single" w:sz="6" w:space="0" w:color="auto"/>
              <w:right w:val="double" w:sz="4" w:space="0" w:color="auto"/>
            </w:tcBorders>
            <w:shd w:val="clear" w:color="auto" w:fill="auto"/>
            <w:vAlign w:val="center"/>
          </w:tcPr>
          <w:p w14:paraId="13DA481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5.08E-12</w:t>
            </w:r>
          </w:p>
        </w:tc>
        <w:tc>
          <w:tcPr>
            <w:tcW w:w="1666" w:type="pct"/>
            <w:tcBorders>
              <w:top w:val="single" w:sz="6" w:space="0" w:color="auto"/>
              <w:left w:val="double" w:sz="4" w:space="0" w:color="auto"/>
            </w:tcBorders>
            <w:vAlign w:val="center"/>
          </w:tcPr>
          <w:p w14:paraId="380D0A5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Proline Transport (GO:0015824)</w:t>
            </w:r>
          </w:p>
        </w:tc>
        <w:tc>
          <w:tcPr>
            <w:tcW w:w="738" w:type="pct"/>
            <w:tcBorders>
              <w:top w:val="single" w:sz="6" w:space="0" w:color="auto"/>
            </w:tcBorders>
            <w:vAlign w:val="center"/>
          </w:tcPr>
          <w:p w14:paraId="6752F0A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1.09E-07</w:t>
            </w:r>
          </w:p>
        </w:tc>
      </w:tr>
      <w:tr w:rsidR="008B125F" w:rsidRPr="00C925F2" w14:paraId="7C86CD67" w14:textId="77777777" w:rsidTr="00C925F2">
        <w:tc>
          <w:tcPr>
            <w:tcW w:w="1857" w:type="pct"/>
            <w:shd w:val="clear" w:color="auto" w:fill="auto"/>
            <w:vAlign w:val="center"/>
          </w:tcPr>
          <w:p w14:paraId="17CC66E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lastRenderedPageBreak/>
              <w:t>Central Nervous System Development (GO:0007417)</w:t>
            </w:r>
          </w:p>
        </w:tc>
        <w:tc>
          <w:tcPr>
            <w:tcW w:w="738" w:type="pct"/>
            <w:tcBorders>
              <w:right w:val="double" w:sz="4" w:space="0" w:color="auto"/>
            </w:tcBorders>
            <w:shd w:val="clear" w:color="auto" w:fill="auto"/>
            <w:vAlign w:val="center"/>
          </w:tcPr>
          <w:p w14:paraId="179538FD"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2.05E-10</w:t>
            </w:r>
          </w:p>
        </w:tc>
        <w:tc>
          <w:tcPr>
            <w:tcW w:w="1666" w:type="pct"/>
            <w:tcBorders>
              <w:left w:val="double" w:sz="4" w:space="0" w:color="auto"/>
            </w:tcBorders>
            <w:vAlign w:val="center"/>
          </w:tcPr>
          <w:p w14:paraId="52B7FFCD"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L-amino Acid Transport (GO:0015807)</w:t>
            </w:r>
          </w:p>
        </w:tc>
        <w:tc>
          <w:tcPr>
            <w:tcW w:w="738" w:type="pct"/>
            <w:vAlign w:val="center"/>
          </w:tcPr>
          <w:p w14:paraId="77DD36A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4.97E-06</w:t>
            </w:r>
          </w:p>
        </w:tc>
      </w:tr>
      <w:tr w:rsidR="008B125F" w:rsidRPr="00C925F2" w14:paraId="3910100B" w14:textId="77777777" w:rsidTr="00C925F2">
        <w:tc>
          <w:tcPr>
            <w:tcW w:w="1857" w:type="pct"/>
            <w:shd w:val="clear" w:color="auto" w:fill="auto"/>
            <w:vAlign w:val="center"/>
          </w:tcPr>
          <w:p w14:paraId="5A82EAB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Chemical Synaptic Transmission (GO:0007268)</w:t>
            </w:r>
          </w:p>
        </w:tc>
        <w:tc>
          <w:tcPr>
            <w:tcW w:w="738" w:type="pct"/>
            <w:tcBorders>
              <w:right w:val="double" w:sz="4" w:space="0" w:color="auto"/>
            </w:tcBorders>
            <w:shd w:val="clear" w:color="auto" w:fill="auto"/>
            <w:vAlign w:val="center"/>
          </w:tcPr>
          <w:p w14:paraId="6B7369E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2.17E-10</w:t>
            </w:r>
          </w:p>
        </w:tc>
        <w:tc>
          <w:tcPr>
            <w:tcW w:w="1666" w:type="pct"/>
            <w:tcBorders>
              <w:left w:val="double" w:sz="4" w:space="0" w:color="auto"/>
            </w:tcBorders>
            <w:vAlign w:val="center"/>
          </w:tcPr>
          <w:p w14:paraId="45B2098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Amyloid-Beta Formation (GO:1902003)</w:t>
            </w:r>
          </w:p>
        </w:tc>
        <w:tc>
          <w:tcPr>
            <w:tcW w:w="738" w:type="pct"/>
            <w:vAlign w:val="center"/>
          </w:tcPr>
          <w:p w14:paraId="5A242E4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8.37E-04</w:t>
            </w:r>
          </w:p>
        </w:tc>
      </w:tr>
      <w:tr w:rsidR="008B125F" w:rsidRPr="00C925F2" w14:paraId="7BA4956B" w14:textId="77777777" w:rsidTr="00C925F2">
        <w:tc>
          <w:tcPr>
            <w:tcW w:w="1857" w:type="pct"/>
            <w:shd w:val="clear" w:color="auto" w:fill="auto"/>
            <w:vAlign w:val="center"/>
          </w:tcPr>
          <w:p w14:paraId="38443CF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Axon Development (GO:0061564)</w:t>
            </w:r>
          </w:p>
        </w:tc>
        <w:tc>
          <w:tcPr>
            <w:tcW w:w="738" w:type="pct"/>
            <w:tcBorders>
              <w:right w:val="double" w:sz="4" w:space="0" w:color="auto"/>
            </w:tcBorders>
            <w:shd w:val="clear" w:color="auto" w:fill="auto"/>
            <w:vAlign w:val="center"/>
          </w:tcPr>
          <w:p w14:paraId="2CE3370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1.93E-09</w:t>
            </w:r>
          </w:p>
        </w:tc>
        <w:tc>
          <w:tcPr>
            <w:tcW w:w="1666" w:type="pct"/>
            <w:tcBorders>
              <w:left w:val="double" w:sz="4" w:space="0" w:color="auto"/>
            </w:tcBorders>
            <w:vAlign w:val="center"/>
          </w:tcPr>
          <w:p w14:paraId="23C1FD7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Interleukin-17 Production (GO:0032660)</w:t>
            </w:r>
          </w:p>
        </w:tc>
        <w:tc>
          <w:tcPr>
            <w:tcW w:w="738" w:type="pct"/>
            <w:vAlign w:val="center"/>
          </w:tcPr>
          <w:p w14:paraId="642507A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8.89E-04</w:t>
            </w:r>
          </w:p>
        </w:tc>
      </w:tr>
      <w:tr w:rsidR="008B125F" w:rsidRPr="00C925F2" w14:paraId="4D7B8241" w14:textId="77777777" w:rsidTr="00C925F2">
        <w:tc>
          <w:tcPr>
            <w:tcW w:w="1857" w:type="pct"/>
            <w:shd w:val="clear" w:color="auto" w:fill="auto"/>
            <w:vAlign w:val="center"/>
          </w:tcPr>
          <w:p w14:paraId="740529B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Anterograde Trans-Synaptic Signaling (GO:0098916)</w:t>
            </w:r>
          </w:p>
        </w:tc>
        <w:tc>
          <w:tcPr>
            <w:tcW w:w="738" w:type="pct"/>
            <w:tcBorders>
              <w:right w:val="double" w:sz="4" w:space="0" w:color="auto"/>
            </w:tcBorders>
            <w:shd w:val="clear" w:color="auto" w:fill="auto"/>
            <w:vAlign w:val="center"/>
          </w:tcPr>
          <w:p w14:paraId="051D8D3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7.34E-09</w:t>
            </w:r>
          </w:p>
        </w:tc>
        <w:tc>
          <w:tcPr>
            <w:tcW w:w="1666" w:type="pct"/>
            <w:tcBorders>
              <w:left w:val="double" w:sz="4" w:space="0" w:color="auto"/>
            </w:tcBorders>
            <w:vAlign w:val="center"/>
          </w:tcPr>
          <w:p w14:paraId="59BF8B6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Platelet Aggregation (GO:0070527)</w:t>
            </w:r>
          </w:p>
        </w:tc>
        <w:tc>
          <w:tcPr>
            <w:tcW w:w="738" w:type="pct"/>
            <w:vAlign w:val="center"/>
          </w:tcPr>
          <w:p w14:paraId="245434D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9.42E-04</w:t>
            </w:r>
          </w:p>
        </w:tc>
      </w:tr>
      <w:tr w:rsidR="008B125F" w:rsidRPr="00C925F2" w14:paraId="1574D681" w14:textId="77777777" w:rsidTr="00C925F2">
        <w:tc>
          <w:tcPr>
            <w:tcW w:w="1857" w:type="pct"/>
            <w:shd w:val="clear" w:color="auto" w:fill="auto"/>
            <w:vAlign w:val="center"/>
          </w:tcPr>
          <w:p w14:paraId="1640DE4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Modulation of Chemical Synaptic Transmission (GO:0050804)</w:t>
            </w:r>
          </w:p>
        </w:tc>
        <w:tc>
          <w:tcPr>
            <w:tcW w:w="738" w:type="pct"/>
            <w:tcBorders>
              <w:right w:val="double" w:sz="4" w:space="0" w:color="auto"/>
            </w:tcBorders>
            <w:shd w:val="clear" w:color="auto" w:fill="auto"/>
            <w:vAlign w:val="center"/>
          </w:tcPr>
          <w:p w14:paraId="519BAAB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7.39E-09</w:t>
            </w:r>
          </w:p>
        </w:tc>
        <w:tc>
          <w:tcPr>
            <w:tcW w:w="1666" w:type="pct"/>
            <w:tcBorders>
              <w:left w:val="double" w:sz="4" w:space="0" w:color="auto"/>
            </w:tcBorders>
            <w:vAlign w:val="center"/>
          </w:tcPr>
          <w:p w14:paraId="5BF0604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Response to Exogenous dsRNA (GO:0043330)</w:t>
            </w:r>
          </w:p>
        </w:tc>
        <w:tc>
          <w:tcPr>
            <w:tcW w:w="738" w:type="pct"/>
            <w:vAlign w:val="center"/>
          </w:tcPr>
          <w:p w14:paraId="2FA9858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9.42E-04</w:t>
            </w:r>
          </w:p>
        </w:tc>
      </w:tr>
      <w:tr w:rsidR="008B125F" w:rsidRPr="00C925F2" w14:paraId="66F1EF7B" w14:textId="77777777" w:rsidTr="00C925F2">
        <w:tc>
          <w:tcPr>
            <w:tcW w:w="1857" w:type="pct"/>
            <w:shd w:val="clear" w:color="auto" w:fill="auto"/>
            <w:vAlign w:val="center"/>
          </w:tcPr>
          <w:p w14:paraId="3E55BE6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Axonogenesis (GO:0007409)</w:t>
            </w:r>
          </w:p>
        </w:tc>
        <w:tc>
          <w:tcPr>
            <w:tcW w:w="738" w:type="pct"/>
            <w:tcBorders>
              <w:right w:val="double" w:sz="4" w:space="0" w:color="auto"/>
            </w:tcBorders>
            <w:shd w:val="clear" w:color="auto" w:fill="auto"/>
            <w:vAlign w:val="center"/>
          </w:tcPr>
          <w:p w14:paraId="7A7616F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2.39E-08</w:t>
            </w:r>
          </w:p>
        </w:tc>
        <w:tc>
          <w:tcPr>
            <w:tcW w:w="1666" w:type="pct"/>
            <w:tcBorders>
              <w:left w:val="double" w:sz="4" w:space="0" w:color="auto"/>
            </w:tcBorders>
            <w:vAlign w:val="center"/>
          </w:tcPr>
          <w:p w14:paraId="1F5CA9C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Negative Regulation of T Cell Proliferation (GO:0042130)</w:t>
            </w:r>
          </w:p>
        </w:tc>
        <w:tc>
          <w:tcPr>
            <w:tcW w:w="738" w:type="pct"/>
            <w:vAlign w:val="center"/>
          </w:tcPr>
          <w:p w14:paraId="40E9DDE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9.96E-04</w:t>
            </w:r>
          </w:p>
        </w:tc>
      </w:tr>
      <w:tr w:rsidR="008B125F" w:rsidRPr="00C925F2" w14:paraId="53D2EAEB" w14:textId="77777777" w:rsidTr="00C925F2">
        <w:tc>
          <w:tcPr>
            <w:tcW w:w="1857" w:type="pct"/>
            <w:shd w:val="clear" w:color="auto" w:fill="auto"/>
            <w:vAlign w:val="center"/>
          </w:tcPr>
          <w:p w14:paraId="6A7D2D5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Glial Cell Differentiation (GO:0010001)</w:t>
            </w:r>
          </w:p>
        </w:tc>
        <w:tc>
          <w:tcPr>
            <w:tcW w:w="738" w:type="pct"/>
            <w:tcBorders>
              <w:right w:val="double" w:sz="4" w:space="0" w:color="auto"/>
            </w:tcBorders>
            <w:shd w:val="clear" w:color="auto" w:fill="auto"/>
            <w:vAlign w:val="center"/>
          </w:tcPr>
          <w:p w14:paraId="5F41D69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1.01E-07</w:t>
            </w:r>
          </w:p>
        </w:tc>
        <w:tc>
          <w:tcPr>
            <w:tcW w:w="1666" w:type="pct"/>
            <w:tcBorders>
              <w:left w:val="double" w:sz="4" w:space="0" w:color="auto"/>
            </w:tcBorders>
            <w:vAlign w:val="center"/>
          </w:tcPr>
          <w:p w14:paraId="7BD1890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Muscle Tissue Development (GO:0060537)</w:t>
            </w:r>
          </w:p>
        </w:tc>
        <w:tc>
          <w:tcPr>
            <w:tcW w:w="738" w:type="pct"/>
            <w:vAlign w:val="center"/>
          </w:tcPr>
          <w:p w14:paraId="3084057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0.00105241</w:t>
            </w:r>
          </w:p>
        </w:tc>
      </w:tr>
      <w:tr w:rsidR="008B125F" w:rsidRPr="00C925F2" w14:paraId="75266E40" w14:textId="77777777" w:rsidTr="00C925F2">
        <w:tc>
          <w:tcPr>
            <w:tcW w:w="1857" w:type="pct"/>
            <w:shd w:val="clear" w:color="auto" w:fill="auto"/>
            <w:vAlign w:val="center"/>
          </w:tcPr>
          <w:p w14:paraId="5D8B0BC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Myelination (GO:0042552)</w:t>
            </w:r>
          </w:p>
        </w:tc>
        <w:tc>
          <w:tcPr>
            <w:tcW w:w="738" w:type="pct"/>
            <w:tcBorders>
              <w:right w:val="double" w:sz="4" w:space="0" w:color="auto"/>
            </w:tcBorders>
            <w:shd w:val="clear" w:color="auto" w:fill="auto"/>
            <w:vAlign w:val="center"/>
          </w:tcPr>
          <w:p w14:paraId="3A503D1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1.35E-07</w:t>
            </w:r>
          </w:p>
        </w:tc>
        <w:tc>
          <w:tcPr>
            <w:tcW w:w="1666" w:type="pct"/>
            <w:tcBorders>
              <w:left w:val="double" w:sz="4" w:space="0" w:color="auto"/>
            </w:tcBorders>
            <w:vAlign w:val="center"/>
          </w:tcPr>
          <w:p w14:paraId="33448D19"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Exocytosis (GO:0045921)</w:t>
            </w:r>
          </w:p>
        </w:tc>
        <w:tc>
          <w:tcPr>
            <w:tcW w:w="738" w:type="pct"/>
            <w:vAlign w:val="center"/>
          </w:tcPr>
          <w:p w14:paraId="67E5C79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0.00105241</w:t>
            </w:r>
          </w:p>
        </w:tc>
      </w:tr>
      <w:tr w:rsidR="008B125F" w:rsidRPr="00C925F2" w14:paraId="558D032E" w14:textId="77777777" w:rsidTr="00C925F2">
        <w:tc>
          <w:tcPr>
            <w:tcW w:w="1857" w:type="pct"/>
            <w:shd w:val="clear" w:color="auto" w:fill="auto"/>
            <w:vAlign w:val="center"/>
          </w:tcPr>
          <w:p w14:paraId="5E60864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Neuron Projection Morphogenesis (GO:0048812)</w:t>
            </w:r>
          </w:p>
        </w:tc>
        <w:tc>
          <w:tcPr>
            <w:tcW w:w="738" w:type="pct"/>
            <w:tcBorders>
              <w:right w:val="double" w:sz="4" w:space="0" w:color="auto"/>
            </w:tcBorders>
            <w:shd w:val="clear" w:color="auto" w:fill="auto"/>
            <w:vAlign w:val="center"/>
          </w:tcPr>
          <w:p w14:paraId="380B794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2.54E-07</w:t>
            </w:r>
          </w:p>
        </w:tc>
        <w:tc>
          <w:tcPr>
            <w:tcW w:w="1666" w:type="pct"/>
            <w:tcBorders>
              <w:left w:val="double" w:sz="4" w:space="0" w:color="auto"/>
            </w:tcBorders>
            <w:vAlign w:val="center"/>
          </w:tcPr>
          <w:p w14:paraId="2B396B5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Amino Acid Transmembrane Transport (GO:0003333)</w:t>
            </w:r>
          </w:p>
        </w:tc>
        <w:tc>
          <w:tcPr>
            <w:tcW w:w="738" w:type="pct"/>
            <w:vAlign w:val="center"/>
          </w:tcPr>
          <w:p w14:paraId="54D6F54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0.00135513</w:t>
            </w:r>
          </w:p>
        </w:tc>
      </w:tr>
      <w:tr w:rsidR="008B125F" w:rsidRPr="00C925F2" w14:paraId="3C2C7E7A" w14:textId="77777777" w:rsidTr="00C925F2">
        <w:tc>
          <w:tcPr>
            <w:tcW w:w="1857" w:type="pct"/>
            <w:shd w:val="clear" w:color="auto" w:fill="auto"/>
            <w:vAlign w:val="center"/>
          </w:tcPr>
          <w:p w14:paraId="1DBFD9C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Neuronal Ion Channel Clustering (GO:0045161)</w:t>
            </w:r>
          </w:p>
        </w:tc>
        <w:tc>
          <w:tcPr>
            <w:tcW w:w="738" w:type="pct"/>
            <w:tcBorders>
              <w:right w:val="double" w:sz="4" w:space="0" w:color="auto"/>
            </w:tcBorders>
            <w:shd w:val="clear" w:color="auto" w:fill="auto"/>
            <w:vAlign w:val="center"/>
          </w:tcPr>
          <w:p w14:paraId="64114CA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6.10E-07</w:t>
            </w:r>
          </w:p>
        </w:tc>
        <w:tc>
          <w:tcPr>
            <w:tcW w:w="1666" w:type="pct"/>
            <w:tcBorders>
              <w:left w:val="double" w:sz="4" w:space="0" w:color="auto"/>
            </w:tcBorders>
            <w:vAlign w:val="center"/>
          </w:tcPr>
          <w:p w14:paraId="06B67B7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Homotypic Cell-Cell Adhesion (GO:0034109)</w:t>
            </w:r>
          </w:p>
        </w:tc>
        <w:tc>
          <w:tcPr>
            <w:tcW w:w="738" w:type="pct"/>
            <w:vAlign w:val="center"/>
          </w:tcPr>
          <w:p w14:paraId="21AB1AB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0.0016238</w:t>
            </w:r>
          </w:p>
        </w:tc>
      </w:tr>
      <w:tr w:rsidR="008B125F" w:rsidRPr="00C925F2" w14:paraId="2F790D26" w14:textId="77777777" w:rsidTr="00C925F2">
        <w:tc>
          <w:tcPr>
            <w:tcW w:w="1857" w:type="pct"/>
            <w:shd w:val="clear" w:color="auto" w:fill="auto"/>
            <w:vAlign w:val="center"/>
          </w:tcPr>
          <w:p w14:paraId="11FCD74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Synaptic Transmission, Glutamatergic (GO:0051966)</w:t>
            </w:r>
          </w:p>
        </w:tc>
        <w:tc>
          <w:tcPr>
            <w:tcW w:w="738" w:type="pct"/>
            <w:tcBorders>
              <w:right w:val="double" w:sz="4" w:space="0" w:color="auto"/>
            </w:tcBorders>
            <w:shd w:val="clear" w:color="auto" w:fill="auto"/>
            <w:vAlign w:val="center"/>
          </w:tcPr>
          <w:p w14:paraId="2BDC7BA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8.57E-07</w:t>
            </w:r>
          </w:p>
        </w:tc>
        <w:tc>
          <w:tcPr>
            <w:tcW w:w="1666" w:type="pct"/>
            <w:tcBorders>
              <w:left w:val="double" w:sz="4" w:space="0" w:color="auto"/>
            </w:tcBorders>
            <w:vAlign w:val="center"/>
          </w:tcPr>
          <w:p w14:paraId="448108A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Actin Cytoskeleton Reorganization (GO:0031532)</w:t>
            </w:r>
          </w:p>
        </w:tc>
        <w:tc>
          <w:tcPr>
            <w:tcW w:w="738" w:type="pct"/>
            <w:vAlign w:val="center"/>
          </w:tcPr>
          <w:p w14:paraId="25364EC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0.00214989</w:t>
            </w:r>
          </w:p>
        </w:tc>
      </w:tr>
      <w:tr w:rsidR="008B125F" w:rsidRPr="00C925F2" w14:paraId="55C851BA" w14:textId="77777777" w:rsidTr="00C925F2">
        <w:tc>
          <w:tcPr>
            <w:tcW w:w="1857" w:type="pct"/>
            <w:shd w:val="clear" w:color="auto" w:fill="auto"/>
            <w:vAlign w:val="center"/>
          </w:tcPr>
          <w:p w14:paraId="51FA310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mRNA Splicing, Via Spliceosome (GO:0048024)</w:t>
            </w:r>
          </w:p>
        </w:tc>
        <w:tc>
          <w:tcPr>
            <w:tcW w:w="738" w:type="pct"/>
            <w:tcBorders>
              <w:right w:val="double" w:sz="4" w:space="0" w:color="auto"/>
            </w:tcBorders>
            <w:shd w:val="clear" w:color="auto" w:fill="auto"/>
            <w:vAlign w:val="center"/>
          </w:tcPr>
          <w:p w14:paraId="0637218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2.29E-06</w:t>
            </w:r>
          </w:p>
        </w:tc>
        <w:tc>
          <w:tcPr>
            <w:tcW w:w="1666" w:type="pct"/>
            <w:tcBorders>
              <w:left w:val="double" w:sz="4" w:space="0" w:color="auto"/>
            </w:tcBorders>
            <w:vAlign w:val="center"/>
          </w:tcPr>
          <w:p w14:paraId="0C0CE41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Smooth Muscle Cell Proliferation (GO:0048660)</w:t>
            </w:r>
          </w:p>
        </w:tc>
        <w:tc>
          <w:tcPr>
            <w:tcW w:w="738" w:type="pct"/>
            <w:vAlign w:val="center"/>
          </w:tcPr>
          <w:p w14:paraId="659665B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0.0022308</w:t>
            </w:r>
          </w:p>
        </w:tc>
      </w:tr>
      <w:tr w:rsidR="008B125F" w:rsidRPr="00C925F2" w14:paraId="48B0C8DF" w14:textId="77777777" w:rsidTr="00C925F2">
        <w:tc>
          <w:tcPr>
            <w:tcW w:w="1857" w:type="pct"/>
            <w:shd w:val="clear" w:color="auto" w:fill="auto"/>
            <w:vAlign w:val="center"/>
          </w:tcPr>
          <w:p w14:paraId="00F4344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Cell Morphogenesis Involved In Neuron Differentiation (GO:0048667)</w:t>
            </w:r>
          </w:p>
        </w:tc>
        <w:tc>
          <w:tcPr>
            <w:tcW w:w="738" w:type="pct"/>
            <w:tcBorders>
              <w:right w:val="double" w:sz="4" w:space="0" w:color="auto"/>
            </w:tcBorders>
            <w:shd w:val="clear" w:color="auto" w:fill="auto"/>
            <w:vAlign w:val="center"/>
          </w:tcPr>
          <w:p w14:paraId="338623E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2.70E-06</w:t>
            </w:r>
          </w:p>
        </w:tc>
        <w:tc>
          <w:tcPr>
            <w:tcW w:w="1666" w:type="pct"/>
            <w:tcBorders>
              <w:left w:val="double" w:sz="4" w:space="0" w:color="auto"/>
            </w:tcBorders>
            <w:vAlign w:val="center"/>
          </w:tcPr>
          <w:p w14:paraId="3C1BC01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Response to Metal Ion (GO:0010038)</w:t>
            </w:r>
          </w:p>
        </w:tc>
        <w:tc>
          <w:tcPr>
            <w:tcW w:w="738" w:type="pct"/>
            <w:vAlign w:val="center"/>
          </w:tcPr>
          <w:p w14:paraId="0FA504A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0.0031178</w:t>
            </w:r>
          </w:p>
        </w:tc>
      </w:tr>
      <w:tr w:rsidR="008B125F" w:rsidRPr="00C925F2" w14:paraId="4D618B0F" w14:textId="77777777" w:rsidTr="00C925F2">
        <w:tc>
          <w:tcPr>
            <w:tcW w:w="1857" w:type="pct"/>
            <w:tcBorders>
              <w:bottom w:val="single" w:sz="12" w:space="0" w:color="auto"/>
            </w:tcBorders>
            <w:shd w:val="clear" w:color="auto" w:fill="auto"/>
            <w:vAlign w:val="center"/>
          </w:tcPr>
          <w:p w14:paraId="4116E80E"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Modulation of Excitatory Postsynaptic Potential (GO:0098815)</w:t>
            </w:r>
          </w:p>
        </w:tc>
        <w:tc>
          <w:tcPr>
            <w:tcW w:w="738" w:type="pct"/>
            <w:tcBorders>
              <w:bottom w:val="single" w:sz="12" w:space="0" w:color="auto"/>
              <w:right w:val="double" w:sz="4" w:space="0" w:color="auto"/>
            </w:tcBorders>
            <w:shd w:val="clear" w:color="auto" w:fill="auto"/>
            <w:vAlign w:val="center"/>
          </w:tcPr>
          <w:p w14:paraId="26D14125"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3.06E-06</w:t>
            </w:r>
          </w:p>
        </w:tc>
        <w:tc>
          <w:tcPr>
            <w:tcW w:w="1666" w:type="pct"/>
            <w:tcBorders>
              <w:left w:val="double" w:sz="4" w:space="0" w:color="auto"/>
              <w:bottom w:val="single" w:sz="12" w:space="0" w:color="auto"/>
            </w:tcBorders>
            <w:vAlign w:val="center"/>
          </w:tcPr>
          <w:p w14:paraId="44BCFD09"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Sphingolipid Biosynthetic Process (GO:0030148)</w:t>
            </w:r>
          </w:p>
        </w:tc>
        <w:tc>
          <w:tcPr>
            <w:tcW w:w="738" w:type="pct"/>
            <w:tcBorders>
              <w:bottom w:val="single" w:sz="12" w:space="0" w:color="auto"/>
            </w:tcBorders>
            <w:vAlign w:val="center"/>
          </w:tcPr>
          <w:p w14:paraId="21441EE2"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0.00447851</w:t>
            </w:r>
          </w:p>
        </w:tc>
      </w:tr>
      <w:tr w:rsidR="008B125F" w:rsidRPr="00C925F2" w14:paraId="27933FA7" w14:textId="77777777" w:rsidTr="00C925F2">
        <w:tc>
          <w:tcPr>
            <w:tcW w:w="5000" w:type="pct"/>
            <w:gridSpan w:val="4"/>
            <w:tcBorders>
              <w:top w:val="single" w:sz="12" w:space="0" w:color="auto"/>
              <w:bottom w:val="single" w:sz="12" w:space="0" w:color="auto"/>
            </w:tcBorders>
            <w:shd w:val="clear" w:color="auto" w:fill="auto"/>
            <w:vAlign w:val="center"/>
          </w:tcPr>
          <w:p w14:paraId="322098D0" w14:textId="77777777" w:rsidR="008B125F" w:rsidRPr="00C925F2" w:rsidRDefault="008B125F" w:rsidP="00B30FC9">
            <w:pPr>
              <w:spacing w:before="120" w:after="120"/>
              <w:jc w:val="center"/>
              <w:rPr>
                <w:rFonts w:ascii="Times New Roman" w:hAnsi="Times New Roman" w:cs="Times New Roman"/>
                <w:b/>
                <w:bCs/>
                <w:color w:val="000000" w:themeColor="text1"/>
                <w:sz w:val="22"/>
                <w:szCs w:val="22"/>
              </w:rPr>
            </w:pPr>
            <w:r w:rsidRPr="00C925F2">
              <w:rPr>
                <w:rFonts w:ascii="Times New Roman" w:hAnsi="Times New Roman" w:cs="Times New Roman"/>
                <w:b/>
                <w:bCs/>
                <w:color w:val="000000" w:themeColor="text1"/>
                <w:sz w:val="22"/>
                <w:szCs w:val="22"/>
              </w:rPr>
              <w:t>Comparison between AD iN bulk RNA-seq data (differentially expressed between AD and HC iNs, Mertens et al., 2021) and TMT-based aged/sAD tNeuron proteomics data</w:t>
            </w:r>
          </w:p>
        </w:tc>
      </w:tr>
      <w:tr w:rsidR="008B125F" w:rsidRPr="00C925F2" w14:paraId="5BDE3677" w14:textId="77777777" w:rsidTr="00C925F2">
        <w:tc>
          <w:tcPr>
            <w:tcW w:w="5000" w:type="pct"/>
            <w:gridSpan w:val="4"/>
            <w:tcBorders>
              <w:top w:val="single" w:sz="12" w:space="0" w:color="auto"/>
              <w:bottom w:val="single" w:sz="6" w:space="0" w:color="auto"/>
            </w:tcBorders>
            <w:shd w:val="clear" w:color="auto" w:fill="D9D9D9" w:themeFill="background1" w:themeFillShade="D9"/>
            <w:vAlign w:val="center"/>
          </w:tcPr>
          <w:p w14:paraId="56FDA63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Overlapped Genes</w:t>
            </w:r>
          </w:p>
        </w:tc>
      </w:tr>
      <w:tr w:rsidR="008B125F" w:rsidRPr="00C925F2" w14:paraId="7C771DDB" w14:textId="77777777" w:rsidTr="00C925F2">
        <w:tc>
          <w:tcPr>
            <w:tcW w:w="5000" w:type="pct"/>
            <w:gridSpan w:val="4"/>
            <w:tcBorders>
              <w:top w:val="single" w:sz="6" w:space="0" w:color="auto"/>
              <w:bottom w:val="single" w:sz="6" w:space="0" w:color="auto"/>
            </w:tcBorders>
            <w:shd w:val="clear" w:color="auto" w:fill="auto"/>
            <w:vAlign w:val="center"/>
          </w:tcPr>
          <w:p w14:paraId="76DC4CB1" w14:textId="77777777" w:rsidR="008B125F" w:rsidRPr="00C925F2" w:rsidRDefault="008B125F" w:rsidP="00B30FC9">
            <w:pPr>
              <w:spacing w:after="120"/>
              <w:jc w:val="center"/>
              <w:rPr>
                <w:rFonts w:ascii="Times New Roman" w:hAnsi="Times New Roman" w:cs="Times New Roman"/>
                <w:i/>
                <w:iCs/>
                <w:color w:val="000000" w:themeColor="text1"/>
                <w:sz w:val="22"/>
                <w:szCs w:val="22"/>
              </w:rPr>
            </w:pPr>
            <w:r w:rsidRPr="00C925F2">
              <w:rPr>
                <w:rFonts w:ascii="Times New Roman" w:hAnsi="Times New Roman" w:cs="Times New Roman"/>
                <w:i/>
                <w:iCs/>
                <w:color w:val="000000" w:themeColor="text1"/>
                <w:sz w:val="22"/>
                <w:szCs w:val="22"/>
              </w:rPr>
              <w:t>APOD, ARFGEF3, CADPS, CLGN, CYBRD1, CYP1B1, FADS3, FUCA2, HMGA2, HSD17B14, ICAM1, IL1RN, KIAA1217, LPXN, LRRN4CL, MEDAG, MOCOS, MYL12A, MYL9, NAMPT, P4HA3, PDE3A, PRNP, PTGIS, RND3, SERPINB9, SERPINE2, SLC2A1, SLC3A2, SNTB1, SRGAP3, TMEM119, TPM2</w:t>
            </w:r>
          </w:p>
        </w:tc>
      </w:tr>
      <w:tr w:rsidR="008B125F" w:rsidRPr="00C925F2" w14:paraId="4C8DD1EA" w14:textId="77777777" w:rsidTr="00C925F2">
        <w:tc>
          <w:tcPr>
            <w:tcW w:w="1857" w:type="pct"/>
            <w:tcBorders>
              <w:top w:val="single" w:sz="6" w:space="0" w:color="auto"/>
              <w:bottom w:val="single" w:sz="6" w:space="0" w:color="auto"/>
            </w:tcBorders>
            <w:shd w:val="clear" w:color="auto" w:fill="D9D9D9" w:themeFill="background1" w:themeFillShade="D9"/>
            <w:vAlign w:val="center"/>
          </w:tcPr>
          <w:p w14:paraId="00C148A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GO Terms (Mertens et al., 2021)</w:t>
            </w:r>
          </w:p>
        </w:tc>
        <w:tc>
          <w:tcPr>
            <w:tcW w:w="738" w:type="pct"/>
            <w:tcBorders>
              <w:top w:val="single" w:sz="6" w:space="0" w:color="auto"/>
              <w:bottom w:val="single" w:sz="6" w:space="0" w:color="auto"/>
              <w:right w:val="double" w:sz="4" w:space="0" w:color="auto"/>
            </w:tcBorders>
            <w:shd w:val="clear" w:color="auto" w:fill="D9D9D9" w:themeFill="background1" w:themeFillShade="D9"/>
            <w:vAlign w:val="center"/>
          </w:tcPr>
          <w:p w14:paraId="120C1BE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P-value</w:t>
            </w:r>
          </w:p>
        </w:tc>
        <w:tc>
          <w:tcPr>
            <w:tcW w:w="1666" w:type="pct"/>
            <w:tcBorders>
              <w:top w:val="single" w:sz="6" w:space="0" w:color="auto"/>
              <w:left w:val="double" w:sz="4" w:space="0" w:color="auto"/>
              <w:bottom w:val="single" w:sz="6" w:space="0" w:color="auto"/>
            </w:tcBorders>
            <w:shd w:val="clear" w:color="auto" w:fill="D9D9D9" w:themeFill="background1" w:themeFillShade="D9"/>
            <w:vAlign w:val="center"/>
          </w:tcPr>
          <w:p w14:paraId="75968D4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GO Terms (Overlapped genes)</w:t>
            </w:r>
          </w:p>
        </w:tc>
        <w:tc>
          <w:tcPr>
            <w:tcW w:w="738" w:type="pct"/>
            <w:tcBorders>
              <w:top w:val="single" w:sz="6" w:space="0" w:color="auto"/>
              <w:bottom w:val="single" w:sz="6" w:space="0" w:color="auto"/>
            </w:tcBorders>
            <w:shd w:val="clear" w:color="auto" w:fill="D9D9D9" w:themeFill="background1" w:themeFillShade="D9"/>
            <w:vAlign w:val="center"/>
          </w:tcPr>
          <w:p w14:paraId="2BB7FDB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P-value</w:t>
            </w:r>
          </w:p>
        </w:tc>
      </w:tr>
      <w:tr w:rsidR="008B125F" w:rsidRPr="00C925F2" w14:paraId="07A688CA" w14:textId="77777777" w:rsidTr="00C925F2">
        <w:tc>
          <w:tcPr>
            <w:tcW w:w="1857" w:type="pct"/>
            <w:tcBorders>
              <w:top w:val="single" w:sz="6" w:space="0" w:color="auto"/>
            </w:tcBorders>
            <w:shd w:val="clear" w:color="auto" w:fill="auto"/>
            <w:vAlign w:val="center"/>
          </w:tcPr>
          <w:p w14:paraId="77BAD5D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extracellular matrix organization (GO:0030198)</w:t>
            </w:r>
          </w:p>
        </w:tc>
        <w:tc>
          <w:tcPr>
            <w:tcW w:w="738" w:type="pct"/>
            <w:tcBorders>
              <w:top w:val="single" w:sz="6" w:space="0" w:color="auto"/>
              <w:right w:val="double" w:sz="4" w:space="0" w:color="auto"/>
            </w:tcBorders>
            <w:shd w:val="clear" w:color="auto" w:fill="auto"/>
            <w:vAlign w:val="center"/>
          </w:tcPr>
          <w:p w14:paraId="55A9D4F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2.35E-06</w:t>
            </w:r>
          </w:p>
        </w:tc>
        <w:tc>
          <w:tcPr>
            <w:tcW w:w="1666" w:type="pct"/>
            <w:tcBorders>
              <w:top w:val="single" w:sz="6" w:space="0" w:color="auto"/>
              <w:left w:val="double" w:sz="4" w:space="0" w:color="auto"/>
            </w:tcBorders>
            <w:vAlign w:val="center"/>
          </w:tcPr>
          <w:p w14:paraId="6F5D104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negative regulation of protein maturation (GO:1903318)</w:t>
            </w:r>
          </w:p>
        </w:tc>
        <w:tc>
          <w:tcPr>
            <w:tcW w:w="738" w:type="pct"/>
            <w:tcBorders>
              <w:top w:val="single" w:sz="6" w:space="0" w:color="auto"/>
            </w:tcBorders>
            <w:vAlign w:val="center"/>
          </w:tcPr>
          <w:p w14:paraId="6046653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1.44E-04</w:t>
            </w:r>
          </w:p>
        </w:tc>
      </w:tr>
      <w:tr w:rsidR="008B125F" w:rsidRPr="00C925F2" w14:paraId="1176ADB9" w14:textId="77777777" w:rsidTr="00C925F2">
        <w:tc>
          <w:tcPr>
            <w:tcW w:w="1857" w:type="pct"/>
            <w:shd w:val="clear" w:color="auto" w:fill="auto"/>
            <w:vAlign w:val="center"/>
          </w:tcPr>
          <w:p w14:paraId="1ADA66A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substrate-dependent cell migration (GO:0006929)</w:t>
            </w:r>
          </w:p>
        </w:tc>
        <w:tc>
          <w:tcPr>
            <w:tcW w:w="738" w:type="pct"/>
            <w:tcBorders>
              <w:right w:val="double" w:sz="4" w:space="0" w:color="auto"/>
            </w:tcBorders>
            <w:shd w:val="clear" w:color="auto" w:fill="auto"/>
            <w:vAlign w:val="center"/>
          </w:tcPr>
          <w:p w14:paraId="479FFFA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7.81E-06</w:t>
            </w:r>
          </w:p>
        </w:tc>
        <w:tc>
          <w:tcPr>
            <w:tcW w:w="1666" w:type="pct"/>
            <w:tcBorders>
              <w:left w:val="double" w:sz="4" w:space="0" w:color="auto"/>
            </w:tcBorders>
            <w:vAlign w:val="center"/>
          </w:tcPr>
          <w:p w14:paraId="601EDF3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NAD biosynthesis via nicotinamide riboside salvage pathway (GO:0034356)</w:t>
            </w:r>
          </w:p>
        </w:tc>
        <w:tc>
          <w:tcPr>
            <w:tcW w:w="738" w:type="pct"/>
            <w:vAlign w:val="center"/>
          </w:tcPr>
          <w:p w14:paraId="1B651F8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2.37E-04</w:t>
            </w:r>
          </w:p>
        </w:tc>
      </w:tr>
      <w:tr w:rsidR="008B125F" w:rsidRPr="00C925F2" w14:paraId="07D2C0B5" w14:textId="77777777" w:rsidTr="00C925F2">
        <w:tc>
          <w:tcPr>
            <w:tcW w:w="1857" w:type="pct"/>
            <w:shd w:val="clear" w:color="auto" w:fill="auto"/>
            <w:vAlign w:val="center"/>
          </w:tcPr>
          <w:p w14:paraId="10F3507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angiogenesis (GO:0045765)</w:t>
            </w:r>
          </w:p>
        </w:tc>
        <w:tc>
          <w:tcPr>
            <w:tcW w:w="738" w:type="pct"/>
            <w:tcBorders>
              <w:right w:val="double" w:sz="4" w:space="0" w:color="auto"/>
            </w:tcBorders>
            <w:shd w:val="clear" w:color="auto" w:fill="auto"/>
            <w:vAlign w:val="center"/>
          </w:tcPr>
          <w:p w14:paraId="6163099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4.57E-05</w:t>
            </w:r>
          </w:p>
        </w:tc>
        <w:tc>
          <w:tcPr>
            <w:tcW w:w="1666" w:type="pct"/>
            <w:tcBorders>
              <w:left w:val="double" w:sz="4" w:space="0" w:color="auto"/>
            </w:tcBorders>
            <w:vAlign w:val="center"/>
          </w:tcPr>
          <w:p w14:paraId="2F75068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negative regulation of protein processing (GO:0010955)</w:t>
            </w:r>
          </w:p>
        </w:tc>
        <w:tc>
          <w:tcPr>
            <w:tcW w:w="738" w:type="pct"/>
            <w:vAlign w:val="center"/>
          </w:tcPr>
          <w:p w14:paraId="37886D3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2.74E-04</w:t>
            </w:r>
          </w:p>
        </w:tc>
      </w:tr>
      <w:tr w:rsidR="008B125F" w:rsidRPr="00C925F2" w14:paraId="4AAF4795" w14:textId="77777777" w:rsidTr="00C925F2">
        <w:tc>
          <w:tcPr>
            <w:tcW w:w="1857" w:type="pct"/>
            <w:shd w:val="clear" w:color="auto" w:fill="auto"/>
            <w:vAlign w:val="center"/>
          </w:tcPr>
          <w:p w14:paraId="3B379E8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lastRenderedPageBreak/>
              <w:t>negative regulation of proteolysis (GO:0045861)</w:t>
            </w:r>
          </w:p>
        </w:tc>
        <w:tc>
          <w:tcPr>
            <w:tcW w:w="738" w:type="pct"/>
            <w:tcBorders>
              <w:right w:val="double" w:sz="4" w:space="0" w:color="auto"/>
            </w:tcBorders>
            <w:shd w:val="clear" w:color="auto" w:fill="auto"/>
            <w:vAlign w:val="center"/>
          </w:tcPr>
          <w:p w14:paraId="5FCA1C9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2.19E-04</w:t>
            </w:r>
          </w:p>
        </w:tc>
        <w:tc>
          <w:tcPr>
            <w:tcW w:w="1666" w:type="pct"/>
            <w:tcBorders>
              <w:left w:val="double" w:sz="4" w:space="0" w:color="auto"/>
            </w:tcBorders>
            <w:vAlign w:val="center"/>
          </w:tcPr>
          <w:p w14:paraId="67B72AB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vasculature development (GO:1904018)</w:t>
            </w:r>
          </w:p>
        </w:tc>
        <w:tc>
          <w:tcPr>
            <w:tcW w:w="738" w:type="pct"/>
            <w:vAlign w:val="center"/>
          </w:tcPr>
          <w:p w14:paraId="78ED825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6.29E-04</w:t>
            </w:r>
          </w:p>
        </w:tc>
      </w:tr>
      <w:tr w:rsidR="008B125F" w:rsidRPr="00C925F2" w14:paraId="211ADC46" w14:textId="77777777" w:rsidTr="00C925F2">
        <w:tc>
          <w:tcPr>
            <w:tcW w:w="1857" w:type="pct"/>
            <w:shd w:val="clear" w:color="auto" w:fill="auto"/>
            <w:vAlign w:val="center"/>
          </w:tcPr>
          <w:p w14:paraId="415A0D8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mesodermal cell differentiation (GO:0048333)</w:t>
            </w:r>
          </w:p>
        </w:tc>
        <w:tc>
          <w:tcPr>
            <w:tcW w:w="738" w:type="pct"/>
            <w:tcBorders>
              <w:right w:val="double" w:sz="4" w:space="0" w:color="auto"/>
            </w:tcBorders>
            <w:shd w:val="clear" w:color="auto" w:fill="auto"/>
            <w:vAlign w:val="center"/>
          </w:tcPr>
          <w:p w14:paraId="36C4B05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2.45E-04</w:t>
            </w:r>
          </w:p>
        </w:tc>
        <w:tc>
          <w:tcPr>
            <w:tcW w:w="1666" w:type="pct"/>
            <w:tcBorders>
              <w:left w:val="double" w:sz="4" w:space="0" w:color="auto"/>
            </w:tcBorders>
            <w:vAlign w:val="center"/>
          </w:tcPr>
          <w:p w14:paraId="32AD75A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negative regulation of antigen receptor-mediated signaling pathway (GO:0050858)</w:t>
            </w:r>
          </w:p>
        </w:tc>
        <w:tc>
          <w:tcPr>
            <w:tcW w:w="738" w:type="pct"/>
            <w:vAlign w:val="center"/>
          </w:tcPr>
          <w:p w14:paraId="4386B00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7.73E-04</w:t>
            </w:r>
          </w:p>
        </w:tc>
      </w:tr>
      <w:tr w:rsidR="008B125F" w:rsidRPr="00C925F2" w14:paraId="08C90009" w14:textId="77777777" w:rsidTr="00C925F2">
        <w:tc>
          <w:tcPr>
            <w:tcW w:w="1857" w:type="pct"/>
            <w:shd w:val="clear" w:color="auto" w:fill="auto"/>
            <w:vAlign w:val="center"/>
          </w:tcPr>
          <w:p w14:paraId="1E812EF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hemopoiesis (GO:0030097)</w:t>
            </w:r>
          </w:p>
        </w:tc>
        <w:tc>
          <w:tcPr>
            <w:tcW w:w="738" w:type="pct"/>
            <w:tcBorders>
              <w:right w:val="double" w:sz="4" w:space="0" w:color="auto"/>
            </w:tcBorders>
            <w:shd w:val="clear" w:color="auto" w:fill="auto"/>
            <w:vAlign w:val="center"/>
          </w:tcPr>
          <w:p w14:paraId="5CF382C9"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2.82E-04</w:t>
            </w:r>
          </w:p>
        </w:tc>
        <w:tc>
          <w:tcPr>
            <w:tcW w:w="1666" w:type="pct"/>
            <w:tcBorders>
              <w:left w:val="double" w:sz="4" w:space="0" w:color="auto"/>
            </w:tcBorders>
            <w:vAlign w:val="center"/>
          </w:tcPr>
          <w:p w14:paraId="04ED36A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cellular response to amyloid-beta (GO:1904646)</w:t>
            </w:r>
          </w:p>
        </w:tc>
        <w:tc>
          <w:tcPr>
            <w:tcW w:w="738" w:type="pct"/>
            <w:vAlign w:val="center"/>
          </w:tcPr>
          <w:p w14:paraId="1B578D0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0.001518228</w:t>
            </w:r>
          </w:p>
        </w:tc>
      </w:tr>
      <w:tr w:rsidR="008B125F" w:rsidRPr="00C925F2" w14:paraId="1236B089" w14:textId="77777777" w:rsidTr="00C925F2">
        <w:tc>
          <w:tcPr>
            <w:tcW w:w="1857" w:type="pct"/>
            <w:shd w:val="clear" w:color="auto" w:fill="auto"/>
            <w:vAlign w:val="center"/>
          </w:tcPr>
          <w:p w14:paraId="2213143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protein phosphorylation (GO:0001934)</w:t>
            </w:r>
          </w:p>
        </w:tc>
        <w:tc>
          <w:tcPr>
            <w:tcW w:w="738" w:type="pct"/>
            <w:tcBorders>
              <w:right w:val="double" w:sz="4" w:space="0" w:color="auto"/>
            </w:tcBorders>
            <w:shd w:val="clear" w:color="auto" w:fill="auto"/>
            <w:vAlign w:val="center"/>
          </w:tcPr>
          <w:p w14:paraId="50FC402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3.09E-04</w:t>
            </w:r>
          </w:p>
        </w:tc>
        <w:tc>
          <w:tcPr>
            <w:tcW w:w="1666" w:type="pct"/>
            <w:tcBorders>
              <w:left w:val="double" w:sz="4" w:space="0" w:color="auto"/>
            </w:tcBorders>
            <w:vAlign w:val="center"/>
          </w:tcPr>
          <w:p w14:paraId="7834EEE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apoptotic process (GO:0043065)</w:t>
            </w:r>
          </w:p>
        </w:tc>
        <w:tc>
          <w:tcPr>
            <w:tcW w:w="738" w:type="pct"/>
            <w:vAlign w:val="center"/>
          </w:tcPr>
          <w:p w14:paraId="21BE079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0.001625074</w:t>
            </w:r>
          </w:p>
        </w:tc>
      </w:tr>
      <w:tr w:rsidR="008B125F" w:rsidRPr="00C925F2" w14:paraId="454DD57B" w14:textId="77777777" w:rsidTr="00C925F2">
        <w:tc>
          <w:tcPr>
            <w:tcW w:w="1857" w:type="pct"/>
            <w:shd w:val="clear" w:color="auto" w:fill="auto"/>
            <w:vAlign w:val="center"/>
          </w:tcPr>
          <w:p w14:paraId="571F2879"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neuron death (GO:1901216)</w:t>
            </w:r>
          </w:p>
        </w:tc>
        <w:tc>
          <w:tcPr>
            <w:tcW w:w="738" w:type="pct"/>
            <w:tcBorders>
              <w:right w:val="double" w:sz="4" w:space="0" w:color="auto"/>
            </w:tcBorders>
            <w:shd w:val="clear" w:color="auto" w:fill="auto"/>
            <w:vAlign w:val="center"/>
          </w:tcPr>
          <w:p w14:paraId="6160865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4.14E-04</w:t>
            </w:r>
          </w:p>
        </w:tc>
        <w:tc>
          <w:tcPr>
            <w:tcW w:w="1666" w:type="pct"/>
            <w:tcBorders>
              <w:left w:val="double" w:sz="4" w:space="0" w:color="auto"/>
            </w:tcBorders>
            <w:vAlign w:val="center"/>
          </w:tcPr>
          <w:p w14:paraId="4F0EB66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negative regulation of DNA-binding transcription factor activity (GO:0043433)</w:t>
            </w:r>
          </w:p>
        </w:tc>
        <w:tc>
          <w:tcPr>
            <w:tcW w:w="738" w:type="pct"/>
            <w:vAlign w:val="center"/>
          </w:tcPr>
          <w:p w14:paraId="0277B45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0.001668812</w:t>
            </w:r>
          </w:p>
        </w:tc>
      </w:tr>
      <w:tr w:rsidR="008B125F" w:rsidRPr="00C925F2" w14:paraId="51B87B2C" w14:textId="77777777" w:rsidTr="00C925F2">
        <w:tc>
          <w:tcPr>
            <w:tcW w:w="1857" w:type="pct"/>
            <w:shd w:val="clear" w:color="auto" w:fill="auto"/>
            <w:vAlign w:val="center"/>
          </w:tcPr>
          <w:p w14:paraId="560396C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cellular protein catabolic process (GO:0044257)</w:t>
            </w:r>
          </w:p>
        </w:tc>
        <w:tc>
          <w:tcPr>
            <w:tcW w:w="738" w:type="pct"/>
            <w:tcBorders>
              <w:right w:val="double" w:sz="4" w:space="0" w:color="auto"/>
            </w:tcBorders>
            <w:shd w:val="clear" w:color="auto" w:fill="auto"/>
            <w:vAlign w:val="center"/>
          </w:tcPr>
          <w:p w14:paraId="62BCC2A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4.86E-04</w:t>
            </w:r>
          </w:p>
        </w:tc>
        <w:tc>
          <w:tcPr>
            <w:tcW w:w="1666" w:type="pct"/>
            <w:tcBorders>
              <w:left w:val="double" w:sz="4" w:space="0" w:color="auto"/>
            </w:tcBorders>
            <w:vAlign w:val="center"/>
          </w:tcPr>
          <w:p w14:paraId="7E85A4B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endothelial cell migration (GO:0043542)</w:t>
            </w:r>
          </w:p>
        </w:tc>
        <w:tc>
          <w:tcPr>
            <w:tcW w:w="738" w:type="pct"/>
            <w:vAlign w:val="center"/>
          </w:tcPr>
          <w:p w14:paraId="680CE4F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0.001882991</w:t>
            </w:r>
          </w:p>
        </w:tc>
      </w:tr>
      <w:tr w:rsidR="008B125F" w:rsidRPr="00C925F2" w14:paraId="18F9D318" w14:textId="77777777" w:rsidTr="00C925F2">
        <w:tc>
          <w:tcPr>
            <w:tcW w:w="1857" w:type="pct"/>
            <w:shd w:val="clear" w:color="auto" w:fill="auto"/>
            <w:vAlign w:val="center"/>
          </w:tcPr>
          <w:p w14:paraId="2D5A1D9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transmembrane receptor protein tyrosine kinase signaling pathway (GO:0007169)</w:t>
            </w:r>
          </w:p>
        </w:tc>
        <w:tc>
          <w:tcPr>
            <w:tcW w:w="738" w:type="pct"/>
            <w:tcBorders>
              <w:right w:val="double" w:sz="4" w:space="0" w:color="auto"/>
            </w:tcBorders>
            <w:shd w:val="clear" w:color="auto" w:fill="auto"/>
            <w:vAlign w:val="center"/>
          </w:tcPr>
          <w:p w14:paraId="752E75E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5.78E-04</w:t>
            </w:r>
          </w:p>
        </w:tc>
        <w:tc>
          <w:tcPr>
            <w:tcW w:w="1666" w:type="pct"/>
            <w:tcBorders>
              <w:left w:val="double" w:sz="4" w:space="0" w:color="auto"/>
            </w:tcBorders>
            <w:vAlign w:val="center"/>
          </w:tcPr>
          <w:p w14:paraId="126D503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supramolecular fiber organization (GO:0097435)</w:t>
            </w:r>
          </w:p>
        </w:tc>
        <w:tc>
          <w:tcPr>
            <w:tcW w:w="738" w:type="pct"/>
            <w:vAlign w:val="center"/>
          </w:tcPr>
          <w:p w14:paraId="06AC3F0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0.00255294</w:t>
            </w:r>
          </w:p>
        </w:tc>
      </w:tr>
      <w:tr w:rsidR="008B125F" w:rsidRPr="00C925F2" w14:paraId="53034B42" w14:textId="77777777" w:rsidTr="00C925F2">
        <w:tc>
          <w:tcPr>
            <w:tcW w:w="1857" w:type="pct"/>
            <w:shd w:val="clear" w:color="auto" w:fill="auto"/>
            <w:vAlign w:val="center"/>
          </w:tcPr>
          <w:p w14:paraId="43240F5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Wnt signaling pathway, planar cell polarity pathway (GO:2000096)</w:t>
            </w:r>
          </w:p>
        </w:tc>
        <w:tc>
          <w:tcPr>
            <w:tcW w:w="738" w:type="pct"/>
            <w:tcBorders>
              <w:right w:val="double" w:sz="4" w:space="0" w:color="auto"/>
            </w:tcBorders>
            <w:shd w:val="clear" w:color="auto" w:fill="auto"/>
            <w:vAlign w:val="center"/>
          </w:tcPr>
          <w:p w14:paraId="596E663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0.001073747</w:t>
            </w:r>
          </w:p>
        </w:tc>
        <w:tc>
          <w:tcPr>
            <w:tcW w:w="1666" w:type="pct"/>
            <w:tcBorders>
              <w:left w:val="double" w:sz="4" w:space="0" w:color="auto"/>
            </w:tcBorders>
            <w:vAlign w:val="center"/>
          </w:tcPr>
          <w:p w14:paraId="7B53F00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unsaturated fatty acid metabolic process (GO:0033559)</w:t>
            </w:r>
          </w:p>
        </w:tc>
        <w:tc>
          <w:tcPr>
            <w:tcW w:w="738" w:type="pct"/>
            <w:vAlign w:val="center"/>
          </w:tcPr>
          <w:p w14:paraId="5E2BD7D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0.003580659</w:t>
            </w:r>
          </w:p>
        </w:tc>
      </w:tr>
      <w:tr w:rsidR="008B125F" w:rsidRPr="00C925F2" w14:paraId="748C16D7" w14:textId="77777777" w:rsidTr="00C925F2">
        <w:tc>
          <w:tcPr>
            <w:tcW w:w="1857" w:type="pct"/>
            <w:shd w:val="clear" w:color="auto" w:fill="auto"/>
            <w:vAlign w:val="center"/>
          </w:tcPr>
          <w:p w14:paraId="406B171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extracellular exosome assembly (GO:1903551)</w:t>
            </w:r>
          </w:p>
        </w:tc>
        <w:tc>
          <w:tcPr>
            <w:tcW w:w="738" w:type="pct"/>
            <w:tcBorders>
              <w:right w:val="double" w:sz="4" w:space="0" w:color="auto"/>
            </w:tcBorders>
            <w:shd w:val="clear" w:color="auto" w:fill="auto"/>
            <w:vAlign w:val="center"/>
          </w:tcPr>
          <w:p w14:paraId="6762A23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0.001073747</w:t>
            </w:r>
          </w:p>
        </w:tc>
        <w:tc>
          <w:tcPr>
            <w:tcW w:w="1666" w:type="pct"/>
            <w:tcBorders>
              <w:left w:val="double" w:sz="4" w:space="0" w:color="auto"/>
            </w:tcBorders>
            <w:vAlign w:val="center"/>
          </w:tcPr>
          <w:p w14:paraId="4DF5899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endopeptidase activity (GO:0052548)</w:t>
            </w:r>
          </w:p>
        </w:tc>
        <w:tc>
          <w:tcPr>
            <w:tcW w:w="738" w:type="pct"/>
            <w:vAlign w:val="center"/>
          </w:tcPr>
          <w:p w14:paraId="5FAC6AD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0.006110262</w:t>
            </w:r>
          </w:p>
        </w:tc>
      </w:tr>
      <w:tr w:rsidR="008B125F" w:rsidRPr="00C925F2" w14:paraId="58DC89DF" w14:textId="77777777" w:rsidTr="00C925F2">
        <w:tc>
          <w:tcPr>
            <w:tcW w:w="1857" w:type="pct"/>
            <w:shd w:val="clear" w:color="auto" w:fill="auto"/>
            <w:vAlign w:val="center"/>
          </w:tcPr>
          <w:p w14:paraId="3D553AA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ephrin receptor signaling pathway (GO:0048013)</w:t>
            </w:r>
          </w:p>
        </w:tc>
        <w:tc>
          <w:tcPr>
            <w:tcW w:w="738" w:type="pct"/>
            <w:tcBorders>
              <w:right w:val="double" w:sz="4" w:space="0" w:color="auto"/>
            </w:tcBorders>
            <w:shd w:val="clear" w:color="auto" w:fill="auto"/>
            <w:vAlign w:val="center"/>
          </w:tcPr>
          <w:p w14:paraId="09B7FEF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0.001275793</w:t>
            </w:r>
          </w:p>
        </w:tc>
        <w:tc>
          <w:tcPr>
            <w:tcW w:w="1666" w:type="pct"/>
            <w:tcBorders>
              <w:left w:val="double" w:sz="4" w:space="0" w:color="auto"/>
            </w:tcBorders>
            <w:vAlign w:val="center"/>
          </w:tcPr>
          <w:p w14:paraId="72BC616D"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negative regulation of cell adhesion (GO:0007162)</w:t>
            </w:r>
          </w:p>
        </w:tc>
        <w:tc>
          <w:tcPr>
            <w:tcW w:w="738" w:type="pct"/>
            <w:vAlign w:val="center"/>
          </w:tcPr>
          <w:p w14:paraId="3FF298C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0.006448618</w:t>
            </w:r>
          </w:p>
        </w:tc>
      </w:tr>
      <w:tr w:rsidR="008B125F" w:rsidRPr="00C925F2" w14:paraId="612D3D9A" w14:textId="77777777" w:rsidTr="00C925F2">
        <w:tc>
          <w:tcPr>
            <w:tcW w:w="1857" w:type="pct"/>
            <w:shd w:val="clear" w:color="auto" w:fill="auto"/>
            <w:vAlign w:val="center"/>
          </w:tcPr>
          <w:p w14:paraId="1FA21FF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interleukin-17 production (GO:0032660)</w:t>
            </w:r>
          </w:p>
        </w:tc>
        <w:tc>
          <w:tcPr>
            <w:tcW w:w="738" w:type="pct"/>
            <w:tcBorders>
              <w:right w:val="double" w:sz="4" w:space="0" w:color="auto"/>
            </w:tcBorders>
            <w:shd w:val="clear" w:color="auto" w:fill="auto"/>
            <w:vAlign w:val="center"/>
          </w:tcPr>
          <w:p w14:paraId="29B0BBB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0.001531257</w:t>
            </w:r>
          </w:p>
        </w:tc>
        <w:tc>
          <w:tcPr>
            <w:tcW w:w="1666" w:type="pct"/>
            <w:tcBorders>
              <w:left w:val="double" w:sz="4" w:space="0" w:color="auto"/>
            </w:tcBorders>
            <w:vAlign w:val="center"/>
          </w:tcPr>
          <w:p w14:paraId="7C1E40C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negative regulation of NF-kappaB transcription factor activity (GO:0032088)</w:t>
            </w:r>
          </w:p>
        </w:tc>
        <w:tc>
          <w:tcPr>
            <w:tcW w:w="738" w:type="pct"/>
            <w:vAlign w:val="center"/>
          </w:tcPr>
          <w:p w14:paraId="2FA828AD"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0.007513763</w:t>
            </w:r>
          </w:p>
        </w:tc>
      </w:tr>
      <w:tr w:rsidR="008B125F" w:rsidRPr="00C925F2" w14:paraId="4AA37746" w14:textId="77777777" w:rsidTr="00C925F2">
        <w:tc>
          <w:tcPr>
            <w:tcW w:w="1857" w:type="pct"/>
            <w:tcBorders>
              <w:bottom w:val="single" w:sz="12" w:space="0" w:color="auto"/>
            </w:tcBorders>
            <w:shd w:val="clear" w:color="auto" w:fill="auto"/>
            <w:vAlign w:val="center"/>
          </w:tcPr>
          <w:p w14:paraId="1FA12519"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NAD biosynthesis via nicotinamide riboside salvage pathway (GO:0034356)</w:t>
            </w:r>
          </w:p>
        </w:tc>
        <w:tc>
          <w:tcPr>
            <w:tcW w:w="738" w:type="pct"/>
            <w:tcBorders>
              <w:bottom w:val="single" w:sz="12" w:space="0" w:color="auto"/>
              <w:right w:val="double" w:sz="4" w:space="0" w:color="auto"/>
            </w:tcBorders>
            <w:shd w:val="clear" w:color="auto" w:fill="auto"/>
            <w:vAlign w:val="center"/>
          </w:tcPr>
          <w:p w14:paraId="0418F5FE"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0.001664215</w:t>
            </w:r>
          </w:p>
        </w:tc>
        <w:tc>
          <w:tcPr>
            <w:tcW w:w="1666" w:type="pct"/>
            <w:tcBorders>
              <w:left w:val="double" w:sz="4" w:space="0" w:color="auto"/>
              <w:bottom w:val="single" w:sz="12" w:space="0" w:color="auto"/>
            </w:tcBorders>
            <w:vAlign w:val="center"/>
          </w:tcPr>
          <w:p w14:paraId="4CA1D6CE"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anion homeostasis (GO:0055081)</w:t>
            </w:r>
          </w:p>
        </w:tc>
        <w:tc>
          <w:tcPr>
            <w:tcW w:w="738" w:type="pct"/>
            <w:tcBorders>
              <w:bottom w:val="single" w:sz="12" w:space="0" w:color="auto"/>
            </w:tcBorders>
            <w:vAlign w:val="center"/>
          </w:tcPr>
          <w:p w14:paraId="77BA8C40"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0.008223548</w:t>
            </w:r>
          </w:p>
        </w:tc>
      </w:tr>
      <w:tr w:rsidR="008B125F" w:rsidRPr="00C925F2" w14:paraId="7BF9EF5F" w14:textId="77777777" w:rsidTr="00C925F2">
        <w:tc>
          <w:tcPr>
            <w:tcW w:w="5000" w:type="pct"/>
            <w:gridSpan w:val="4"/>
            <w:tcBorders>
              <w:top w:val="single" w:sz="12" w:space="0" w:color="auto"/>
              <w:bottom w:val="single" w:sz="12" w:space="0" w:color="auto"/>
            </w:tcBorders>
            <w:shd w:val="clear" w:color="auto" w:fill="auto"/>
            <w:vAlign w:val="center"/>
          </w:tcPr>
          <w:p w14:paraId="7C239437" w14:textId="77777777" w:rsidR="008B125F" w:rsidRPr="00C925F2" w:rsidRDefault="008B125F" w:rsidP="00B30FC9">
            <w:pPr>
              <w:spacing w:before="120"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Comparison between TMT-based AD brain proteomics data (differentially expressed between AD and HC dorsolateral prefrontal cortex, Johnson et al., 2022) and TMT-based aged/sAD tNeuron proteomics data</w:t>
            </w:r>
          </w:p>
        </w:tc>
      </w:tr>
      <w:tr w:rsidR="008B125F" w:rsidRPr="00C925F2" w14:paraId="2DC4244C" w14:textId="77777777" w:rsidTr="00C925F2">
        <w:tc>
          <w:tcPr>
            <w:tcW w:w="5000" w:type="pct"/>
            <w:gridSpan w:val="4"/>
            <w:tcBorders>
              <w:top w:val="single" w:sz="12" w:space="0" w:color="auto"/>
              <w:bottom w:val="single" w:sz="6" w:space="0" w:color="auto"/>
            </w:tcBorders>
            <w:shd w:val="clear" w:color="auto" w:fill="D9D9D9" w:themeFill="background1" w:themeFillShade="D9"/>
            <w:vAlign w:val="center"/>
          </w:tcPr>
          <w:p w14:paraId="3E61173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Overlapped Genes</w:t>
            </w:r>
          </w:p>
        </w:tc>
      </w:tr>
      <w:tr w:rsidR="008B125F" w:rsidRPr="00C925F2" w14:paraId="22444058" w14:textId="77777777" w:rsidTr="00C925F2">
        <w:tc>
          <w:tcPr>
            <w:tcW w:w="5000" w:type="pct"/>
            <w:gridSpan w:val="4"/>
            <w:tcBorders>
              <w:top w:val="single" w:sz="6" w:space="0" w:color="auto"/>
              <w:bottom w:val="single" w:sz="6" w:space="0" w:color="auto"/>
            </w:tcBorders>
            <w:shd w:val="clear" w:color="auto" w:fill="auto"/>
            <w:vAlign w:val="center"/>
          </w:tcPr>
          <w:p w14:paraId="58B13B7E" w14:textId="77777777" w:rsidR="008B125F" w:rsidRPr="00C925F2" w:rsidRDefault="008B125F" w:rsidP="00B30FC9">
            <w:pPr>
              <w:spacing w:after="120"/>
              <w:jc w:val="center"/>
              <w:rPr>
                <w:rFonts w:ascii="Times New Roman" w:hAnsi="Times New Roman" w:cs="Times New Roman"/>
                <w:i/>
                <w:iCs/>
                <w:color w:val="000000" w:themeColor="text1"/>
                <w:sz w:val="22"/>
                <w:szCs w:val="22"/>
              </w:rPr>
            </w:pPr>
            <w:r w:rsidRPr="00C925F2">
              <w:rPr>
                <w:rFonts w:ascii="Times New Roman" w:hAnsi="Times New Roman" w:cs="Times New Roman"/>
                <w:i/>
                <w:iCs/>
                <w:color w:val="000000" w:themeColor="text1"/>
                <w:sz w:val="22"/>
                <w:szCs w:val="22"/>
              </w:rPr>
              <w:t>ALPL, CLU, CPM, CSRP1, DCTPP1, DES, FHL1, ICAM1, IDH2, OLFML3, PADI2, PBXIP1, RAB27B, RENBP, SCGN, SCIN, SDC4, SERPINE2, SLC38A2, SLC4A7, SPON1, SYNM, TP53I11</w:t>
            </w:r>
          </w:p>
        </w:tc>
      </w:tr>
      <w:tr w:rsidR="008B125F" w:rsidRPr="00C925F2" w14:paraId="7D507F4B" w14:textId="77777777" w:rsidTr="00C925F2">
        <w:tc>
          <w:tcPr>
            <w:tcW w:w="1857" w:type="pct"/>
            <w:tcBorders>
              <w:top w:val="single" w:sz="6" w:space="0" w:color="auto"/>
              <w:bottom w:val="single" w:sz="6" w:space="0" w:color="auto"/>
            </w:tcBorders>
            <w:shd w:val="clear" w:color="auto" w:fill="D9D9D9" w:themeFill="background1" w:themeFillShade="D9"/>
            <w:vAlign w:val="center"/>
          </w:tcPr>
          <w:p w14:paraId="2F65353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GO Terms (Johnson et al., 2022)</w:t>
            </w:r>
          </w:p>
        </w:tc>
        <w:tc>
          <w:tcPr>
            <w:tcW w:w="738" w:type="pct"/>
            <w:tcBorders>
              <w:top w:val="single" w:sz="6" w:space="0" w:color="auto"/>
              <w:bottom w:val="single" w:sz="6" w:space="0" w:color="auto"/>
              <w:right w:val="double" w:sz="4" w:space="0" w:color="auto"/>
            </w:tcBorders>
            <w:shd w:val="clear" w:color="auto" w:fill="D9D9D9" w:themeFill="background1" w:themeFillShade="D9"/>
            <w:vAlign w:val="center"/>
          </w:tcPr>
          <w:p w14:paraId="58B6DF6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P-value</w:t>
            </w:r>
          </w:p>
        </w:tc>
        <w:tc>
          <w:tcPr>
            <w:tcW w:w="1666" w:type="pct"/>
            <w:tcBorders>
              <w:top w:val="single" w:sz="6" w:space="0" w:color="auto"/>
              <w:left w:val="double" w:sz="4" w:space="0" w:color="auto"/>
              <w:bottom w:val="single" w:sz="6" w:space="0" w:color="auto"/>
            </w:tcBorders>
            <w:shd w:val="clear" w:color="auto" w:fill="D9D9D9" w:themeFill="background1" w:themeFillShade="D9"/>
            <w:vAlign w:val="center"/>
          </w:tcPr>
          <w:p w14:paraId="7AA6937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GO Terms (Overlapped genes)</w:t>
            </w:r>
          </w:p>
        </w:tc>
        <w:tc>
          <w:tcPr>
            <w:tcW w:w="738" w:type="pct"/>
            <w:tcBorders>
              <w:top w:val="single" w:sz="6" w:space="0" w:color="auto"/>
              <w:bottom w:val="single" w:sz="6" w:space="0" w:color="auto"/>
            </w:tcBorders>
            <w:shd w:val="clear" w:color="auto" w:fill="D9D9D9" w:themeFill="background1" w:themeFillShade="D9"/>
            <w:vAlign w:val="center"/>
          </w:tcPr>
          <w:p w14:paraId="63743CE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P-value</w:t>
            </w:r>
          </w:p>
        </w:tc>
      </w:tr>
      <w:tr w:rsidR="008B125F" w:rsidRPr="00C925F2" w14:paraId="57D4E2FE" w14:textId="77777777" w:rsidTr="00C925F2">
        <w:tc>
          <w:tcPr>
            <w:tcW w:w="1857" w:type="pct"/>
            <w:tcBorders>
              <w:top w:val="single" w:sz="6" w:space="0" w:color="auto"/>
            </w:tcBorders>
            <w:shd w:val="clear" w:color="auto" w:fill="auto"/>
            <w:vAlign w:val="center"/>
          </w:tcPr>
          <w:p w14:paraId="14304E3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regulated exocytosis (GO:0045055)</w:t>
            </w:r>
          </w:p>
        </w:tc>
        <w:tc>
          <w:tcPr>
            <w:tcW w:w="738" w:type="pct"/>
            <w:tcBorders>
              <w:top w:val="single" w:sz="6" w:space="0" w:color="auto"/>
              <w:right w:val="double" w:sz="4" w:space="0" w:color="auto"/>
            </w:tcBorders>
            <w:shd w:val="clear" w:color="auto" w:fill="auto"/>
            <w:vAlign w:val="center"/>
          </w:tcPr>
          <w:p w14:paraId="1C366CE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1.43E-10</w:t>
            </w:r>
          </w:p>
        </w:tc>
        <w:tc>
          <w:tcPr>
            <w:tcW w:w="1666" w:type="pct"/>
            <w:tcBorders>
              <w:top w:val="single" w:sz="6" w:space="0" w:color="auto"/>
              <w:left w:val="double" w:sz="4" w:space="0" w:color="auto"/>
            </w:tcBorders>
            <w:vAlign w:val="center"/>
          </w:tcPr>
          <w:p w14:paraId="6EFBAAB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ion homeostasis (GO:0050801)</w:t>
            </w:r>
          </w:p>
        </w:tc>
        <w:tc>
          <w:tcPr>
            <w:tcW w:w="738" w:type="pct"/>
            <w:tcBorders>
              <w:top w:val="single" w:sz="6" w:space="0" w:color="auto"/>
            </w:tcBorders>
            <w:vAlign w:val="center"/>
          </w:tcPr>
          <w:p w14:paraId="47D1D49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5.40E-04</w:t>
            </w:r>
          </w:p>
        </w:tc>
      </w:tr>
      <w:tr w:rsidR="008B125F" w:rsidRPr="00C925F2" w14:paraId="17F5E036" w14:textId="77777777" w:rsidTr="00C925F2">
        <w:tc>
          <w:tcPr>
            <w:tcW w:w="1857" w:type="pct"/>
            <w:shd w:val="clear" w:color="auto" w:fill="auto"/>
            <w:vAlign w:val="center"/>
          </w:tcPr>
          <w:p w14:paraId="1D15111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extracellular matrix organization (GO:0030198)</w:t>
            </w:r>
          </w:p>
        </w:tc>
        <w:tc>
          <w:tcPr>
            <w:tcW w:w="738" w:type="pct"/>
            <w:tcBorders>
              <w:right w:val="double" w:sz="4" w:space="0" w:color="auto"/>
            </w:tcBorders>
            <w:shd w:val="clear" w:color="auto" w:fill="auto"/>
            <w:vAlign w:val="center"/>
          </w:tcPr>
          <w:p w14:paraId="4C3CE7D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5.67E-08</w:t>
            </w:r>
          </w:p>
        </w:tc>
        <w:tc>
          <w:tcPr>
            <w:tcW w:w="1666" w:type="pct"/>
            <w:tcBorders>
              <w:left w:val="double" w:sz="4" w:space="0" w:color="auto"/>
            </w:tcBorders>
            <w:vAlign w:val="center"/>
          </w:tcPr>
          <w:p w14:paraId="5796BFB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exocytosis (GO:0045921)</w:t>
            </w:r>
          </w:p>
        </w:tc>
        <w:tc>
          <w:tcPr>
            <w:tcW w:w="738" w:type="pct"/>
            <w:vAlign w:val="center"/>
          </w:tcPr>
          <w:p w14:paraId="4D462B3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8.22E-04</w:t>
            </w:r>
          </w:p>
        </w:tc>
      </w:tr>
      <w:tr w:rsidR="008B125F" w:rsidRPr="00C925F2" w14:paraId="4F5AD416" w14:textId="77777777" w:rsidTr="00C925F2">
        <w:tc>
          <w:tcPr>
            <w:tcW w:w="1857" w:type="pct"/>
            <w:shd w:val="clear" w:color="auto" w:fill="auto"/>
            <w:vAlign w:val="center"/>
          </w:tcPr>
          <w:p w14:paraId="4EA746A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neurotransmitter receptor activity (GO:0099601)</w:t>
            </w:r>
          </w:p>
        </w:tc>
        <w:tc>
          <w:tcPr>
            <w:tcW w:w="738" w:type="pct"/>
            <w:tcBorders>
              <w:right w:val="double" w:sz="4" w:space="0" w:color="auto"/>
            </w:tcBorders>
            <w:shd w:val="clear" w:color="auto" w:fill="auto"/>
            <w:vAlign w:val="center"/>
          </w:tcPr>
          <w:p w14:paraId="024ED9C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6.52E-07</w:t>
            </w:r>
          </w:p>
        </w:tc>
        <w:tc>
          <w:tcPr>
            <w:tcW w:w="1666" w:type="pct"/>
            <w:tcBorders>
              <w:left w:val="double" w:sz="4" w:space="0" w:color="auto"/>
            </w:tcBorders>
            <w:vAlign w:val="center"/>
          </w:tcPr>
          <w:p w14:paraId="2606527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regulated exocytosis (GO:0045055)</w:t>
            </w:r>
          </w:p>
        </w:tc>
        <w:tc>
          <w:tcPr>
            <w:tcW w:w="738" w:type="pct"/>
            <w:vAlign w:val="center"/>
          </w:tcPr>
          <w:p w14:paraId="5B971DB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0.001111992</w:t>
            </w:r>
          </w:p>
        </w:tc>
      </w:tr>
      <w:tr w:rsidR="008B125F" w:rsidRPr="00C925F2" w14:paraId="39F4CAA0" w14:textId="77777777" w:rsidTr="00C925F2">
        <w:tc>
          <w:tcPr>
            <w:tcW w:w="1857" w:type="pct"/>
            <w:shd w:val="clear" w:color="auto" w:fill="auto"/>
            <w:vAlign w:val="center"/>
          </w:tcPr>
          <w:p w14:paraId="6A87201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neutrophil activation involved in immune response (GO:0002283)</w:t>
            </w:r>
          </w:p>
        </w:tc>
        <w:tc>
          <w:tcPr>
            <w:tcW w:w="738" w:type="pct"/>
            <w:tcBorders>
              <w:right w:val="double" w:sz="4" w:space="0" w:color="auto"/>
            </w:tcBorders>
            <w:shd w:val="clear" w:color="auto" w:fill="auto"/>
            <w:vAlign w:val="center"/>
          </w:tcPr>
          <w:p w14:paraId="5CE6F2DD"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1.45E-05</w:t>
            </w:r>
          </w:p>
        </w:tc>
        <w:tc>
          <w:tcPr>
            <w:tcW w:w="1666" w:type="pct"/>
            <w:tcBorders>
              <w:left w:val="double" w:sz="4" w:space="0" w:color="auto"/>
            </w:tcBorders>
            <w:vAlign w:val="center"/>
          </w:tcPr>
          <w:p w14:paraId="22FFE05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receptor-mediated virion attachment to host cell (GO:0046813)</w:t>
            </w:r>
          </w:p>
        </w:tc>
        <w:tc>
          <w:tcPr>
            <w:tcW w:w="738" w:type="pct"/>
            <w:vAlign w:val="center"/>
          </w:tcPr>
          <w:p w14:paraId="4D4DBA6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0.005737289</w:t>
            </w:r>
          </w:p>
        </w:tc>
      </w:tr>
      <w:tr w:rsidR="008B125F" w:rsidRPr="00C925F2" w14:paraId="4483CDC4" w14:textId="77777777" w:rsidTr="00C925F2">
        <w:tc>
          <w:tcPr>
            <w:tcW w:w="1857" w:type="pct"/>
            <w:shd w:val="clear" w:color="auto" w:fill="auto"/>
            <w:vAlign w:val="center"/>
          </w:tcPr>
          <w:p w14:paraId="7F0E215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cell differentiation (GO:0045597)</w:t>
            </w:r>
          </w:p>
        </w:tc>
        <w:tc>
          <w:tcPr>
            <w:tcW w:w="738" w:type="pct"/>
            <w:tcBorders>
              <w:right w:val="double" w:sz="4" w:space="0" w:color="auto"/>
            </w:tcBorders>
            <w:shd w:val="clear" w:color="auto" w:fill="auto"/>
            <w:vAlign w:val="center"/>
          </w:tcPr>
          <w:p w14:paraId="5C2299F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2.67E-05</w:t>
            </w:r>
          </w:p>
        </w:tc>
        <w:tc>
          <w:tcPr>
            <w:tcW w:w="1666" w:type="pct"/>
            <w:tcBorders>
              <w:left w:val="double" w:sz="4" w:space="0" w:color="auto"/>
            </w:tcBorders>
            <w:vAlign w:val="center"/>
          </w:tcPr>
          <w:p w14:paraId="367986F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DNA protection (GO:0042262)</w:t>
            </w:r>
          </w:p>
        </w:tc>
        <w:tc>
          <w:tcPr>
            <w:tcW w:w="738" w:type="pct"/>
            <w:vAlign w:val="center"/>
          </w:tcPr>
          <w:p w14:paraId="6F3AF98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0.005737289</w:t>
            </w:r>
          </w:p>
        </w:tc>
      </w:tr>
      <w:tr w:rsidR="008B125F" w:rsidRPr="00C925F2" w14:paraId="3E8A33D6" w14:textId="77777777" w:rsidTr="00C925F2">
        <w:tc>
          <w:tcPr>
            <w:tcW w:w="1857" w:type="pct"/>
            <w:shd w:val="clear" w:color="auto" w:fill="auto"/>
            <w:vAlign w:val="center"/>
          </w:tcPr>
          <w:p w14:paraId="0F79BFA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lastRenderedPageBreak/>
              <w:t>regulation of superoxide anion generation (GO:0032928)</w:t>
            </w:r>
          </w:p>
        </w:tc>
        <w:tc>
          <w:tcPr>
            <w:tcW w:w="738" w:type="pct"/>
            <w:tcBorders>
              <w:right w:val="double" w:sz="4" w:space="0" w:color="auto"/>
            </w:tcBorders>
            <w:shd w:val="clear" w:color="auto" w:fill="auto"/>
            <w:vAlign w:val="center"/>
          </w:tcPr>
          <w:p w14:paraId="4CBB4A2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3.06E-05</w:t>
            </w:r>
          </w:p>
        </w:tc>
        <w:tc>
          <w:tcPr>
            <w:tcW w:w="1666" w:type="pct"/>
            <w:tcBorders>
              <w:left w:val="double" w:sz="4" w:space="0" w:color="auto"/>
            </w:tcBorders>
            <w:vAlign w:val="center"/>
          </w:tcPr>
          <w:p w14:paraId="4817BE9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positive regulation of tau-protein kinase activity (GO:1902949)</w:t>
            </w:r>
          </w:p>
        </w:tc>
        <w:tc>
          <w:tcPr>
            <w:tcW w:w="738" w:type="pct"/>
            <w:vAlign w:val="center"/>
          </w:tcPr>
          <w:p w14:paraId="51F852B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0.006880968</w:t>
            </w:r>
          </w:p>
        </w:tc>
      </w:tr>
      <w:tr w:rsidR="008B125F" w:rsidRPr="00C925F2" w14:paraId="1E3D2A93" w14:textId="77777777" w:rsidTr="00C925F2">
        <w:tc>
          <w:tcPr>
            <w:tcW w:w="1857" w:type="pct"/>
            <w:shd w:val="clear" w:color="auto" w:fill="auto"/>
            <w:vAlign w:val="center"/>
          </w:tcPr>
          <w:p w14:paraId="56F36E29"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long-term synaptic potentiation (GO:1900271)</w:t>
            </w:r>
          </w:p>
        </w:tc>
        <w:tc>
          <w:tcPr>
            <w:tcW w:w="738" w:type="pct"/>
            <w:tcBorders>
              <w:right w:val="double" w:sz="4" w:space="0" w:color="auto"/>
            </w:tcBorders>
            <w:shd w:val="clear" w:color="auto" w:fill="auto"/>
            <w:vAlign w:val="center"/>
          </w:tcPr>
          <w:p w14:paraId="53D5F76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3.43E-05</w:t>
            </w:r>
          </w:p>
        </w:tc>
        <w:tc>
          <w:tcPr>
            <w:tcW w:w="1666" w:type="pct"/>
            <w:tcBorders>
              <w:left w:val="double" w:sz="4" w:space="0" w:color="auto"/>
            </w:tcBorders>
            <w:vAlign w:val="center"/>
          </w:tcPr>
          <w:p w14:paraId="52821D5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chromatin assembly or disassembly (GO:0001672)</w:t>
            </w:r>
          </w:p>
        </w:tc>
        <w:tc>
          <w:tcPr>
            <w:tcW w:w="738" w:type="pct"/>
            <w:vAlign w:val="center"/>
          </w:tcPr>
          <w:p w14:paraId="64AB648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0.00802339</w:t>
            </w:r>
          </w:p>
        </w:tc>
      </w:tr>
      <w:tr w:rsidR="008B125F" w:rsidRPr="00C925F2" w14:paraId="74849F61" w14:textId="77777777" w:rsidTr="00C925F2">
        <w:tc>
          <w:tcPr>
            <w:tcW w:w="1857" w:type="pct"/>
            <w:shd w:val="clear" w:color="auto" w:fill="auto"/>
            <w:vAlign w:val="center"/>
          </w:tcPr>
          <w:p w14:paraId="2B97097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nervous system development (GO:0007399)</w:t>
            </w:r>
          </w:p>
        </w:tc>
        <w:tc>
          <w:tcPr>
            <w:tcW w:w="738" w:type="pct"/>
            <w:tcBorders>
              <w:right w:val="double" w:sz="4" w:space="0" w:color="auto"/>
            </w:tcBorders>
            <w:shd w:val="clear" w:color="auto" w:fill="auto"/>
            <w:vAlign w:val="center"/>
          </w:tcPr>
          <w:p w14:paraId="5C52FFA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5.93E-05</w:t>
            </w:r>
          </w:p>
        </w:tc>
        <w:tc>
          <w:tcPr>
            <w:tcW w:w="1666" w:type="pct"/>
            <w:tcBorders>
              <w:left w:val="double" w:sz="4" w:space="0" w:color="auto"/>
            </w:tcBorders>
            <w:vAlign w:val="center"/>
          </w:tcPr>
          <w:p w14:paraId="7727B42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protein localization to presynapse (GO:1905383)</w:t>
            </w:r>
          </w:p>
        </w:tc>
        <w:tc>
          <w:tcPr>
            <w:tcW w:w="738" w:type="pct"/>
            <w:vAlign w:val="center"/>
          </w:tcPr>
          <w:p w14:paraId="4937960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0.009164555</w:t>
            </w:r>
          </w:p>
        </w:tc>
      </w:tr>
      <w:tr w:rsidR="008B125F" w:rsidRPr="00C925F2" w14:paraId="44A69668" w14:textId="77777777" w:rsidTr="00C925F2">
        <w:tc>
          <w:tcPr>
            <w:tcW w:w="1857" w:type="pct"/>
            <w:shd w:val="clear" w:color="auto" w:fill="auto"/>
            <w:vAlign w:val="center"/>
          </w:tcPr>
          <w:p w14:paraId="1EE3359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intermediate filament bundle assembly (GO:0045110)</w:t>
            </w:r>
          </w:p>
        </w:tc>
        <w:tc>
          <w:tcPr>
            <w:tcW w:w="738" w:type="pct"/>
            <w:tcBorders>
              <w:right w:val="double" w:sz="4" w:space="0" w:color="auto"/>
            </w:tcBorders>
            <w:shd w:val="clear" w:color="auto" w:fill="auto"/>
            <w:vAlign w:val="center"/>
          </w:tcPr>
          <w:p w14:paraId="0D8BA42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6.74E-05</w:t>
            </w:r>
          </w:p>
        </w:tc>
        <w:tc>
          <w:tcPr>
            <w:tcW w:w="1666" w:type="pct"/>
            <w:tcBorders>
              <w:left w:val="double" w:sz="4" w:space="0" w:color="auto"/>
            </w:tcBorders>
            <w:vAlign w:val="center"/>
          </w:tcPr>
          <w:p w14:paraId="4125D5F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chemokine-mediated signaling pathway (GO:0070099)</w:t>
            </w:r>
          </w:p>
        </w:tc>
        <w:tc>
          <w:tcPr>
            <w:tcW w:w="738" w:type="pct"/>
            <w:vAlign w:val="center"/>
          </w:tcPr>
          <w:p w14:paraId="638D73F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0.009164555</w:t>
            </w:r>
          </w:p>
        </w:tc>
      </w:tr>
      <w:tr w:rsidR="008B125F" w:rsidRPr="00C925F2" w14:paraId="463D02CC" w14:textId="77777777" w:rsidTr="00C925F2">
        <w:tc>
          <w:tcPr>
            <w:tcW w:w="1857" w:type="pct"/>
            <w:shd w:val="clear" w:color="auto" w:fill="auto"/>
            <w:vAlign w:val="center"/>
          </w:tcPr>
          <w:p w14:paraId="45E4FF2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glycosaminoglycan catabolic process (GO:0006027)</w:t>
            </w:r>
          </w:p>
        </w:tc>
        <w:tc>
          <w:tcPr>
            <w:tcW w:w="738" w:type="pct"/>
            <w:tcBorders>
              <w:right w:val="double" w:sz="4" w:space="0" w:color="auto"/>
            </w:tcBorders>
            <w:shd w:val="clear" w:color="auto" w:fill="auto"/>
            <w:vAlign w:val="center"/>
          </w:tcPr>
          <w:p w14:paraId="7D1D602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7.38E-05</w:t>
            </w:r>
          </w:p>
        </w:tc>
        <w:tc>
          <w:tcPr>
            <w:tcW w:w="1666" w:type="pct"/>
            <w:tcBorders>
              <w:left w:val="double" w:sz="4" w:space="0" w:color="auto"/>
            </w:tcBorders>
            <w:vAlign w:val="center"/>
          </w:tcPr>
          <w:p w14:paraId="6AFF4C2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leukocyte mediated cytotoxicity (GO:0001910)</w:t>
            </w:r>
          </w:p>
        </w:tc>
        <w:tc>
          <w:tcPr>
            <w:tcW w:w="738" w:type="pct"/>
            <w:vAlign w:val="center"/>
          </w:tcPr>
          <w:p w14:paraId="5F18673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0.010304464</w:t>
            </w:r>
          </w:p>
        </w:tc>
      </w:tr>
      <w:tr w:rsidR="008B125F" w:rsidRPr="00C925F2" w14:paraId="1A75AD9F" w14:textId="77777777" w:rsidTr="00C925F2">
        <w:tc>
          <w:tcPr>
            <w:tcW w:w="1857" w:type="pct"/>
            <w:shd w:val="clear" w:color="auto" w:fill="auto"/>
            <w:vAlign w:val="center"/>
          </w:tcPr>
          <w:p w14:paraId="2DA1271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transport across blood-brain barrier (GO:0150104)</w:t>
            </w:r>
          </w:p>
        </w:tc>
        <w:tc>
          <w:tcPr>
            <w:tcW w:w="738" w:type="pct"/>
            <w:tcBorders>
              <w:right w:val="double" w:sz="4" w:space="0" w:color="auto"/>
            </w:tcBorders>
            <w:shd w:val="clear" w:color="auto" w:fill="auto"/>
            <w:vAlign w:val="center"/>
          </w:tcPr>
          <w:p w14:paraId="1A64CB0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1.10E-04</w:t>
            </w:r>
          </w:p>
        </w:tc>
        <w:tc>
          <w:tcPr>
            <w:tcW w:w="1666" w:type="pct"/>
            <w:tcBorders>
              <w:left w:val="double" w:sz="4" w:space="0" w:color="auto"/>
            </w:tcBorders>
            <w:vAlign w:val="center"/>
          </w:tcPr>
          <w:p w14:paraId="27CCF40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response to misfolded protein (GO:0051788)</w:t>
            </w:r>
          </w:p>
        </w:tc>
        <w:tc>
          <w:tcPr>
            <w:tcW w:w="738" w:type="pct"/>
            <w:vAlign w:val="center"/>
          </w:tcPr>
          <w:p w14:paraId="7CBA846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0.010304464</w:t>
            </w:r>
          </w:p>
        </w:tc>
      </w:tr>
      <w:tr w:rsidR="008B125F" w:rsidRPr="00C925F2" w14:paraId="70E81F75" w14:textId="77777777" w:rsidTr="00C925F2">
        <w:tc>
          <w:tcPr>
            <w:tcW w:w="1857" w:type="pct"/>
            <w:shd w:val="clear" w:color="auto" w:fill="auto"/>
            <w:vAlign w:val="center"/>
          </w:tcPr>
          <w:p w14:paraId="2F927691"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cation channel activity (GO:2001257)</w:t>
            </w:r>
          </w:p>
        </w:tc>
        <w:tc>
          <w:tcPr>
            <w:tcW w:w="738" w:type="pct"/>
            <w:tcBorders>
              <w:right w:val="double" w:sz="4" w:space="0" w:color="auto"/>
            </w:tcBorders>
            <w:shd w:val="clear" w:color="auto" w:fill="auto"/>
            <w:vAlign w:val="center"/>
          </w:tcPr>
          <w:p w14:paraId="20DB6F4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1.36E-04</w:t>
            </w:r>
          </w:p>
        </w:tc>
        <w:tc>
          <w:tcPr>
            <w:tcW w:w="1666" w:type="pct"/>
            <w:tcBorders>
              <w:left w:val="double" w:sz="4" w:space="0" w:color="auto"/>
            </w:tcBorders>
            <w:vAlign w:val="center"/>
          </w:tcPr>
          <w:p w14:paraId="1D49693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sequestering of actin monomers (GO:0042989)</w:t>
            </w:r>
          </w:p>
        </w:tc>
        <w:tc>
          <w:tcPr>
            <w:tcW w:w="738" w:type="pct"/>
            <w:vAlign w:val="center"/>
          </w:tcPr>
          <w:p w14:paraId="2455213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0.01144312</w:t>
            </w:r>
          </w:p>
        </w:tc>
      </w:tr>
      <w:tr w:rsidR="008B125F" w:rsidRPr="00C925F2" w14:paraId="74F69021" w14:textId="77777777" w:rsidTr="00C925F2">
        <w:tc>
          <w:tcPr>
            <w:tcW w:w="1857" w:type="pct"/>
            <w:shd w:val="clear" w:color="auto" w:fill="auto"/>
            <w:vAlign w:val="center"/>
          </w:tcPr>
          <w:p w14:paraId="140BBB9A"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synaptic vesicle exocytosis (GO:0016079)</w:t>
            </w:r>
          </w:p>
        </w:tc>
        <w:tc>
          <w:tcPr>
            <w:tcW w:w="738" w:type="pct"/>
            <w:tcBorders>
              <w:right w:val="double" w:sz="4" w:space="0" w:color="auto"/>
            </w:tcBorders>
            <w:shd w:val="clear" w:color="auto" w:fill="auto"/>
            <w:vAlign w:val="center"/>
          </w:tcPr>
          <w:p w14:paraId="2128AC3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1.43E-04</w:t>
            </w:r>
          </w:p>
        </w:tc>
        <w:tc>
          <w:tcPr>
            <w:tcW w:w="1666" w:type="pct"/>
            <w:tcBorders>
              <w:left w:val="double" w:sz="4" w:space="0" w:color="auto"/>
            </w:tcBorders>
            <w:vAlign w:val="center"/>
          </w:tcPr>
          <w:p w14:paraId="3064307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central nervous system myelination (GO:0022010)</w:t>
            </w:r>
          </w:p>
        </w:tc>
        <w:tc>
          <w:tcPr>
            <w:tcW w:w="738" w:type="pct"/>
            <w:vAlign w:val="center"/>
          </w:tcPr>
          <w:p w14:paraId="0EA5428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0.012580523</w:t>
            </w:r>
          </w:p>
        </w:tc>
      </w:tr>
      <w:tr w:rsidR="008B125F" w:rsidRPr="00C925F2" w14:paraId="340EDA1F" w14:textId="77777777" w:rsidTr="00C925F2">
        <w:tc>
          <w:tcPr>
            <w:tcW w:w="1857" w:type="pct"/>
            <w:shd w:val="clear" w:color="auto" w:fill="auto"/>
            <w:vAlign w:val="center"/>
          </w:tcPr>
          <w:p w14:paraId="320446B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microglial cell activation (GO:0001774)</w:t>
            </w:r>
          </w:p>
        </w:tc>
        <w:tc>
          <w:tcPr>
            <w:tcW w:w="738" w:type="pct"/>
            <w:tcBorders>
              <w:right w:val="double" w:sz="4" w:space="0" w:color="auto"/>
            </w:tcBorders>
            <w:shd w:val="clear" w:color="auto" w:fill="auto"/>
            <w:vAlign w:val="center"/>
          </w:tcPr>
          <w:p w14:paraId="69189BC9"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1.53E-04</w:t>
            </w:r>
          </w:p>
        </w:tc>
        <w:tc>
          <w:tcPr>
            <w:tcW w:w="1666" w:type="pct"/>
            <w:tcBorders>
              <w:left w:val="double" w:sz="4" w:space="0" w:color="auto"/>
            </w:tcBorders>
            <w:vAlign w:val="center"/>
          </w:tcPr>
          <w:p w14:paraId="701D63A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chromatin-mediated maintenance of transcription (GO:0048096)</w:t>
            </w:r>
          </w:p>
        </w:tc>
        <w:tc>
          <w:tcPr>
            <w:tcW w:w="738" w:type="pct"/>
            <w:vAlign w:val="center"/>
          </w:tcPr>
          <w:p w14:paraId="3285049D"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0.012580523</w:t>
            </w:r>
          </w:p>
        </w:tc>
      </w:tr>
      <w:tr w:rsidR="008B125F" w:rsidRPr="00C925F2" w14:paraId="4FA1EAD5" w14:textId="77777777" w:rsidTr="00C925F2">
        <w:tc>
          <w:tcPr>
            <w:tcW w:w="1857" w:type="pct"/>
            <w:shd w:val="clear" w:color="auto" w:fill="auto"/>
            <w:vAlign w:val="center"/>
          </w:tcPr>
          <w:p w14:paraId="38D29DF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interferon-gamma-mediated signaling pathway (GO:0060333)</w:t>
            </w:r>
          </w:p>
        </w:tc>
        <w:tc>
          <w:tcPr>
            <w:tcW w:w="738" w:type="pct"/>
            <w:tcBorders>
              <w:right w:val="double" w:sz="4" w:space="0" w:color="auto"/>
            </w:tcBorders>
            <w:shd w:val="clear" w:color="auto" w:fill="auto"/>
            <w:vAlign w:val="center"/>
          </w:tcPr>
          <w:p w14:paraId="03040519"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2.19E-04</w:t>
            </w:r>
          </w:p>
        </w:tc>
        <w:tc>
          <w:tcPr>
            <w:tcW w:w="1666" w:type="pct"/>
            <w:tcBorders>
              <w:left w:val="double" w:sz="4" w:space="0" w:color="auto"/>
            </w:tcBorders>
            <w:vAlign w:val="center"/>
          </w:tcPr>
          <w:p w14:paraId="4C44522B"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amyloid fibril formation (GO:1905906)</w:t>
            </w:r>
          </w:p>
        </w:tc>
        <w:tc>
          <w:tcPr>
            <w:tcW w:w="738" w:type="pct"/>
            <w:vAlign w:val="center"/>
          </w:tcPr>
          <w:p w14:paraId="74111D6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0.017117631</w:t>
            </w:r>
          </w:p>
        </w:tc>
      </w:tr>
      <w:tr w:rsidR="008B125F" w:rsidRPr="00C925F2" w14:paraId="6116A4C9" w14:textId="77777777" w:rsidTr="00C925F2">
        <w:tc>
          <w:tcPr>
            <w:tcW w:w="1857" w:type="pct"/>
            <w:tcBorders>
              <w:bottom w:val="single" w:sz="12" w:space="0" w:color="auto"/>
            </w:tcBorders>
            <w:shd w:val="clear" w:color="auto" w:fill="auto"/>
            <w:vAlign w:val="center"/>
          </w:tcPr>
          <w:p w14:paraId="11BAD54F"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regulated exocytosis (GO:0045055)</w:t>
            </w:r>
          </w:p>
        </w:tc>
        <w:tc>
          <w:tcPr>
            <w:tcW w:w="738" w:type="pct"/>
            <w:tcBorders>
              <w:bottom w:val="single" w:sz="12" w:space="0" w:color="auto"/>
              <w:right w:val="double" w:sz="4" w:space="0" w:color="auto"/>
            </w:tcBorders>
            <w:shd w:val="clear" w:color="auto" w:fill="auto"/>
            <w:vAlign w:val="center"/>
          </w:tcPr>
          <w:p w14:paraId="4795E8B4"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1.43E-10</w:t>
            </w:r>
          </w:p>
        </w:tc>
        <w:tc>
          <w:tcPr>
            <w:tcW w:w="1666" w:type="pct"/>
            <w:tcBorders>
              <w:left w:val="double" w:sz="4" w:space="0" w:color="auto"/>
              <w:bottom w:val="single" w:sz="12" w:space="0" w:color="auto"/>
            </w:tcBorders>
            <w:vAlign w:val="center"/>
          </w:tcPr>
          <w:p w14:paraId="5D0D1349"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ion homeostasis (GO:0050801)</w:t>
            </w:r>
          </w:p>
        </w:tc>
        <w:tc>
          <w:tcPr>
            <w:tcW w:w="738" w:type="pct"/>
            <w:tcBorders>
              <w:bottom w:val="single" w:sz="12" w:space="0" w:color="auto"/>
            </w:tcBorders>
            <w:vAlign w:val="center"/>
          </w:tcPr>
          <w:p w14:paraId="59A9C5D0"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5.40E-04</w:t>
            </w:r>
          </w:p>
        </w:tc>
      </w:tr>
      <w:tr w:rsidR="008B125F" w:rsidRPr="00C925F2" w14:paraId="2C4319C1" w14:textId="77777777" w:rsidTr="00C925F2">
        <w:tc>
          <w:tcPr>
            <w:tcW w:w="5000" w:type="pct"/>
            <w:gridSpan w:val="4"/>
            <w:tcBorders>
              <w:top w:val="single" w:sz="12" w:space="0" w:color="auto"/>
              <w:bottom w:val="single" w:sz="12" w:space="0" w:color="auto"/>
            </w:tcBorders>
            <w:shd w:val="clear" w:color="auto" w:fill="auto"/>
            <w:vAlign w:val="center"/>
          </w:tcPr>
          <w:p w14:paraId="3CBCA643" w14:textId="77777777" w:rsidR="008B125F" w:rsidRPr="00C925F2" w:rsidRDefault="008B125F" w:rsidP="00B30FC9">
            <w:pPr>
              <w:spacing w:before="120" w:after="120"/>
              <w:jc w:val="center"/>
              <w:rPr>
                <w:rFonts w:ascii="Times New Roman" w:hAnsi="Times New Roman" w:cs="Times New Roman"/>
                <w:b/>
                <w:bCs/>
                <w:color w:val="000000" w:themeColor="text1"/>
                <w:sz w:val="22"/>
                <w:szCs w:val="22"/>
              </w:rPr>
            </w:pPr>
            <w:r w:rsidRPr="00C925F2">
              <w:rPr>
                <w:rFonts w:ascii="Times New Roman" w:hAnsi="Times New Roman" w:cs="Times New Roman"/>
                <w:b/>
                <w:bCs/>
                <w:color w:val="000000" w:themeColor="text1"/>
                <w:sz w:val="22"/>
                <w:szCs w:val="22"/>
              </w:rPr>
              <w:t>Comparison between label-free AD iPS cell-derived neuron proteomics data (differentially expressed between AD and HC iPS cell-derived neurons, Lagomarsino et al., 2021) and TMT-based aged/sAD tNeuron proteomics data</w:t>
            </w:r>
          </w:p>
        </w:tc>
      </w:tr>
      <w:tr w:rsidR="008B125F" w:rsidRPr="00C925F2" w14:paraId="1B4A10A3" w14:textId="77777777" w:rsidTr="00C925F2">
        <w:tc>
          <w:tcPr>
            <w:tcW w:w="5000" w:type="pct"/>
            <w:gridSpan w:val="4"/>
            <w:tcBorders>
              <w:top w:val="single" w:sz="12" w:space="0" w:color="auto"/>
              <w:bottom w:val="single" w:sz="6" w:space="0" w:color="auto"/>
            </w:tcBorders>
            <w:shd w:val="clear" w:color="auto" w:fill="D9D9D9" w:themeFill="background1" w:themeFillShade="D9"/>
            <w:vAlign w:val="center"/>
          </w:tcPr>
          <w:p w14:paraId="253FCA8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Overlapped Genes</w:t>
            </w:r>
          </w:p>
        </w:tc>
      </w:tr>
      <w:tr w:rsidR="008B125F" w:rsidRPr="00C925F2" w14:paraId="084E85F7" w14:textId="77777777" w:rsidTr="00C925F2">
        <w:tc>
          <w:tcPr>
            <w:tcW w:w="5000" w:type="pct"/>
            <w:gridSpan w:val="4"/>
            <w:tcBorders>
              <w:top w:val="single" w:sz="6" w:space="0" w:color="auto"/>
            </w:tcBorders>
            <w:shd w:val="clear" w:color="auto" w:fill="auto"/>
            <w:vAlign w:val="center"/>
          </w:tcPr>
          <w:p w14:paraId="036D0467"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None</w:t>
            </w:r>
          </w:p>
        </w:tc>
      </w:tr>
      <w:tr w:rsidR="008B125F" w:rsidRPr="00C925F2" w14:paraId="0F4CC228" w14:textId="77777777" w:rsidTr="00C925F2">
        <w:tc>
          <w:tcPr>
            <w:tcW w:w="1857" w:type="pct"/>
            <w:tcBorders>
              <w:top w:val="single" w:sz="6" w:space="0" w:color="auto"/>
              <w:bottom w:val="single" w:sz="6" w:space="0" w:color="auto"/>
            </w:tcBorders>
            <w:shd w:val="clear" w:color="auto" w:fill="D9D9D9" w:themeFill="background1" w:themeFillShade="D9"/>
            <w:vAlign w:val="center"/>
          </w:tcPr>
          <w:p w14:paraId="4775FE17"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GO Terms (Lagomarsino et al., 2021)</w:t>
            </w:r>
          </w:p>
        </w:tc>
        <w:tc>
          <w:tcPr>
            <w:tcW w:w="738" w:type="pct"/>
            <w:tcBorders>
              <w:top w:val="single" w:sz="6" w:space="0" w:color="auto"/>
              <w:bottom w:val="single" w:sz="6" w:space="0" w:color="auto"/>
              <w:right w:val="double" w:sz="4" w:space="0" w:color="auto"/>
            </w:tcBorders>
            <w:shd w:val="clear" w:color="auto" w:fill="D9D9D9" w:themeFill="background1" w:themeFillShade="D9"/>
            <w:vAlign w:val="center"/>
          </w:tcPr>
          <w:p w14:paraId="14A19C6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P-value</w:t>
            </w:r>
          </w:p>
        </w:tc>
        <w:tc>
          <w:tcPr>
            <w:tcW w:w="1666" w:type="pct"/>
            <w:tcBorders>
              <w:left w:val="double" w:sz="4" w:space="0" w:color="auto"/>
            </w:tcBorders>
            <w:shd w:val="clear" w:color="auto" w:fill="D9D9D9" w:themeFill="background1" w:themeFillShade="D9"/>
            <w:vAlign w:val="center"/>
          </w:tcPr>
          <w:p w14:paraId="16F94840"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shd w:val="clear" w:color="auto" w:fill="D9D9D9" w:themeFill="background1" w:themeFillShade="D9"/>
            <w:vAlign w:val="center"/>
          </w:tcPr>
          <w:p w14:paraId="74558142"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0DBDFA61" w14:textId="77777777" w:rsidTr="00C925F2">
        <w:tc>
          <w:tcPr>
            <w:tcW w:w="1857" w:type="pct"/>
            <w:tcBorders>
              <w:top w:val="single" w:sz="6" w:space="0" w:color="auto"/>
            </w:tcBorders>
            <w:shd w:val="clear" w:color="auto" w:fill="auto"/>
            <w:vAlign w:val="center"/>
          </w:tcPr>
          <w:p w14:paraId="0EC131B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SRP-dependent cotranslational protein targeting to membrane (GO:0006614)</w:t>
            </w:r>
          </w:p>
        </w:tc>
        <w:tc>
          <w:tcPr>
            <w:tcW w:w="738" w:type="pct"/>
            <w:tcBorders>
              <w:top w:val="single" w:sz="6" w:space="0" w:color="auto"/>
              <w:right w:val="double" w:sz="4" w:space="0" w:color="auto"/>
            </w:tcBorders>
            <w:shd w:val="clear" w:color="auto" w:fill="auto"/>
            <w:vAlign w:val="center"/>
          </w:tcPr>
          <w:p w14:paraId="249C909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9.58E-12</w:t>
            </w:r>
          </w:p>
        </w:tc>
        <w:tc>
          <w:tcPr>
            <w:tcW w:w="1666" w:type="pct"/>
            <w:tcBorders>
              <w:left w:val="double" w:sz="4" w:space="0" w:color="auto"/>
            </w:tcBorders>
            <w:vAlign w:val="center"/>
          </w:tcPr>
          <w:p w14:paraId="25630423"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vAlign w:val="center"/>
          </w:tcPr>
          <w:p w14:paraId="62A2770C"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1168B5C9" w14:textId="77777777" w:rsidTr="00C925F2">
        <w:tc>
          <w:tcPr>
            <w:tcW w:w="1857" w:type="pct"/>
            <w:shd w:val="clear" w:color="auto" w:fill="auto"/>
            <w:vAlign w:val="center"/>
          </w:tcPr>
          <w:p w14:paraId="4C3B07B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cytoplasmic translation (GO:0002181)</w:t>
            </w:r>
          </w:p>
        </w:tc>
        <w:tc>
          <w:tcPr>
            <w:tcW w:w="738" w:type="pct"/>
            <w:tcBorders>
              <w:right w:val="double" w:sz="4" w:space="0" w:color="auto"/>
            </w:tcBorders>
            <w:shd w:val="clear" w:color="auto" w:fill="auto"/>
            <w:vAlign w:val="center"/>
          </w:tcPr>
          <w:p w14:paraId="0FA5002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1.21E-11</w:t>
            </w:r>
          </w:p>
        </w:tc>
        <w:tc>
          <w:tcPr>
            <w:tcW w:w="1666" w:type="pct"/>
            <w:tcBorders>
              <w:left w:val="double" w:sz="4" w:space="0" w:color="auto"/>
            </w:tcBorders>
            <w:vAlign w:val="center"/>
          </w:tcPr>
          <w:p w14:paraId="4804BDBA"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vAlign w:val="center"/>
          </w:tcPr>
          <w:p w14:paraId="78EF5A50"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5AF4E3D1" w14:textId="77777777" w:rsidTr="00C925F2">
        <w:tc>
          <w:tcPr>
            <w:tcW w:w="1857" w:type="pct"/>
            <w:shd w:val="clear" w:color="auto" w:fill="auto"/>
            <w:vAlign w:val="center"/>
          </w:tcPr>
          <w:p w14:paraId="7912AA1F"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protein targeting to ER (GO:0045047)</w:t>
            </w:r>
          </w:p>
        </w:tc>
        <w:tc>
          <w:tcPr>
            <w:tcW w:w="738" w:type="pct"/>
            <w:tcBorders>
              <w:right w:val="double" w:sz="4" w:space="0" w:color="auto"/>
            </w:tcBorders>
            <w:shd w:val="clear" w:color="auto" w:fill="auto"/>
            <w:vAlign w:val="center"/>
          </w:tcPr>
          <w:p w14:paraId="5C1559C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2.52E-11</w:t>
            </w:r>
          </w:p>
        </w:tc>
        <w:tc>
          <w:tcPr>
            <w:tcW w:w="1666" w:type="pct"/>
            <w:tcBorders>
              <w:left w:val="double" w:sz="4" w:space="0" w:color="auto"/>
            </w:tcBorders>
            <w:vAlign w:val="center"/>
          </w:tcPr>
          <w:p w14:paraId="3A210992"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vAlign w:val="center"/>
          </w:tcPr>
          <w:p w14:paraId="2078F251"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4C0A6327" w14:textId="77777777" w:rsidTr="00C925F2">
        <w:tc>
          <w:tcPr>
            <w:tcW w:w="1857" w:type="pct"/>
            <w:shd w:val="clear" w:color="auto" w:fill="auto"/>
            <w:vAlign w:val="center"/>
          </w:tcPr>
          <w:p w14:paraId="7FD4B35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rRNA metabolic process (GO:0016072)</w:t>
            </w:r>
          </w:p>
        </w:tc>
        <w:tc>
          <w:tcPr>
            <w:tcW w:w="738" w:type="pct"/>
            <w:tcBorders>
              <w:right w:val="double" w:sz="4" w:space="0" w:color="auto"/>
            </w:tcBorders>
            <w:shd w:val="clear" w:color="auto" w:fill="auto"/>
            <w:vAlign w:val="center"/>
          </w:tcPr>
          <w:p w14:paraId="1DF04E4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3.07E-08</w:t>
            </w:r>
          </w:p>
        </w:tc>
        <w:tc>
          <w:tcPr>
            <w:tcW w:w="1666" w:type="pct"/>
            <w:tcBorders>
              <w:left w:val="double" w:sz="4" w:space="0" w:color="auto"/>
            </w:tcBorders>
            <w:vAlign w:val="center"/>
          </w:tcPr>
          <w:p w14:paraId="26F876AE"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vAlign w:val="center"/>
          </w:tcPr>
          <w:p w14:paraId="24EDA61D"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4ED1605E" w14:textId="77777777" w:rsidTr="00C925F2">
        <w:tc>
          <w:tcPr>
            <w:tcW w:w="1857" w:type="pct"/>
            <w:shd w:val="clear" w:color="auto" w:fill="auto"/>
            <w:vAlign w:val="center"/>
          </w:tcPr>
          <w:p w14:paraId="458AA6FC"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cellular macromolecule biosynthetic process (GO:0034645)</w:t>
            </w:r>
          </w:p>
        </w:tc>
        <w:tc>
          <w:tcPr>
            <w:tcW w:w="738" w:type="pct"/>
            <w:tcBorders>
              <w:right w:val="double" w:sz="4" w:space="0" w:color="auto"/>
            </w:tcBorders>
            <w:shd w:val="clear" w:color="auto" w:fill="auto"/>
            <w:vAlign w:val="center"/>
          </w:tcPr>
          <w:p w14:paraId="7334E6E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6.05E-08</w:t>
            </w:r>
          </w:p>
        </w:tc>
        <w:tc>
          <w:tcPr>
            <w:tcW w:w="1666" w:type="pct"/>
            <w:tcBorders>
              <w:left w:val="double" w:sz="4" w:space="0" w:color="auto"/>
            </w:tcBorders>
            <w:vAlign w:val="center"/>
          </w:tcPr>
          <w:p w14:paraId="4F8A8E65"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vAlign w:val="center"/>
          </w:tcPr>
          <w:p w14:paraId="1185A32B"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259379D1" w14:textId="77777777" w:rsidTr="00C925F2">
        <w:tc>
          <w:tcPr>
            <w:tcW w:w="1857" w:type="pct"/>
            <w:shd w:val="clear" w:color="auto" w:fill="auto"/>
            <w:vAlign w:val="center"/>
          </w:tcPr>
          <w:p w14:paraId="516AD562"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ribosome biogenesis (GO:0042254)</w:t>
            </w:r>
          </w:p>
        </w:tc>
        <w:tc>
          <w:tcPr>
            <w:tcW w:w="738" w:type="pct"/>
            <w:tcBorders>
              <w:right w:val="double" w:sz="4" w:space="0" w:color="auto"/>
            </w:tcBorders>
            <w:shd w:val="clear" w:color="auto" w:fill="auto"/>
            <w:vAlign w:val="center"/>
          </w:tcPr>
          <w:p w14:paraId="0A88E546"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8.44E-08</w:t>
            </w:r>
          </w:p>
        </w:tc>
        <w:tc>
          <w:tcPr>
            <w:tcW w:w="1666" w:type="pct"/>
            <w:tcBorders>
              <w:left w:val="double" w:sz="4" w:space="0" w:color="auto"/>
            </w:tcBorders>
            <w:vAlign w:val="center"/>
          </w:tcPr>
          <w:p w14:paraId="40D06BA5"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vAlign w:val="center"/>
          </w:tcPr>
          <w:p w14:paraId="16BE8225"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33349D71" w14:textId="77777777" w:rsidTr="00C925F2">
        <w:tc>
          <w:tcPr>
            <w:tcW w:w="1857" w:type="pct"/>
            <w:shd w:val="clear" w:color="auto" w:fill="auto"/>
            <w:vAlign w:val="center"/>
          </w:tcPr>
          <w:p w14:paraId="25B51F7E"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ncRNA processing (GO:0034470)</w:t>
            </w:r>
          </w:p>
        </w:tc>
        <w:tc>
          <w:tcPr>
            <w:tcW w:w="738" w:type="pct"/>
            <w:tcBorders>
              <w:right w:val="double" w:sz="4" w:space="0" w:color="auto"/>
            </w:tcBorders>
            <w:shd w:val="clear" w:color="auto" w:fill="auto"/>
            <w:vAlign w:val="center"/>
          </w:tcPr>
          <w:p w14:paraId="3085F31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1.11E-07</w:t>
            </w:r>
          </w:p>
        </w:tc>
        <w:tc>
          <w:tcPr>
            <w:tcW w:w="1666" w:type="pct"/>
            <w:tcBorders>
              <w:left w:val="double" w:sz="4" w:space="0" w:color="auto"/>
            </w:tcBorders>
            <w:vAlign w:val="center"/>
          </w:tcPr>
          <w:p w14:paraId="1DCAF2A0"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vAlign w:val="center"/>
          </w:tcPr>
          <w:p w14:paraId="0DCAABFC"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60D7204C" w14:textId="77777777" w:rsidTr="00C925F2">
        <w:tc>
          <w:tcPr>
            <w:tcW w:w="1857" w:type="pct"/>
            <w:shd w:val="clear" w:color="auto" w:fill="auto"/>
            <w:vAlign w:val="center"/>
          </w:tcPr>
          <w:p w14:paraId="0488C90D"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amyloid precursor protein catabolic process (GO:1902991)</w:t>
            </w:r>
          </w:p>
        </w:tc>
        <w:tc>
          <w:tcPr>
            <w:tcW w:w="738" w:type="pct"/>
            <w:tcBorders>
              <w:right w:val="double" w:sz="4" w:space="0" w:color="auto"/>
            </w:tcBorders>
            <w:shd w:val="clear" w:color="auto" w:fill="auto"/>
            <w:vAlign w:val="center"/>
          </w:tcPr>
          <w:p w14:paraId="0E95B8C4"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9.04E-05</w:t>
            </w:r>
          </w:p>
        </w:tc>
        <w:tc>
          <w:tcPr>
            <w:tcW w:w="1666" w:type="pct"/>
            <w:tcBorders>
              <w:left w:val="double" w:sz="4" w:space="0" w:color="auto"/>
            </w:tcBorders>
            <w:vAlign w:val="center"/>
          </w:tcPr>
          <w:p w14:paraId="20DDDDCB"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vAlign w:val="center"/>
          </w:tcPr>
          <w:p w14:paraId="7A927D20"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54A8C846" w14:textId="77777777" w:rsidTr="00C925F2">
        <w:tc>
          <w:tcPr>
            <w:tcW w:w="1857" w:type="pct"/>
            <w:shd w:val="clear" w:color="auto" w:fill="auto"/>
            <w:vAlign w:val="center"/>
          </w:tcPr>
          <w:p w14:paraId="37FEDE33"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lastRenderedPageBreak/>
              <w:t>regulation of protein localization to plasma membrane (GO:1903076)</w:t>
            </w:r>
          </w:p>
        </w:tc>
        <w:tc>
          <w:tcPr>
            <w:tcW w:w="738" w:type="pct"/>
            <w:tcBorders>
              <w:right w:val="double" w:sz="4" w:space="0" w:color="auto"/>
            </w:tcBorders>
            <w:shd w:val="clear" w:color="auto" w:fill="auto"/>
            <w:vAlign w:val="center"/>
          </w:tcPr>
          <w:p w14:paraId="479F152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0.004118894</w:t>
            </w:r>
          </w:p>
        </w:tc>
        <w:tc>
          <w:tcPr>
            <w:tcW w:w="1666" w:type="pct"/>
            <w:tcBorders>
              <w:left w:val="double" w:sz="4" w:space="0" w:color="auto"/>
            </w:tcBorders>
            <w:vAlign w:val="center"/>
          </w:tcPr>
          <w:p w14:paraId="3CFB7613"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vAlign w:val="center"/>
          </w:tcPr>
          <w:p w14:paraId="15ED88E0"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74D3BA94" w14:textId="77777777" w:rsidTr="00C925F2">
        <w:tc>
          <w:tcPr>
            <w:tcW w:w="1857" w:type="pct"/>
            <w:shd w:val="clear" w:color="auto" w:fill="auto"/>
            <w:vAlign w:val="center"/>
          </w:tcPr>
          <w:p w14:paraId="6A180988"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regulation of cell cycle G2/M phase transition (GO:1902749)</w:t>
            </w:r>
          </w:p>
        </w:tc>
        <w:tc>
          <w:tcPr>
            <w:tcW w:w="738" w:type="pct"/>
            <w:tcBorders>
              <w:right w:val="double" w:sz="4" w:space="0" w:color="auto"/>
            </w:tcBorders>
            <w:shd w:val="clear" w:color="auto" w:fill="auto"/>
            <w:vAlign w:val="center"/>
          </w:tcPr>
          <w:p w14:paraId="37329A05"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0.004636346</w:t>
            </w:r>
          </w:p>
        </w:tc>
        <w:tc>
          <w:tcPr>
            <w:tcW w:w="1666" w:type="pct"/>
            <w:tcBorders>
              <w:left w:val="double" w:sz="4" w:space="0" w:color="auto"/>
            </w:tcBorders>
            <w:vAlign w:val="center"/>
          </w:tcPr>
          <w:p w14:paraId="2B4B9612"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vAlign w:val="center"/>
          </w:tcPr>
          <w:p w14:paraId="0DC90BBB"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2651240F" w14:textId="77777777" w:rsidTr="00C925F2">
        <w:tc>
          <w:tcPr>
            <w:tcW w:w="1857" w:type="pct"/>
            <w:shd w:val="clear" w:color="auto" w:fill="auto"/>
            <w:vAlign w:val="center"/>
          </w:tcPr>
          <w:p w14:paraId="79A9C210"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retrograde vesicle-mediated transport, Golgi to endoplasmic reticulum (GO:0006890)</w:t>
            </w:r>
          </w:p>
        </w:tc>
        <w:tc>
          <w:tcPr>
            <w:tcW w:w="738" w:type="pct"/>
            <w:tcBorders>
              <w:right w:val="double" w:sz="4" w:space="0" w:color="auto"/>
            </w:tcBorders>
            <w:shd w:val="clear" w:color="auto" w:fill="auto"/>
            <w:vAlign w:val="center"/>
          </w:tcPr>
          <w:p w14:paraId="0086DB39" w14:textId="77777777" w:rsidR="008B125F" w:rsidRPr="00C925F2" w:rsidRDefault="008B125F" w:rsidP="00B30FC9">
            <w:pPr>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0.004636346</w:t>
            </w:r>
          </w:p>
        </w:tc>
        <w:tc>
          <w:tcPr>
            <w:tcW w:w="1666" w:type="pct"/>
            <w:tcBorders>
              <w:left w:val="double" w:sz="4" w:space="0" w:color="auto"/>
            </w:tcBorders>
            <w:vAlign w:val="center"/>
          </w:tcPr>
          <w:p w14:paraId="5094D37A" w14:textId="77777777" w:rsidR="008B125F" w:rsidRPr="00C925F2" w:rsidRDefault="008B125F" w:rsidP="00B30FC9">
            <w:pPr>
              <w:jc w:val="center"/>
              <w:rPr>
                <w:rFonts w:ascii="Times New Roman" w:hAnsi="Times New Roman" w:cs="Times New Roman"/>
                <w:color w:val="000000" w:themeColor="text1"/>
                <w:sz w:val="22"/>
                <w:szCs w:val="22"/>
              </w:rPr>
            </w:pPr>
          </w:p>
        </w:tc>
        <w:tc>
          <w:tcPr>
            <w:tcW w:w="738" w:type="pct"/>
            <w:vAlign w:val="center"/>
          </w:tcPr>
          <w:p w14:paraId="7881CAE1" w14:textId="77777777" w:rsidR="008B125F" w:rsidRPr="00C925F2" w:rsidRDefault="008B125F" w:rsidP="00B30FC9">
            <w:pPr>
              <w:jc w:val="center"/>
              <w:rPr>
                <w:rFonts w:ascii="Times New Roman" w:hAnsi="Times New Roman" w:cs="Times New Roman"/>
                <w:color w:val="000000" w:themeColor="text1"/>
                <w:sz w:val="22"/>
                <w:szCs w:val="22"/>
              </w:rPr>
            </w:pPr>
          </w:p>
        </w:tc>
      </w:tr>
      <w:tr w:rsidR="008B125F" w:rsidRPr="00C925F2" w14:paraId="6639547D" w14:textId="77777777" w:rsidTr="00C925F2">
        <w:tc>
          <w:tcPr>
            <w:tcW w:w="1857" w:type="pct"/>
            <w:tcBorders>
              <w:bottom w:val="single" w:sz="12" w:space="0" w:color="auto"/>
            </w:tcBorders>
            <w:shd w:val="clear" w:color="auto" w:fill="auto"/>
            <w:vAlign w:val="center"/>
          </w:tcPr>
          <w:p w14:paraId="11E112C4"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spliceosomal conformational changes to generate catalytic conformation (GO:0000393)</w:t>
            </w:r>
          </w:p>
        </w:tc>
        <w:tc>
          <w:tcPr>
            <w:tcW w:w="738" w:type="pct"/>
            <w:tcBorders>
              <w:bottom w:val="single" w:sz="12" w:space="0" w:color="auto"/>
              <w:right w:val="double" w:sz="4" w:space="0" w:color="auto"/>
            </w:tcBorders>
            <w:shd w:val="clear" w:color="auto" w:fill="auto"/>
            <w:vAlign w:val="center"/>
          </w:tcPr>
          <w:p w14:paraId="0299AF57" w14:textId="77777777" w:rsidR="008B125F" w:rsidRPr="00C925F2" w:rsidRDefault="008B125F" w:rsidP="00B30FC9">
            <w:pPr>
              <w:spacing w:after="120"/>
              <w:jc w:val="center"/>
              <w:rPr>
                <w:rFonts w:ascii="Times New Roman" w:hAnsi="Times New Roman" w:cs="Times New Roman"/>
                <w:color w:val="000000" w:themeColor="text1"/>
                <w:sz w:val="22"/>
                <w:szCs w:val="22"/>
              </w:rPr>
            </w:pPr>
            <w:r w:rsidRPr="00C925F2">
              <w:rPr>
                <w:rFonts w:ascii="Times New Roman" w:hAnsi="Times New Roman" w:cs="Times New Roman"/>
                <w:color w:val="000000" w:themeColor="text1"/>
                <w:sz w:val="22"/>
                <w:szCs w:val="22"/>
              </w:rPr>
              <w:t>0.005986139</w:t>
            </w:r>
          </w:p>
        </w:tc>
        <w:tc>
          <w:tcPr>
            <w:tcW w:w="1666" w:type="pct"/>
            <w:tcBorders>
              <w:left w:val="double" w:sz="4" w:space="0" w:color="auto"/>
              <w:bottom w:val="single" w:sz="12" w:space="0" w:color="auto"/>
            </w:tcBorders>
            <w:vAlign w:val="center"/>
          </w:tcPr>
          <w:p w14:paraId="5CE850AE" w14:textId="77777777" w:rsidR="008B125F" w:rsidRPr="00C925F2" w:rsidRDefault="008B125F" w:rsidP="00B30FC9">
            <w:pPr>
              <w:spacing w:after="120"/>
              <w:jc w:val="center"/>
              <w:rPr>
                <w:rFonts w:ascii="Times New Roman" w:hAnsi="Times New Roman" w:cs="Times New Roman"/>
                <w:color w:val="000000" w:themeColor="text1"/>
                <w:sz w:val="22"/>
                <w:szCs w:val="22"/>
              </w:rPr>
            </w:pPr>
          </w:p>
        </w:tc>
        <w:tc>
          <w:tcPr>
            <w:tcW w:w="738" w:type="pct"/>
            <w:tcBorders>
              <w:bottom w:val="single" w:sz="12" w:space="0" w:color="auto"/>
            </w:tcBorders>
            <w:vAlign w:val="center"/>
          </w:tcPr>
          <w:p w14:paraId="576C0644" w14:textId="77777777" w:rsidR="008B125F" w:rsidRPr="00C925F2" w:rsidRDefault="008B125F" w:rsidP="00B30FC9">
            <w:pPr>
              <w:spacing w:after="120"/>
              <w:jc w:val="center"/>
              <w:rPr>
                <w:rFonts w:ascii="Times New Roman" w:hAnsi="Times New Roman" w:cs="Times New Roman"/>
                <w:color w:val="000000" w:themeColor="text1"/>
                <w:sz w:val="22"/>
                <w:szCs w:val="22"/>
              </w:rPr>
            </w:pPr>
          </w:p>
        </w:tc>
      </w:tr>
    </w:tbl>
    <w:p w14:paraId="406B2DEE" w14:textId="77777777" w:rsidR="008B125F" w:rsidRPr="00AC7265" w:rsidRDefault="008B125F" w:rsidP="008B125F">
      <w:pPr>
        <w:rPr>
          <w:color w:val="000000" w:themeColor="text1"/>
          <w:sz w:val="22"/>
          <w:szCs w:val="22"/>
        </w:rPr>
      </w:pPr>
      <w:r w:rsidRPr="00AC7265">
        <w:rPr>
          <w:color w:val="000000" w:themeColor="text1"/>
          <w:sz w:val="22"/>
          <w:szCs w:val="22"/>
        </w:rPr>
        <w:t>Note: GWAS: Genome-wide association study; PWAS: Proteome-Wide Association Study; iN: directly induced neuron; HC: Healthy control; AD: Alzheimer’s disease</w:t>
      </w:r>
    </w:p>
    <w:p w14:paraId="6ACDDA3A" w14:textId="77777777" w:rsidR="008B125F" w:rsidRPr="008B125F" w:rsidRDefault="008B125F" w:rsidP="008B125F">
      <w:pPr>
        <w:rPr>
          <w:color w:val="000000" w:themeColor="text1"/>
          <w:sz w:val="20"/>
        </w:rPr>
      </w:pPr>
    </w:p>
    <w:p w14:paraId="7639C9F2" w14:textId="77777777" w:rsidR="008B125F" w:rsidRPr="008B125F" w:rsidRDefault="008B125F" w:rsidP="008B125F">
      <w:pPr>
        <w:rPr>
          <w:color w:val="000000" w:themeColor="text1"/>
          <w:sz w:val="20"/>
        </w:rPr>
      </w:pPr>
    </w:p>
    <w:p w14:paraId="220531E4" w14:textId="77777777" w:rsidR="008B125F" w:rsidRPr="008B125F" w:rsidRDefault="008B125F" w:rsidP="008B125F">
      <w:pPr>
        <w:spacing w:line="360" w:lineRule="auto"/>
        <w:rPr>
          <w:b/>
          <w:bCs/>
          <w:color w:val="000000" w:themeColor="text1"/>
          <w:sz w:val="22"/>
          <w:szCs w:val="22"/>
        </w:rPr>
      </w:pPr>
      <w:r w:rsidRPr="008B125F">
        <w:rPr>
          <w:b/>
          <w:bCs/>
          <w:color w:val="000000" w:themeColor="text1"/>
          <w:sz w:val="22"/>
          <w:szCs w:val="22"/>
        </w:rPr>
        <w:br w:type="page"/>
      </w:r>
    </w:p>
    <w:p w14:paraId="3C57BDBD" w14:textId="0C8632E7" w:rsidR="008B125F" w:rsidRPr="001D04B4" w:rsidRDefault="00ED2E26" w:rsidP="008B125F">
      <w:pPr>
        <w:spacing w:line="360" w:lineRule="auto"/>
        <w:rPr>
          <w:b/>
          <w:bCs/>
          <w:color w:val="000000" w:themeColor="text1"/>
          <w:szCs w:val="24"/>
        </w:rPr>
      </w:pPr>
      <w:r w:rsidRPr="00ED2E26">
        <w:rPr>
          <w:b/>
          <w:bCs/>
          <w:color w:val="000000" w:themeColor="text1"/>
          <w:szCs w:val="24"/>
        </w:rPr>
        <w:lastRenderedPageBreak/>
        <w:t>Extended Data Table</w:t>
      </w:r>
      <w:r>
        <w:rPr>
          <w:b/>
          <w:bCs/>
          <w:color w:val="000000" w:themeColor="text1"/>
          <w:szCs w:val="24"/>
        </w:rPr>
        <w:t xml:space="preserve"> </w:t>
      </w:r>
      <w:r w:rsidR="008B125F" w:rsidRPr="001D04B4">
        <w:rPr>
          <w:b/>
          <w:bCs/>
          <w:color w:val="000000" w:themeColor="text1"/>
          <w:szCs w:val="24"/>
        </w:rPr>
        <w:t>3. List of human cerebrospinal fluid (CSF) sample information.</w:t>
      </w:r>
    </w:p>
    <w:tbl>
      <w:tblPr>
        <w:tblStyle w:val="PlainTable3"/>
        <w:tblpPr w:leftFromText="180" w:rightFromText="180" w:vertAnchor="text" w:tblpY="1"/>
        <w:tblW w:w="0" w:type="auto"/>
        <w:tblLook w:val="04A0" w:firstRow="1" w:lastRow="0" w:firstColumn="1" w:lastColumn="0" w:noHBand="0" w:noVBand="1"/>
      </w:tblPr>
      <w:tblGrid>
        <w:gridCol w:w="1164"/>
        <w:gridCol w:w="1096"/>
        <w:gridCol w:w="1157"/>
        <w:gridCol w:w="546"/>
        <w:gridCol w:w="828"/>
        <w:gridCol w:w="1002"/>
        <w:gridCol w:w="1096"/>
        <w:gridCol w:w="890"/>
        <w:gridCol w:w="546"/>
        <w:gridCol w:w="1035"/>
      </w:tblGrid>
      <w:tr w:rsidR="001D04B4" w:rsidRPr="001D04B4" w14:paraId="32EEFB0B" w14:textId="77777777" w:rsidTr="00B30FC9">
        <w:trPr>
          <w:cnfStyle w:val="100000000000" w:firstRow="1" w:lastRow="0" w:firstColumn="0" w:lastColumn="0" w:oddVBand="0" w:evenVBand="0" w:oddHBand="0" w:evenHBand="0" w:firstRowFirstColumn="0" w:firstRowLastColumn="0" w:lastRowFirstColumn="0" w:lastRowLastColumn="0"/>
          <w:trHeight w:val="576"/>
        </w:trPr>
        <w:tc>
          <w:tcPr>
            <w:cnfStyle w:val="001000000100" w:firstRow="0" w:lastRow="0" w:firstColumn="1" w:lastColumn="0" w:oddVBand="0" w:evenVBand="0" w:oddHBand="0" w:evenHBand="0" w:firstRowFirstColumn="1" w:firstRowLastColumn="0" w:lastRowFirstColumn="0" w:lastRowLastColumn="0"/>
            <w:tcW w:w="0" w:type="auto"/>
            <w:tcBorders>
              <w:top w:val="single" w:sz="12" w:space="0" w:color="auto"/>
              <w:bottom w:val="single" w:sz="12" w:space="0" w:color="auto"/>
            </w:tcBorders>
            <w:noWrap/>
            <w:vAlign w:val="center"/>
            <w:hideMark/>
          </w:tcPr>
          <w:p w14:paraId="0D16C132"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aps w:val="0"/>
                <w:color w:val="000000" w:themeColor="text1"/>
                <w:sz w:val="22"/>
                <w:szCs w:val="22"/>
              </w:rPr>
              <w:t>Sample ID</w:t>
            </w:r>
          </w:p>
        </w:tc>
        <w:tc>
          <w:tcPr>
            <w:tcW w:w="0" w:type="auto"/>
            <w:tcBorders>
              <w:top w:val="single" w:sz="12" w:space="0" w:color="auto"/>
              <w:bottom w:val="single" w:sz="12" w:space="0" w:color="auto"/>
            </w:tcBorders>
            <w:vAlign w:val="center"/>
          </w:tcPr>
          <w:p w14:paraId="3CFE6438" w14:textId="77777777" w:rsidR="008B125F" w:rsidRPr="001D04B4"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aps w:val="0"/>
                <w:color w:val="000000" w:themeColor="text1"/>
                <w:sz w:val="22"/>
                <w:szCs w:val="22"/>
              </w:rPr>
              <w:t>Diagnosis</w:t>
            </w:r>
          </w:p>
        </w:tc>
        <w:tc>
          <w:tcPr>
            <w:tcW w:w="0" w:type="auto"/>
            <w:tcBorders>
              <w:top w:val="single" w:sz="12" w:space="0" w:color="auto"/>
              <w:bottom w:val="single" w:sz="12" w:space="0" w:color="auto"/>
            </w:tcBorders>
            <w:noWrap/>
            <w:vAlign w:val="center"/>
            <w:hideMark/>
          </w:tcPr>
          <w:p w14:paraId="06579602" w14:textId="77777777" w:rsidR="008B125F" w:rsidRPr="001D04B4"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aps w:val="0"/>
                <w:color w:val="000000" w:themeColor="text1"/>
                <w:sz w:val="22"/>
                <w:szCs w:val="22"/>
              </w:rPr>
              <w:t>Age, years</w:t>
            </w:r>
          </w:p>
        </w:tc>
        <w:tc>
          <w:tcPr>
            <w:tcW w:w="0" w:type="auto"/>
            <w:tcBorders>
              <w:top w:val="single" w:sz="12" w:space="0" w:color="auto"/>
              <w:bottom w:val="single" w:sz="12" w:space="0" w:color="auto"/>
            </w:tcBorders>
            <w:vAlign w:val="center"/>
          </w:tcPr>
          <w:p w14:paraId="69228026" w14:textId="77777777" w:rsidR="008B125F" w:rsidRPr="001D04B4"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aps w:val="0"/>
                <w:color w:val="000000" w:themeColor="text1"/>
                <w:sz w:val="22"/>
                <w:szCs w:val="22"/>
              </w:rPr>
              <w:t>Sex</w:t>
            </w:r>
          </w:p>
        </w:tc>
        <w:tc>
          <w:tcPr>
            <w:tcW w:w="0" w:type="auto"/>
            <w:tcBorders>
              <w:top w:val="single" w:sz="12" w:space="0" w:color="auto"/>
              <w:bottom w:val="single" w:sz="12" w:space="0" w:color="auto"/>
              <w:right w:val="double" w:sz="4" w:space="0" w:color="auto"/>
            </w:tcBorders>
            <w:vAlign w:val="center"/>
          </w:tcPr>
          <w:p w14:paraId="6B9B1F33" w14:textId="77777777" w:rsidR="008B125F" w:rsidRPr="001D04B4"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aps w:val="0"/>
                <w:color w:val="000000" w:themeColor="text1"/>
                <w:sz w:val="22"/>
                <w:szCs w:val="22"/>
              </w:rPr>
              <w:t>Source</w:t>
            </w:r>
          </w:p>
        </w:tc>
        <w:tc>
          <w:tcPr>
            <w:tcW w:w="0" w:type="auto"/>
            <w:tcBorders>
              <w:top w:val="single" w:sz="12" w:space="0" w:color="auto"/>
              <w:left w:val="double" w:sz="4" w:space="0" w:color="auto"/>
              <w:bottom w:val="single" w:sz="12" w:space="0" w:color="auto"/>
            </w:tcBorders>
            <w:vAlign w:val="center"/>
          </w:tcPr>
          <w:p w14:paraId="3908C8DC" w14:textId="77777777" w:rsidR="008B125F" w:rsidRPr="001D04B4"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aps w:val="0"/>
                <w:color w:val="000000" w:themeColor="text1"/>
                <w:sz w:val="22"/>
                <w:szCs w:val="22"/>
              </w:rPr>
              <w:t>Sample ID</w:t>
            </w:r>
          </w:p>
        </w:tc>
        <w:tc>
          <w:tcPr>
            <w:tcW w:w="0" w:type="auto"/>
            <w:tcBorders>
              <w:top w:val="single" w:sz="12" w:space="0" w:color="auto"/>
              <w:bottom w:val="single" w:sz="12" w:space="0" w:color="auto"/>
            </w:tcBorders>
            <w:vAlign w:val="center"/>
          </w:tcPr>
          <w:p w14:paraId="210E77F7" w14:textId="77777777" w:rsidR="008B125F" w:rsidRPr="001D04B4"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aps w:val="0"/>
                <w:color w:val="000000" w:themeColor="text1"/>
                <w:sz w:val="22"/>
                <w:szCs w:val="22"/>
              </w:rPr>
              <w:t>Diagnosis</w:t>
            </w:r>
          </w:p>
        </w:tc>
        <w:tc>
          <w:tcPr>
            <w:tcW w:w="0" w:type="auto"/>
            <w:tcBorders>
              <w:top w:val="single" w:sz="12" w:space="0" w:color="auto"/>
              <w:bottom w:val="single" w:sz="12" w:space="0" w:color="auto"/>
            </w:tcBorders>
            <w:vAlign w:val="center"/>
          </w:tcPr>
          <w:p w14:paraId="431D029E" w14:textId="77777777" w:rsidR="008B125F" w:rsidRPr="001D04B4"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aps w:val="0"/>
                <w:color w:val="000000" w:themeColor="text1"/>
                <w:sz w:val="22"/>
                <w:szCs w:val="22"/>
              </w:rPr>
              <w:t>Age, years</w:t>
            </w:r>
          </w:p>
        </w:tc>
        <w:tc>
          <w:tcPr>
            <w:tcW w:w="0" w:type="auto"/>
            <w:tcBorders>
              <w:top w:val="single" w:sz="12" w:space="0" w:color="auto"/>
              <w:bottom w:val="single" w:sz="12" w:space="0" w:color="auto"/>
            </w:tcBorders>
            <w:vAlign w:val="center"/>
          </w:tcPr>
          <w:p w14:paraId="4AFA309A" w14:textId="77777777" w:rsidR="008B125F" w:rsidRPr="001D04B4"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aps w:val="0"/>
                <w:color w:val="000000" w:themeColor="text1"/>
                <w:sz w:val="22"/>
                <w:szCs w:val="22"/>
              </w:rPr>
              <w:t>Sex</w:t>
            </w:r>
          </w:p>
        </w:tc>
        <w:tc>
          <w:tcPr>
            <w:tcW w:w="0" w:type="auto"/>
            <w:tcBorders>
              <w:top w:val="single" w:sz="12" w:space="0" w:color="auto"/>
              <w:bottom w:val="single" w:sz="12" w:space="0" w:color="auto"/>
            </w:tcBorders>
            <w:vAlign w:val="center"/>
          </w:tcPr>
          <w:p w14:paraId="7B276F8A" w14:textId="77777777" w:rsidR="008B125F" w:rsidRPr="001D04B4" w:rsidRDefault="008B125F" w:rsidP="00B30F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aps w:val="0"/>
                <w:color w:val="000000" w:themeColor="text1"/>
                <w:sz w:val="22"/>
                <w:szCs w:val="22"/>
              </w:rPr>
              <w:t>Source</w:t>
            </w:r>
          </w:p>
        </w:tc>
      </w:tr>
      <w:tr w:rsidR="008B125F" w:rsidRPr="001D04B4" w14:paraId="0CA2016B"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auto"/>
            </w:tcBorders>
            <w:noWrap/>
            <w:vAlign w:val="center"/>
            <w:hideMark/>
          </w:tcPr>
          <w:p w14:paraId="15219CDB"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0978</w:t>
            </w:r>
          </w:p>
        </w:tc>
        <w:tc>
          <w:tcPr>
            <w:tcW w:w="0" w:type="auto"/>
            <w:tcBorders>
              <w:top w:val="single" w:sz="12" w:space="0" w:color="auto"/>
            </w:tcBorders>
            <w:vAlign w:val="center"/>
          </w:tcPr>
          <w:p w14:paraId="458B387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tcBorders>
              <w:top w:val="single" w:sz="12" w:space="0" w:color="auto"/>
            </w:tcBorders>
            <w:noWrap/>
            <w:vAlign w:val="center"/>
            <w:hideMark/>
          </w:tcPr>
          <w:p w14:paraId="09018B2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71</w:t>
            </w:r>
          </w:p>
        </w:tc>
        <w:tc>
          <w:tcPr>
            <w:tcW w:w="0" w:type="auto"/>
            <w:tcBorders>
              <w:top w:val="single" w:sz="12" w:space="0" w:color="auto"/>
            </w:tcBorders>
            <w:vAlign w:val="center"/>
          </w:tcPr>
          <w:p w14:paraId="1B43A51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top w:val="single" w:sz="12" w:space="0" w:color="auto"/>
              <w:right w:val="double" w:sz="4" w:space="0" w:color="auto"/>
            </w:tcBorders>
            <w:vAlign w:val="center"/>
          </w:tcPr>
          <w:p w14:paraId="0D223CD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top w:val="single" w:sz="12" w:space="0" w:color="auto"/>
              <w:left w:val="double" w:sz="4" w:space="0" w:color="auto"/>
              <w:right w:val="single" w:sz="4" w:space="0" w:color="auto"/>
            </w:tcBorders>
            <w:vAlign w:val="center"/>
          </w:tcPr>
          <w:p w14:paraId="75853F9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121351</w:t>
            </w:r>
          </w:p>
        </w:tc>
        <w:tc>
          <w:tcPr>
            <w:tcW w:w="0" w:type="auto"/>
            <w:tcBorders>
              <w:top w:val="single" w:sz="12" w:space="0" w:color="auto"/>
              <w:left w:val="single" w:sz="4" w:space="0" w:color="auto"/>
            </w:tcBorders>
            <w:vAlign w:val="center"/>
          </w:tcPr>
          <w:p w14:paraId="13E4D61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tcBorders>
              <w:top w:val="single" w:sz="12" w:space="0" w:color="auto"/>
            </w:tcBorders>
            <w:vAlign w:val="center"/>
          </w:tcPr>
          <w:p w14:paraId="4CF5717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72</w:t>
            </w:r>
          </w:p>
        </w:tc>
        <w:tc>
          <w:tcPr>
            <w:tcW w:w="0" w:type="auto"/>
            <w:tcBorders>
              <w:top w:val="single" w:sz="12" w:space="0" w:color="auto"/>
            </w:tcBorders>
            <w:vAlign w:val="center"/>
          </w:tcPr>
          <w:p w14:paraId="7F0FB96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top w:val="single" w:sz="12" w:space="0" w:color="auto"/>
            </w:tcBorders>
            <w:vAlign w:val="center"/>
          </w:tcPr>
          <w:p w14:paraId="19487AF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1D04B4" w:rsidRPr="001D04B4" w14:paraId="721F27E7"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E1D1560"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1213</w:t>
            </w:r>
          </w:p>
        </w:tc>
        <w:tc>
          <w:tcPr>
            <w:tcW w:w="0" w:type="auto"/>
            <w:vAlign w:val="center"/>
          </w:tcPr>
          <w:p w14:paraId="7CC9E3DB"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68373C8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79</w:t>
            </w:r>
          </w:p>
        </w:tc>
        <w:tc>
          <w:tcPr>
            <w:tcW w:w="0" w:type="auto"/>
            <w:vAlign w:val="center"/>
          </w:tcPr>
          <w:p w14:paraId="2A1AA79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5B9C38C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133BEE5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141214</w:t>
            </w:r>
          </w:p>
        </w:tc>
        <w:tc>
          <w:tcPr>
            <w:tcW w:w="0" w:type="auto"/>
            <w:tcBorders>
              <w:left w:val="single" w:sz="4" w:space="0" w:color="auto"/>
            </w:tcBorders>
            <w:vAlign w:val="center"/>
          </w:tcPr>
          <w:p w14:paraId="7D3409B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5066EBC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64</w:t>
            </w:r>
          </w:p>
        </w:tc>
        <w:tc>
          <w:tcPr>
            <w:tcW w:w="0" w:type="auto"/>
            <w:vAlign w:val="center"/>
          </w:tcPr>
          <w:p w14:paraId="17703A3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477517C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8B125F" w:rsidRPr="001D04B4" w14:paraId="731A1D96"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04AC29A"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0990</w:t>
            </w:r>
          </w:p>
        </w:tc>
        <w:tc>
          <w:tcPr>
            <w:tcW w:w="0" w:type="auto"/>
            <w:vAlign w:val="center"/>
          </w:tcPr>
          <w:p w14:paraId="3F18672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263B5CB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75</w:t>
            </w:r>
          </w:p>
        </w:tc>
        <w:tc>
          <w:tcPr>
            <w:tcW w:w="0" w:type="auto"/>
            <w:vAlign w:val="center"/>
          </w:tcPr>
          <w:p w14:paraId="4E611F90"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7F04C8E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759C2DD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1034</w:t>
            </w:r>
          </w:p>
        </w:tc>
        <w:tc>
          <w:tcPr>
            <w:tcW w:w="0" w:type="auto"/>
            <w:tcBorders>
              <w:left w:val="single" w:sz="4" w:space="0" w:color="auto"/>
            </w:tcBorders>
            <w:vAlign w:val="center"/>
          </w:tcPr>
          <w:p w14:paraId="03978EE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6852599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60</w:t>
            </w:r>
          </w:p>
        </w:tc>
        <w:tc>
          <w:tcPr>
            <w:tcW w:w="0" w:type="auto"/>
            <w:vAlign w:val="center"/>
          </w:tcPr>
          <w:p w14:paraId="3A439A4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4E822D8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1D04B4" w:rsidRPr="001D04B4" w14:paraId="2F09487C"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BEDF981"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0615</w:t>
            </w:r>
          </w:p>
        </w:tc>
        <w:tc>
          <w:tcPr>
            <w:tcW w:w="0" w:type="auto"/>
            <w:vAlign w:val="center"/>
          </w:tcPr>
          <w:p w14:paraId="0389A70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52D87C5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86</w:t>
            </w:r>
          </w:p>
        </w:tc>
        <w:tc>
          <w:tcPr>
            <w:tcW w:w="0" w:type="auto"/>
            <w:vAlign w:val="center"/>
          </w:tcPr>
          <w:p w14:paraId="56282C6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5E3BD70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38B564E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1251</w:t>
            </w:r>
          </w:p>
        </w:tc>
        <w:tc>
          <w:tcPr>
            <w:tcW w:w="0" w:type="auto"/>
            <w:tcBorders>
              <w:left w:val="single" w:sz="4" w:space="0" w:color="auto"/>
            </w:tcBorders>
            <w:vAlign w:val="center"/>
          </w:tcPr>
          <w:p w14:paraId="21EC328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7D5B4B9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67</w:t>
            </w:r>
          </w:p>
        </w:tc>
        <w:tc>
          <w:tcPr>
            <w:tcW w:w="0" w:type="auto"/>
            <w:vAlign w:val="center"/>
          </w:tcPr>
          <w:p w14:paraId="3270DFC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2F4617B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8B125F" w:rsidRPr="001D04B4" w14:paraId="0B8F8508"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22E97F0"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0781</w:t>
            </w:r>
          </w:p>
        </w:tc>
        <w:tc>
          <w:tcPr>
            <w:tcW w:w="0" w:type="auto"/>
            <w:vAlign w:val="center"/>
          </w:tcPr>
          <w:p w14:paraId="2087925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0C05669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68</w:t>
            </w:r>
          </w:p>
        </w:tc>
        <w:tc>
          <w:tcPr>
            <w:tcW w:w="0" w:type="auto"/>
            <w:vAlign w:val="center"/>
          </w:tcPr>
          <w:p w14:paraId="463CE8D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29BE9A31"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102E01D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1001</w:t>
            </w:r>
          </w:p>
        </w:tc>
        <w:tc>
          <w:tcPr>
            <w:tcW w:w="0" w:type="auto"/>
            <w:tcBorders>
              <w:left w:val="single" w:sz="4" w:space="0" w:color="auto"/>
            </w:tcBorders>
            <w:vAlign w:val="center"/>
          </w:tcPr>
          <w:p w14:paraId="5009B69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1FAE0FF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70</w:t>
            </w:r>
          </w:p>
        </w:tc>
        <w:tc>
          <w:tcPr>
            <w:tcW w:w="0" w:type="auto"/>
            <w:vAlign w:val="center"/>
          </w:tcPr>
          <w:p w14:paraId="73A6C25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5F7AF82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1D04B4" w:rsidRPr="001D04B4" w14:paraId="0928E38C"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BEF3D9B"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1182</w:t>
            </w:r>
          </w:p>
        </w:tc>
        <w:tc>
          <w:tcPr>
            <w:tcW w:w="0" w:type="auto"/>
            <w:vAlign w:val="center"/>
          </w:tcPr>
          <w:p w14:paraId="441B118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5D7CB7B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76</w:t>
            </w:r>
          </w:p>
        </w:tc>
        <w:tc>
          <w:tcPr>
            <w:tcW w:w="0" w:type="auto"/>
            <w:vAlign w:val="center"/>
          </w:tcPr>
          <w:p w14:paraId="14A1E15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214EC75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6641E3F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111188</w:t>
            </w:r>
          </w:p>
        </w:tc>
        <w:tc>
          <w:tcPr>
            <w:tcW w:w="0" w:type="auto"/>
            <w:tcBorders>
              <w:left w:val="single" w:sz="4" w:space="0" w:color="auto"/>
            </w:tcBorders>
            <w:vAlign w:val="center"/>
          </w:tcPr>
          <w:p w14:paraId="08D35DA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2FBC0710"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72</w:t>
            </w:r>
          </w:p>
        </w:tc>
        <w:tc>
          <w:tcPr>
            <w:tcW w:w="0" w:type="auto"/>
            <w:vAlign w:val="center"/>
          </w:tcPr>
          <w:p w14:paraId="5B67CA4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37C7DAF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8B125F" w:rsidRPr="001D04B4" w14:paraId="05E737C8"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0AE17DA"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1210</w:t>
            </w:r>
          </w:p>
        </w:tc>
        <w:tc>
          <w:tcPr>
            <w:tcW w:w="0" w:type="auto"/>
            <w:vAlign w:val="center"/>
          </w:tcPr>
          <w:p w14:paraId="31D5BD32"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6FC7E71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65</w:t>
            </w:r>
          </w:p>
        </w:tc>
        <w:tc>
          <w:tcPr>
            <w:tcW w:w="0" w:type="auto"/>
            <w:vAlign w:val="center"/>
          </w:tcPr>
          <w:p w14:paraId="62F8CD4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7DE831A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4FC6909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141171</w:t>
            </w:r>
          </w:p>
        </w:tc>
        <w:tc>
          <w:tcPr>
            <w:tcW w:w="0" w:type="auto"/>
            <w:tcBorders>
              <w:left w:val="single" w:sz="4" w:space="0" w:color="auto"/>
            </w:tcBorders>
            <w:vAlign w:val="center"/>
          </w:tcPr>
          <w:p w14:paraId="0FA6BDE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0AD07C8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68</w:t>
            </w:r>
          </w:p>
        </w:tc>
        <w:tc>
          <w:tcPr>
            <w:tcW w:w="0" w:type="auto"/>
            <w:vAlign w:val="center"/>
          </w:tcPr>
          <w:p w14:paraId="7B46C5B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651C3341"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1D04B4" w:rsidRPr="001D04B4" w14:paraId="106F735B"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253AE1A"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0885</w:t>
            </w:r>
          </w:p>
        </w:tc>
        <w:tc>
          <w:tcPr>
            <w:tcW w:w="0" w:type="auto"/>
            <w:vAlign w:val="center"/>
          </w:tcPr>
          <w:p w14:paraId="2F4AE8F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67D9586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72</w:t>
            </w:r>
          </w:p>
        </w:tc>
        <w:tc>
          <w:tcPr>
            <w:tcW w:w="0" w:type="auto"/>
            <w:vAlign w:val="center"/>
          </w:tcPr>
          <w:p w14:paraId="18213220"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4C8CACC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4BCCF5C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0773</w:t>
            </w:r>
          </w:p>
        </w:tc>
        <w:tc>
          <w:tcPr>
            <w:tcW w:w="0" w:type="auto"/>
            <w:tcBorders>
              <w:left w:val="single" w:sz="4" w:space="0" w:color="auto"/>
            </w:tcBorders>
            <w:vAlign w:val="center"/>
          </w:tcPr>
          <w:p w14:paraId="10FDC8E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7312330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61</w:t>
            </w:r>
          </w:p>
        </w:tc>
        <w:tc>
          <w:tcPr>
            <w:tcW w:w="0" w:type="auto"/>
            <w:vAlign w:val="center"/>
          </w:tcPr>
          <w:p w14:paraId="1C3D0C0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6D02687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8B125F" w:rsidRPr="001D04B4" w14:paraId="07806212"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EA92BC6"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1175</w:t>
            </w:r>
          </w:p>
        </w:tc>
        <w:tc>
          <w:tcPr>
            <w:tcW w:w="0" w:type="auto"/>
            <w:vAlign w:val="center"/>
          </w:tcPr>
          <w:p w14:paraId="5B0109D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51E479A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70</w:t>
            </w:r>
          </w:p>
        </w:tc>
        <w:tc>
          <w:tcPr>
            <w:tcW w:w="0" w:type="auto"/>
            <w:vAlign w:val="center"/>
          </w:tcPr>
          <w:p w14:paraId="451C5DC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6C4762A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09A09110"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1285</w:t>
            </w:r>
          </w:p>
        </w:tc>
        <w:tc>
          <w:tcPr>
            <w:tcW w:w="0" w:type="auto"/>
            <w:tcBorders>
              <w:left w:val="single" w:sz="4" w:space="0" w:color="auto"/>
            </w:tcBorders>
            <w:vAlign w:val="center"/>
          </w:tcPr>
          <w:p w14:paraId="6FE9D7F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790F380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64</w:t>
            </w:r>
          </w:p>
        </w:tc>
        <w:tc>
          <w:tcPr>
            <w:tcW w:w="0" w:type="auto"/>
            <w:vAlign w:val="center"/>
          </w:tcPr>
          <w:p w14:paraId="57E57D2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19FFDAF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1D04B4" w:rsidRPr="001D04B4" w14:paraId="09009B66"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33EF752"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1200</w:t>
            </w:r>
          </w:p>
        </w:tc>
        <w:tc>
          <w:tcPr>
            <w:tcW w:w="0" w:type="auto"/>
            <w:vAlign w:val="center"/>
          </w:tcPr>
          <w:p w14:paraId="01A2FA2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646288B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63</w:t>
            </w:r>
          </w:p>
        </w:tc>
        <w:tc>
          <w:tcPr>
            <w:tcW w:w="0" w:type="auto"/>
            <w:vAlign w:val="center"/>
          </w:tcPr>
          <w:p w14:paraId="3323042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6163629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3CCB63C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1237</w:t>
            </w:r>
          </w:p>
        </w:tc>
        <w:tc>
          <w:tcPr>
            <w:tcW w:w="0" w:type="auto"/>
            <w:tcBorders>
              <w:left w:val="single" w:sz="4" w:space="0" w:color="auto"/>
            </w:tcBorders>
            <w:vAlign w:val="center"/>
          </w:tcPr>
          <w:p w14:paraId="61BF7FF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0A9DFDA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73</w:t>
            </w:r>
          </w:p>
        </w:tc>
        <w:tc>
          <w:tcPr>
            <w:tcW w:w="0" w:type="auto"/>
            <w:vAlign w:val="center"/>
          </w:tcPr>
          <w:p w14:paraId="6A19BDD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78950C2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8B125F" w:rsidRPr="001D04B4" w14:paraId="26FBD962"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756605C"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0619</w:t>
            </w:r>
          </w:p>
        </w:tc>
        <w:tc>
          <w:tcPr>
            <w:tcW w:w="0" w:type="auto"/>
            <w:vAlign w:val="center"/>
          </w:tcPr>
          <w:p w14:paraId="47BB8E20"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0148404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75</w:t>
            </w:r>
          </w:p>
        </w:tc>
        <w:tc>
          <w:tcPr>
            <w:tcW w:w="0" w:type="auto"/>
            <w:vAlign w:val="center"/>
          </w:tcPr>
          <w:p w14:paraId="4BD60DA0"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6DD5914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3534755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121091</w:t>
            </w:r>
          </w:p>
        </w:tc>
        <w:tc>
          <w:tcPr>
            <w:tcW w:w="0" w:type="auto"/>
            <w:tcBorders>
              <w:left w:val="single" w:sz="4" w:space="0" w:color="auto"/>
            </w:tcBorders>
            <w:vAlign w:val="center"/>
          </w:tcPr>
          <w:p w14:paraId="38875FC1"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3C71495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75</w:t>
            </w:r>
          </w:p>
        </w:tc>
        <w:tc>
          <w:tcPr>
            <w:tcW w:w="0" w:type="auto"/>
            <w:vAlign w:val="center"/>
          </w:tcPr>
          <w:p w14:paraId="6116E9A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470F09E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1D04B4" w:rsidRPr="001D04B4" w14:paraId="32963896"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6CF3EBF"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1180</w:t>
            </w:r>
          </w:p>
        </w:tc>
        <w:tc>
          <w:tcPr>
            <w:tcW w:w="0" w:type="auto"/>
            <w:vAlign w:val="center"/>
          </w:tcPr>
          <w:p w14:paraId="77A6FD6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5C5528D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63</w:t>
            </w:r>
          </w:p>
        </w:tc>
        <w:tc>
          <w:tcPr>
            <w:tcW w:w="0" w:type="auto"/>
            <w:vAlign w:val="center"/>
          </w:tcPr>
          <w:p w14:paraId="4A0CD60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697C02D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5586D23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141064</w:t>
            </w:r>
          </w:p>
        </w:tc>
        <w:tc>
          <w:tcPr>
            <w:tcW w:w="0" w:type="auto"/>
            <w:tcBorders>
              <w:left w:val="single" w:sz="4" w:space="0" w:color="auto"/>
            </w:tcBorders>
            <w:vAlign w:val="center"/>
          </w:tcPr>
          <w:p w14:paraId="303A8FF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51B1113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68</w:t>
            </w:r>
          </w:p>
        </w:tc>
        <w:tc>
          <w:tcPr>
            <w:tcW w:w="0" w:type="auto"/>
            <w:vAlign w:val="center"/>
          </w:tcPr>
          <w:p w14:paraId="10EDCD0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0DDEACC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8B125F" w:rsidRPr="001D04B4" w14:paraId="4D7042F5"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805AF7A"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0989</w:t>
            </w:r>
          </w:p>
        </w:tc>
        <w:tc>
          <w:tcPr>
            <w:tcW w:w="0" w:type="auto"/>
            <w:vAlign w:val="center"/>
          </w:tcPr>
          <w:p w14:paraId="1D29C51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667BFC0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67</w:t>
            </w:r>
          </w:p>
        </w:tc>
        <w:tc>
          <w:tcPr>
            <w:tcW w:w="0" w:type="auto"/>
            <w:vAlign w:val="center"/>
          </w:tcPr>
          <w:p w14:paraId="3D8029C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78CF889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4CB7E5C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141019</w:t>
            </w:r>
          </w:p>
        </w:tc>
        <w:tc>
          <w:tcPr>
            <w:tcW w:w="0" w:type="auto"/>
            <w:tcBorders>
              <w:left w:val="single" w:sz="4" w:space="0" w:color="auto"/>
            </w:tcBorders>
            <w:vAlign w:val="center"/>
          </w:tcPr>
          <w:p w14:paraId="45F6730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1AA7EA2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72</w:t>
            </w:r>
          </w:p>
        </w:tc>
        <w:tc>
          <w:tcPr>
            <w:tcW w:w="0" w:type="auto"/>
            <w:vAlign w:val="center"/>
          </w:tcPr>
          <w:p w14:paraId="36CE916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2DAC7E2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1D04B4" w:rsidRPr="001D04B4" w14:paraId="71632461"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6C591F6"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1207</w:t>
            </w:r>
          </w:p>
        </w:tc>
        <w:tc>
          <w:tcPr>
            <w:tcW w:w="0" w:type="auto"/>
            <w:vAlign w:val="center"/>
          </w:tcPr>
          <w:p w14:paraId="447D65DB"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19B9541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78</w:t>
            </w:r>
          </w:p>
        </w:tc>
        <w:tc>
          <w:tcPr>
            <w:tcW w:w="0" w:type="auto"/>
            <w:vAlign w:val="center"/>
          </w:tcPr>
          <w:p w14:paraId="75DB751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7F277D1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28F6F31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1052</w:t>
            </w:r>
          </w:p>
        </w:tc>
        <w:tc>
          <w:tcPr>
            <w:tcW w:w="0" w:type="auto"/>
            <w:tcBorders>
              <w:left w:val="single" w:sz="4" w:space="0" w:color="auto"/>
            </w:tcBorders>
            <w:vAlign w:val="center"/>
          </w:tcPr>
          <w:p w14:paraId="24D8661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1CD144B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71</w:t>
            </w:r>
          </w:p>
        </w:tc>
        <w:tc>
          <w:tcPr>
            <w:tcW w:w="0" w:type="auto"/>
            <w:vAlign w:val="center"/>
          </w:tcPr>
          <w:p w14:paraId="234506F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2A28918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8B125F" w:rsidRPr="001D04B4" w14:paraId="24794A8D"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3779C9F"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0181</w:t>
            </w:r>
          </w:p>
        </w:tc>
        <w:tc>
          <w:tcPr>
            <w:tcW w:w="0" w:type="auto"/>
            <w:vAlign w:val="center"/>
          </w:tcPr>
          <w:p w14:paraId="1EC02B2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4D440AC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67</w:t>
            </w:r>
          </w:p>
        </w:tc>
        <w:tc>
          <w:tcPr>
            <w:tcW w:w="0" w:type="auto"/>
            <w:vAlign w:val="center"/>
          </w:tcPr>
          <w:p w14:paraId="465F249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4B0B0DE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0220D2A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141168</w:t>
            </w:r>
          </w:p>
        </w:tc>
        <w:tc>
          <w:tcPr>
            <w:tcW w:w="0" w:type="auto"/>
            <w:tcBorders>
              <w:left w:val="single" w:sz="4" w:space="0" w:color="auto"/>
            </w:tcBorders>
            <w:vAlign w:val="center"/>
          </w:tcPr>
          <w:p w14:paraId="403DF69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2429888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68</w:t>
            </w:r>
          </w:p>
        </w:tc>
        <w:tc>
          <w:tcPr>
            <w:tcW w:w="0" w:type="auto"/>
            <w:vAlign w:val="center"/>
          </w:tcPr>
          <w:p w14:paraId="686757B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5F9CFBE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1D04B4" w:rsidRPr="001D04B4" w14:paraId="62435612"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C2DD771"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1028</w:t>
            </w:r>
          </w:p>
        </w:tc>
        <w:tc>
          <w:tcPr>
            <w:tcW w:w="0" w:type="auto"/>
            <w:vAlign w:val="center"/>
          </w:tcPr>
          <w:p w14:paraId="65AEEA2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025AE8A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65</w:t>
            </w:r>
          </w:p>
        </w:tc>
        <w:tc>
          <w:tcPr>
            <w:tcW w:w="0" w:type="auto"/>
            <w:vAlign w:val="center"/>
          </w:tcPr>
          <w:p w14:paraId="749B8DB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0E98201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7D13D9C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121235</w:t>
            </w:r>
          </w:p>
        </w:tc>
        <w:tc>
          <w:tcPr>
            <w:tcW w:w="0" w:type="auto"/>
            <w:tcBorders>
              <w:left w:val="single" w:sz="4" w:space="0" w:color="auto"/>
            </w:tcBorders>
            <w:vAlign w:val="center"/>
          </w:tcPr>
          <w:p w14:paraId="7D95EBA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7B7E290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75</w:t>
            </w:r>
          </w:p>
        </w:tc>
        <w:tc>
          <w:tcPr>
            <w:tcW w:w="0" w:type="auto"/>
            <w:vAlign w:val="center"/>
          </w:tcPr>
          <w:p w14:paraId="31F8D6C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32542CB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8B125F" w:rsidRPr="001D04B4" w14:paraId="043895DC"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C49CD3A"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1229</w:t>
            </w:r>
          </w:p>
        </w:tc>
        <w:tc>
          <w:tcPr>
            <w:tcW w:w="0" w:type="auto"/>
            <w:vAlign w:val="center"/>
          </w:tcPr>
          <w:p w14:paraId="4652F7F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7800C7E0"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69</w:t>
            </w:r>
          </w:p>
        </w:tc>
        <w:tc>
          <w:tcPr>
            <w:tcW w:w="0" w:type="auto"/>
            <w:vAlign w:val="center"/>
          </w:tcPr>
          <w:p w14:paraId="5100DF3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297F86E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1C677B41"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141124</w:t>
            </w:r>
          </w:p>
        </w:tc>
        <w:tc>
          <w:tcPr>
            <w:tcW w:w="0" w:type="auto"/>
            <w:tcBorders>
              <w:left w:val="single" w:sz="4" w:space="0" w:color="auto"/>
            </w:tcBorders>
            <w:vAlign w:val="center"/>
          </w:tcPr>
          <w:p w14:paraId="48F0219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3F456171"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73</w:t>
            </w:r>
          </w:p>
        </w:tc>
        <w:tc>
          <w:tcPr>
            <w:tcW w:w="0" w:type="auto"/>
            <w:vAlign w:val="center"/>
          </w:tcPr>
          <w:p w14:paraId="63B7FFB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24DB181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1D04B4" w:rsidRPr="001D04B4" w14:paraId="1C4503A9"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9D9C86E"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0780</w:t>
            </w:r>
          </w:p>
        </w:tc>
        <w:tc>
          <w:tcPr>
            <w:tcW w:w="0" w:type="auto"/>
            <w:vAlign w:val="center"/>
          </w:tcPr>
          <w:p w14:paraId="02EADD9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07436AC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70</w:t>
            </w:r>
          </w:p>
        </w:tc>
        <w:tc>
          <w:tcPr>
            <w:tcW w:w="0" w:type="auto"/>
            <w:vAlign w:val="center"/>
          </w:tcPr>
          <w:p w14:paraId="40634ED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3CD4B86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47B359A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1205</w:t>
            </w:r>
          </w:p>
        </w:tc>
        <w:tc>
          <w:tcPr>
            <w:tcW w:w="0" w:type="auto"/>
            <w:tcBorders>
              <w:left w:val="single" w:sz="4" w:space="0" w:color="auto"/>
            </w:tcBorders>
            <w:vAlign w:val="center"/>
          </w:tcPr>
          <w:p w14:paraId="4684314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5862DB5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63</w:t>
            </w:r>
          </w:p>
        </w:tc>
        <w:tc>
          <w:tcPr>
            <w:tcW w:w="0" w:type="auto"/>
            <w:vAlign w:val="center"/>
          </w:tcPr>
          <w:p w14:paraId="63865A9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344D806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8B125F" w:rsidRPr="001D04B4" w14:paraId="3C288726"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EAA1C00"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1174</w:t>
            </w:r>
          </w:p>
        </w:tc>
        <w:tc>
          <w:tcPr>
            <w:tcW w:w="0" w:type="auto"/>
            <w:vAlign w:val="center"/>
          </w:tcPr>
          <w:p w14:paraId="7F00E8E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60F44CB2"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70</w:t>
            </w:r>
          </w:p>
        </w:tc>
        <w:tc>
          <w:tcPr>
            <w:tcW w:w="0" w:type="auto"/>
            <w:vAlign w:val="center"/>
          </w:tcPr>
          <w:p w14:paraId="172F33E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08E6628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095ED7C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141006</w:t>
            </w:r>
          </w:p>
        </w:tc>
        <w:tc>
          <w:tcPr>
            <w:tcW w:w="0" w:type="auto"/>
            <w:tcBorders>
              <w:left w:val="single" w:sz="4" w:space="0" w:color="auto"/>
            </w:tcBorders>
            <w:vAlign w:val="center"/>
          </w:tcPr>
          <w:p w14:paraId="16895F2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2F148E9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76</w:t>
            </w:r>
          </w:p>
        </w:tc>
        <w:tc>
          <w:tcPr>
            <w:tcW w:w="0" w:type="auto"/>
            <w:vAlign w:val="center"/>
          </w:tcPr>
          <w:p w14:paraId="42B044B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7F495AA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1D04B4" w:rsidRPr="001D04B4" w14:paraId="008F25EE"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9D590A5"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1118</w:t>
            </w:r>
          </w:p>
        </w:tc>
        <w:tc>
          <w:tcPr>
            <w:tcW w:w="0" w:type="auto"/>
            <w:vAlign w:val="center"/>
          </w:tcPr>
          <w:p w14:paraId="111B13F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56D98E2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63</w:t>
            </w:r>
          </w:p>
        </w:tc>
        <w:tc>
          <w:tcPr>
            <w:tcW w:w="0" w:type="auto"/>
            <w:vAlign w:val="center"/>
          </w:tcPr>
          <w:p w14:paraId="7330049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142D60E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2BEAAF5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1168</w:t>
            </w:r>
          </w:p>
        </w:tc>
        <w:tc>
          <w:tcPr>
            <w:tcW w:w="0" w:type="auto"/>
            <w:tcBorders>
              <w:left w:val="single" w:sz="4" w:space="0" w:color="auto"/>
            </w:tcBorders>
            <w:vAlign w:val="center"/>
          </w:tcPr>
          <w:p w14:paraId="6554A1D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7AD2D3FB"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81</w:t>
            </w:r>
          </w:p>
        </w:tc>
        <w:tc>
          <w:tcPr>
            <w:tcW w:w="0" w:type="auto"/>
            <w:vAlign w:val="center"/>
          </w:tcPr>
          <w:p w14:paraId="051B3A9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00A2CC9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8B125F" w:rsidRPr="001D04B4" w14:paraId="7454FC46"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EAEDEFA"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0784</w:t>
            </w:r>
          </w:p>
        </w:tc>
        <w:tc>
          <w:tcPr>
            <w:tcW w:w="0" w:type="auto"/>
            <w:vAlign w:val="center"/>
          </w:tcPr>
          <w:p w14:paraId="65ACCEA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3181E10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71</w:t>
            </w:r>
          </w:p>
        </w:tc>
        <w:tc>
          <w:tcPr>
            <w:tcW w:w="0" w:type="auto"/>
            <w:vAlign w:val="center"/>
          </w:tcPr>
          <w:p w14:paraId="5EA3D7A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4E94643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2DD5E102"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1236</w:t>
            </w:r>
          </w:p>
        </w:tc>
        <w:tc>
          <w:tcPr>
            <w:tcW w:w="0" w:type="auto"/>
            <w:tcBorders>
              <w:left w:val="single" w:sz="4" w:space="0" w:color="auto"/>
            </w:tcBorders>
            <w:vAlign w:val="center"/>
          </w:tcPr>
          <w:p w14:paraId="0125DEB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24DD2BC1"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82</w:t>
            </w:r>
          </w:p>
        </w:tc>
        <w:tc>
          <w:tcPr>
            <w:tcW w:w="0" w:type="auto"/>
            <w:vAlign w:val="center"/>
          </w:tcPr>
          <w:p w14:paraId="53E463D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7BD6A3C0"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1D04B4" w:rsidRPr="001D04B4" w14:paraId="293717F1"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B5F0F79"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0994</w:t>
            </w:r>
          </w:p>
        </w:tc>
        <w:tc>
          <w:tcPr>
            <w:tcW w:w="0" w:type="auto"/>
            <w:vAlign w:val="center"/>
          </w:tcPr>
          <w:p w14:paraId="08E1938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50E4DA7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69</w:t>
            </w:r>
          </w:p>
        </w:tc>
        <w:tc>
          <w:tcPr>
            <w:tcW w:w="0" w:type="auto"/>
            <w:vAlign w:val="center"/>
          </w:tcPr>
          <w:p w14:paraId="769EB55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419FB2D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269C625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0738</w:t>
            </w:r>
          </w:p>
        </w:tc>
        <w:tc>
          <w:tcPr>
            <w:tcW w:w="0" w:type="auto"/>
            <w:tcBorders>
              <w:left w:val="single" w:sz="4" w:space="0" w:color="auto"/>
            </w:tcBorders>
            <w:vAlign w:val="center"/>
          </w:tcPr>
          <w:p w14:paraId="58751F4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203D12A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74</w:t>
            </w:r>
          </w:p>
        </w:tc>
        <w:tc>
          <w:tcPr>
            <w:tcW w:w="0" w:type="auto"/>
            <w:vAlign w:val="center"/>
          </w:tcPr>
          <w:p w14:paraId="620144D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65B9EFF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8B125F" w:rsidRPr="001D04B4" w14:paraId="6FC84777"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19E4A26"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1113</w:t>
            </w:r>
          </w:p>
        </w:tc>
        <w:tc>
          <w:tcPr>
            <w:tcW w:w="0" w:type="auto"/>
            <w:vAlign w:val="center"/>
          </w:tcPr>
          <w:p w14:paraId="708F663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4851916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73</w:t>
            </w:r>
          </w:p>
        </w:tc>
        <w:tc>
          <w:tcPr>
            <w:tcW w:w="0" w:type="auto"/>
            <w:vAlign w:val="center"/>
          </w:tcPr>
          <w:p w14:paraId="7C448152"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6B22239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17BD55C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131134</w:t>
            </w:r>
          </w:p>
        </w:tc>
        <w:tc>
          <w:tcPr>
            <w:tcW w:w="0" w:type="auto"/>
            <w:tcBorders>
              <w:left w:val="single" w:sz="4" w:space="0" w:color="auto"/>
            </w:tcBorders>
            <w:vAlign w:val="center"/>
          </w:tcPr>
          <w:p w14:paraId="5590134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1341354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66</w:t>
            </w:r>
          </w:p>
        </w:tc>
        <w:tc>
          <w:tcPr>
            <w:tcW w:w="0" w:type="auto"/>
            <w:vAlign w:val="center"/>
          </w:tcPr>
          <w:p w14:paraId="47A6E45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68932390"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1D04B4" w:rsidRPr="001D04B4" w14:paraId="1BB88819"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16A9F9B"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1007</w:t>
            </w:r>
          </w:p>
        </w:tc>
        <w:tc>
          <w:tcPr>
            <w:tcW w:w="0" w:type="auto"/>
            <w:vAlign w:val="center"/>
          </w:tcPr>
          <w:p w14:paraId="2279F56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3BC8EA4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62</w:t>
            </w:r>
          </w:p>
        </w:tc>
        <w:tc>
          <w:tcPr>
            <w:tcW w:w="0" w:type="auto"/>
            <w:vAlign w:val="center"/>
          </w:tcPr>
          <w:p w14:paraId="25D1836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71AB1B2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4C3D6FF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141002</w:t>
            </w:r>
          </w:p>
        </w:tc>
        <w:tc>
          <w:tcPr>
            <w:tcW w:w="0" w:type="auto"/>
            <w:tcBorders>
              <w:left w:val="single" w:sz="4" w:space="0" w:color="auto"/>
            </w:tcBorders>
            <w:vAlign w:val="center"/>
          </w:tcPr>
          <w:p w14:paraId="6BFE78C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1C6B6C4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82</w:t>
            </w:r>
          </w:p>
        </w:tc>
        <w:tc>
          <w:tcPr>
            <w:tcW w:w="0" w:type="auto"/>
            <w:vAlign w:val="center"/>
          </w:tcPr>
          <w:p w14:paraId="6025329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0E13769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8B125F" w:rsidRPr="001D04B4" w14:paraId="5B8667CD"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149DE62"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0896</w:t>
            </w:r>
          </w:p>
        </w:tc>
        <w:tc>
          <w:tcPr>
            <w:tcW w:w="0" w:type="auto"/>
            <w:vAlign w:val="center"/>
          </w:tcPr>
          <w:p w14:paraId="59E50B0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42E4D29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81</w:t>
            </w:r>
          </w:p>
        </w:tc>
        <w:tc>
          <w:tcPr>
            <w:tcW w:w="0" w:type="auto"/>
            <w:vAlign w:val="center"/>
          </w:tcPr>
          <w:p w14:paraId="5F6F32B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47FA2E4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63CDA39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0942</w:t>
            </w:r>
          </w:p>
        </w:tc>
        <w:tc>
          <w:tcPr>
            <w:tcW w:w="0" w:type="auto"/>
            <w:tcBorders>
              <w:left w:val="single" w:sz="4" w:space="0" w:color="auto"/>
            </w:tcBorders>
            <w:vAlign w:val="center"/>
          </w:tcPr>
          <w:p w14:paraId="630AD81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3210AF3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61</w:t>
            </w:r>
          </w:p>
        </w:tc>
        <w:tc>
          <w:tcPr>
            <w:tcW w:w="0" w:type="auto"/>
            <w:vAlign w:val="center"/>
          </w:tcPr>
          <w:p w14:paraId="451EA80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4421B0B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1D04B4" w:rsidRPr="001D04B4" w14:paraId="2F05EDB5"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E490A33"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1206</w:t>
            </w:r>
          </w:p>
        </w:tc>
        <w:tc>
          <w:tcPr>
            <w:tcW w:w="0" w:type="auto"/>
            <w:vAlign w:val="center"/>
          </w:tcPr>
          <w:p w14:paraId="6319217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5626A5E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76</w:t>
            </w:r>
          </w:p>
        </w:tc>
        <w:tc>
          <w:tcPr>
            <w:tcW w:w="0" w:type="auto"/>
            <w:vAlign w:val="center"/>
          </w:tcPr>
          <w:p w14:paraId="23B6910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2DE7007B"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120A2BF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121151</w:t>
            </w:r>
          </w:p>
        </w:tc>
        <w:tc>
          <w:tcPr>
            <w:tcW w:w="0" w:type="auto"/>
            <w:tcBorders>
              <w:left w:val="single" w:sz="4" w:space="0" w:color="auto"/>
            </w:tcBorders>
            <w:vAlign w:val="center"/>
          </w:tcPr>
          <w:p w14:paraId="2B45DFA0"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32A0D3B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64</w:t>
            </w:r>
          </w:p>
        </w:tc>
        <w:tc>
          <w:tcPr>
            <w:tcW w:w="0" w:type="auto"/>
            <w:vAlign w:val="center"/>
          </w:tcPr>
          <w:p w14:paraId="5EE7F8F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0446E68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8B125F" w:rsidRPr="001D04B4" w14:paraId="07B672DD"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17D027D"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0915</w:t>
            </w:r>
          </w:p>
        </w:tc>
        <w:tc>
          <w:tcPr>
            <w:tcW w:w="0" w:type="auto"/>
            <w:vAlign w:val="center"/>
          </w:tcPr>
          <w:p w14:paraId="03D51EB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22076FB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69</w:t>
            </w:r>
          </w:p>
        </w:tc>
        <w:tc>
          <w:tcPr>
            <w:tcW w:w="0" w:type="auto"/>
            <w:vAlign w:val="center"/>
          </w:tcPr>
          <w:p w14:paraId="1255FCF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07D6C47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553B9AD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1241</w:t>
            </w:r>
          </w:p>
        </w:tc>
        <w:tc>
          <w:tcPr>
            <w:tcW w:w="0" w:type="auto"/>
            <w:tcBorders>
              <w:left w:val="single" w:sz="4" w:space="0" w:color="auto"/>
            </w:tcBorders>
            <w:vAlign w:val="center"/>
          </w:tcPr>
          <w:p w14:paraId="6AAFF7E1"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7BC5616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76</w:t>
            </w:r>
          </w:p>
        </w:tc>
        <w:tc>
          <w:tcPr>
            <w:tcW w:w="0" w:type="auto"/>
            <w:vAlign w:val="center"/>
          </w:tcPr>
          <w:p w14:paraId="5E36B77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7429EEA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1D04B4" w:rsidRPr="001D04B4" w14:paraId="57A9112C"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D61401A"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0841</w:t>
            </w:r>
          </w:p>
        </w:tc>
        <w:tc>
          <w:tcPr>
            <w:tcW w:w="0" w:type="auto"/>
            <w:vAlign w:val="center"/>
          </w:tcPr>
          <w:p w14:paraId="16E5320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71BC6DA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72</w:t>
            </w:r>
          </w:p>
        </w:tc>
        <w:tc>
          <w:tcPr>
            <w:tcW w:w="0" w:type="auto"/>
            <w:vAlign w:val="center"/>
          </w:tcPr>
          <w:p w14:paraId="64C6EA2B"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3E12594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60F8A51B"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0340</w:t>
            </w:r>
          </w:p>
        </w:tc>
        <w:tc>
          <w:tcPr>
            <w:tcW w:w="0" w:type="auto"/>
            <w:tcBorders>
              <w:left w:val="single" w:sz="4" w:space="0" w:color="auto"/>
            </w:tcBorders>
            <w:vAlign w:val="center"/>
          </w:tcPr>
          <w:p w14:paraId="3DE2D73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w:t>
            </w:r>
          </w:p>
        </w:tc>
        <w:tc>
          <w:tcPr>
            <w:tcW w:w="0" w:type="auto"/>
            <w:vAlign w:val="center"/>
          </w:tcPr>
          <w:p w14:paraId="42686EF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69</w:t>
            </w:r>
          </w:p>
        </w:tc>
        <w:tc>
          <w:tcPr>
            <w:tcW w:w="0" w:type="auto"/>
            <w:vAlign w:val="center"/>
          </w:tcPr>
          <w:p w14:paraId="3B74F25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vAlign w:val="center"/>
          </w:tcPr>
          <w:p w14:paraId="10819E7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r>
      <w:tr w:rsidR="008B125F" w:rsidRPr="001D04B4" w14:paraId="1BAC9075"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C04ABF0"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1255</w:t>
            </w:r>
          </w:p>
        </w:tc>
        <w:tc>
          <w:tcPr>
            <w:tcW w:w="0" w:type="auto"/>
            <w:vAlign w:val="center"/>
          </w:tcPr>
          <w:p w14:paraId="2A44DFB2"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2F466A6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70</w:t>
            </w:r>
          </w:p>
        </w:tc>
        <w:tc>
          <w:tcPr>
            <w:tcW w:w="0" w:type="auto"/>
            <w:vAlign w:val="center"/>
          </w:tcPr>
          <w:p w14:paraId="3B6D013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5FD4178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6697AEF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131432</w:t>
            </w:r>
          </w:p>
        </w:tc>
        <w:tc>
          <w:tcPr>
            <w:tcW w:w="0" w:type="auto"/>
            <w:tcBorders>
              <w:left w:val="single" w:sz="4" w:space="0" w:color="auto"/>
            </w:tcBorders>
            <w:vAlign w:val="center"/>
          </w:tcPr>
          <w:p w14:paraId="642055E1"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MCI-AD</w:t>
            </w:r>
          </w:p>
        </w:tc>
        <w:tc>
          <w:tcPr>
            <w:tcW w:w="0" w:type="auto"/>
            <w:vAlign w:val="center"/>
          </w:tcPr>
          <w:p w14:paraId="478B8742"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73</w:t>
            </w:r>
          </w:p>
        </w:tc>
        <w:tc>
          <w:tcPr>
            <w:tcW w:w="0" w:type="auto"/>
            <w:vAlign w:val="center"/>
          </w:tcPr>
          <w:p w14:paraId="4ED0C5B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vAlign w:val="center"/>
          </w:tcPr>
          <w:p w14:paraId="3A3EF0E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Kerchner</w:t>
            </w:r>
          </w:p>
        </w:tc>
      </w:tr>
      <w:tr w:rsidR="001D04B4" w:rsidRPr="001D04B4" w14:paraId="251ECEB9"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62E975E"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0871</w:t>
            </w:r>
          </w:p>
        </w:tc>
        <w:tc>
          <w:tcPr>
            <w:tcW w:w="0" w:type="auto"/>
            <w:vAlign w:val="center"/>
          </w:tcPr>
          <w:p w14:paraId="0471DA3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1ECCA35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77</w:t>
            </w:r>
          </w:p>
        </w:tc>
        <w:tc>
          <w:tcPr>
            <w:tcW w:w="0" w:type="auto"/>
            <w:vAlign w:val="center"/>
          </w:tcPr>
          <w:p w14:paraId="2BA2AE5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1B0673B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61919A2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29D3BB3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3AC2CA4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5DD8068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43801E7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1D04B4" w14:paraId="06FEBF1E"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9ED47DB"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1248</w:t>
            </w:r>
          </w:p>
        </w:tc>
        <w:tc>
          <w:tcPr>
            <w:tcW w:w="0" w:type="auto"/>
            <w:vAlign w:val="center"/>
          </w:tcPr>
          <w:p w14:paraId="0EEA5C5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4FE4A5B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82</w:t>
            </w:r>
          </w:p>
        </w:tc>
        <w:tc>
          <w:tcPr>
            <w:tcW w:w="0" w:type="auto"/>
            <w:vAlign w:val="center"/>
          </w:tcPr>
          <w:p w14:paraId="11B6DF0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2F96350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307D3D90"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4FAF85F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1BB4427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6D664C8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0892E8E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1D04B4" w:rsidRPr="001D04B4" w14:paraId="7A463F6F"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5F68E67"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0846</w:t>
            </w:r>
          </w:p>
        </w:tc>
        <w:tc>
          <w:tcPr>
            <w:tcW w:w="0" w:type="auto"/>
            <w:vAlign w:val="center"/>
          </w:tcPr>
          <w:p w14:paraId="0EC2019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43C33D7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62</w:t>
            </w:r>
          </w:p>
        </w:tc>
        <w:tc>
          <w:tcPr>
            <w:tcW w:w="0" w:type="auto"/>
            <w:vAlign w:val="center"/>
          </w:tcPr>
          <w:p w14:paraId="341AE37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06960EA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45BCC0C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753CA79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32F77F5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5BDCFAC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478CA94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1D04B4" w14:paraId="24540B8E"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3FC8C31"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0739</w:t>
            </w:r>
          </w:p>
        </w:tc>
        <w:tc>
          <w:tcPr>
            <w:tcW w:w="0" w:type="auto"/>
            <w:vAlign w:val="center"/>
          </w:tcPr>
          <w:p w14:paraId="3A9B323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6EE1DF3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77</w:t>
            </w:r>
          </w:p>
        </w:tc>
        <w:tc>
          <w:tcPr>
            <w:tcW w:w="0" w:type="auto"/>
            <w:vAlign w:val="center"/>
          </w:tcPr>
          <w:p w14:paraId="6A3D112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43C7ECA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67CE49D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6FF4678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0E352B8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28D44A7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733A72D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1D04B4" w:rsidRPr="001D04B4" w14:paraId="5C5F544D"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74C06A6"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lastRenderedPageBreak/>
              <w:t>1189</w:t>
            </w:r>
          </w:p>
        </w:tc>
        <w:tc>
          <w:tcPr>
            <w:tcW w:w="0" w:type="auto"/>
            <w:vAlign w:val="center"/>
          </w:tcPr>
          <w:p w14:paraId="4AA7F3C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283F311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72</w:t>
            </w:r>
          </w:p>
        </w:tc>
        <w:tc>
          <w:tcPr>
            <w:tcW w:w="0" w:type="auto"/>
            <w:vAlign w:val="center"/>
          </w:tcPr>
          <w:p w14:paraId="1B4A3FFB"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0A853BC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34521E1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4D598DC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7FA01BC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3C57568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7D9F1E6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1D04B4" w14:paraId="58807DBA"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031EEDB"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0732</w:t>
            </w:r>
          </w:p>
        </w:tc>
        <w:tc>
          <w:tcPr>
            <w:tcW w:w="0" w:type="auto"/>
            <w:vAlign w:val="center"/>
          </w:tcPr>
          <w:p w14:paraId="26A51C1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273300E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87</w:t>
            </w:r>
          </w:p>
        </w:tc>
        <w:tc>
          <w:tcPr>
            <w:tcW w:w="0" w:type="auto"/>
            <w:vAlign w:val="center"/>
          </w:tcPr>
          <w:p w14:paraId="6AB6B5B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7E665431"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36B8E1C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6DBA3A1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1C52E03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32716F3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44C519E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1D04B4" w:rsidRPr="001D04B4" w14:paraId="12E5FDBA"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464203C"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1279</w:t>
            </w:r>
          </w:p>
        </w:tc>
        <w:tc>
          <w:tcPr>
            <w:tcW w:w="0" w:type="auto"/>
            <w:vAlign w:val="center"/>
          </w:tcPr>
          <w:p w14:paraId="20358B9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4138177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68</w:t>
            </w:r>
          </w:p>
        </w:tc>
        <w:tc>
          <w:tcPr>
            <w:tcW w:w="0" w:type="auto"/>
            <w:vAlign w:val="center"/>
          </w:tcPr>
          <w:p w14:paraId="1FE9D9C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69543FB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601D57E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60C2F00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317ED040"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6907F85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71CE502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1D04B4" w14:paraId="3B274D81"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C439154"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1273</w:t>
            </w:r>
          </w:p>
        </w:tc>
        <w:tc>
          <w:tcPr>
            <w:tcW w:w="0" w:type="auto"/>
            <w:vAlign w:val="center"/>
          </w:tcPr>
          <w:p w14:paraId="672B054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7877473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79</w:t>
            </w:r>
          </w:p>
        </w:tc>
        <w:tc>
          <w:tcPr>
            <w:tcW w:w="0" w:type="auto"/>
            <w:vAlign w:val="center"/>
          </w:tcPr>
          <w:p w14:paraId="12F5016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5C44554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4488D58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5075114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3624E48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4060D68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5E13DD8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1D04B4" w:rsidRPr="001D04B4" w14:paraId="027E4571"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DD51B30"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1132</w:t>
            </w:r>
          </w:p>
        </w:tc>
        <w:tc>
          <w:tcPr>
            <w:tcW w:w="0" w:type="auto"/>
            <w:vAlign w:val="center"/>
          </w:tcPr>
          <w:p w14:paraId="2380EBA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23DD898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73</w:t>
            </w:r>
          </w:p>
        </w:tc>
        <w:tc>
          <w:tcPr>
            <w:tcW w:w="0" w:type="auto"/>
            <w:vAlign w:val="center"/>
          </w:tcPr>
          <w:p w14:paraId="04F2302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5A2D0FEB"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0DC8917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6281A66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22D96FE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0AA7748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552EE11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1D04B4" w14:paraId="0DFE8DE8"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13AACDC"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1167</w:t>
            </w:r>
          </w:p>
        </w:tc>
        <w:tc>
          <w:tcPr>
            <w:tcW w:w="0" w:type="auto"/>
            <w:vAlign w:val="center"/>
          </w:tcPr>
          <w:p w14:paraId="03063F3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21B4739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67</w:t>
            </w:r>
          </w:p>
        </w:tc>
        <w:tc>
          <w:tcPr>
            <w:tcW w:w="0" w:type="auto"/>
            <w:vAlign w:val="center"/>
          </w:tcPr>
          <w:p w14:paraId="22C3CB7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4C626482"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75B6B0D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7CABB56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625ADCD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52D7661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2C748AD3"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1D04B4" w:rsidRPr="001D04B4" w14:paraId="3A8A706A"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996BB2B"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1209</w:t>
            </w:r>
          </w:p>
        </w:tc>
        <w:tc>
          <w:tcPr>
            <w:tcW w:w="0" w:type="auto"/>
            <w:vAlign w:val="center"/>
          </w:tcPr>
          <w:p w14:paraId="2697622D"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189E0E1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72</w:t>
            </w:r>
          </w:p>
        </w:tc>
        <w:tc>
          <w:tcPr>
            <w:tcW w:w="0" w:type="auto"/>
            <w:vAlign w:val="center"/>
          </w:tcPr>
          <w:p w14:paraId="028EAB7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3654054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505AB4C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42D72F0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54342AD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705C20E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1967B4A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1D04B4" w14:paraId="794376DA"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C07751C"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1010</w:t>
            </w:r>
          </w:p>
        </w:tc>
        <w:tc>
          <w:tcPr>
            <w:tcW w:w="0" w:type="auto"/>
            <w:vAlign w:val="center"/>
          </w:tcPr>
          <w:p w14:paraId="7524B4D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1C3BB90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72</w:t>
            </w:r>
          </w:p>
        </w:tc>
        <w:tc>
          <w:tcPr>
            <w:tcW w:w="0" w:type="auto"/>
            <w:vAlign w:val="center"/>
          </w:tcPr>
          <w:p w14:paraId="3A366902"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54674A4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1999ED8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413AE69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0BACA9F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7A0209C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3B3EF4D6"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1D04B4" w:rsidRPr="001D04B4" w14:paraId="4EEA0030"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C33837B"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0891</w:t>
            </w:r>
          </w:p>
        </w:tc>
        <w:tc>
          <w:tcPr>
            <w:tcW w:w="0" w:type="auto"/>
            <w:vAlign w:val="center"/>
          </w:tcPr>
          <w:p w14:paraId="4F47C9F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101B0E9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71</w:t>
            </w:r>
          </w:p>
        </w:tc>
        <w:tc>
          <w:tcPr>
            <w:tcW w:w="0" w:type="auto"/>
            <w:vAlign w:val="center"/>
          </w:tcPr>
          <w:p w14:paraId="790BDA9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56CD0ED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13BE6AD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0B150702"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40BA8FD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502D538B"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75EAE1E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1D04B4" w14:paraId="0352412C"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2160908"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0970</w:t>
            </w:r>
          </w:p>
        </w:tc>
        <w:tc>
          <w:tcPr>
            <w:tcW w:w="0" w:type="auto"/>
            <w:vAlign w:val="center"/>
          </w:tcPr>
          <w:p w14:paraId="2265385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202F69E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69</w:t>
            </w:r>
          </w:p>
        </w:tc>
        <w:tc>
          <w:tcPr>
            <w:tcW w:w="0" w:type="auto"/>
            <w:vAlign w:val="center"/>
          </w:tcPr>
          <w:p w14:paraId="55FE9CE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23D64FE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6FC3AEF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411C7BC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7CC605D1"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53DA126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7001777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1D04B4" w:rsidRPr="001D04B4" w14:paraId="185BF2E0"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59AD608"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0669</w:t>
            </w:r>
          </w:p>
        </w:tc>
        <w:tc>
          <w:tcPr>
            <w:tcW w:w="0" w:type="auto"/>
            <w:vAlign w:val="center"/>
          </w:tcPr>
          <w:p w14:paraId="2011A85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6074856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73</w:t>
            </w:r>
          </w:p>
        </w:tc>
        <w:tc>
          <w:tcPr>
            <w:tcW w:w="0" w:type="auto"/>
            <w:vAlign w:val="center"/>
          </w:tcPr>
          <w:p w14:paraId="712F2E50"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F</w:t>
            </w:r>
          </w:p>
        </w:tc>
        <w:tc>
          <w:tcPr>
            <w:tcW w:w="0" w:type="auto"/>
            <w:tcBorders>
              <w:right w:val="double" w:sz="4" w:space="0" w:color="auto"/>
            </w:tcBorders>
            <w:vAlign w:val="center"/>
          </w:tcPr>
          <w:p w14:paraId="3A10A81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2C0DBCA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260ADF8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0A2F2DB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4EF9AB3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5B2AE9E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1D04B4" w14:paraId="1C34F10A"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A813872"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1145</w:t>
            </w:r>
          </w:p>
        </w:tc>
        <w:tc>
          <w:tcPr>
            <w:tcW w:w="0" w:type="auto"/>
            <w:vAlign w:val="center"/>
          </w:tcPr>
          <w:p w14:paraId="6A5F2250"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5EB43A0B"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78</w:t>
            </w:r>
          </w:p>
        </w:tc>
        <w:tc>
          <w:tcPr>
            <w:tcW w:w="0" w:type="auto"/>
            <w:vAlign w:val="center"/>
          </w:tcPr>
          <w:p w14:paraId="43238FD0"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4650F3E8"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2AA9E0DA"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5223CF4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42D4C172"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770E11A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71C7E1F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1D04B4" w:rsidRPr="001D04B4" w14:paraId="543044A0"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60FCF8B"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0631</w:t>
            </w:r>
          </w:p>
        </w:tc>
        <w:tc>
          <w:tcPr>
            <w:tcW w:w="0" w:type="auto"/>
            <w:vAlign w:val="center"/>
          </w:tcPr>
          <w:p w14:paraId="1799E93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0694445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66</w:t>
            </w:r>
          </w:p>
        </w:tc>
        <w:tc>
          <w:tcPr>
            <w:tcW w:w="0" w:type="auto"/>
            <w:vAlign w:val="center"/>
          </w:tcPr>
          <w:p w14:paraId="010E65E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2068B793"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6C5735A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68B2364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17D9F5FA"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1FBE2EA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5E112E76"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1D04B4" w14:paraId="63D01D7B"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AC58D35"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1015</w:t>
            </w:r>
          </w:p>
        </w:tc>
        <w:tc>
          <w:tcPr>
            <w:tcW w:w="0" w:type="auto"/>
            <w:vAlign w:val="center"/>
          </w:tcPr>
          <w:p w14:paraId="67C7175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5BD79D2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64</w:t>
            </w:r>
          </w:p>
        </w:tc>
        <w:tc>
          <w:tcPr>
            <w:tcW w:w="0" w:type="auto"/>
            <w:vAlign w:val="center"/>
          </w:tcPr>
          <w:p w14:paraId="79B4C99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27A7942F"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62EC8432"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26986A0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4029402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098FD4D2"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6DE420ED"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1D04B4" w:rsidRPr="001D04B4" w14:paraId="5F02DA1C"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207DB6A"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1148</w:t>
            </w:r>
          </w:p>
        </w:tc>
        <w:tc>
          <w:tcPr>
            <w:tcW w:w="0" w:type="auto"/>
            <w:vAlign w:val="center"/>
          </w:tcPr>
          <w:p w14:paraId="4279424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40F096A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74</w:t>
            </w:r>
          </w:p>
        </w:tc>
        <w:tc>
          <w:tcPr>
            <w:tcW w:w="0" w:type="auto"/>
            <w:vAlign w:val="center"/>
          </w:tcPr>
          <w:p w14:paraId="68D05DFB"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1CB253C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0045D5B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122472B9"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1B51E140"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2F3B2561"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0B15D11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r w:rsidR="008B125F" w:rsidRPr="001D04B4" w14:paraId="5D815265" w14:textId="77777777" w:rsidTr="00B30FC9">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B7648F4"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0849</w:t>
            </w:r>
          </w:p>
        </w:tc>
        <w:tc>
          <w:tcPr>
            <w:tcW w:w="0" w:type="auto"/>
            <w:vAlign w:val="center"/>
          </w:tcPr>
          <w:p w14:paraId="53D977E1"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noWrap/>
            <w:vAlign w:val="center"/>
            <w:hideMark/>
          </w:tcPr>
          <w:p w14:paraId="58D8D84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64</w:t>
            </w:r>
          </w:p>
        </w:tc>
        <w:tc>
          <w:tcPr>
            <w:tcW w:w="0" w:type="auto"/>
            <w:vAlign w:val="center"/>
          </w:tcPr>
          <w:p w14:paraId="11ED8744"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right w:val="double" w:sz="4" w:space="0" w:color="auto"/>
            </w:tcBorders>
            <w:vAlign w:val="center"/>
          </w:tcPr>
          <w:p w14:paraId="606AF805"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right w:val="single" w:sz="4" w:space="0" w:color="auto"/>
            </w:tcBorders>
            <w:vAlign w:val="center"/>
          </w:tcPr>
          <w:p w14:paraId="02B9BA20"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tcBorders>
            <w:vAlign w:val="center"/>
          </w:tcPr>
          <w:p w14:paraId="2A261D17"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1336CF6E"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38C071CC"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c>
          <w:tcPr>
            <w:tcW w:w="0" w:type="auto"/>
            <w:vAlign w:val="center"/>
          </w:tcPr>
          <w:p w14:paraId="49DA79D9" w14:textId="77777777" w:rsidR="008B125F" w:rsidRPr="001D04B4" w:rsidRDefault="008B125F" w:rsidP="00B30FC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2"/>
                <w:szCs w:val="22"/>
              </w:rPr>
            </w:pPr>
          </w:p>
        </w:tc>
      </w:tr>
      <w:tr w:rsidR="001D04B4" w:rsidRPr="001D04B4" w14:paraId="64AA8518" w14:textId="77777777" w:rsidTr="00B30FC9">
        <w:trPr>
          <w:trHeight w:val="360"/>
        </w:trPr>
        <w:tc>
          <w:tcPr>
            <w:cnfStyle w:val="001000000000" w:firstRow="0" w:lastRow="0" w:firstColumn="1" w:lastColumn="0" w:oddVBand="0" w:evenVBand="0" w:oddHBand="0" w:evenHBand="0" w:firstRowFirstColumn="0" w:firstRowLastColumn="0" w:lastRowFirstColumn="0" w:lastRowLastColumn="0"/>
            <w:tcW w:w="0" w:type="auto"/>
            <w:tcBorders>
              <w:bottom w:val="single" w:sz="12" w:space="0" w:color="auto"/>
            </w:tcBorders>
            <w:noWrap/>
            <w:vAlign w:val="center"/>
            <w:hideMark/>
          </w:tcPr>
          <w:p w14:paraId="4542E15B" w14:textId="77777777" w:rsidR="008B125F" w:rsidRPr="001D04B4" w:rsidRDefault="008B125F" w:rsidP="00B30FC9">
            <w:pPr>
              <w:jc w:val="center"/>
              <w:rPr>
                <w:rFonts w:ascii="Times New Roman" w:hAnsi="Times New Roman" w:cs="Times New Roman"/>
                <w:b w:val="0"/>
                <w:bCs w:val="0"/>
                <w:color w:val="000000" w:themeColor="text1"/>
                <w:sz w:val="22"/>
                <w:szCs w:val="22"/>
              </w:rPr>
            </w:pPr>
            <w:r w:rsidRPr="001D04B4">
              <w:rPr>
                <w:rFonts w:ascii="Times New Roman" w:hAnsi="Times New Roman" w:cs="Times New Roman"/>
                <w:b w:val="0"/>
                <w:bCs w:val="0"/>
                <w:color w:val="000000" w:themeColor="text1"/>
                <w:sz w:val="22"/>
                <w:szCs w:val="22"/>
              </w:rPr>
              <w:t>0869</w:t>
            </w:r>
          </w:p>
        </w:tc>
        <w:tc>
          <w:tcPr>
            <w:tcW w:w="0" w:type="auto"/>
            <w:tcBorders>
              <w:bottom w:val="single" w:sz="12" w:space="0" w:color="auto"/>
            </w:tcBorders>
            <w:vAlign w:val="center"/>
          </w:tcPr>
          <w:p w14:paraId="31CC32C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HC</w:t>
            </w:r>
          </w:p>
        </w:tc>
        <w:tc>
          <w:tcPr>
            <w:tcW w:w="0" w:type="auto"/>
            <w:tcBorders>
              <w:bottom w:val="single" w:sz="12" w:space="0" w:color="auto"/>
            </w:tcBorders>
            <w:noWrap/>
            <w:vAlign w:val="center"/>
            <w:hideMark/>
          </w:tcPr>
          <w:p w14:paraId="01C4EA8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67</w:t>
            </w:r>
          </w:p>
        </w:tc>
        <w:tc>
          <w:tcPr>
            <w:tcW w:w="0" w:type="auto"/>
            <w:tcBorders>
              <w:bottom w:val="single" w:sz="12" w:space="0" w:color="auto"/>
            </w:tcBorders>
            <w:vAlign w:val="center"/>
          </w:tcPr>
          <w:p w14:paraId="7A6584D8"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M</w:t>
            </w:r>
          </w:p>
        </w:tc>
        <w:tc>
          <w:tcPr>
            <w:tcW w:w="0" w:type="auto"/>
            <w:tcBorders>
              <w:bottom w:val="single" w:sz="12" w:space="0" w:color="auto"/>
              <w:right w:val="double" w:sz="4" w:space="0" w:color="auto"/>
            </w:tcBorders>
            <w:vAlign w:val="center"/>
          </w:tcPr>
          <w:p w14:paraId="23A649D5"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r w:rsidRPr="001D04B4">
              <w:rPr>
                <w:rFonts w:ascii="Times New Roman" w:hAnsi="Times New Roman" w:cs="Times New Roman"/>
                <w:color w:val="000000" w:themeColor="text1"/>
                <w:sz w:val="22"/>
                <w:szCs w:val="22"/>
              </w:rPr>
              <w:t>ADRC</w:t>
            </w:r>
          </w:p>
        </w:tc>
        <w:tc>
          <w:tcPr>
            <w:tcW w:w="0" w:type="auto"/>
            <w:tcBorders>
              <w:left w:val="double" w:sz="4" w:space="0" w:color="auto"/>
              <w:bottom w:val="single" w:sz="12" w:space="0" w:color="auto"/>
              <w:right w:val="single" w:sz="4" w:space="0" w:color="auto"/>
            </w:tcBorders>
            <w:vAlign w:val="center"/>
          </w:tcPr>
          <w:p w14:paraId="3D6B486C"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left w:val="single" w:sz="4" w:space="0" w:color="auto"/>
              <w:bottom w:val="single" w:sz="12" w:space="0" w:color="auto"/>
            </w:tcBorders>
            <w:vAlign w:val="center"/>
          </w:tcPr>
          <w:p w14:paraId="57C61B1E"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bottom w:val="single" w:sz="12" w:space="0" w:color="auto"/>
            </w:tcBorders>
            <w:vAlign w:val="center"/>
          </w:tcPr>
          <w:p w14:paraId="660B3D77"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bottom w:val="single" w:sz="12" w:space="0" w:color="auto"/>
            </w:tcBorders>
            <w:vAlign w:val="center"/>
          </w:tcPr>
          <w:p w14:paraId="5841E9D4"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c>
          <w:tcPr>
            <w:tcW w:w="0" w:type="auto"/>
            <w:tcBorders>
              <w:bottom w:val="single" w:sz="12" w:space="0" w:color="auto"/>
            </w:tcBorders>
            <w:vAlign w:val="center"/>
          </w:tcPr>
          <w:p w14:paraId="73B43D8F" w14:textId="77777777" w:rsidR="008B125F" w:rsidRPr="001D04B4" w:rsidRDefault="008B125F" w:rsidP="00B30F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2"/>
                <w:szCs w:val="22"/>
              </w:rPr>
            </w:pPr>
          </w:p>
        </w:tc>
      </w:tr>
    </w:tbl>
    <w:p w14:paraId="7CC0C401" w14:textId="77777777" w:rsidR="008B125F" w:rsidRPr="00C27A32" w:rsidRDefault="008B125F" w:rsidP="008B125F">
      <w:pPr>
        <w:rPr>
          <w:color w:val="000000" w:themeColor="text1"/>
          <w:sz w:val="22"/>
          <w:szCs w:val="22"/>
        </w:rPr>
      </w:pPr>
      <w:r w:rsidRPr="00C27A32">
        <w:rPr>
          <w:color w:val="000000" w:themeColor="text1"/>
          <w:sz w:val="22"/>
          <w:szCs w:val="22"/>
        </w:rPr>
        <w:t>Note: HC: Healthy control; MCI: Mild cognitive impairment; AD: Alzheimer’s disease</w:t>
      </w:r>
    </w:p>
    <w:p w14:paraId="0A2C55D9" w14:textId="77777777" w:rsidR="008B125F" w:rsidRPr="008B125F" w:rsidRDefault="008B125F" w:rsidP="008B125F">
      <w:pPr>
        <w:spacing w:line="360" w:lineRule="auto"/>
        <w:rPr>
          <w:color w:val="000000" w:themeColor="text1"/>
          <w:sz w:val="20"/>
        </w:rPr>
      </w:pPr>
    </w:p>
    <w:p w14:paraId="61E6267E" w14:textId="77777777" w:rsidR="008B125F" w:rsidRPr="008B125F" w:rsidRDefault="008B125F" w:rsidP="008B125F">
      <w:pPr>
        <w:spacing w:line="360" w:lineRule="auto"/>
        <w:rPr>
          <w:color w:val="000000" w:themeColor="text1"/>
          <w:sz w:val="22"/>
          <w:szCs w:val="22"/>
        </w:rPr>
      </w:pPr>
      <w:r w:rsidRPr="008B125F">
        <w:rPr>
          <w:color w:val="000000" w:themeColor="text1"/>
          <w:sz w:val="22"/>
          <w:szCs w:val="22"/>
        </w:rPr>
        <w:br w:type="page"/>
      </w:r>
    </w:p>
    <w:p w14:paraId="555FA69C" w14:textId="35A859BD" w:rsidR="008B125F" w:rsidRPr="00C27A32" w:rsidRDefault="00ED2E26" w:rsidP="00C27A32">
      <w:pPr>
        <w:rPr>
          <w:b/>
          <w:bCs/>
          <w:color w:val="000000" w:themeColor="text1"/>
          <w:szCs w:val="24"/>
        </w:rPr>
      </w:pPr>
      <w:r w:rsidRPr="00ED2E26">
        <w:rPr>
          <w:b/>
          <w:bCs/>
          <w:color w:val="000000" w:themeColor="text1"/>
          <w:szCs w:val="24"/>
        </w:rPr>
        <w:lastRenderedPageBreak/>
        <w:t>Extended Data Table</w:t>
      </w:r>
      <w:r>
        <w:rPr>
          <w:b/>
          <w:bCs/>
          <w:color w:val="000000" w:themeColor="text1"/>
          <w:szCs w:val="24"/>
        </w:rPr>
        <w:t xml:space="preserve"> </w:t>
      </w:r>
      <w:r w:rsidR="008B125F" w:rsidRPr="00C27A32">
        <w:rPr>
          <w:b/>
          <w:bCs/>
          <w:color w:val="000000" w:themeColor="text1"/>
          <w:szCs w:val="24"/>
        </w:rPr>
        <w:t>4. TMT quantitative proteomics analysis of human tNeurons from young, aged and AD donors.</w:t>
      </w:r>
    </w:p>
    <w:p w14:paraId="51878BA8" w14:textId="77777777" w:rsidR="008B125F" w:rsidRPr="00C27A32" w:rsidRDefault="008B125F" w:rsidP="00C27A32">
      <w:pPr>
        <w:rPr>
          <w:b/>
          <w:bCs/>
          <w:color w:val="000000" w:themeColor="text1"/>
          <w:szCs w:val="24"/>
        </w:rPr>
      </w:pPr>
    </w:p>
    <w:p w14:paraId="580595D4" w14:textId="77777777" w:rsidR="008B125F" w:rsidRPr="00C27A32" w:rsidRDefault="008B125F" w:rsidP="00C27A32">
      <w:pPr>
        <w:rPr>
          <w:color w:val="000000" w:themeColor="text1"/>
          <w:szCs w:val="24"/>
        </w:rPr>
      </w:pPr>
      <w:r w:rsidRPr="00C27A32">
        <w:rPr>
          <w:color w:val="000000" w:themeColor="text1"/>
          <w:szCs w:val="24"/>
        </w:rPr>
        <w:t>(1) Mass spectrometry data acquisition parameters</w:t>
      </w:r>
    </w:p>
    <w:p w14:paraId="6951D223" w14:textId="77777777" w:rsidR="008B125F" w:rsidRPr="00C27A32" w:rsidRDefault="008B125F" w:rsidP="00C27A32">
      <w:pPr>
        <w:rPr>
          <w:color w:val="000000" w:themeColor="text1"/>
          <w:szCs w:val="24"/>
        </w:rPr>
      </w:pPr>
      <w:r w:rsidRPr="00C27A32">
        <w:rPr>
          <w:color w:val="000000" w:themeColor="text1"/>
          <w:szCs w:val="24"/>
        </w:rPr>
        <w:t>(2) Sample information of human tNeurons utilized for mass spectrometry analysis</w:t>
      </w:r>
    </w:p>
    <w:p w14:paraId="02F766AE" w14:textId="77777777" w:rsidR="008B125F" w:rsidRPr="00C27A32" w:rsidRDefault="008B125F" w:rsidP="00C27A32">
      <w:pPr>
        <w:rPr>
          <w:color w:val="000000" w:themeColor="text1"/>
          <w:szCs w:val="24"/>
        </w:rPr>
      </w:pPr>
      <w:r w:rsidRPr="00C27A32">
        <w:rPr>
          <w:color w:val="000000" w:themeColor="text1"/>
          <w:szCs w:val="24"/>
        </w:rPr>
        <w:t>(3) List of all protein quants of young, aged, aged/sAD and fAD-PSEN1 tNeurons</w:t>
      </w:r>
    </w:p>
    <w:p w14:paraId="682ACC25" w14:textId="77777777" w:rsidR="008B125F" w:rsidRPr="008B125F" w:rsidRDefault="008B125F" w:rsidP="008B125F">
      <w:pPr>
        <w:spacing w:line="360" w:lineRule="auto"/>
        <w:rPr>
          <w:color w:val="000000" w:themeColor="text1"/>
          <w:sz w:val="22"/>
          <w:szCs w:val="22"/>
        </w:rPr>
      </w:pPr>
    </w:p>
    <w:p w14:paraId="4CE6845B" w14:textId="55EF06E4" w:rsidR="008B125F" w:rsidRPr="008B125F" w:rsidRDefault="008B125F" w:rsidP="008B125F">
      <w:pPr>
        <w:spacing w:line="360" w:lineRule="auto"/>
        <w:rPr>
          <w:color w:val="000000" w:themeColor="text1"/>
          <w:sz w:val="22"/>
          <w:szCs w:val="22"/>
        </w:rPr>
      </w:pPr>
    </w:p>
    <w:sectPr w:rsidR="008B125F" w:rsidRPr="008B125F" w:rsidSect="007837A3">
      <w:headerReference w:type="default" r:id="rId21"/>
      <w:footerReference w:type="even" r:id="rId22"/>
      <w:footerReference w:type="default" r:id="rId2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782F2B" w14:textId="77777777" w:rsidR="007837A3" w:rsidRDefault="007837A3">
      <w:r>
        <w:separator/>
      </w:r>
    </w:p>
  </w:endnote>
  <w:endnote w:type="continuationSeparator" w:id="0">
    <w:p w14:paraId="3A38452C" w14:textId="77777777" w:rsidR="007837A3" w:rsidRDefault="007837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0000500000000020000"/>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16763997"/>
      <w:docPartObj>
        <w:docPartGallery w:val="Page Numbers (Bottom of Page)"/>
        <w:docPartUnique/>
      </w:docPartObj>
    </w:sdtPr>
    <w:sdtContent>
      <w:p w14:paraId="42476DB0" w14:textId="637F2D30" w:rsidR="00F149CA" w:rsidRDefault="00F149CA" w:rsidP="001402E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420F08" w14:textId="77777777" w:rsidR="00F149CA" w:rsidRDefault="00F149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6605684"/>
      <w:docPartObj>
        <w:docPartGallery w:val="Page Numbers (Bottom of Page)"/>
        <w:docPartUnique/>
      </w:docPartObj>
    </w:sdtPr>
    <w:sdtContent>
      <w:p w14:paraId="418EEADC" w14:textId="3C98344D" w:rsidR="00F149CA" w:rsidRDefault="00F149CA" w:rsidP="001402E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41</w:t>
        </w:r>
        <w:r>
          <w:rPr>
            <w:rStyle w:val="PageNumber"/>
          </w:rPr>
          <w:fldChar w:fldCharType="end"/>
        </w:r>
      </w:p>
    </w:sdtContent>
  </w:sdt>
  <w:p w14:paraId="4F58EA3E" w14:textId="46D702B0" w:rsidR="00F125EE" w:rsidRDefault="00F125EE">
    <w:pPr>
      <w:pStyle w:val="Footer"/>
      <w:jc w:val="right"/>
    </w:pP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C4DB8" w14:textId="77777777" w:rsidR="007837A3" w:rsidRDefault="007837A3">
      <w:r>
        <w:separator/>
      </w:r>
    </w:p>
  </w:footnote>
  <w:footnote w:type="continuationSeparator" w:id="0">
    <w:p w14:paraId="312E1133" w14:textId="77777777" w:rsidR="007837A3" w:rsidRDefault="007837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742796278">
    <w:abstractNumId w:val="9"/>
  </w:num>
  <w:num w:numId="2" w16cid:durableId="1388921362">
    <w:abstractNumId w:val="7"/>
  </w:num>
  <w:num w:numId="3" w16cid:durableId="552035742">
    <w:abstractNumId w:val="6"/>
  </w:num>
  <w:num w:numId="4" w16cid:durableId="748381877">
    <w:abstractNumId w:val="5"/>
  </w:num>
  <w:num w:numId="5" w16cid:durableId="1419597494">
    <w:abstractNumId w:val="4"/>
  </w:num>
  <w:num w:numId="6" w16cid:durableId="473108779">
    <w:abstractNumId w:val="8"/>
  </w:num>
  <w:num w:numId="7" w16cid:durableId="325476729">
    <w:abstractNumId w:val="3"/>
  </w:num>
  <w:num w:numId="8" w16cid:durableId="1775320888">
    <w:abstractNumId w:val="2"/>
  </w:num>
  <w:num w:numId="9" w16cid:durableId="1414008578">
    <w:abstractNumId w:val="1"/>
  </w:num>
  <w:num w:numId="10" w16cid:durableId="226041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r9tds0d8vfppaef0pavdtp42wrdspdd09sd&quot;&gt;CHOULibrary_20&lt;record-ids&gt;&lt;item&gt;2085&lt;/item&gt;&lt;item&gt;2168&lt;/item&gt;&lt;item&gt;2583&lt;/item&gt;&lt;item&gt;2685&lt;/item&gt;&lt;item&gt;2731&lt;/item&gt;&lt;item&gt;2753&lt;/item&gt;&lt;item&gt;2773&lt;/item&gt;&lt;item&gt;2783&lt;/item&gt;&lt;item&gt;2804&lt;/item&gt;&lt;item&gt;2816&lt;/item&gt;&lt;item&gt;2819&lt;/item&gt;&lt;item&gt;2862&lt;/item&gt;&lt;item&gt;2902&lt;/item&gt;&lt;item&gt;2918&lt;/item&gt;&lt;item&gt;2976&lt;/item&gt;&lt;item&gt;3021&lt;/item&gt;&lt;item&gt;3028&lt;/item&gt;&lt;item&gt;3029&lt;/item&gt;&lt;item&gt;3030&lt;/item&gt;&lt;item&gt;3100&lt;/item&gt;&lt;item&gt;3101&lt;/item&gt;&lt;item&gt;3117&lt;/item&gt;&lt;item&gt;3118&lt;/item&gt;&lt;item&gt;3127&lt;/item&gt;&lt;item&gt;3128&lt;/item&gt;&lt;item&gt;3130&lt;/item&gt;&lt;item&gt;3131&lt;/item&gt;&lt;item&gt;3132&lt;/item&gt;&lt;item&gt;3133&lt;/item&gt;&lt;item&gt;3134&lt;/item&gt;&lt;item&gt;3135&lt;/item&gt;&lt;item&gt;3136&lt;/item&gt;&lt;item&gt;3137&lt;/item&gt;&lt;item&gt;3154&lt;/item&gt;&lt;item&gt;3156&lt;/item&gt;&lt;item&gt;3163&lt;/item&gt;&lt;item&gt;3166&lt;/item&gt;&lt;item&gt;3167&lt;/item&gt;&lt;item&gt;3169&lt;/item&gt;&lt;item&gt;3170&lt;/item&gt;&lt;item&gt;3171&lt;/item&gt;&lt;item&gt;3173&lt;/item&gt;&lt;item&gt;3174&lt;/item&gt;&lt;item&gt;3175&lt;/item&gt;&lt;item&gt;3176&lt;/item&gt;&lt;item&gt;3177&lt;/item&gt;&lt;item&gt;3179&lt;/item&gt;&lt;item&gt;3180&lt;/item&gt;&lt;item&gt;3181&lt;/item&gt;&lt;item&gt;3182&lt;/item&gt;&lt;item&gt;3184&lt;/item&gt;&lt;item&gt;3186&lt;/item&gt;&lt;item&gt;3187&lt;/item&gt;&lt;item&gt;3188&lt;/item&gt;&lt;item&gt;3190&lt;/item&gt;&lt;item&gt;3191&lt;/item&gt;&lt;item&gt;3192&lt;/item&gt;&lt;item&gt;3193&lt;/item&gt;&lt;item&gt;3195&lt;/item&gt;&lt;item&gt;3196&lt;/item&gt;&lt;item&gt;3197&lt;/item&gt;&lt;item&gt;3198&lt;/item&gt;&lt;item&gt;3199&lt;/item&gt;&lt;item&gt;3200&lt;/item&gt;&lt;item&gt;3201&lt;/item&gt;&lt;item&gt;3202&lt;/item&gt;&lt;item&gt;3203&lt;/item&gt;&lt;item&gt;3204&lt;/item&gt;&lt;item&gt;3206&lt;/item&gt;&lt;item&gt;3209&lt;/item&gt;&lt;item&gt;3211&lt;/item&gt;&lt;item&gt;3215&lt;/item&gt;&lt;item&gt;3227&lt;/item&gt;&lt;item&gt;3236&lt;/item&gt;&lt;item&gt;3237&lt;/item&gt;&lt;item&gt;3238&lt;/item&gt;&lt;item&gt;3239&lt;/item&gt;&lt;item&gt;3250&lt;/item&gt;&lt;item&gt;3251&lt;/item&gt;&lt;item&gt;3252&lt;/item&gt;&lt;item&gt;3253&lt;/item&gt;&lt;item&gt;3255&lt;/item&gt;&lt;/record-ids&gt;&lt;/item&gt;&lt;/Libraries&gt;"/>
  </w:docVars>
  <w:rsids>
    <w:rsidRoot w:val="002C030F"/>
    <w:rsid w:val="00011C21"/>
    <w:rsid w:val="000130C3"/>
    <w:rsid w:val="00013FAF"/>
    <w:rsid w:val="00015F74"/>
    <w:rsid w:val="0002419C"/>
    <w:rsid w:val="00031282"/>
    <w:rsid w:val="0004340B"/>
    <w:rsid w:val="00054136"/>
    <w:rsid w:val="00065EBD"/>
    <w:rsid w:val="00083B44"/>
    <w:rsid w:val="000850DC"/>
    <w:rsid w:val="000B7CE2"/>
    <w:rsid w:val="000C2771"/>
    <w:rsid w:val="000D46F4"/>
    <w:rsid w:val="000E7709"/>
    <w:rsid w:val="000F0DCE"/>
    <w:rsid w:val="000F3FBE"/>
    <w:rsid w:val="000F6BE3"/>
    <w:rsid w:val="00112C5B"/>
    <w:rsid w:val="00114193"/>
    <w:rsid w:val="00115A38"/>
    <w:rsid w:val="00116184"/>
    <w:rsid w:val="0011687B"/>
    <w:rsid w:val="00124F82"/>
    <w:rsid w:val="0016337A"/>
    <w:rsid w:val="00164269"/>
    <w:rsid w:val="0016563A"/>
    <w:rsid w:val="001934D6"/>
    <w:rsid w:val="001A1BDE"/>
    <w:rsid w:val="001A3C73"/>
    <w:rsid w:val="001B06DB"/>
    <w:rsid w:val="001C52AB"/>
    <w:rsid w:val="001D04B4"/>
    <w:rsid w:val="001D634F"/>
    <w:rsid w:val="001E2929"/>
    <w:rsid w:val="001F0876"/>
    <w:rsid w:val="001F167C"/>
    <w:rsid w:val="001F5E91"/>
    <w:rsid w:val="0020211B"/>
    <w:rsid w:val="002077B9"/>
    <w:rsid w:val="00235519"/>
    <w:rsid w:val="00236951"/>
    <w:rsid w:val="002411B6"/>
    <w:rsid w:val="00243238"/>
    <w:rsid w:val="00245D30"/>
    <w:rsid w:val="00262D72"/>
    <w:rsid w:val="00282292"/>
    <w:rsid w:val="00294FBB"/>
    <w:rsid w:val="002A3419"/>
    <w:rsid w:val="002A7335"/>
    <w:rsid w:val="002B5804"/>
    <w:rsid w:val="002C030F"/>
    <w:rsid w:val="0031267C"/>
    <w:rsid w:val="003227A1"/>
    <w:rsid w:val="00331D75"/>
    <w:rsid w:val="0035177D"/>
    <w:rsid w:val="00355362"/>
    <w:rsid w:val="0035542F"/>
    <w:rsid w:val="00363E44"/>
    <w:rsid w:val="003958D7"/>
    <w:rsid w:val="00395E86"/>
    <w:rsid w:val="003A2FD8"/>
    <w:rsid w:val="003B40E6"/>
    <w:rsid w:val="003B4606"/>
    <w:rsid w:val="003E0C8F"/>
    <w:rsid w:val="003E74FB"/>
    <w:rsid w:val="003F6E14"/>
    <w:rsid w:val="00402F48"/>
    <w:rsid w:val="00403D2C"/>
    <w:rsid w:val="00405336"/>
    <w:rsid w:val="00442A4D"/>
    <w:rsid w:val="00450CA5"/>
    <w:rsid w:val="004571D5"/>
    <w:rsid w:val="00461D81"/>
    <w:rsid w:val="0046356B"/>
    <w:rsid w:val="00477182"/>
    <w:rsid w:val="004779CB"/>
    <w:rsid w:val="00490D2B"/>
    <w:rsid w:val="00491E47"/>
    <w:rsid w:val="004935BA"/>
    <w:rsid w:val="004A0D56"/>
    <w:rsid w:val="004C2202"/>
    <w:rsid w:val="004D68DD"/>
    <w:rsid w:val="004E268B"/>
    <w:rsid w:val="004E386D"/>
    <w:rsid w:val="004E42D8"/>
    <w:rsid w:val="004E7BA2"/>
    <w:rsid w:val="004F19B7"/>
    <w:rsid w:val="004F5C7B"/>
    <w:rsid w:val="004F7EDF"/>
    <w:rsid w:val="005001AC"/>
    <w:rsid w:val="00525289"/>
    <w:rsid w:val="00527D71"/>
    <w:rsid w:val="005520A8"/>
    <w:rsid w:val="005607DD"/>
    <w:rsid w:val="0056698A"/>
    <w:rsid w:val="005807E5"/>
    <w:rsid w:val="005902AD"/>
    <w:rsid w:val="005A558C"/>
    <w:rsid w:val="005C1377"/>
    <w:rsid w:val="005D3B65"/>
    <w:rsid w:val="005D46DF"/>
    <w:rsid w:val="005E28F8"/>
    <w:rsid w:val="005E43AA"/>
    <w:rsid w:val="005E6513"/>
    <w:rsid w:val="005E660A"/>
    <w:rsid w:val="00604889"/>
    <w:rsid w:val="00630499"/>
    <w:rsid w:val="00633DE2"/>
    <w:rsid w:val="006357F6"/>
    <w:rsid w:val="00646134"/>
    <w:rsid w:val="00651114"/>
    <w:rsid w:val="006530A6"/>
    <w:rsid w:val="00664560"/>
    <w:rsid w:val="00670299"/>
    <w:rsid w:val="00673196"/>
    <w:rsid w:val="00691271"/>
    <w:rsid w:val="00691985"/>
    <w:rsid w:val="00691B74"/>
    <w:rsid w:val="006A1B64"/>
    <w:rsid w:val="006A3AF0"/>
    <w:rsid w:val="006A4AE1"/>
    <w:rsid w:val="006A54AA"/>
    <w:rsid w:val="006B024D"/>
    <w:rsid w:val="006B268C"/>
    <w:rsid w:val="006B3B0D"/>
    <w:rsid w:val="007108F5"/>
    <w:rsid w:val="00713E5B"/>
    <w:rsid w:val="00731BB1"/>
    <w:rsid w:val="007402FC"/>
    <w:rsid w:val="007411A1"/>
    <w:rsid w:val="007837A3"/>
    <w:rsid w:val="00784E98"/>
    <w:rsid w:val="00793072"/>
    <w:rsid w:val="007C06EE"/>
    <w:rsid w:val="007C5F1F"/>
    <w:rsid w:val="007C73F9"/>
    <w:rsid w:val="007D6A8D"/>
    <w:rsid w:val="007F33C1"/>
    <w:rsid w:val="00803567"/>
    <w:rsid w:val="00807D35"/>
    <w:rsid w:val="0081032B"/>
    <w:rsid w:val="008218C4"/>
    <w:rsid w:val="0083239B"/>
    <w:rsid w:val="0083457E"/>
    <w:rsid w:val="00840405"/>
    <w:rsid w:val="008420A1"/>
    <w:rsid w:val="00864339"/>
    <w:rsid w:val="00867A98"/>
    <w:rsid w:val="00870867"/>
    <w:rsid w:val="00885C9B"/>
    <w:rsid w:val="008A77D7"/>
    <w:rsid w:val="008B125F"/>
    <w:rsid w:val="008C23A0"/>
    <w:rsid w:val="008D0D35"/>
    <w:rsid w:val="008D1D7F"/>
    <w:rsid w:val="008D5D2A"/>
    <w:rsid w:val="008E11BD"/>
    <w:rsid w:val="008E3821"/>
    <w:rsid w:val="00914B63"/>
    <w:rsid w:val="0092651C"/>
    <w:rsid w:val="009354F3"/>
    <w:rsid w:val="009447DC"/>
    <w:rsid w:val="00961B3B"/>
    <w:rsid w:val="00961BA5"/>
    <w:rsid w:val="009653F4"/>
    <w:rsid w:val="009743A9"/>
    <w:rsid w:val="009909A4"/>
    <w:rsid w:val="009A04A5"/>
    <w:rsid w:val="009A0B33"/>
    <w:rsid w:val="009A5287"/>
    <w:rsid w:val="009B2AC5"/>
    <w:rsid w:val="009B7984"/>
    <w:rsid w:val="009C065A"/>
    <w:rsid w:val="009D18E8"/>
    <w:rsid w:val="009F4BED"/>
    <w:rsid w:val="009F7D93"/>
    <w:rsid w:val="00A13A1D"/>
    <w:rsid w:val="00A32F39"/>
    <w:rsid w:val="00A3403B"/>
    <w:rsid w:val="00A51A12"/>
    <w:rsid w:val="00A627D4"/>
    <w:rsid w:val="00A650D5"/>
    <w:rsid w:val="00A74DA2"/>
    <w:rsid w:val="00AA73CD"/>
    <w:rsid w:val="00AB08CC"/>
    <w:rsid w:val="00AB399E"/>
    <w:rsid w:val="00AC59D0"/>
    <w:rsid w:val="00AC7265"/>
    <w:rsid w:val="00AD16B1"/>
    <w:rsid w:val="00AD499C"/>
    <w:rsid w:val="00AE3F0A"/>
    <w:rsid w:val="00AE536E"/>
    <w:rsid w:val="00B0071D"/>
    <w:rsid w:val="00B12537"/>
    <w:rsid w:val="00B27BA9"/>
    <w:rsid w:val="00B3186E"/>
    <w:rsid w:val="00B36869"/>
    <w:rsid w:val="00B41B81"/>
    <w:rsid w:val="00B43B31"/>
    <w:rsid w:val="00B47CFA"/>
    <w:rsid w:val="00B55DD1"/>
    <w:rsid w:val="00B57F00"/>
    <w:rsid w:val="00B671C1"/>
    <w:rsid w:val="00B77B2A"/>
    <w:rsid w:val="00B82C22"/>
    <w:rsid w:val="00B83081"/>
    <w:rsid w:val="00B91717"/>
    <w:rsid w:val="00B93DBA"/>
    <w:rsid w:val="00B9440A"/>
    <w:rsid w:val="00BA6647"/>
    <w:rsid w:val="00BB25B5"/>
    <w:rsid w:val="00BB2D2A"/>
    <w:rsid w:val="00BB3A17"/>
    <w:rsid w:val="00BC3E04"/>
    <w:rsid w:val="00BC5EAA"/>
    <w:rsid w:val="00BD58CF"/>
    <w:rsid w:val="00BF0C92"/>
    <w:rsid w:val="00BF4183"/>
    <w:rsid w:val="00C02A53"/>
    <w:rsid w:val="00C04CC1"/>
    <w:rsid w:val="00C26217"/>
    <w:rsid w:val="00C27A32"/>
    <w:rsid w:val="00C4096C"/>
    <w:rsid w:val="00C409AE"/>
    <w:rsid w:val="00C50607"/>
    <w:rsid w:val="00C50C6D"/>
    <w:rsid w:val="00C600D9"/>
    <w:rsid w:val="00C61F8C"/>
    <w:rsid w:val="00C626DA"/>
    <w:rsid w:val="00C63E81"/>
    <w:rsid w:val="00C74041"/>
    <w:rsid w:val="00C87215"/>
    <w:rsid w:val="00C925F2"/>
    <w:rsid w:val="00C92B22"/>
    <w:rsid w:val="00C939C0"/>
    <w:rsid w:val="00CC1384"/>
    <w:rsid w:val="00CD1CA3"/>
    <w:rsid w:val="00CD3720"/>
    <w:rsid w:val="00CF1848"/>
    <w:rsid w:val="00CF4065"/>
    <w:rsid w:val="00CF5C2F"/>
    <w:rsid w:val="00D039FD"/>
    <w:rsid w:val="00D04BCF"/>
    <w:rsid w:val="00D143D9"/>
    <w:rsid w:val="00D1544C"/>
    <w:rsid w:val="00D32950"/>
    <w:rsid w:val="00D518B1"/>
    <w:rsid w:val="00D5511B"/>
    <w:rsid w:val="00D62C70"/>
    <w:rsid w:val="00D65E56"/>
    <w:rsid w:val="00D766F1"/>
    <w:rsid w:val="00DA7151"/>
    <w:rsid w:val="00DE0D29"/>
    <w:rsid w:val="00E146A7"/>
    <w:rsid w:val="00E257C8"/>
    <w:rsid w:val="00E37915"/>
    <w:rsid w:val="00E41512"/>
    <w:rsid w:val="00E4519A"/>
    <w:rsid w:val="00E67F5D"/>
    <w:rsid w:val="00E75B5F"/>
    <w:rsid w:val="00E77FA4"/>
    <w:rsid w:val="00E853D5"/>
    <w:rsid w:val="00E97215"/>
    <w:rsid w:val="00E9773B"/>
    <w:rsid w:val="00EA6F42"/>
    <w:rsid w:val="00EC13A3"/>
    <w:rsid w:val="00EC6E9D"/>
    <w:rsid w:val="00EC7C85"/>
    <w:rsid w:val="00ED2E26"/>
    <w:rsid w:val="00F125EE"/>
    <w:rsid w:val="00F12E98"/>
    <w:rsid w:val="00F149CA"/>
    <w:rsid w:val="00F15458"/>
    <w:rsid w:val="00F22029"/>
    <w:rsid w:val="00F34B75"/>
    <w:rsid w:val="00F35451"/>
    <w:rsid w:val="00F35D2B"/>
    <w:rsid w:val="00F4427B"/>
    <w:rsid w:val="00F515FB"/>
    <w:rsid w:val="00F56715"/>
    <w:rsid w:val="00F630EA"/>
    <w:rsid w:val="00F7007E"/>
    <w:rsid w:val="00F73193"/>
    <w:rsid w:val="00F74F95"/>
    <w:rsid w:val="00F80705"/>
    <w:rsid w:val="00F81B50"/>
    <w:rsid w:val="00F84BD9"/>
    <w:rsid w:val="00F91BCB"/>
    <w:rsid w:val="00F92B60"/>
    <w:rsid w:val="00F930A2"/>
    <w:rsid w:val="00FA1481"/>
    <w:rsid w:val="00FB4463"/>
    <w:rsid w:val="00FC2144"/>
    <w:rsid w:val="00FF04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99"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uiPriority w:val="99"/>
    <w:rsid w:val="00405336"/>
    <w:pPr>
      <w:tabs>
        <w:tab w:val="center" w:pos="4680"/>
        <w:tab w:val="right" w:pos="9360"/>
      </w:tabs>
    </w:pPr>
  </w:style>
  <w:style w:type="character" w:customStyle="1" w:styleId="FooterChar">
    <w:name w:val="Footer Char"/>
    <w:link w:val="Footer"/>
    <w:uiPriority w:val="99"/>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styleId="Revision">
    <w:name w:val="Revision"/>
    <w:hidden/>
    <w:uiPriority w:val="99"/>
    <w:semiHidden/>
    <w:rsid w:val="003227A1"/>
    <w:rPr>
      <w:sz w:val="24"/>
    </w:rPr>
  </w:style>
  <w:style w:type="character" w:styleId="LineNumber">
    <w:name w:val="line number"/>
    <w:basedOn w:val="DefaultParagraphFont"/>
    <w:uiPriority w:val="99"/>
    <w:semiHidden/>
    <w:unhideWhenUsed/>
    <w:rsid w:val="008B125F"/>
  </w:style>
  <w:style w:type="paragraph" w:customStyle="1" w:styleId="EndNoteBibliographyTitle">
    <w:name w:val="EndNote Bibliography Title"/>
    <w:basedOn w:val="Normal"/>
    <w:link w:val="EndNoteBibliographyTitleChar"/>
    <w:rsid w:val="008B125F"/>
    <w:pPr>
      <w:jc w:val="center"/>
    </w:pPr>
    <w:rPr>
      <w:rFonts w:eastAsiaTheme="minorEastAsia"/>
      <w:szCs w:val="24"/>
      <w:lang w:eastAsia="zh-TW"/>
    </w:rPr>
  </w:style>
  <w:style w:type="character" w:customStyle="1" w:styleId="EndNoteBibliographyTitleChar">
    <w:name w:val="EndNote Bibliography Title Char"/>
    <w:basedOn w:val="DefaultParagraphFont"/>
    <w:link w:val="EndNoteBibliographyTitle"/>
    <w:rsid w:val="008B125F"/>
    <w:rPr>
      <w:rFonts w:eastAsiaTheme="minorEastAsia"/>
      <w:sz w:val="24"/>
      <w:szCs w:val="24"/>
      <w:lang w:eastAsia="zh-TW"/>
    </w:rPr>
  </w:style>
  <w:style w:type="paragraph" w:customStyle="1" w:styleId="EndNoteBibliography">
    <w:name w:val="EndNote Bibliography"/>
    <w:basedOn w:val="Normal"/>
    <w:link w:val="EndNoteBibliographyChar"/>
    <w:rsid w:val="008B125F"/>
    <w:rPr>
      <w:rFonts w:eastAsiaTheme="minorEastAsia"/>
      <w:szCs w:val="24"/>
      <w:lang w:eastAsia="zh-TW"/>
    </w:rPr>
  </w:style>
  <w:style w:type="character" w:customStyle="1" w:styleId="EndNoteBibliographyChar">
    <w:name w:val="EndNote Bibliography Char"/>
    <w:basedOn w:val="DefaultParagraphFont"/>
    <w:link w:val="EndNoteBibliography"/>
    <w:rsid w:val="008B125F"/>
    <w:rPr>
      <w:rFonts w:eastAsiaTheme="minorEastAsia"/>
      <w:sz w:val="24"/>
      <w:szCs w:val="24"/>
      <w:lang w:eastAsia="zh-TW"/>
    </w:rPr>
  </w:style>
  <w:style w:type="table" w:styleId="PlainTable3">
    <w:name w:val="Plain Table 3"/>
    <w:basedOn w:val="TableNormal"/>
    <w:uiPriority w:val="43"/>
    <w:rsid w:val="008B125F"/>
    <w:rPr>
      <w:rFonts w:asciiTheme="minorHAnsi" w:eastAsiaTheme="minorEastAsia" w:hAnsiTheme="minorHAnsi" w:cstheme="minorBidi"/>
      <w:sz w:val="24"/>
      <w:szCs w:val="24"/>
      <w:lang w:eastAsia="zh-TW"/>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
    <w:name w:val="Table Grid"/>
    <w:basedOn w:val="TableNormal"/>
    <w:uiPriority w:val="59"/>
    <w:rsid w:val="008B125F"/>
    <w:rPr>
      <w:rFonts w:asciiTheme="minorHAnsi" w:eastAsiaTheme="minorEastAsia" w:hAnsiTheme="minorHAnsi" w:cstheme="minorBidi"/>
      <w:sz w:val="24"/>
      <w:szCs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236951"/>
    <w:pPr>
      <w:spacing w:before="120"/>
      <w:ind w:firstLine="7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7966295">
      <w:bodyDiv w:val="1"/>
      <w:marLeft w:val="0"/>
      <w:marRight w:val="0"/>
      <w:marTop w:val="0"/>
      <w:marBottom w:val="0"/>
      <w:divBdr>
        <w:top w:val="none" w:sz="0" w:space="0" w:color="auto"/>
        <w:left w:val="none" w:sz="0" w:space="0" w:color="auto"/>
        <w:bottom w:val="none" w:sz="0" w:space="0" w:color="auto"/>
        <w:right w:val="none" w:sz="0" w:space="0" w:color="auto"/>
      </w:divBdr>
    </w:div>
    <w:div w:id="503545745">
      <w:bodyDiv w:val="1"/>
      <w:marLeft w:val="0"/>
      <w:marRight w:val="0"/>
      <w:marTop w:val="0"/>
      <w:marBottom w:val="0"/>
      <w:divBdr>
        <w:top w:val="none" w:sz="0" w:space="0" w:color="auto"/>
        <w:left w:val="none" w:sz="0" w:space="0" w:color="auto"/>
        <w:bottom w:val="none" w:sz="0" w:space="0" w:color="auto"/>
        <w:right w:val="none" w:sz="0" w:space="0" w:color="auto"/>
      </w:divBdr>
    </w:div>
    <w:div w:id="1119645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30</Pages>
  <Words>4788</Words>
  <Characters>27298</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32022</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Judith Frydman</cp:lastModifiedBy>
  <cp:revision>189</cp:revision>
  <cp:lastPrinted>2018-01-11T19:53:00Z</cp:lastPrinted>
  <dcterms:created xsi:type="dcterms:W3CDTF">2022-11-11T22:05:00Z</dcterms:created>
  <dcterms:modified xsi:type="dcterms:W3CDTF">2024-05-14T20:02:00Z</dcterms:modified>
</cp:coreProperties>
</file>