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等线" w:cs="Times New Roman" w:asciiTheme="majorAscii" w:hAnsiTheme="majorAscii"/>
          <w:b/>
          <w:bCs/>
          <w:color w:val="000000"/>
          <w:kern w:val="0"/>
          <w:sz w:val="20"/>
          <w:szCs w:val="20"/>
        </w:rPr>
      </w:pPr>
      <w:r>
        <w:rPr>
          <w:rFonts w:hint="default" w:eastAsia="等线" w:cs="Times New Roman" w:asciiTheme="majorAscii" w:hAnsiTheme="majorAscii"/>
          <w:b/>
          <w:bCs/>
          <w:color w:val="000000"/>
          <w:kern w:val="0"/>
          <w:sz w:val="20"/>
          <w:szCs w:val="20"/>
        </w:rPr>
        <w:t>Supplementary table 1: Details of the GWASs included in the Mendelian randomization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3413"/>
        <w:gridCol w:w="1024"/>
        <w:gridCol w:w="922"/>
        <w:gridCol w:w="925"/>
      </w:tblGrid>
      <w:tr>
        <w:tc>
          <w:tcPr>
            <w:tcW w:w="2238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Bold" w:hAnsi="Arial Bold" w:cs="Arial Bold"/>
                <w:b/>
                <w:bCs/>
                <w:sz w:val="13"/>
                <w:szCs w:val="13"/>
                <w:vertAlign w:val="baseline"/>
                <w:lang w:val="en-US" w:eastAsia="zh-CN"/>
              </w:rPr>
              <w:t>GWAS ID</w:t>
            </w:r>
          </w:p>
        </w:tc>
        <w:tc>
          <w:tcPr>
            <w:tcW w:w="3413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Bold" w:hAnsi="Arial Bold" w:cs="Arial Bold"/>
                <w:b/>
                <w:bCs/>
                <w:sz w:val="13"/>
                <w:szCs w:val="13"/>
                <w:vertAlign w:val="baseline"/>
                <w:lang w:val="en-US" w:eastAsia="zh-CN"/>
              </w:rPr>
              <w:t>Trait</w:t>
            </w:r>
          </w:p>
        </w:tc>
        <w:tc>
          <w:tcPr>
            <w:tcW w:w="1024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  <w:t>Consortium</w:t>
            </w:r>
            <w:bookmarkStart w:id="0" w:name="_GoBack"/>
            <w:bookmarkEnd w:id="0"/>
          </w:p>
        </w:tc>
        <w:tc>
          <w:tcPr>
            <w:tcW w:w="922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Bold" w:hAnsi="Arial Bold" w:cs="Arial Bold"/>
                <w:b/>
                <w:bCs/>
                <w:sz w:val="13"/>
                <w:szCs w:val="13"/>
                <w:vertAlign w:val="baseline"/>
                <w:lang w:val="en-US" w:eastAsia="zh-CN"/>
              </w:rPr>
              <w:t>Population</w:t>
            </w:r>
          </w:p>
        </w:tc>
        <w:tc>
          <w:tcPr>
            <w:tcW w:w="925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Bold" w:hAnsi="Arial Bold" w:cs="Arial Bold" w:eastAsiaTheme="minorEastAsia"/>
                <w:b/>
                <w:bCs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Bold" w:hAnsi="Arial Bold" w:cs="Arial Bold"/>
                <w:b/>
                <w:bCs/>
                <w:sz w:val="13"/>
                <w:szCs w:val="13"/>
                <w:vertAlign w:val="baseline"/>
                <w:lang w:val="en-US" w:eastAsia="zh-CN"/>
              </w:rPr>
              <w:t>Particpants</w:t>
            </w:r>
          </w:p>
        </w:tc>
      </w:tr>
      <w:tr>
        <w:tc>
          <w:tcPr>
            <w:tcW w:w="223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prot-a-63</w:t>
            </w:r>
          </w:p>
        </w:tc>
        <w:tc>
          <w:tcPr>
            <w:tcW w:w="341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Apoptosis-inducing factor 1, mitochondrial</w:t>
            </w:r>
          </w:p>
        </w:tc>
        <w:tc>
          <w:tcPr>
            <w:tcW w:w="1024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Apoptosis-inducing factor 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prot-a-203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ATP synthase subunit beta,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prot-a-300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Complement component 1 Q subcomponent-binding protein,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prot-a-308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ES1 protein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prot-a-332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Carbonic anhydrase 5A,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prot-a-385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Coiled-coil domain-containing protein 90B,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prot-a-534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Coiled-coil-helix-coiled-coil-helix domain-containing protein 10,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prot-a-612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Cytochrome c oxidase assembly factor 3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prot-a-637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Cytochrome c oxidase subunit 4 isoform 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prot-a-638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Cytochrome c oxidase subunit 5B,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prot-a-640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Cytochrome c oxidase subunit 7A1,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prot-a-641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Cytochrome c oxidase subunit 8A,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prot-a-818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Diablo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prot-a-825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Dihydrolipoyl dehydrogenase,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prot-a-847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import inner membrane translocase subunit TIM14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prot-a-896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Calcium uptake protein 3,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prot-a-992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Persulfide dioxygenase ETHE1,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prot-a-1055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Phenylalanine--tRNA ligase,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prot-a-1220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Glutaredoxin-2,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prot-a-1281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GrpE protein homolog 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prot-a-1339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Histidine triad nucleotide-binding protein 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prot-a-1356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Hydroxymethylglutaryl-CoA synthase,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prot-a-1368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4-hydroxy-2-oxoglutarate aldolase,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prot-a-1392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Serine protease HTRA2,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prot-a-1572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Iron-sulfur cluster assembly enzyme ISCU,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prot-a-1761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Lon protease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prot-a-1783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Leucine-rich PPR motif-containing protein,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prot-a-1864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Methylmalonyl-CoA epimerase,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prot-a-1907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Malonyl-CoA decarboxylase,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Merge w:val="restart"/>
            <w:vAlign w:val="center"/>
          </w:tcPr>
          <w:p>
            <w:pPr>
              <w:jc w:val="center"/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prot-a-1040</w:t>
            </w:r>
          </w:p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prot-a-1941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39S ribosomal protein L14,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Merge w:val="continue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39S ribosomal protein L32,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prot-a-1942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39S ribosomal protein L33,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prot-a-1943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39S ribosomal protein L34,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prot-a-1944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39S ribosomal protein L52,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prot-a-1945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Ribosome-recycling factor,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prot-a-1953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peptide methionine sulfoxide reductase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prot-a-1961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fission regulator 1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prot-a-1964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Poly(A) RNA polymerase,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prot-a-1965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Peptide chain release factor 1-like,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prot-a-1969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ubiquitin ligase activator of NFKB 1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prot-a-1970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ubiquitin ligase activator of NFKB 1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rPr>
          <w:trHeight w:val="385" w:hRule="atLeast"/>
        </w:trP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prot-a-1997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N-acetylglutamate synthase,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prot-a-2022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NADH dehydrogenase [ubiquinone] 1 beta subcomplex subunit 11,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prot-a-2024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NADH dehydrogenase [ubiquinone] 1 beta subcomplex subunit 8,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prot-a-2025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NADH dehydrogenase [ubiquinone] iron-sulfur protein 4,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prot-a-2026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NADH dehydrogenase [ubiquinone] flavoprotein 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prot-a-2041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NFU1 iron-sulfur cluster scaffold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prot-a-2128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Nucleoside diphosphate-linked moiety X motif 8,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prot-a-2129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ADP-ribose pyrophosphatase,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prot-a-2190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Pyruvate carboxylase,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prot-a-2235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[Pyruvate dehydrogenase (acetyl-transferring)] kinase isozyme 1,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prot-a-2236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[Pyruvate dehydrogenase (acetyl-transferring)] kinase isozyme 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prot-a-2454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tRNA pseudouridine synthase A,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prot-a-2526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Oligoribonuclease,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prot-a-2575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rRNA methyltransferase 3,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prot-a-2627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Serine--tRNA ligase,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prot-a-2653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Protein SCO1 homolog,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prot-a-2657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Succinate dehydrogenase assembly factor 2,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prot-a-2737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NAD-dependent protein deacylase sirtuin-5,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prot-a-2749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glutamate carrier 2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prot-a-2764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Mitochondrial sodium/hydrogen exchanger 9B2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prot-a-2776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Essential MCU regulator,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prot-a-2799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Superoxide dismutase [Mn],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prot-a-2866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Steroidogenic acute regulatory protein,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prot-a-3015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Transmembrane protein 70, mitochondrial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3301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10,534,735</w:t>
            </w:r>
          </w:p>
        </w:tc>
      </w:tr>
      <w:tr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ebi-a-GCST006956</w:t>
            </w:r>
          </w:p>
        </w:tc>
        <w:tc>
          <w:tcPr>
            <w:tcW w:w="3413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Erectile dysfunction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  <w:t>223,805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  <w:t>9,310,196</w:t>
            </w:r>
          </w:p>
        </w:tc>
      </w:tr>
      <w:tr>
        <w:tc>
          <w:tcPr>
            <w:tcW w:w="22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finn-b-ERECTILE_DYSFUNCTION</w:t>
            </w:r>
          </w:p>
        </w:tc>
        <w:tc>
          <w:tcPr>
            <w:tcW w:w="34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Erectile dysfunction</w:t>
            </w:r>
          </w:p>
        </w:tc>
        <w:tc>
          <w:tcPr>
            <w:tcW w:w="10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</w:rPr>
              <w:t>NA</w:t>
            </w: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/>
                <w:sz w:val="13"/>
                <w:szCs w:val="13"/>
                <w:vertAlign w:val="baseline"/>
                <w:lang w:val="en-US" w:eastAsia="zh-CN"/>
              </w:rPr>
              <w:t>95,178</w:t>
            </w:r>
          </w:p>
        </w:tc>
        <w:tc>
          <w:tcPr>
            <w:tcW w:w="9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default" w:ascii="Arial Regular" w:hAnsi="Arial Regular" w:cs="Arial Regular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  <w:t>16,378,833</w:t>
            </w:r>
          </w:p>
        </w:tc>
      </w:tr>
    </w:tbl>
    <w:p>
      <w:pPr>
        <w:rPr>
          <w:rFonts w:ascii="Times New Roman" w:hAnsi="Times New Roman" w:eastAsia="等线" w:cs="Times New Roman"/>
          <w:color w:val="000000"/>
          <w:kern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Bold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Arial Regular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977F"/>
    <w:rsid w:val="375DC743"/>
    <w:rsid w:val="6EF38C0E"/>
    <w:rsid w:val="75FABCA6"/>
    <w:rsid w:val="777F977F"/>
    <w:rsid w:val="7BF34BBF"/>
    <w:rsid w:val="7FDF487A"/>
    <w:rsid w:val="E6FD974E"/>
    <w:rsid w:val="E73FF0FA"/>
    <w:rsid w:val="F85D459B"/>
    <w:rsid w:val="FB7B4851"/>
    <w:rsid w:val="FCFD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2024-03-17T02:07:00Z</dcterms:created>
  <dc:creator>阳光倾城也不一定温暖</dc:creator>
  <cp:lastModifiedBy>阳光倾城也不一定温暖</cp:lastModifiedBy>
  <dcterms:modified xsi:type="dcterms:W3CDTF">2024-03-16T20:44:27Z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ED04106D9DE0ACFAC81DF465AC882AB3_41</vt:lpwstr>
  </property>
</Properties>
</file>