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0268" w:rsidRPr="00E54C41" w:rsidRDefault="00E54C41" w:rsidP="00E54C41">
      <w:pPr>
        <w:jc w:val="center"/>
        <w:rPr>
          <w:rFonts w:ascii="Arial" w:hAnsi="Arial" w:cs="Arial"/>
          <w:b/>
        </w:rPr>
      </w:pPr>
      <w:r w:rsidRPr="00E54C41">
        <w:rPr>
          <w:rFonts w:ascii="Arial" w:hAnsi="Arial" w:cs="Arial"/>
          <w:b/>
        </w:rPr>
        <w:t>Data Supplement to:</w:t>
      </w:r>
    </w:p>
    <w:p w:rsidR="00E54C41" w:rsidRDefault="00E54C41" w:rsidP="00E54C41">
      <w:pPr>
        <w:jc w:val="center"/>
      </w:pPr>
    </w:p>
    <w:p w:rsidR="00E54C41" w:rsidRDefault="00E54C41" w:rsidP="00E54C41">
      <w:pPr>
        <w:spacing w:after="0" w:line="480" w:lineRule="auto"/>
        <w:rPr>
          <w:rFonts w:ascii="Arial" w:hAnsi="Arial" w:cs="Arial"/>
        </w:rPr>
      </w:pPr>
      <w:bookmarkStart w:id="0" w:name="_Hlk149642773"/>
      <w:r>
        <w:rPr>
          <w:rFonts w:ascii="Arial" w:hAnsi="Arial" w:cs="Arial"/>
        </w:rPr>
        <w:t>D</w:t>
      </w:r>
      <w:r w:rsidRPr="008E5C77">
        <w:rPr>
          <w:rFonts w:ascii="Arial" w:hAnsi="Arial" w:cs="Arial"/>
        </w:rPr>
        <w:t xml:space="preserve">aily life mobility detects frailty, falls, and functioning in </w:t>
      </w:r>
      <w:r>
        <w:rPr>
          <w:rFonts w:ascii="Arial" w:hAnsi="Arial" w:cs="Arial"/>
        </w:rPr>
        <w:t xml:space="preserve">ADT-treated </w:t>
      </w:r>
      <w:r w:rsidRPr="008E5C77">
        <w:rPr>
          <w:rFonts w:ascii="Arial" w:hAnsi="Arial" w:cs="Arial"/>
        </w:rPr>
        <w:t>prostate cancer survivors</w:t>
      </w:r>
      <w:bookmarkEnd w:id="0"/>
    </w:p>
    <w:p w:rsidR="00E54C41" w:rsidRDefault="00E54C41" w:rsidP="00E54C41">
      <w:pPr>
        <w:spacing w:after="0" w:line="480" w:lineRule="auto"/>
        <w:rPr>
          <w:rFonts w:ascii="Arial" w:hAnsi="Arial" w:cs="Arial"/>
          <w:b/>
        </w:rPr>
      </w:pPr>
    </w:p>
    <w:p w:rsidR="00E54C41" w:rsidRDefault="00E54C41" w:rsidP="00E54C41">
      <w:pPr>
        <w:spacing w:after="0" w:line="480" w:lineRule="auto"/>
        <w:rPr>
          <w:rFonts w:ascii="Arial" w:hAnsi="Arial" w:cs="Arial"/>
        </w:rPr>
      </w:pPr>
      <w:r w:rsidRPr="0004204A">
        <w:rPr>
          <w:rFonts w:ascii="Arial" w:hAnsi="Arial" w:cs="Arial"/>
          <w:b/>
        </w:rPr>
        <w:t xml:space="preserve">Authors: </w:t>
      </w:r>
      <w:r>
        <w:rPr>
          <w:rFonts w:ascii="Arial" w:hAnsi="Arial" w:cs="Arial"/>
        </w:rPr>
        <w:t>Deanne C. Tibbitts, PhD</w:t>
      </w:r>
      <w:r w:rsidRPr="0004204A">
        <w:rPr>
          <w:rFonts w:ascii="Arial" w:hAnsi="Arial" w:cs="Arial"/>
          <w:vertAlign w:val="superscript"/>
        </w:rPr>
        <w:t>1</w:t>
      </w:r>
      <w:r w:rsidRPr="00F934BB">
        <w:rPr>
          <w:rFonts w:ascii="Arial" w:hAnsi="Arial" w:cs="Arial"/>
        </w:rPr>
        <w:t>; Martina Mancini, PhD</w:t>
      </w:r>
      <w:r>
        <w:rPr>
          <w:rFonts w:ascii="Arial" w:hAnsi="Arial" w:cs="Arial"/>
          <w:vertAlign w:val="superscript"/>
        </w:rPr>
        <w:t>2</w:t>
      </w:r>
      <w:r w:rsidRPr="00F934BB">
        <w:rPr>
          <w:rFonts w:ascii="Arial" w:hAnsi="Arial" w:cs="Arial"/>
        </w:rPr>
        <w:t>; Sydnee Stoyles</w:t>
      </w:r>
      <w:r>
        <w:rPr>
          <w:rFonts w:ascii="Arial" w:hAnsi="Arial" w:cs="Arial"/>
        </w:rPr>
        <w:t>, MBST</w:t>
      </w:r>
      <w:r w:rsidRPr="00F934BB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; Nathan F. Dieckmann, PhD</w:t>
      </w:r>
      <w:r w:rsidRPr="00F934BB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>; Julie N. Graff, MD</w:t>
      </w:r>
      <w:r w:rsidRPr="0004204A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,4</w:t>
      </w:r>
      <w:r>
        <w:rPr>
          <w:rFonts w:ascii="Arial" w:hAnsi="Arial" w:cs="Arial"/>
        </w:rPr>
        <w:t>; Mahmoud El-Gohary, PhD</w:t>
      </w:r>
      <w:r>
        <w:rPr>
          <w:rFonts w:ascii="Arial" w:hAnsi="Arial" w:cs="Arial"/>
          <w:vertAlign w:val="superscript"/>
        </w:rPr>
        <w:t>5</w:t>
      </w:r>
      <w:r w:rsidRPr="00F934BB">
        <w:rPr>
          <w:rFonts w:ascii="Arial" w:hAnsi="Arial" w:cs="Arial"/>
        </w:rPr>
        <w:t>; Fay B. Horak, PhD</w:t>
      </w:r>
      <w:r>
        <w:rPr>
          <w:rFonts w:ascii="Arial" w:hAnsi="Arial" w:cs="Arial"/>
          <w:vertAlign w:val="superscript"/>
        </w:rPr>
        <w:t>2,5</w:t>
      </w:r>
      <w:r w:rsidRPr="00F934BB">
        <w:rPr>
          <w:rFonts w:ascii="Arial" w:hAnsi="Arial" w:cs="Arial"/>
        </w:rPr>
        <w:t>; Kerri M. Winters-Stone, PhD</w:t>
      </w:r>
      <w:r w:rsidRPr="00F934BB">
        <w:rPr>
          <w:rFonts w:ascii="Arial" w:hAnsi="Arial" w:cs="Arial"/>
          <w:vertAlign w:val="superscript"/>
        </w:rPr>
        <w:t>1</w:t>
      </w:r>
      <w:r w:rsidRPr="00F934BB">
        <w:rPr>
          <w:rFonts w:ascii="Arial" w:hAnsi="Arial" w:cs="Arial"/>
        </w:rPr>
        <w:t xml:space="preserve"> </w:t>
      </w:r>
    </w:p>
    <w:p w:rsidR="00E54C41" w:rsidRDefault="00E54C41" w:rsidP="00E54C41">
      <w:pPr>
        <w:spacing w:after="0" w:line="480" w:lineRule="auto"/>
        <w:rPr>
          <w:rFonts w:ascii="Arial" w:hAnsi="Arial" w:cs="Arial"/>
          <w:b/>
        </w:rPr>
      </w:pPr>
    </w:p>
    <w:p w:rsidR="00E54C41" w:rsidRDefault="00E54C41" w:rsidP="00E54C41">
      <w:pPr>
        <w:spacing w:after="0" w:line="480" w:lineRule="auto"/>
        <w:rPr>
          <w:rFonts w:ascii="Arial" w:hAnsi="Arial" w:cs="Arial"/>
        </w:rPr>
      </w:pPr>
      <w:r w:rsidRPr="0004204A">
        <w:rPr>
          <w:rFonts w:ascii="Arial" w:hAnsi="Arial" w:cs="Arial"/>
          <w:b/>
        </w:rPr>
        <w:t>Affiliations</w:t>
      </w:r>
      <w:r w:rsidRPr="0004204A">
        <w:rPr>
          <w:rFonts w:ascii="Arial" w:hAnsi="Arial" w:cs="Arial"/>
        </w:rPr>
        <w:t xml:space="preserve">: </w:t>
      </w:r>
    </w:p>
    <w:p w:rsidR="00E54C41" w:rsidRDefault="00E54C41" w:rsidP="00E54C41">
      <w:pPr>
        <w:spacing w:after="0" w:line="480" w:lineRule="auto"/>
        <w:rPr>
          <w:rFonts w:ascii="Arial" w:hAnsi="Arial" w:cs="Arial"/>
        </w:rPr>
      </w:pPr>
      <w:r w:rsidRPr="00F934BB">
        <w:rPr>
          <w:rFonts w:ascii="Arial" w:hAnsi="Arial" w:cs="Arial"/>
          <w:vertAlign w:val="superscript"/>
        </w:rPr>
        <w:t>1</w:t>
      </w:r>
      <w:r w:rsidRPr="00F934BB">
        <w:rPr>
          <w:rFonts w:ascii="Arial" w:hAnsi="Arial" w:cs="Arial"/>
        </w:rPr>
        <w:t>Knight</w:t>
      </w:r>
      <w:r>
        <w:rPr>
          <w:rFonts w:ascii="Arial" w:hAnsi="Arial" w:cs="Arial"/>
        </w:rPr>
        <w:t xml:space="preserve"> </w:t>
      </w:r>
      <w:r w:rsidRPr="00F934BB">
        <w:rPr>
          <w:rFonts w:ascii="Arial" w:hAnsi="Arial" w:cs="Arial"/>
        </w:rPr>
        <w:t>Cancer Institute, Oregon Health &amp; Science University, Portland, Oregon</w:t>
      </w:r>
      <w:r>
        <w:rPr>
          <w:rFonts w:ascii="Arial" w:hAnsi="Arial" w:cs="Arial"/>
        </w:rPr>
        <w:t>, USA</w:t>
      </w:r>
    </w:p>
    <w:p w:rsidR="00E54C41" w:rsidRDefault="00E54C41" w:rsidP="00E54C41">
      <w:pPr>
        <w:spacing w:after="0" w:line="480" w:lineRule="auto"/>
        <w:rPr>
          <w:rFonts w:ascii="Arial" w:hAnsi="Arial" w:cs="Arial"/>
        </w:rPr>
      </w:pPr>
      <w:r w:rsidRPr="00F934BB">
        <w:rPr>
          <w:rFonts w:ascii="Arial" w:hAnsi="Arial" w:cs="Arial"/>
          <w:vertAlign w:val="superscript"/>
        </w:rPr>
        <w:t>2</w:t>
      </w:r>
      <w:r w:rsidRPr="00F934BB">
        <w:rPr>
          <w:rFonts w:ascii="Arial" w:hAnsi="Arial" w:cs="Arial"/>
        </w:rPr>
        <w:t>Department of Neurology, Oregon Health &amp; Science University, Portland, Oregon</w:t>
      </w:r>
      <w:r>
        <w:rPr>
          <w:rFonts w:ascii="Arial" w:hAnsi="Arial" w:cs="Arial"/>
        </w:rPr>
        <w:t>, USA</w:t>
      </w:r>
    </w:p>
    <w:p w:rsidR="00E54C41" w:rsidRDefault="00E54C41" w:rsidP="00E54C41">
      <w:pPr>
        <w:spacing w:after="0" w:line="480" w:lineRule="auto"/>
        <w:rPr>
          <w:rFonts w:ascii="Arial" w:hAnsi="Arial" w:cs="Arial"/>
        </w:rPr>
      </w:pPr>
      <w:r w:rsidRPr="00F934BB">
        <w:rPr>
          <w:rFonts w:ascii="Arial" w:hAnsi="Arial" w:cs="Arial"/>
          <w:vertAlign w:val="superscript"/>
        </w:rPr>
        <w:t>3</w:t>
      </w:r>
      <w:r w:rsidRPr="00F934BB">
        <w:rPr>
          <w:rFonts w:ascii="Arial" w:hAnsi="Arial" w:cs="Arial"/>
        </w:rPr>
        <w:t>School of Nursing, Oregon Health &amp; Science University, Portland, Oregon</w:t>
      </w:r>
      <w:r>
        <w:rPr>
          <w:rFonts w:ascii="Arial" w:hAnsi="Arial" w:cs="Arial"/>
        </w:rPr>
        <w:t xml:space="preserve">, USA </w:t>
      </w:r>
    </w:p>
    <w:p w:rsidR="00E54C41" w:rsidRDefault="00E54C41" w:rsidP="00E54C41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</w:rPr>
        <w:t>VA Portland Health Care System, Portland, Oregon, USA</w:t>
      </w:r>
    </w:p>
    <w:p w:rsidR="00E54C41" w:rsidRPr="0004204A" w:rsidRDefault="00E54C41" w:rsidP="00E54C41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5</w:t>
      </w:r>
      <w:r w:rsidRPr="00F934BB">
        <w:rPr>
          <w:rFonts w:ascii="Arial" w:hAnsi="Arial" w:cs="Arial"/>
        </w:rPr>
        <w:t xml:space="preserve">APDM Wearable Technologies, </w:t>
      </w:r>
      <w:proofErr w:type="spellStart"/>
      <w:r w:rsidRPr="00F934BB">
        <w:rPr>
          <w:rFonts w:ascii="Arial" w:hAnsi="Arial" w:cs="Arial"/>
        </w:rPr>
        <w:t>Clario</w:t>
      </w:r>
      <w:proofErr w:type="spellEnd"/>
      <w:r w:rsidRPr="00F934BB">
        <w:rPr>
          <w:rFonts w:ascii="Arial" w:hAnsi="Arial" w:cs="Arial"/>
        </w:rPr>
        <w:t>, Portland, Oregon</w:t>
      </w:r>
      <w:r>
        <w:rPr>
          <w:rFonts w:ascii="Arial" w:hAnsi="Arial" w:cs="Arial"/>
        </w:rPr>
        <w:t>, USA</w:t>
      </w:r>
    </w:p>
    <w:p w:rsidR="00E54C41" w:rsidRDefault="00E54C41" w:rsidP="00E54C41">
      <w:pPr>
        <w:jc w:val="center"/>
      </w:pPr>
    </w:p>
    <w:p w:rsidR="00E54C41" w:rsidRDefault="00E54C41"/>
    <w:p w:rsidR="00E54C41" w:rsidRPr="00D90DCB" w:rsidRDefault="00E54C41" w:rsidP="00E54C41">
      <w:pPr>
        <w:pStyle w:val="NoSpacing"/>
        <w:spacing w:line="480" w:lineRule="auto"/>
        <w:rPr>
          <w:rFonts w:ascii="Arial" w:hAnsi="Arial" w:cs="Arial"/>
        </w:rPr>
      </w:pPr>
      <w:r w:rsidRPr="00D90DCB">
        <w:rPr>
          <w:rFonts w:ascii="Arial" w:hAnsi="Arial" w:cs="Arial"/>
          <w:b/>
        </w:rPr>
        <w:t>Supplementary Table 1.</w:t>
      </w:r>
      <w:r w:rsidRPr="00D90DCB">
        <w:rPr>
          <w:rFonts w:ascii="Arial" w:hAnsi="Arial" w:cs="Arial"/>
        </w:rPr>
        <w:t xml:space="preserve"> Daily life mobility metrics used in the PCA.</w:t>
      </w:r>
    </w:p>
    <w:p w:rsidR="00E54C41" w:rsidRPr="00D90DCB" w:rsidRDefault="00E54C41" w:rsidP="00E54C41">
      <w:pPr>
        <w:pStyle w:val="NoSpacing"/>
        <w:spacing w:line="480" w:lineRule="auto"/>
        <w:rPr>
          <w:rFonts w:ascii="Arial" w:hAnsi="Arial" w:cs="Arial"/>
        </w:rPr>
      </w:pPr>
      <w:r w:rsidRPr="00D90DCB">
        <w:rPr>
          <w:rFonts w:ascii="Arial" w:hAnsi="Arial" w:cs="Arial"/>
          <w:b/>
        </w:rPr>
        <w:t>Supplementary Table 2.</w:t>
      </w:r>
      <w:r w:rsidRPr="00D90DCB">
        <w:rPr>
          <w:rFonts w:ascii="Arial" w:hAnsi="Arial" w:cs="Arial"/>
        </w:rPr>
        <w:t xml:space="preserve"> Daily life mobility metrics by ADT status.</w:t>
      </w:r>
    </w:p>
    <w:p w:rsidR="00E54C41" w:rsidRDefault="00E54C41">
      <w:r>
        <w:br w:type="page"/>
      </w:r>
    </w:p>
    <w:p w:rsidR="00E54C41" w:rsidRPr="000E0383" w:rsidRDefault="00E54C41" w:rsidP="00E54C41">
      <w:pPr>
        <w:pStyle w:val="NoSpacing"/>
        <w:rPr>
          <w:rFonts w:cstheme="minorHAnsi"/>
        </w:rPr>
      </w:pPr>
      <w:r w:rsidRPr="000E0383">
        <w:rPr>
          <w:rFonts w:cstheme="minorHAnsi"/>
          <w:b/>
        </w:rPr>
        <w:lastRenderedPageBreak/>
        <w:t>Supplementary Table 1.</w:t>
      </w:r>
      <w:r w:rsidRPr="000E0383">
        <w:rPr>
          <w:rFonts w:cstheme="minorHAnsi"/>
        </w:rPr>
        <w:t xml:space="preserve"> Daily life mobility metrics used in the PCA.</w:t>
      </w:r>
    </w:p>
    <w:tbl>
      <w:tblPr>
        <w:tblW w:w="9630" w:type="dxa"/>
        <w:tblLook w:val="04A0" w:firstRow="1" w:lastRow="0" w:firstColumn="1" w:lastColumn="0" w:noHBand="0" w:noVBand="1"/>
      </w:tblPr>
      <w:tblGrid>
        <w:gridCol w:w="3420"/>
        <w:gridCol w:w="6210"/>
      </w:tblGrid>
      <w:tr w:rsidR="00E54C41" w:rsidRPr="000E0383" w:rsidTr="0017134F">
        <w:trPr>
          <w:trHeight w:val="300"/>
        </w:trPr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</w:rPr>
            </w:pPr>
            <w:r w:rsidRPr="00AF33D8">
              <w:rPr>
                <w:rFonts w:cstheme="minorHAnsi"/>
                <w:b/>
                <w:bCs/>
              </w:rPr>
              <w:t>Daily life mobility metric</w:t>
            </w:r>
          </w:p>
        </w:tc>
        <w:tc>
          <w:tcPr>
            <w:tcW w:w="6210" w:type="dxa"/>
            <w:tcBorders>
              <w:top w:val="sing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:rsidR="00E54C41" w:rsidRPr="002C4920" w:rsidRDefault="00E54C41" w:rsidP="0017134F">
            <w:pPr>
              <w:spacing w:after="0" w:line="240" w:lineRule="auto"/>
              <w:rPr>
                <w:rFonts w:eastAsia="Times New Roman" w:cstheme="minorHAnsi"/>
                <w:b/>
                <w:bCs/>
                <w:color w:val="444444"/>
                <w:vertAlign w:val="superscript"/>
              </w:rPr>
            </w:pPr>
            <w:r w:rsidRPr="00AF33D8">
              <w:rPr>
                <w:rFonts w:cstheme="minorHAnsi"/>
                <w:b/>
                <w:bCs/>
              </w:rPr>
              <w:t>Definition</w:t>
            </w:r>
            <w:r>
              <w:rPr>
                <w:rFonts w:cstheme="minorHAnsi"/>
                <w:b/>
                <w:bCs/>
                <w:vertAlign w:val="superscript"/>
              </w:rPr>
              <w:t>1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eastAsia="Times New Roman" w:cstheme="minorHAnsi"/>
                <w:color w:val="000000"/>
              </w:rPr>
              <w:t>Stride length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The forward distance traveled by a foot during a gait cycle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eastAsia="Times New Roman" w:cstheme="minorHAnsi"/>
                <w:color w:val="000000"/>
              </w:rPr>
              <w:t>Pitch at initial contact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Angle of the foot at the point of initial contact with the floor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eastAsia="Times New Roman" w:cstheme="minorHAnsi"/>
                <w:color w:val="000000"/>
              </w:rPr>
              <w:t>Pitch at toe off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Angle of the foot as it leaves the floor at push-off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  <w:color w:val="000000"/>
              </w:rPr>
              <w:t>Gait speed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Forward speed, measured as forward distance traveled during the gait cycle divided by gait cycle duration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  <w:color w:val="000000"/>
              </w:rPr>
              <w:t>Double support proportion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Percentage of the gait cycle in which both feet are on the ground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</w:rPr>
              <w:t>Strides per bout (median)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Median number of strides per gait bout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  <w:color w:val="000000"/>
              </w:rPr>
              <w:t>Cadence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Number of steps per minute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  <w:color w:val="000000"/>
              </w:rPr>
              <w:t>Stride duration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eastAsia="Times New Roman" w:cstheme="minorHAnsi"/>
              </w:rPr>
              <w:t>The duration of a full gait cycle</w:t>
            </w:r>
            <w:r>
              <w:rPr>
                <w:rFonts w:eastAsia="Times New Roman" w:cstheme="minorHAnsi"/>
              </w:rPr>
              <w:t xml:space="preserve"> (stride)</w:t>
            </w:r>
            <w:r w:rsidRPr="00AF33D8">
              <w:rPr>
                <w:rFonts w:eastAsia="Times New Roman" w:cstheme="minorHAnsi"/>
              </w:rPr>
              <w:t>, measured from the left foot’s initial contact to the next initial contact of the left foot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  <w:color w:val="000000"/>
              </w:rPr>
              <w:t>Bouts per day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Total number of gait bouts per day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  <w:color w:val="000000"/>
              </w:rPr>
              <w:t>Strides per day</w:t>
            </w: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Total number of strides taken per day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 w:rsidRPr="00AF33D8">
              <w:rPr>
                <w:rFonts w:eastAsia="Times New Roman" w:cstheme="minorHAnsi"/>
                <w:color w:val="000000"/>
              </w:rPr>
              <w:t>Toe out angle</w:t>
            </w:r>
            <w:r w:rsidRPr="00AF33D8">
              <w:rPr>
                <w:rFonts w:eastAsia="Times New Roman" w:cstheme="minorHAnsi"/>
                <w:color w:val="000000"/>
              </w:rPr>
              <w:tab/>
            </w:r>
          </w:p>
        </w:tc>
        <w:tc>
          <w:tcPr>
            <w:tcW w:w="621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Lateral angle of the foot when the foot is on the floor</w:t>
            </w:r>
          </w:p>
        </w:tc>
      </w:tr>
      <w:tr w:rsidR="00E54C41" w:rsidRPr="000E0383" w:rsidTr="0017134F">
        <w:trPr>
          <w:trHeight w:val="300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/>
                <w:color w:val="000000"/>
              </w:rPr>
            </w:pPr>
            <w:r w:rsidRPr="00AF33D8">
              <w:rPr>
                <w:rFonts w:eastAsia="Times New Roman"/>
                <w:color w:val="000000" w:themeColor="text1"/>
              </w:rPr>
              <w:t>Elevation at mid</w:t>
            </w:r>
            <w:r w:rsidRPr="54E66C49">
              <w:rPr>
                <w:rFonts w:eastAsia="Times New Roman"/>
                <w:color w:val="000000" w:themeColor="text1"/>
              </w:rPr>
              <w:t>-</w:t>
            </w:r>
            <w:r w:rsidRPr="00AF33D8">
              <w:rPr>
                <w:rFonts w:eastAsia="Times New Roman"/>
                <w:color w:val="000000" w:themeColor="text1"/>
              </w:rPr>
              <w:t>swing</w:t>
            </w:r>
            <w:r>
              <w:tab/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E54C41" w:rsidRPr="00AF33D8" w:rsidRDefault="00E54C41" w:rsidP="0017134F">
            <w:pPr>
              <w:spacing w:after="0" w:line="240" w:lineRule="auto"/>
              <w:rPr>
                <w:rFonts w:eastAsia="Times New Roman" w:cstheme="minorHAnsi"/>
              </w:rPr>
            </w:pPr>
            <w:r w:rsidRPr="00AF33D8">
              <w:rPr>
                <w:rFonts w:cstheme="minorHAnsi"/>
              </w:rPr>
              <w:t>Height of the foot sensor measured at mid-swing, relative to its start position while standing</w:t>
            </w:r>
          </w:p>
        </w:tc>
      </w:tr>
    </w:tbl>
    <w:p w:rsidR="00E54C41" w:rsidRDefault="00E54C41" w:rsidP="00E54C41">
      <w:pPr>
        <w:pStyle w:val="NoSpacing"/>
      </w:pPr>
      <w:r w:rsidRPr="002C4920">
        <w:rPr>
          <w:vertAlign w:val="superscript"/>
        </w:rPr>
        <w:t>1</w:t>
      </w:r>
      <w:r>
        <w:t xml:space="preserve">APDM. (2015). </w:t>
      </w:r>
      <w:r w:rsidRPr="002C4920">
        <w:rPr>
          <w:i/>
        </w:rPr>
        <w:t>Mobility Lab Whitepaper</w:t>
      </w:r>
      <w:r>
        <w:t xml:space="preserve">. Retrieved on December 26, 2023 from </w:t>
      </w:r>
      <w:r w:rsidRPr="002C4920">
        <w:t>https://apdm.com/publications/</w:t>
      </w:r>
    </w:p>
    <w:p w:rsidR="00E54C41" w:rsidRDefault="00E54C41" w:rsidP="00E54C41">
      <w:pPr>
        <w:pStyle w:val="NoSpacing"/>
      </w:pPr>
    </w:p>
    <w:p w:rsidR="00E54C41" w:rsidRDefault="00E54C41" w:rsidP="00E54C41">
      <w:r>
        <w:br w:type="page"/>
      </w:r>
    </w:p>
    <w:p w:rsidR="00E54C41" w:rsidRDefault="00E54C41" w:rsidP="00E54C41">
      <w:pPr>
        <w:pStyle w:val="NoSpacing"/>
      </w:pPr>
      <w:r w:rsidRPr="00110C6C">
        <w:rPr>
          <w:b/>
        </w:rPr>
        <w:lastRenderedPageBreak/>
        <w:t>Supplementa</w:t>
      </w:r>
      <w:r>
        <w:rPr>
          <w:b/>
        </w:rPr>
        <w:t>ry</w:t>
      </w:r>
      <w:r w:rsidRPr="00110C6C">
        <w:rPr>
          <w:b/>
        </w:rPr>
        <w:t xml:space="preserve"> Table 2.</w:t>
      </w:r>
      <w:r>
        <w:t xml:space="preserve"> Daily life mobility metrics by ADT status</w:t>
      </w:r>
      <w:r w:rsidR="000F073A">
        <w:t>.</w:t>
      </w:r>
      <w:bookmarkStart w:id="1" w:name="_GoBack"/>
      <w:bookmarkEnd w:id="1"/>
    </w:p>
    <w:tbl>
      <w:tblPr>
        <w:tblW w:w="9000" w:type="dxa"/>
        <w:tblLook w:val="04A0" w:firstRow="1" w:lastRow="0" w:firstColumn="1" w:lastColumn="0" w:noHBand="0" w:noVBand="1"/>
      </w:tblPr>
      <w:tblGrid>
        <w:gridCol w:w="3600"/>
        <w:gridCol w:w="2070"/>
        <w:gridCol w:w="2130"/>
        <w:gridCol w:w="1200"/>
      </w:tblGrid>
      <w:tr w:rsidR="00E54C41" w:rsidRPr="00585F74" w:rsidTr="0017134F">
        <w:trPr>
          <w:trHeight w:val="300"/>
        </w:trPr>
        <w:tc>
          <w:tcPr>
            <w:tcW w:w="36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Current ADT Use</w:t>
            </w:r>
          </w:p>
        </w:tc>
        <w:tc>
          <w:tcPr>
            <w:tcW w:w="21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Past ADT Use</w:t>
            </w:r>
          </w:p>
        </w:tc>
        <w:tc>
          <w:tcPr>
            <w:tcW w:w="12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7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(n = 64)</w:t>
            </w:r>
          </w:p>
        </w:tc>
        <w:tc>
          <w:tcPr>
            <w:tcW w:w="213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(n = 3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Gait measure</w:t>
            </w:r>
          </w:p>
        </w:tc>
        <w:tc>
          <w:tcPr>
            <w:tcW w:w="2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M (SD)</w:t>
            </w:r>
          </w:p>
        </w:tc>
        <w:tc>
          <w:tcPr>
            <w:tcW w:w="21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M (SD)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85F74">
              <w:rPr>
                <w:rFonts w:ascii="Calibri" w:eastAsia="Times New Roman" w:hAnsi="Calibri" w:cs="Calibri"/>
                <w:b/>
                <w:bCs/>
                <w:color w:val="000000"/>
              </w:rPr>
              <w:t>p-value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Stride length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(cm)</w:t>
            </w:r>
          </w:p>
        </w:tc>
        <w:tc>
          <w:tcPr>
            <w:tcW w:w="207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1.17 (0.20)</w:t>
            </w:r>
          </w:p>
        </w:tc>
        <w:tc>
          <w:tcPr>
            <w:tcW w:w="21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1.22 (0.23)</w:t>
            </w:r>
          </w:p>
        </w:tc>
        <w:tc>
          <w:tcPr>
            <w:tcW w:w="120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0.315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Pitch at initial contact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r w:rsidR="00E946E0" w:rsidRPr="00E946E0">
              <w:rPr>
                <w:rFonts w:ascii="Calibri" w:eastAsia="Times New Roman" w:hAnsi="Calibri" w:cs="Calibri"/>
                <w:color w:val="000000"/>
              </w:rPr>
              <w:t>°</w:t>
            </w:r>
            <w:r w:rsidR="00E946E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-20.26 (4.45)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-22.46 (4.63)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AF33D8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102149D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0.025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Pitch at toe off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r w:rsidR="00E946E0" w:rsidRPr="00E946E0">
              <w:rPr>
                <w:rFonts w:ascii="Calibri" w:eastAsia="Times New Roman" w:hAnsi="Calibri" w:cs="Calibri"/>
                <w:color w:val="000000"/>
              </w:rPr>
              <w:t>°</w:t>
            </w:r>
            <w:r w:rsidR="00E946E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6</w:t>
            </w:r>
            <w:r w:rsidRPr="00585F74">
              <w:rPr>
                <w:rFonts w:ascii="Calibri" w:eastAsia="Times New Roman" w:hAnsi="Calibri" w:cs="Calibri"/>
                <w:color w:val="000000"/>
              </w:rPr>
              <w:t>.09 (3.56)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26.46 (4.56)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0.683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Gait speed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(m/sec)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0.99 (0.22)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1.06 (0.24)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0.196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Double support proportion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(%GC)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24.33 (4.31)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24.55 (4.28)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0.810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S</w:t>
            </w:r>
            <w:r w:rsidRPr="00585F74">
              <w:rPr>
                <w:rFonts w:ascii="Calibri" w:eastAsia="Times New Roman" w:hAnsi="Calibri" w:cs="Calibri"/>
              </w:rPr>
              <w:t>trides per bout</w:t>
            </w:r>
            <w:r>
              <w:rPr>
                <w:rFonts w:ascii="Calibri" w:eastAsia="Times New Roman" w:hAnsi="Calibri" w:cs="Calibri"/>
              </w:rPr>
              <w:t xml:space="preserve"> (median)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14.68 (3.54)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15.00 (2.42)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0.596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Cadence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(steps/min)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50.09 (4.92)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51.41 (4.71)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0.190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Stride duration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(sec)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0.77 (0.11)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0.75 (0.09)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0.29</w:t>
            </w:r>
            <w:r>
              <w:rPr>
                <w:rFonts w:ascii="Calibri" w:eastAsia="Times New Roman" w:hAnsi="Calibri" w:cs="Calibri"/>
                <w:color w:val="000000" w:themeColor="text1"/>
              </w:rPr>
              <w:t>2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Bouts per day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89.17 (44.13)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88.20 (37.93)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0.909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Strides per day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2099.04 (1301.93)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2373.32 (1396.25)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0.342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Toe out angle</w:t>
            </w:r>
            <w:r w:rsidR="00E946E0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r w:rsidR="00E946E0" w:rsidRPr="00E946E0">
              <w:rPr>
                <w:rFonts w:ascii="Calibri" w:eastAsia="Times New Roman" w:hAnsi="Calibri" w:cs="Calibri"/>
                <w:color w:val="000000"/>
              </w:rPr>
              <w:t>°</w:t>
            </w:r>
            <w:r w:rsidR="00E946E0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-21.75 (13.29)</w:t>
            </w:r>
          </w:p>
        </w:tc>
        <w:tc>
          <w:tcPr>
            <w:tcW w:w="213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-24.65 (11.34)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0.257</w:t>
            </w:r>
          </w:p>
        </w:tc>
      </w:tr>
      <w:tr w:rsidR="00E54C41" w:rsidRPr="00585F74" w:rsidTr="0017134F">
        <w:trPr>
          <w:trHeight w:val="300"/>
        </w:trPr>
        <w:tc>
          <w:tcPr>
            <w:tcW w:w="36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54E66C49">
              <w:rPr>
                <w:rFonts w:ascii="Calibri" w:eastAsia="Times New Roman" w:hAnsi="Calibri" w:cs="Calibri"/>
                <w:color w:val="000000" w:themeColor="text1"/>
              </w:rPr>
              <w:t>Elevation at mid-swing</w:t>
            </w:r>
            <w:r w:rsidR="00E946E0">
              <w:rPr>
                <w:rFonts w:ascii="Calibri" w:eastAsia="Times New Roman" w:hAnsi="Calibri" w:cs="Calibri"/>
                <w:color w:val="000000" w:themeColor="text1"/>
              </w:rPr>
              <w:t xml:space="preserve"> (cm)</w:t>
            </w:r>
          </w:p>
        </w:tc>
        <w:tc>
          <w:tcPr>
            <w:tcW w:w="207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85F74">
              <w:rPr>
                <w:rFonts w:ascii="Calibri" w:eastAsia="Times New Roman" w:hAnsi="Calibri" w:cs="Calibri"/>
                <w:color w:val="000000"/>
              </w:rPr>
              <w:t>3.67 (0.83)</w:t>
            </w:r>
          </w:p>
        </w:tc>
        <w:tc>
          <w:tcPr>
            <w:tcW w:w="213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3.64 (0.66)</w:t>
            </w:r>
          </w:p>
        </w:tc>
        <w:tc>
          <w:tcPr>
            <w:tcW w:w="120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54C41" w:rsidRPr="00585F74" w:rsidRDefault="00E54C41" w:rsidP="001713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102149D">
              <w:rPr>
                <w:rFonts w:ascii="Calibri" w:eastAsia="Times New Roman" w:hAnsi="Calibri" w:cs="Calibri"/>
                <w:color w:val="000000" w:themeColor="text1"/>
              </w:rPr>
              <w:t>0.873</w:t>
            </w:r>
          </w:p>
        </w:tc>
      </w:tr>
    </w:tbl>
    <w:p w:rsidR="00E54C41" w:rsidRDefault="00145C3D">
      <w:r>
        <w:t xml:space="preserve">Abbreviations: </w:t>
      </w:r>
      <w:r w:rsidR="00E946E0" w:rsidRPr="00E946E0">
        <w:rPr>
          <w:i/>
          <w:iCs/>
        </w:rPr>
        <w:t>%GC</w:t>
      </w:r>
      <w:r w:rsidR="00E946E0" w:rsidRPr="00E946E0">
        <w:t>, percent of gait cycle.</w:t>
      </w:r>
    </w:p>
    <w:sectPr w:rsidR="00E54C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C41"/>
    <w:rsid w:val="000A0268"/>
    <w:rsid w:val="000F073A"/>
    <w:rsid w:val="00145C3D"/>
    <w:rsid w:val="00CB69CA"/>
    <w:rsid w:val="00E54C41"/>
    <w:rsid w:val="00E94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314FB"/>
  <w15:chartTrackingRefBased/>
  <w15:docId w15:val="{9355CFCC-9207-45C8-B12D-4EEC79B9C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54C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5700170208074AB231722A9CDC41E4" ma:contentTypeVersion="18" ma:contentTypeDescription="Create a new document." ma:contentTypeScope="" ma:versionID="c42afd6bb3ead7f0c4d9878c9fd1dde1">
  <xsd:schema xmlns:xsd="http://www.w3.org/2001/XMLSchema" xmlns:xs="http://www.w3.org/2001/XMLSchema" xmlns:p="http://schemas.microsoft.com/office/2006/metadata/properties" xmlns:ns2="97e4d937-6328-4a9a-8a8b-7cb771680d45" xmlns:ns3="4147e708-e620-49c9-b2a0-3ac07bf27165" targetNamespace="http://schemas.microsoft.com/office/2006/metadata/properties" ma:root="true" ma:fieldsID="d880eaddb6f6319f8a599419c2473e7f" ns2:_="" ns3:_="">
    <xsd:import namespace="97e4d937-6328-4a9a-8a8b-7cb771680d45"/>
    <xsd:import namespace="4147e708-e620-49c9-b2a0-3ac07bf271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e4d937-6328-4a9a-8a8b-7cb771680d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f841b39-9e5f-4b0d-aa4b-9252280a9f1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47e708-e620-49c9-b2a0-3ac07bf271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74ea40-a7a5-447a-ab3f-71a4851d9258}" ma:internalName="TaxCatchAll" ma:showField="CatchAllData" ma:web="4147e708-e620-49c9-b2a0-3ac07bf2716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47e708-e620-49c9-b2a0-3ac07bf27165" xsi:nil="true"/>
    <lcf76f155ced4ddcb4097134ff3c332f xmlns="97e4d937-6328-4a9a-8a8b-7cb771680d4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6A5E0A3-4BF2-48F2-B1F0-912B274E8FC4}"/>
</file>

<file path=customXml/itemProps2.xml><?xml version="1.0" encoding="utf-8"?>
<ds:datastoreItem xmlns:ds="http://schemas.openxmlformats.org/officeDocument/2006/customXml" ds:itemID="{806E2DC6-DC35-4638-80C4-D5BDF7E1218C}"/>
</file>

<file path=customXml/itemProps3.xml><?xml version="1.0" encoding="utf-8"?>
<ds:datastoreItem xmlns:ds="http://schemas.openxmlformats.org/officeDocument/2006/customXml" ds:itemID="{38E04C61-EA28-47C5-A1D1-AFEABD09F7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Oregon Health and Science University</Company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Deanne Tibbitts</dc:creator>
  <cp:keywords/>
  <dc:description/>
  <cp:lastModifiedBy>Deanne Tibbitts</cp:lastModifiedBy>
  <cp:revision>5</cp:revision>
  <dcterms:created xsi:type="dcterms:W3CDTF">2024-01-08T19:17:00Z</dcterms:created>
  <dcterms:modified xsi:type="dcterms:W3CDTF">2024-02-14T09:10:00Z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0x010100AD5700170208074AB231722A9CDC41E4</vt:lpwstr>
  </property>
</Properties>
</file>