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92128BB" w14:textId="77777777" w:rsidR="00DD490A" w:rsidRDefault="00DD490A">
      <w:pPr>
        <w:rPr>
          <w:b/>
          <w:sz w:val="22"/>
          <w:szCs w:val="22"/>
        </w:rPr>
      </w:pPr>
      <w:r>
        <w:rPr>
          <w:b/>
          <w:sz w:val="22"/>
          <w:szCs w:val="22"/>
        </w:rPr>
        <w:t>Supporting Information for:</w:t>
      </w:r>
    </w:p>
    <w:p w14:paraId="46471D8A" w14:textId="77777777" w:rsidR="00DD490A" w:rsidRDefault="00DD490A">
      <w:pPr>
        <w:rPr>
          <w:b/>
          <w:sz w:val="22"/>
          <w:szCs w:val="22"/>
        </w:rPr>
      </w:pPr>
    </w:p>
    <w:p w14:paraId="0C31BD8B" w14:textId="5610317B" w:rsidR="0030446C" w:rsidRDefault="00000000">
      <w:pPr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Divergent</w:t>
      </w:r>
      <w:proofErr w:type="spellEnd"/>
      <w:r>
        <w:rPr>
          <w:b/>
          <w:sz w:val="22"/>
          <w:szCs w:val="22"/>
        </w:rPr>
        <w:t xml:space="preserve"> impacts of ocean tipping and global warming on habitability</w:t>
      </w:r>
    </w:p>
    <w:p w14:paraId="6B414799" w14:textId="77777777" w:rsidR="0030446C" w:rsidRDefault="0030446C">
      <w:pPr>
        <w:rPr>
          <w:b/>
          <w:sz w:val="22"/>
          <w:szCs w:val="22"/>
        </w:rPr>
      </w:pPr>
    </w:p>
    <w:p w14:paraId="4264AB13" w14:textId="77777777" w:rsidR="0030446C" w:rsidRDefault="00000000">
      <w:pPr>
        <w:rPr>
          <w:sz w:val="22"/>
          <w:szCs w:val="22"/>
        </w:rPr>
      </w:pPr>
      <w:r>
        <w:rPr>
          <w:sz w:val="22"/>
          <w:szCs w:val="22"/>
        </w:rPr>
        <w:t>Jesse F. Abrams</w:t>
      </w:r>
      <w:proofErr w:type="gramStart"/>
      <w:r>
        <w:rPr>
          <w:sz w:val="22"/>
          <w:szCs w:val="22"/>
          <w:vertAlign w:val="superscript"/>
        </w:rPr>
        <w:t>1,</w:t>
      </w:r>
      <w:r>
        <w:rPr>
          <w:sz w:val="22"/>
          <w:szCs w:val="22"/>
        </w:rPr>
        <w:t>*</w:t>
      </w:r>
      <w:proofErr w:type="gramEnd"/>
      <w:r>
        <w:rPr>
          <w:sz w:val="22"/>
          <w:szCs w:val="22"/>
        </w:rPr>
        <w:t>, Chi Xu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, Chris A. Boulton</w:t>
      </w:r>
      <w:r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>, Marten Scheffer</w:t>
      </w:r>
      <w:r>
        <w:rPr>
          <w:sz w:val="22"/>
          <w:szCs w:val="22"/>
          <w:vertAlign w:val="superscript"/>
        </w:rPr>
        <w:t>3,4</w:t>
      </w:r>
      <w:r>
        <w:rPr>
          <w:sz w:val="22"/>
          <w:szCs w:val="22"/>
        </w:rPr>
        <w:t>, Paul D.L. Ritchie</w:t>
      </w:r>
      <w:r>
        <w:rPr>
          <w:sz w:val="22"/>
          <w:szCs w:val="22"/>
          <w:vertAlign w:val="superscript"/>
        </w:rPr>
        <w:t>5</w:t>
      </w:r>
      <w:r>
        <w:rPr>
          <w:sz w:val="22"/>
          <w:szCs w:val="22"/>
        </w:rPr>
        <w:t>, Mark S. Williamson</w:t>
      </w:r>
      <w:r>
        <w:rPr>
          <w:sz w:val="22"/>
          <w:szCs w:val="22"/>
          <w:vertAlign w:val="superscript"/>
        </w:rPr>
        <w:t>1,5</w:t>
      </w:r>
      <w:r>
        <w:rPr>
          <w:sz w:val="22"/>
          <w:szCs w:val="22"/>
        </w:rPr>
        <w:t>, Ashish Ghadiali</w:t>
      </w:r>
      <w:r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>, Laura Jackson</w:t>
      </w:r>
      <w:r>
        <w:rPr>
          <w:sz w:val="22"/>
          <w:szCs w:val="22"/>
          <w:vertAlign w:val="superscript"/>
        </w:rPr>
        <w:t>6</w:t>
      </w:r>
      <w:r>
        <w:rPr>
          <w:sz w:val="22"/>
          <w:szCs w:val="22"/>
        </w:rPr>
        <w:t>, Jennifer V. Mecking</w:t>
      </w:r>
      <w:r>
        <w:rPr>
          <w:sz w:val="22"/>
          <w:szCs w:val="22"/>
          <w:vertAlign w:val="superscript"/>
        </w:rPr>
        <w:t>7</w:t>
      </w:r>
      <w:r>
        <w:rPr>
          <w:sz w:val="22"/>
          <w:szCs w:val="22"/>
        </w:rPr>
        <w:t>, Timothy M. Lenton</w:t>
      </w:r>
      <w:r>
        <w:rPr>
          <w:sz w:val="22"/>
          <w:szCs w:val="22"/>
          <w:vertAlign w:val="superscript"/>
        </w:rPr>
        <w:t>1</w:t>
      </w:r>
    </w:p>
    <w:p w14:paraId="2B03C05C" w14:textId="77777777" w:rsidR="0030446C" w:rsidRDefault="0030446C">
      <w:pPr>
        <w:rPr>
          <w:sz w:val="22"/>
          <w:szCs w:val="22"/>
        </w:rPr>
      </w:pPr>
    </w:p>
    <w:p w14:paraId="49F755B3" w14:textId="77777777" w:rsidR="0030446C" w:rsidRDefault="00000000">
      <w:pPr>
        <w:rPr>
          <w:sz w:val="22"/>
          <w:szCs w:val="22"/>
        </w:rPr>
      </w:pPr>
      <w:r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 xml:space="preserve"> Global Systems Institute, University of Exeter, Exeter, EX4 4QE, UK</w:t>
      </w:r>
    </w:p>
    <w:p w14:paraId="309F8A6C" w14:textId="77777777" w:rsidR="0030446C" w:rsidRDefault="00000000">
      <w:pPr>
        <w:rPr>
          <w:sz w:val="22"/>
          <w:szCs w:val="22"/>
        </w:rPr>
      </w:pP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School of Life Sciences, Nanjing University, Nanjing 210023, China</w:t>
      </w:r>
    </w:p>
    <w:p w14:paraId="738E1544" w14:textId="77777777" w:rsidR="0030446C" w:rsidRDefault="00000000">
      <w:pPr>
        <w:rPr>
          <w:sz w:val="22"/>
          <w:szCs w:val="22"/>
        </w:rPr>
      </w:pP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Santa Fe Institute, Santa Fe, NM 87501, USA</w:t>
      </w:r>
    </w:p>
    <w:p w14:paraId="2CD2CF36" w14:textId="77777777" w:rsidR="0030446C" w:rsidRDefault="00000000">
      <w:pPr>
        <w:rPr>
          <w:sz w:val="22"/>
          <w:szCs w:val="22"/>
        </w:rPr>
      </w:pPr>
      <w:r>
        <w:rPr>
          <w:sz w:val="22"/>
          <w:szCs w:val="22"/>
          <w:vertAlign w:val="superscript"/>
        </w:rPr>
        <w:t>4</w:t>
      </w:r>
      <w:r>
        <w:rPr>
          <w:sz w:val="22"/>
          <w:szCs w:val="22"/>
        </w:rPr>
        <w:t xml:space="preserve"> Wageningen University, NL-6700 AA, Wageningen, The Netherlands</w:t>
      </w:r>
    </w:p>
    <w:p w14:paraId="2E6407AF" w14:textId="77777777" w:rsidR="0030446C" w:rsidRDefault="00000000">
      <w:pPr>
        <w:rPr>
          <w:sz w:val="22"/>
          <w:szCs w:val="22"/>
        </w:rPr>
      </w:pPr>
      <w:r>
        <w:rPr>
          <w:sz w:val="22"/>
          <w:szCs w:val="22"/>
          <w:vertAlign w:val="superscript"/>
        </w:rPr>
        <w:t>5</w:t>
      </w:r>
      <w:r>
        <w:rPr>
          <w:sz w:val="22"/>
          <w:szCs w:val="22"/>
        </w:rPr>
        <w:t xml:space="preserve"> Faculty of Environment, Science and Economy, University of Exeter, Exeter, UK</w:t>
      </w:r>
    </w:p>
    <w:p w14:paraId="4E879FD6" w14:textId="77777777" w:rsidR="0030446C" w:rsidRDefault="00000000">
      <w:pPr>
        <w:rPr>
          <w:sz w:val="22"/>
          <w:szCs w:val="22"/>
        </w:rPr>
      </w:pPr>
      <w:r>
        <w:rPr>
          <w:sz w:val="22"/>
          <w:szCs w:val="22"/>
          <w:vertAlign w:val="superscript"/>
        </w:rPr>
        <w:t>6</w:t>
      </w:r>
      <w:r>
        <w:rPr>
          <w:sz w:val="22"/>
          <w:szCs w:val="22"/>
        </w:rPr>
        <w:t xml:space="preserve"> Met Office, Exeter, UK</w:t>
      </w:r>
    </w:p>
    <w:p w14:paraId="440BB7B9" w14:textId="77777777" w:rsidR="0030446C" w:rsidRDefault="00000000">
      <w:pPr>
        <w:rPr>
          <w:sz w:val="22"/>
          <w:szCs w:val="22"/>
        </w:rPr>
      </w:pPr>
      <w:r>
        <w:rPr>
          <w:sz w:val="22"/>
          <w:szCs w:val="22"/>
          <w:vertAlign w:val="superscript"/>
        </w:rPr>
        <w:t>7</w:t>
      </w:r>
      <w:r>
        <w:rPr>
          <w:sz w:val="22"/>
          <w:szCs w:val="22"/>
        </w:rPr>
        <w:t xml:space="preserve"> National Oceanography Centre, Southampton, UK</w:t>
      </w:r>
    </w:p>
    <w:p w14:paraId="10940C07" w14:textId="77777777" w:rsidR="0030446C" w:rsidRDefault="0030446C">
      <w:pPr>
        <w:rPr>
          <w:sz w:val="22"/>
          <w:szCs w:val="22"/>
        </w:rPr>
      </w:pPr>
    </w:p>
    <w:p w14:paraId="1A9E1787" w14:textId="77777777" w:rsidR="0030446C" w:rsidRDefault="00000000">
      <w:pPr>
        <w:rPr>
          <w:sz w:val="22"/>
          <w:szCs w:val="22"/>
        </w:rPr>
      </w:pPr>
      <w:r>
        <w:rPr>
          <w:sz w:val="22"/>
          <w:szCs w:val="22"/>
        </w:rPr>
        <w:t>*Corresponding author: Jesse F. Abrams</w:t>
      </w:r>
    </w:p>
    <w:p w14:paraId="3DF94540" w14:textId="77777777" w:rsidR="0030446C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Email: </w:t>
      </w:r>
      <w:hyperlink r:id="rId6">
        <w:r>
          <w:rPr>
            <w:sz w:val="22"/>
            <w:szCs w:val="22"/>
            <w:u w:val="single"/>
          </w:rPr>
          <w:t>j.abrams@exeter.ac.uk</w:t>
        </w:r>
      </w:hyperlink>
      <w:r>
        <w:rPr>
          <w:sz w:val="22"/>
          <w:szCs w:val="22"/>
        </w:rPr>
        <w:t xml:space="preserve"> </w:t>
      </w:r>
    </w:p>
    <w:p w14:paraId="1EE26C5D" w14:textId="77777777" w:rsidR="0030446C" w:rsidRDefault="0030446C">
      <w:pPr>
        <w:rPr>
          <w:sz w:val="22"/>
          <w:szCs w:val="22"/>
        </w:rPr>
      </w:pPr>
    </w:p>
    <w:p w14:paraId="6F63E387" w14:textId="77777777" w:rsidR="0030446C" w:rsidRDefault="0030446C">
      <w:pPr>
        <w:rPr>
          <w:sz w:val="22"/>
          <w:szCs w:val="22"/>
        </w:rPr>
      </w:pPr>
    </w:p>
    <w:p w14:paraId="64B52137" w14:textId="5C5F75CA" w:rsidR="0030446C" w:rsidRDefault="0030446C">
      <w:pPr>
        <w:rPr>
          <w:b/>
          <w:sz w:val="22"/>
          <w:szCs w:val="22"/>
        </w:rPr>
        <w:sectPr w:rsidR="0030446C">
          <w:headerReference w:type="even" r:id="rId7"/>
          <w:headerReference w:type="default" r:id="rId8"/>
          <w:headerReference w:type="first" r:id="rId9"/>
          <w:pgSz w:w="11906" w:h="16838"/>
          <w:pgMar w:top="1440" w:right="1440" w:bottom="1440" w:left="1440" w:header="720" w:footer="720" w:gutter="0"/>
          <w:cols w:space="720"/>
        </w:sectPr>
      </w:pPr>
    </w:p>
    <w:p w14:paraId="02543A1B" w14:textId="77777777" w:rsidR="0030446C" w:rsidRDefault="0030446C">
      <w:pPr>
        <w:rPr>
          <w:sz w:val="22"/>
          <w:szCs w:val="22"/>
        </w:rPr>
      </w:pPr>
    </w:p>
    <w:p w14:paraId="7445CDE9" w14:textId="77777777" w:rsidR="0030446C" w:rsidRDefault="00000000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114300" distB="114300" distL="114300" distR="114300" wp14:anchorId="5D3540AC" wp14:editId="5EFEF201">
            <wp:extent cx="5731200" cy="3810000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F95504" w14:textId="77777777" w:rsidR="0030446C" w:rsidRDefault="00000000">
      <w:pPr>
        <w:rPr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Figure S1. </w:t>
      </w:r>
      <w:r>
        <w:rPr>
          <w:i/>
          <w:sz w:val="22"/>
          <w:szCs w:val="22"/>
        </w:rPr>
        <w:t>Surface air temperature (SAT, top row) and precipitation (bottom row) response to AMOC-collapse scenarios. Left column, the climatic impacts of just an AMOC collapse without the additional global warming most likely to accompany a collapse in any realistic future scenario is isolated. The isolated impacts of an AMOC collapse are analyzed by taking the difference of 30-year means of the control run and the AMOC- off run, once the simulation is approximately stationary, performed by the HadGEM3-GC2 model. Right column, the analysis is expanded to include the impacts of an AMOC collapse against a more realistic future climate state, accounting for the additional effects of global warming using the future scenario SSP1-2.6 in the model HadGEM3-GC31-MM. The forcing scenario SSP1-2.6 refers to Shared Socio-economic Pathway SSP1 and Regional Concentration Pathway RCP2.6 - a low-emissions pathway with high sustainability. Under the SSP1-2.6 scenario, HadGEM3-GC31-MM reaches a mean global warming of 2.5°C above pre-industrial levels by the end of the century (2071-2100). This warming pattern is overlaid to the impacts of an AMOC collapse to establish the overall impact if the AMOC were to collapse after 2.5°C global warming relative to the present-day climate (2006-35).</w:t>
      </w:r>
    </w:p>
    <w:p w14:paraId="5C3F3E1D" w14:textId="77777777" w:rsidR="0030446C" w:rsidRDefault="0030446C">
      <w:pPr>
        <w:rPr>
          <w:i/>
          <w:sz w:val="22"/>
          <w:szCs w:val="22"/>
        </w:rPr>
      </w:pPr>
    </w:p>
    <w:p w14:paraId="013EB934" w14:textId="77777777" w:rsidR="0030446C" w:rsidRDefault="00000000">
      <w:pPr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lastRenderedPageBreak/>
        <w:drawing>
          <wp:inline distT="114300" distB="114300" distL="114300" distR="114300" wp14:anchorId="7597034D" wp14:editId="3D66933D">
            <wp:extent cx="5731200" cy="356870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6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53AB1F" w14:textId="77777777" w:rsidR="0030446C" w:rsidRDefault="00000000">
      <w:pPr>
        <w:rPr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Figure S2. </w:t>
      </w:r>
      <w:r>
        <w:rPr>
          <w:i/>
          <w:sz w:val="22"/>
          <w:szCs w:val="22"/>
        </w:rPr>
        <w:t xml:space="preserve">The modeled human MAT-MAP niche. The first column shows human suitability for three scenarios: the mean climate from 1990-2015, 2.5ºC warming above pre-industrial temperatures according to SSP1-2.6, and the simulated collapse of the AMOC. The second column shows the change in human suitability </w:t>
      </w:r>
      <w:proofErr w:type="gramStart"/>
      <w:r>
        <w:rPr>
          <w:i/>
          <w:sz w:val="22"/>
          <w:szCs w:val="22"/>
        </w:rPr>
        <w:t>as a result of</w:t>
      </w:r>
      <w:proofErr w:type="gramEnd"/>
      <w:r>
        <w:rPr>
          <w:i/>
          <w:sz w:val="22"/>
          <w:szCs w:val="22"/>
        </w:rPr>
        <w:t xml:space="preserve"> 2.5ºC warming and AMOC collapse in isolation, while the third column shows the cumulative effect of AMOC collapse following 2.5ºC warming. The climate niches are calculated using 30-year means of the control run and the AMOC-off run, once the simulation is approximately stationary, performed by the HadGEM3-GC2 model. The isolated impacts of the AMOC collapse without any additional warming is a theoretical simulation as additional warming would be necessary to trigger the collapse of the AMOC.</w:t>
      </w:r>
    </w:p>
    <w:p w14:paraId="4AD8BD0C" w14:textId="77777777" w:rsidR="0030446C" w:rsidRDefault="0030446C">
      <w:pPr>
        <w:rPr>
          <w:i/>
          <w:sz w:val="22"/>
          <w:szCs w:val="22"/>
        </w:rPr>
      </w:pPr>
    </w:p>
    <w:p w14:paraId="77D9532B" w14:textId="77777777" w:rsidR="0030446C" w:rsidRDefault="0030446C">
      <w:pPr>
        <w:rPr>
          <w:i/>
          <w:sz w:val="22"/>
          <w:szCs w:val="22"/>
        </w:rPr>
      </w:pPr>
    </w:p>
    <w:p w14:paraId="67588258" w14:textId="77777777" w:rsidR="0030446C" w:rsidRDefault="0030446C">
      <w:pPr>
        <w:rPr>
          <w:i/>
          <w:sz w:val="22"/>
          <w:szCs w:val="22"/>
        </w:rPr>
      </w:pPr>
    </w:p>
    <w:p w14:paraId="498D4F32" w14:textId="77777777" w:rsidR="0030446C" w:rsidRDefault="0030446C">
      <w:pPr>
        <w:rPr>
          <w:i/>
          <w:sz w:val="22"/>
          <w:szCs w:val="22"/>
        </w:rPr>
      </w:pPr>
    </w:p>
    <w:p w14:paraId="4D241A37" w14:textId="77777777" w:rsidR="0030446C" w:rsidRDefault="0030446C">
      <w:pPr>
        <w:rPr>
          <w:i/>
          <w:sz w:val="22"/>
          <w:szCs w:val="22"/>
        </w:rPr>
      </w:pPr>
    </w:p>
    <w:p w14:paraId="7D0E7CC7" w14:textId="77777777" w:rsidR="0030446C" w:rsidRDefault="0030446C">
      <w:pPr>
        <w:rPr>
          <w:i/>
          <w:sz w:val="22"/>
          <w:szCs w:val="22"/>
        </w:rPr>
      </w:pPr>
    </w:p>
    <w:p w14:paraId="2FD5E577" w14:textId="77777777" w:rsidR="0030446C" w:rsidRDefault="0030446C">
      <w:pPr>
        <w:rPr>
          <w:i/>
          <w:sz w:val="22"/>
          <w:szCs w:val="22"/>
        </w:rPr>
      </w:pPr>
    </w:p>
    <w:p w14:paraId="3BD0D3C8" w14:textId="77777777" w:rsidR="0030446C" w:rsidRDefault="00000000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114300" distB="114300" distL="114300" distR="114300" wp14:anchorId="232B6527" wp14:editId="52D4426A">
            <wp:extent cx="5734050" cy="2714625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531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14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59796B" w14:textId="77777777" w:rsidR="0030446C" w:rsidRDefault="00000000">
      <w:pPr>
        <w:rPr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Figure S3. The change in human exposure to different MAT and MAP. </w:t>
      </w:r>
      <w:r>
        <w:rPr>
          <w:i/>
          <w:sz w:val="22"/>
          <w:szCs w:val="22"/>
        </w:rPr>
        <w:t>Under control conditions human population density had two distinct MAT (panel A) maximums at ~15°C and ~25°C. Under the warming scenario these shift upwards to ~18°C and ~28°C, while under both the AMOC collapse and combined scenarios these shift to colder temperatures. For MAP (panel B), the results are not as clear with a more even distribution across the range of values. However, under all scenarios there is a shift towards a higher percentage of the population being exposed to wetter conditions.</w:t>
      </w:r>
    </w:p>
    <w:p w14:paraId="6493EEF0" w14:textId="77777777" w:rsidR="0030446C" w:rsidRDefault="0030446C">
      <w:pPr>
        <w:rPr>
          <w:i/>
          <w:sz w:val="22"/>
          <w:szCs w:val="22"/>
        </w:rPr>
      </w:pPr>
    </w:p>
    <w:p w14:paraId="1A424AB3" w14:textId="77777777" w:rsidR="0030446C" w:rsidRDefault="0030446C">
      <w:pPr>
        <w:rPr>
          <w:b/>
          <w:i/>
          <w:sz w:val="22"/>
          <w:szCs w:val="22"/>
        </w:rPr>
      </w:pPr>
    </w:p>
    <w:p w14:paraId="7C3882E0" w14:textId="77777777" w:rsidR="0030446C" w:rsidRDefault="0030446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10"/>
        <w:jc w:val="left"/>
        <w:rPr>
          <w:b/>
          <w:sz w:val="22"/>
          <w:szCs w:val="22"/>
        </w:rPr>
      </w:pPr>
    </w:p>
    <w:p w14:paraId="1F01C104" w14:textId="77777777" w:rsidR="0030446C" w:rsidRDefault="0030446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10"/>
        <w:jc w:val="left"/>
        <w:rPr>
          <w:b/>
          <w:sz w:val="22"/>
          <w:szCs w:val="22"/>
        </w:rPr>
      </w:pPr>
    </w:p>
    <w:p w14:paraId="215670AD" w14:textId="77777777" w:rsidR="0030446C" w:rsidRDefault="0030446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10"/>
        <w:jc w:val="left"/>
        <w:rPr>
          <w:b/>
          <w:sz w:val="22"/>
          <w:szCs w:val="22"/>
        </w:rPr>
      </w:pPr>
    </w:p>
    <w:sectPr w:rsidR="0030446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54FDB" w14:textId="77777777" w:rsidR="00D57FF4" w:rsidRDefault="00D57FF4">
      <w:pPr>
        <w:spacing w:line="240" w:lineRule="auto"/>
      </w:pPr>
      <w:r>
        <w:separator/>
      </w:r>
    </w:p>
  </w:endnote>
  <w:endnote w:type="continuationSeparator" w:id="0">
    <w:p w14:paraId="738CF40D" w14:textId="77777777" w:rsidR="00D57FF4" w:rsidRDefault="00D57F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8B7A2" w14:textId="77777777" w:rsidR="00D57FF4" w:rsidRDefault="00D57FF4">
      <w:pPr>
        <w:spacing w:line="240" w:lineRule="auto"/>
      </w:pPr>
      <w:r>
        <w:separator/>
      </w:r>
    </w:p>
  </w:footnote>
  <w:footnote w:type="continuationSeparator" w:id="0">
    <w:p w14:paraId="138C5A7D" w14:textId="77777777" w:rsidR="00D57FF4" w:rsidRDefault="00D57FF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95DF5" w14:textId="77777777" w:rsidR="00233E3E" w:rsidRDefault="00233E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91730" w14:textId="77777777" w:rsidR="0030446C" w:rsidRDefault="003044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FDE88" w14:textId="77777777" w:rsidR="00233E3E" w:rsidRDefault="00233E3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46C"/>
    <w:rsid w:val="00233E3E"/>
    <w:rsid w:val="0030446C"/>
    <w:rsid w:val="004304ED"/>
    <w:rsid w:val="005E7BE3"/>
    <w:rsid w:val="00D57FF4"/>
    <w:rsid w:val="00DD490A"/>
    <w:rsid w:val="00EF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64A999"/>
  <w15:docId w15:val="{680E1CFE-21E8-3945-8B3D-8B7B51DA4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" w:eastAsia="en-GB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233E3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3E3E"/>
  </w:style>
  <w:style w:type="paragraph" w:styleId="Footer">
    <w:name w:val="footer"/>
    <w:basedOn w:val="Normal"/>
    <w:link w:val="FooterChar"/>
    <w:uiPriority w:val="99"/>
    <w:unhideWhenUsed/>
    <w:rsid w:val="00233E3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3E3E"/>
  </w:style>
  <w:style w:type="character" w:styleId="LineNumber">
    <w:name w:val="line number"/>
    <w:basedOn w:val="DefaultParagraphFont"/>
    <w:uiPriority w:val="99"/>
    <w:semiHidden/>
    <w:unhideWhenUsed/>
    <w:rsid w:val="00233E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.abrams@exeter.ac.uk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0" Type="http://schemas.openxmlformats.org/officeDocument/2006/relationships/image" Target="media/image1.png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524</Words>
  <Characters>2989</Characters>
  <Application>Microsoft Office Word</Application>
  <DocSecurity>0</DocSecurity>
  <Lines>24</Lines>
  <Paragraphs>7</Paragraphs>
  <ScaleCrop>false</ScaleCrop>
  <Company/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Abrams, Jesse</cp:lastModifiedBy>
  <cp:revision>3</cp:revision>
  <dcterms:created xsi:type="dcterms:W3CDTF">2024-05-10T19:46:00Z</dcterms:created>
  <dcterms:modified xsi:type="dcterms:W3CDTF">2024-05-10T19:48:00Z</dcterms:modified>
</cp:coreProperties>
</file>