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A44C29" w14:textId="2E0D891C" w:rsidR="0050212A" w:rsidRPr="008B08BA" w:rsidRDefault="008B08BA" w:rsidP="00FE09B6">
      <w:pPr>
        <w:spacing w:line="480" w:lineRule="auto"/>
        <w:rPr>
          <w:rFonts w:ascii="Times New Roman" w:hAnsi="Times New Roman"/>
          <w:sz w:val="28"/>
          <w:szCs w:val="28"/>
        </w:rPr>
      </w:pPr>
      <w:r w:rsidRPr="008B08BA">
        <w:rPr>
          <w:rFonts w:ascii="Times New Roman" w:hAnsi="Times New Roman"/>
          <w:sz w:val="28"/>
          <w:szCs w:val="28"/>
        </w:rPr>
        <w:t xml:space="preserve">Supplementary </w:t>
      </w:r>
      <w:r w:rsidR="00445733">
        <w:rPr>
          <w:rFonts w:ascii="Times New Roman" w:hAnsi="Times New Roman"/>
          <w:sz w:val="28"/>
          <w:szCs w:val="28"/>
        </w:rPr>
        <w:t>material</w:t>
      </w:r>
    </w:p>
    <w:p w14:paraId="358C0E09" w14:textId="77777777" w:rsidR="008B08BA" w:rsidRPr="00A877DE" w:rsidRDefault="008B08BA" w:rsidP="00FE09B6">
      <w:pPr>
        <w:spacing w:line="480" w:lineRule="auto"/>
        <w:rPr>
          <w:rFonts w:ascii="Times New Roman" w:hAnsi="Times New Roman"/>
          <w:sz w:val="20"/>
          <w:szCs w:val="20"/>
        </w:rPr>
      </w:pPr>
    </w:p>
    <w:p w14:paraId="0A5E6F6B" w14:textId="288839F3" w:rsidR="00AC1E22" w:rsidRPr="003A6D47" w:rsidRDefault="00445733" w:rsidP="00FE09B6">
      <w:pPr>
        <w:spacing w:line="480" w:lineRule="auto"/>
        <w:rPr>
          <w:rFonts w:ascii="Times New Roman" w:hAnsi="Times New Roman"/>
          <w:sz w:val="24"/>
          <w:szCs w:val="24"/>
        </w:rPr>
      </w:pPr>
      <w:r>
        <w:rPr>
          <w:rFonts w:ascii="Times New Roman" w:hAnsi="Times New Roman"/>
          <w:sz w:val="24"/>
          <w:szCs w:val="24"/>
        </w:rPr>
        <w:t>1.  Model structure</w:t>
      </w:r>
    </w:p>
    <w:p w14:paraId="63E51650" w14:textId="77777777" w:rsidR="00AC1E22" w:rsidRPr="00B44380" w:rsidRDefault="00AC1E22" w:rsidP="00FE09B6">
      <w:pPr>
        <w:spacing w:line="480" w:lineRule="auto"/>
        <w:rPr>
          <w:rFonts w:ascii="Times New Roman" w:hAnsi="Times New Roman"/>
          <w:i/>
          <w:sz w:val="20"/>
          <w:szCs w:val="20"/>
        </w:rPr>
      </w:pPr>
      <w:r w:rsidRPr="00B44380">
        <w:rPr>
          <w:rFonts w:ascii="Times New Roman" w:hAnsi="Times New Roman"/>
          <w:i/>
          <w:sz w:val="20"/>
          <w:szCs w:val="20"/>
        </w:rPr>
        <w:t>1.1.  Overview</w:t>
      </w:r>
    </w:p>
    <w:p w14:paraId="2EED57DE" w14:textId="31A87973" w:rsidR="008654F1" w:rsidRDefault="00445733" w:rsidP="00FE09B6">
      <w:pPr>
        <w:spacing w:line="480" w:lineRule="auto"/>
        <w:rPr>
          <w:rFonts w:ascii="Times New Roman" w:hAnsi="Times New Roman"/>
          <w:sz w:val="20"/>
          <w:szCs w:val="20"/>
        </w:rPr>
      </w:pPr>
      <w:r>
        <w:rPr>
          <w:rFonts w:ascii="Times New Roman" w:hAnsi="Times New Roman"/>
          <w:sz w:val="20"/>
          <w:szCs w:val="20"/>
        </w:rPr>
        <w:t xml:space="preserve">The system dynamics model used for the </w:t>
      </w:r>
      <w:r w:rsidR="00AD6B66">
        <w:rPr>
          <w:rFonts w:ascii="Times New Roman" w:hAnsi="Times New Roman"/>
          <w:sz w:val="20"/>
          <w:szCs w:val="20"/>
        </w:rPr>
        <w:t>analyses</w:t>
      </w:r>
      <w:r>
        <w:rPr>
          <w:rFonts w:ascii="Times New Roman" w:hAnsi="Times New Roman"/>
          <w:sz w:val="20"/>
          <w:szCs w:val="20"/>
        </w:rPr>
        <w:t xml:space="preserve"> presented in the paper</w:t>
      </w:r>
      <w:r w:rsidR="00AD6B66">
        <w:rPr>
          <w:rFonts w:ascii="Times New Roman" w:hAnsi="Times New Roman"/>
          <w:sz w:val="20"/>
          <w:szCs w:val="20"/>
        </w:rPr>
        <w:t xml:space="preserve"> consists of</w:t>
      </w:r>
      <w:r>
        <w:rPr>
          <w:rFonts w:ascii="Times New Roman" w:hAnsi="Times New Roman"/>
          <w:sz w:val="20"/>
          <w:szCs w:val="20"/>
        </w:rPr>
        <w:t xml:space="preserve"> a set of interconnected sub-models, or sectors, that includes: 1) </w:t>
      </w:r>
      <w:r w:rsidR="00DC6F29">
        <w:rPr>
          <w:rFonts w:ascii="Times New Roman" w:hAnsi="Times New Roman"/>
          <w:sz w:val="20"/>
          <w:szCs w:val="20"/>
        </w:rPr>
        <w:t xml:space="preserve">a population sector, capturing changes in population size and structure resulting from births, migration, aging, and mortality; 2) </w:t>
      </w:r>
      <w:r w:rsidR="007931C5">
        <w:rPr>
          <w:rFonts w:ascii="Times New Roman" w:hAnsi="Times New Roman"/>
          <w:sz w:val="20"/>
          <w:szCs w:val="20"/>
        </w:rPr>
        <w:t>a sector modelling changes in the</w:t>
      </w:r>
      <w:r w:rsidR="0089339E">
        <w:rPr>
          <w:rFonts w:ascii="Times New Roman" w:hAnsi="Times New Roman"/>
          <w:sz w:val="20"/>
          <w:szCs w:val="20"/>
        </w:rPr>
        <w:t xml:space="preserve"> </w:t>
      </w:r>
      <w:r w:rsidR="007931C5">
        <w:rPr>
          <w:rFonts w:ascii="Times New Roman" w:hAnsi="Times New Roman"/>
          <w:sz w:val="20"/>
          <w:szCs w:val="20"/>
        </w:rPr>
        <w:t>prevalence of</w:t>
      </w:r>
      <w:r w:rsidR="0089339E">
        <w:rPr>
          <w:rFonts w:ascii="Times New Roman" w:hAnsi="Times New Roman"/>
          <w:sz w:val="20"/>
          <w:szCs w:val="20"/>
        </w:rPr>
        <w:t xml:space="preserve"> </w:t>
      </w:r>
      <w:r w:rsidR="007931C5">
        <w:rPr>
          <w:rFonts w:ascii="Times New Roman" w:hAnsi="Times New Roman"/>
          <w:sz w:val="20"/>
          <w:szCs w:val="20"/>
        </w:rPr>
        <w:t xml:space="preserve">mental health problems; 3) </w:t>
      </w:r>
      <w:r w:rsidR="00AE298A">
        <w:rPr>
          <w:rFonts w:ascii="Times New Roman" w:hAnsi="Times New Roman"/>
          <w:sz w:val="20"/>
          <w:szCs w:val="20"/>
        </w:rPr>
        <w:t xml:space="preserve">a developmental vulnerability sector, capturing exposure to adverse experiences in childhood </w:t>
      </w:r>
      <w:r w:rsidR="00353097">
        <w:rPr>
          <w:rFonts w:ascii="Times New Roman" w:hAnsi="Times New Roman"/>
          <w:sz w:val="20"/>
          <w:szCs w:val="20"/>
        </w:rPr>
        <w:t>that increase</w:t>
      </w:r>
      <w:r w:rsidR="00AE298A">
        <w:rPr>
          <w:rFonts w:ascii="Times New Roman" w:hAnsi="Times New Roman"/>
          <w:sz w:val="20"/>
          <w:szCs w:val="20"/>
        </w:rPr>
        <w:t xml:space="preserve"> the risk of</w:t>
      </w:r>
      <w:r w:rsidR="00A157F2">
        <w:rPr>
          <w:rFonts w:ascii="Times New Roman" w:hAnsi="Times New Roman"/>
          <w:sz w:val="20"/>
          <w:szCs w:val="20"/>
        </w:rPr>
        <w:t xml:space="preserve"> </w:t>
      </w:r>
      <w:r w:rsidR="00AE298A">
        <w:rPr>
          <w:rFonts w:ascii="Times New Roman" w:hAnsi="Times New Roman"/>
          <w:sz w:val="20"/>
          <w:szCs w:val="20"/>
        </w:rPr>
        <w:t>mental health problem</w:t>
      </w:r>
      <w:r w:rsidR="00E13F3E">
        <w:rPr>
          <w:rFonts w:ascii="Times New Roman" w:hAnsi="Times New Roman"/>
          <w:sz w:val="20"/>
          <w:szCs w:val="20"/>
        </w:rPr>
        <w:t>s</w:t>
      </w:r>
      <w:r w:rsidR="00AE298A">
        <w:rPr>
          <w:rFonts w:ascii="Times New Roman" w:hAnsi="Times New Roman"/>
          <w:sz w:val="20"/>
          <w:szCs w:val="20"/>
        </w:rPr>
        <w:t xml:space="preserve"> in adolescence and adulthood</w:t>
      </w:r>
      <w:r w:rsidR="0094789C">
        <w:rPr>
          <w:rFonts w:ascii="Times New Roman" w:hAnsi="Times New Roman"/>
          <w:sz w:val="20"/>
          <w:szCs w:val="20"/>
        </w:rPr>
        <w:t xml:space="preserve"> (parental mental health </w:t>
      </w:r>
      <w:r w:rsidR="00060D08">
        <w:rPr>
          <w:rFonts w:ascii="Times New Roman" w:hAnsi="Times New Roman"/>
          <w:sz w:val="20"/>
          <w:szCs w:val="20"/>
        </w:rPr>
        <w:t xml:space="preserve">and substance use </w:t>
      </w:r>
      <w:r w:rsidR="0094789C">
        <w:rPr>
          <w:rFonts w:ascii="Times New Roman" w:hAnsi="Times New Roman"/>
          <w:sz w:val="20"/>
          <w:szCs w:val="20"/>
        </w:rPr>
        <w:t>problems, poverty</w:t>
      </w:r>
      <w:r w:rsidR="000770EC">
        <w:rPr>
          <w:rFonts w:ascii="Times New Roman" w:hAnsi="Times New Roman"/>
          <w:sz w:val="20"/>
          <w:szCs w:val="20"/>
        </w:rPr>
        <w:t xml:space="preserve">, </w:t>
      </w:r>
      <w:r w:rsidR="0094789C">
        <w:rPr>
          <w:rFonts w:ascii="Times New Roman" w:hAnsi="Times New Roman"/>
          <w:sz w:val="20"/>
          <w:szCs w:val="20"/>
        </w:rPr>
        <w:t>family violence</w:t>
      </w:r>
      <w:r w:rsidR="000770EC">
        <w:rPr>
          <w:rFonts w:ascii="Times New Roman" w:hAnsi="Times New Roman"/>
          <w:sz w:val="20"/>
          <w:szCs w:val="20"/>
        </w:rPr>
        <w:t>,</w:t>
      </w:r>
      <w:r w:rsidR="00060D08">
        <w:rPr>
          <w:rFonts w:ascii="Times New Roman" w:hAnsi="Times New Roman"/>
          <w:sz w:val="20"/>
          <w:szCs w:val="20"/>
        </w:rPr>
        <w:t xml:space="preserve"> internal displacement</w:t>
      </w:r>
      <w:r w:rsidR="0094789C">
        <w:rPr>
          <w:rFonts w:ascii="Times New Roman" w:hAnsi="Times New Roman"/>
          <w:sz w:val="20"/>
          <w:szCs w:val="20"/>
        </w:rPr>
        <w:t>)</w:t>
      </w:r>
      <w:r w:rsidR="00AE298A">
        <w:rPr>
          <w:rFonts w:ascii="Times New Roman" w:hAnsi="Times New Roman"/>
          <w:sz w:val="20"/>
          <w:szCs w:val="20"/>
        </w:rPr>
        <w:t xml:space="preserve">; </w:t>
      </w:r>
      <w:r w:rsidR="00673252">
        <w:rPr>
          <w:rFonts w:ascii="Times New Roman" w:hAnsi="Times New Roman"/>
          <w:sz w:val="20"/>
          <w:szCs w:val="20"/>
        </w:rPr>
        <w:t>4</w:t>
      </w:r>
      <w:r w:rsidR="00651D51">
        <w:rPr>
          <w:rFonts w:ascii="Times New Roman" w:hAnsi="Times New Roman"/>
          <w:sz w:val="20"/>
          <w:szCs w:val="20"/>
        </w:rPr>
        <w:t xml:space="preserve">) </w:t>
      </w:r>
      <w:r w:rsidR="004D7410">
        <w:rPr>
          <w:rFonts w:ascii="Times New Roman" w:hAnsi="Times New Roman"/>
          <w:sz w:val="20"/>
          <w:szCs w:val="20"/>
        </w:rPr>
        <w:t>an education secto</w:t>
      </w:r>
      <w:r w:rsidR="00E13F3E">
        <w:rPr>
          <w:rFonts w:ascii="Times New Roman" w:hAnsi="Times New Roman"/>
          <w:sz w:val="20"/>
          <w:szCs w:val="20"/>
        </w:rPr>
        <w:t>r</w:t>
      </w:r>
      <w:r w:rsidR="008654F1">
        <w:rPr>
          <w:rFonts w:ascii="Times New Roman" w:hAnsi="Times New Roman"/>
          <w:sz w:val="20"/>
          <w:szCs w:val="20"/>
        </w:rPr>
        <w:t xml:space="preserve">, </w:t>
      </w:r>
      <w:r w:rsidR="00E13F3E">
        <w:rPr>
          <w:rFonts w:ascii="Times New Roman" w:hAnsi="Times New Roman"/>
          <w:sz w:val="20"/>
          <w:szCs w:val="20"/>
        </w:rPr>
        <w:t>model</w:t>
      </w:r>
      <w:r w:rsidR="008654F1">
        <w:rPr>
          <w:rFonts w:ascii="Times New Roman" w:hAnsi="Times New Roman"/>
          <w:sz w:val="20"/>
          <w:szCs w:val="20"/>
        </w:rPr>
        <w:t>ling</w:t>
      </w:r>
      <w:r w:rsidR="00F77162">
        <w:rPr>
          <w:rFonts w:ascii="Times New Roman" w:hAnsi="Times New Roman"/>
          <w:sz w:val="20"/>
          <w:szCs w:val="20"/>
        </w:rPr>
        <w:t xml:space="preserve"> </w:t>
      </w:r>
      <w:r w:rsidR="00F02C38">
        <w:rPr>
          <w:rFonts w:ascii="Times New Roman" w:hAnsi="Times New Roman"/>
          <w:sz w:val="20"/>
          <w:szCs w:val="20"/>
        </w:rPr>
        <w:t xml:space="preserve">secondary and post-secondary </w:t>
      </w:r>
      <w:r w:rsidR="00F77162">
        <w:rPr>
          <w:rFonts w:ascii="Times New Roman" w:hAnsi="Times New Roman"/>
          <w:sz w:val="20"/>
          <w:szCs w:val="20"/>
        </w:rPr>
        <w:t>education and vocational training</w:t>
      </w:r>
      <w:r w:rsidR="0089339E">
        <w:rPr>
          <w:rFonts w:ascii="Times New Roman" w:hAnsi="Times New Roman"/>
          <w:sz w:val="20"/>
          <w:szCs w:val="20"/>
        </w:rPr>
        <w:t xml:space="preserve"> </w:t>
      </w:r>
      <w:r w:rsidR="00A157F2">
        <w:rPr>
          <w:rFonts w:ascii="Times New Roman" w:hAnsi="Times New Roman"/>
          <w:sz w:val="20"/>
          <w:szCs w:val="20"/>
        </w:rPr>
        <w:t>enrolment and completion rate</w:t>
      </w:r>
      <w:r w:rsidR="0089339E">
        <w:rPr>
          <w:rFonts w:ascii="Times New Roman" w:hAnsi="Times New Roman"/>
          <w:sz w:val="20"/>
          <w:szCs w:val="20"/>
        </w:rPr>
        <w:t>s</w:t>
      </w:r>
      <w:r w:rsidR="004D7410">
        <w:rPr>
          <w:rFonts w:ascii="Times New Roman" w:hAnsi="Times New Roman"/>
          <w:sz w:val="20"/>
          <w:szCs w:val="20"/>
        </w:rPr>
        <w:t xml:space="preserve">; </w:t>
      </w:r>
      <w:r w:rsidR="00673252">
        <w:rPr>
          <w:rFonts w:ascii="Times New Roman" w:hAnsi="Times New Roman"/>
          <w:sz w:val="20"/>
          <w:szCs w:val="20"/>
        </w:rPr>
        <w:t>5</w:t>
      </w:r>
      <w:r w:rsidR="004D7410">
        <w:rPr>
          <w:rFonts w:ascii="Times New Roman" w:hAnsi="Times New Roman"/>
          <w:sz w:val="20"/>
          <w:szCs w:val="20"/>
        </w:rPr>
        <w:t xml:space="preserve">) </w:t>
      </w:r>
      <w:r w:rsidR="00AD6B66">
        <w:rPr>
          <w:rFonts w:ascii="Times New Roman" w:hAnsi="Times New Roman"/>
          <w:sz w:val="20"/>
          <w:szCs w:val="20"/>
        </w:rPr>
        <w:t>an unemployment and poverty sector</w:t>
      </w:r>
      <w:r w:rsidR="00A157F2">
        <w:rPr>
          <w:rFonts w:ascii="Times New Roman" w:hAnsi="Times New Roman"/>
          <w:sz w:val="20"/>
          <w:szCs w:val="20"/>
        </w:rPr>
        <w:t>, capturing</w:t>
      </w:r>
      <w:r w:rsidR="00AD6B66">
        <w:rPr>
          <w:rFonts w:ascii="Times New Roman" w:hAnsi="Times New Roman"/>
          <w:sz w:val="20"/>
          <w:szCs w:val="20"/>
        </w:rPr>
        <w:t xml:space="preserve"> economic participation, unemployment, </w:t>
      </w:r>
      <w:r w:rsidR="0089339E">
        <w:rPr>
          <w:rFonts w:ascii="Times New Roman" w:hAnsi="Times New Roman"/>
          <w:sz w:val="20"/>
          <w:szCs w:val="20"/>
        </w:rPr>
        <w:t xml:space="preserve">and </w:t>
      </w:r>
      <w:r w:rsidR="00AD6B66">
        <w:rPr>
          <w:rFonts w:ascii="Times New Roman" w:hAnsi="Times New Roman"/>
          <w:sz w:val="20"/>
          <w:szCs w:val="20"/>
        </w:rPr>
        <w:t>informal employment and povert</w:t>
      </w:r>
      <w:r w:rsidR="0089339E">
        <w:rPr>
          <w:rFonts w:ascii="Times New Roman" w:hAnsi="Times New Roman"/>
          <w:sz w:val="20"/>
          <w:szCs w:val="20"/>
        </w:rPr>
        <w:t>y</w:t>
      </w:r>
      <w:r w:rsidR="00AD6B66">
        <w:rPr>
          <w:rFonts w:ascii="Times New Roman" w:hAnsi="Times New Roman"/>
          <w:sz w:val="20"/>
          <w:szCs w:val="20"/>
        </w:rPr>
        <w:t xml:space="preserve">; </w:t>
      </w:r>
      <w:r w:rsidR="00673252">
        <w:rPr>
          <w:rFonts w:ascii="Times New Roman" w:hAnsi="Times New Roman"/>
          <w:sz w:val="20"/>
          <w:szCs w:val="20"/>
        </w:rPr>
        <w:t>6</w:t>
      </w:r>
      <w:r w:rsidR="00AD6B66">
        <w:rPr>
          <w:rFonts w:ascii="Times New Roman" w:hAnsi="Times New Roman"/>
          <w:sz w:val="20"/>
          <w:szCs w:val="20"/>
        </w:rPr>
        <w:t xml:space="preserve">) a </w:t>
      </w:r>
      <w:r w:rsidR="0089339E">
        <w:rPr>
          <w:rFonts w:ascii="Times New Roman" w:hAnsi="Times New Roman"/>
          <w:sz w:val="20"/>
          <w:szCs w:val="20"/>
        </w:rPr>
        <w:t xml:space="preserve">substance use </w:t>
      </w:r>
      <w:r w:rsidR="00AD6B66">
        <w:rPr>
          <w:rFonts w:ascii="Times New Roman" w:hAnsi="Times New Roman"/>
          <w:sz w:val="20"/>
          <w:szCs w:val="20"/>
        </w:rPr>
        <w:t>sector</w:t>
      </w:r>
      <w:r w:rsidR="0089339E">
        <w:rPr>
          <w:rFonts w:ascii="Times New Roman" w:hAnsi="Times New Roman"/>
          <w:sz w:val="20"/>
          <w:szCs w:val="20"/>
        </w:rPr>
        <w:t>,</w:t>
      </w:r>
      <w:r w:rsidR="00AD6B66">
        <w:rPr>
          <w:rFonts w:ascii="Times New Roman" w:hAnsi="Times New Roman"/>
          <w:sz w:val="20"/>
          <w:szCs w:val="20"/>
        </w:rPr>
        <w:t xml:space="preserve"> capturing changes in th</w:t>
      </w:r>
      <w:r w:rsidR="00A157F2">
        <w:rPr>
          <w:rFonts w:ascii="Times New Roman" w:hAnsi="Times New Roman"/>
          <w:sz w:val="20"/>
          <w:szCs w:val="20"/>
        </w:rPr>
        <w:t>e</w:t>
      </w:r>
      <w:r w:rsidR="0089339E">
        <w:rPr>
          <w:rFonts w:ascii="Times New Roman" w:hAnsi="Times New Roman"/>
          <w:sz w:val="20"/>
          <w:szCs w:val="20"/>
        </w:rPr>
        <w:t xml:space="preserve"> </w:t>
      </w:r>
      <w:r w:rsidR="00AD6B66">
        <w:rPr>
          <w:rFonts w:ascii="Times New Roman" w:hAnsi="Times New Roman"/>
          <w:sz w:val="20"/>
          <w:szCs w:val="20"/>
        </w:rPr>
        <w:t xml:space="preserve">prevalence of substance use problems; </w:t>
      </w:r>
      <w:r w:rsidR="00673252">
        <w:rPr>
          <w:rFonts w:ascii="Times New Roman" w:hAnsi="Times New Roman"/>
          <w:sz w:val="20"/>
          <w:szCs w:val="20"/>
        </w:rPr>
        <w:t>7</w:t>
      </w:r>
      <w:r w:rsidR="00AD6B66">
        <w:rPr>
          <w:rFonts w:ascii="Times New Roman" w:hAnsi="Times New Roman"/>
          <w:sz w:val="20"/>
          <w:szCs w:val="20"/>
        </w:rPr>
        <w:t>) a</w:t>
      </w:r>
      <w:r w:rsidR="00500BB6">
        <w:rPr>
          <w:rFonts w:ascii="Times New Roman" w:hAnsi="Times New Roman"/>
          <w:sz w:val="20"/>
          <w:szCs w:val="20"/>
        </w:rPr>
        <w:t xml:space="preserve"> </w:t>
      </w:r>
      <w:r w:rsidR="00AD6B66">
        <w:rPr>
          <w:rFonts w:ascii="Times New Roman" w:hAnsi="Times New Roman"/>
          <w:sz w:val="20"/>
          <w:szCs w:val="20"/>
        </w:rPr>
        <w:t xml:space="preserve">sector modelling exposure to family violence </w:t>
      </w:r>
      <w:r w:rsidR="0089339E">
        <w:rPr>
          <w:rFonts w:ascii="Times New Roman" w:hAnsi="Times New Roman"/>
          <w:sz w:val="20"/>
          <w:szCs w:val="20"/>
        </w:rPr>
        <w:t>(physical, sexual, economic, and emotional abuse, abandonment,</w:t>
      </w:r>
      <w:r w:rsidR="009D5C85">
        <w:rPr>
          <w:rFonts w:ascii="Times New Roman" w:hAnsi="Times New Roman"/>
          <w:sz w:val="20"/>
          <w:szCs w:val="20"/>
        </w:rPr>
        <w:t xml:space="preserve"> </w:t>
      </w:r>
      <w:r w:rsidR="0089339E">
        <w:rPr>
          <w:rFonts w:ascii="Times New Roman" w:hAnsi="Times New Roman"/>
          <w:sz w:val="20"/>
          <w:szCs w:val="20"/>
        </w:rPr>
        <w:t xml:space="preserve">neglect) </w:t>
      </w:r>
      <w:r w:rsidR="00AD6B66">
        <w:rPr>
          <w:rFonts w:ascii="Times New Roman" w:hAnsi="Times New Roman"/>
          <w:sz w:val="20"/>
          <w:szCs w:val="20"/>
        </w:rPr>
        <w:t>and violent crime</w:t>
      </w:r>
      <w:r w:rsidR="00500BB6">
        <w:rPr>
          <w:rFonts w:ascii="Times New Roman" w:hAnsi="Times New Roman"/>
          <w:sz w:val="20"/>
          <w:szCs w:val="20"/>
        </w:rPr>
        <w:t xml:space="preserve"> (i.e., physical assault)</w:t>
      </w:r>
      <w:r w:rsidR="00AD6B66">
        <w:rPr>
          <w:rFonts w:ascii="Times New Roman" w:hAnsi="Times New Roman"/>
          <w:sz w:val="20"/>
          <w:szCs w:val="20"/>
        </w:rPr>
        <w:t xml:space="preserve">; </w:t>
      </w:r>
      <w:r w:rsidR="00673252">
        <w:rPr>
          <w:rFonts w:ascii="Times New Roman" w:hAnsi="Times New Roman"/>
          <w:sz w:val="20"/>
          <w:szCs w:val="20"/>
        </w:rPr>
        <w:t>8</w:t>
      </w:r>
      <w:r w:rsidR="00AD6B66">
        <w:rPr>
          <w:rFonts w:ascii="Times New Roman" w:hAnsi="Times New Roman"/>
          <w:sz w:val="20"/>
          <w:szCs w:val="20"/>
        </w:rPr>
        <w:t>) an internal displacement sector, capturing the</w:t>
      </w:r>
      <w:r w:rsidR="0089339E">
        <w:rPr>
          <w:rFonts w:ascii="Times New Roman" w:hAnsi="Times New Roman"/>
          <w:sz w:val="20"/>
          <w:szCs w:val="20"/>
        </w:rPr>
        <w:t xml:space="preserve"> </w:t>
      </w:r>
      <w:r w:rsidR="00A157F2">
        <w:rPr>
          <w:rFonts w:ascii="Times New Roman" w:hAnsi="Times New Roman"/>
          <w:sz w:val="20"/>
          <w:szCs w:val="20"/>
        </w:rPr>
        <w:t>soci</w:t>
      </w:r>
      <w:r w:rsidR="0089339E">
        <w:rPr>
          <w:rFonts w:ascii="Times New Roman" w:hAnsi="Times New Roman"/>
          <w:sz w:val="20"/>
          <w:szCs w:val="20"/>
        </w:rPr>
        <w:t>o</w:t>
      </w:r>
      <w:r w:rsidR="00A157F2">
        <w:rPr>
          <w:rFonts w:ascii="Times New Roman" w:hAnsi="Times New Roman"/>
          <w:sz w:val="20"/>
          <w:szCs w:val="20"/>
        </w:rPr>
        <w:t xml:space="preserve">economic </w:t>
      </w:r>
      <w:r w:rsidR="008654F1">
        <w:rPr>
          <w:rFonts w:ascii="Times New Roman" w:hAnsi="Times New Roman"/>
          <w:sz w:val="20"/>
          <w:szCs w:val="20"/>
        </w:rPr>
        <w:t>and</w:t>
      </w:r>
      <w:r w:rsidR="00A157F2">
        <w:rPr>
          <w:rFonts w:ascii="Times New Roman" w:hAnsi="Times New Roman"/>
          <w:sz w:val="20"/>
          <w:szCs w:val="20"/>
        </w:rPr>
        <w:t xml:space="preserve"> </w:t>
      </w:r>
      <w:r w:rsidR="000770EC">
        <w:rPr>
          <w:rFonts w:ascii="Times New Roman" w:hAnsi="Times New Roman"/>
          <w:sz w:val="20"/>
          <w:szCs w:val="20"/>
        </w:rPr>
        <w:t xml:space="preserve">mental </w:t>
      </w:r>
      <w:r w:rsidR="008654F1">
        <w:rPr>
          <w:rFonts w:ascii="Times New Roman" w:hAnsi="Times New Roman"/>
          <w:sz w:val="20"/>
          <w:szCs w:val="20"/>
        </w:rPr>
        <w:t xml:space="preserve">health </w:t>
      </w:r>
      <w:r w:rsidR="00E13F3E">
        <w:rPr>
          <w:rFonts w:ascii="Times New Roman" w:hAnsi="Times New Roman"/>
          <w:sz w:val="20"/>
          <w:szCs w:val="20"/>
        </w:rPr>
        <w:t xml:space="preserve">effects </w:t>
      </w:r>
      <w:r w:rsidR="00AD6B66">
        <w:rPr>
          <w:rFonts w:ascii="Times New Roman" w:hAnsi="Times New Roman"/>
          <w:sz w:val="20"/>
          <w:szCs w:val="20"/>
        </w:rPr>
        <w:t xml:space="preserve">of forced displacement resulting from conflict-related violence; </w:t>
      </w:r>
      <w:r w:rsidR="00673252">
        <w:rPr>
          <w:rFonts w:ascii="Times New Roman" w:hAnsi="Times New Roman"/>
          <w:sz w:val="20"/>
          <w:szCs w:val="20"/>
        </w:rPr>
        <w:t>9</w:t>
      </w:r>
      <w:r w:rsidR="00AD6B66">
        <w:rPr>
          <w:rFonts w:ascii="Times New Roman" w:hAnsi="Times New Roman"/>
          <w:sz w:val="20"/>
          <w:szCs w:val="20"/>
        </w:rPr>
        <w:t xml:space="preserve">) a </w:t>
      </w:r>
      <w:r w:rsidR="000770EC">
        <w:rPr>
          <w:rFonts w:ascii="Times New Roman" w:hAnsi="Times New Roman"/>
          <w:sz w:val="20"/>
          <w:szCs w:val="20"/>
        </w:rPr>
        <w:t xml:space="preserve">health </w:t>
      </w:r>
      <w:r w:rsidR="00AD6B66">
        <w:rPr>
          <w:rFonts w:ascii="Times New Roman" w:hAnsi="Times New Roman"/>
          <w:sz w:val="20"/>
          <w:szCs w:val="20"/>
        </w:rPr>
        <w:t xml:space="preserve">services </w:t>
      </w:r>
      <w:r w:rsidR="008654F1">
        <w:rPr>
          <w:rFonts w:ascii="Times New Roman" w:hAnsi="Times New Roman"/>
          <w:sz w:val="20"/>
          <w:szCs w:val="20"/>
        </w:rPr>
        <w:t>sector</w:t>
      </w:r>
      <w:r w:rsidR="00AD6B66">
        <w:rPr>
          <w:rFonts w:ascii="Times New Roman" w:hAnsi="Times New Roman"/>
          <w:sz w:val="20"/>
          <w:szCs w:val="20"/>
        </w:rPr>
        <w:t xml:space="preserve">, modelling access to mental health services </w:t>
      </w:r>
      <w:r w:rsidR="00500BB6">
        <w:rPr>
          <w:rFonts w:ascii="Times New Roman" w:hAnsi="Times New Roman"/>
          <w:sz w:val="20"/>
          <w:szCs w:val="20"/>
        </w:rPr>
        <w:t>(community</w:t>
      </w:r>
      <w:r w:rsidR="003B42F5">
        <w:rPr>
          <w:rFonts w:ascii="Times New Roman" w:hAnsi="Times New Roman"/>
          <w:sz w:val="20"/>
          <w:szCs w:val="20"/>
        </w:rPr>
        <w:t>-based</w:t>
      </w:r>
      <w:r w:rsidR="00500BB6">
        <w:rPr>
          <w:rFonts w:ascii="Times New Roman" w:hAnsi="Times New Roman"/>
          <w:sz w:val="20"/>
          <w:szCs w:val="20"/>
        </w:rPr>
        <w:t xml:space="preserve"> and </w:t>
      </w:r>
      <w:r w:rsidR="003B42F5">
        <w:rPr>
          <w:rFonts w:ascii="Times New Roman" w:hAnsi="Times New Roman"/>
          <w:sz w:val="20"/>
          <w:szCs w:val="20"/>
        </w:rPr>
        <w:t>hospital</w:t>
      </w:r>
      <w:r w:rsidR="00500BB6">
        <w:rPr>
          <w:rFonts w:ascii="Times New Roman" w:hAnsi="Times New Roman"/>
          <w:sz w:val="20"/>
          <w:szCs w:val="20"/>
        </w:rPr>
        <w:t xml:space="preserve">) </w:t>
      </w:r>
      <w:r w:rsidR="00AD6B66">
        <w:rPr>
          <w:rFonts w:ascii="Times New Roman" w:hAnsi="Times New Roman"/>
          <w:sz w:val="20"/>
          <w:szCs w:val="20"/>
        </w:rPr>
        <w:t xml:space="preserve">and treatment-dependent recovery; and </w:t>
      </w:r>
      <w:r w:rsidR="00673252">
        <w:rPr>
          <w:rFonts w:ascii="Times New Roman" w:hAnsi="Times New Roman"/>
          <w:sz w:val="20"/>
          <w:szCs w:val="20"/>
        </w:rPr>
        <w:t>10</w:t>
      </w:r>
      <w:r w:rsidR="00AD6B66">
        <w:rPr>
          <w:rFonts w:ascii="Times New Roman" w:hAnsi="Times New Roman"/>
          <w:sz w:val="20"/>
          <w:szCs w:val="20"/>
        </w:rPr>
        <w:t>) a suicidal behaviour sect</w:t>
      </w:r>
      <w:r w:rsidR="00E13F3E">
        <w:rPr>
          <w:rFonts w:ascii="Times New Roman" w:hAnsi="Times New Roman"/>
          <w:sz w:val="20"/>
          <w:szCs w:val="20"/>
        </w:rPr>
        <w:t>or</w:t>
      </w:r>
      <w:r w:rsidR="00AD6B66">
        <w:rPr>
          <w:rFonts w:ascii="Times New Roman" w:hAnsi="Times New Roman"/>
          <w:sz w:val="20"/>
          <w:szCs w:val="20"/>
        </w:rPr>
        <w:t xml:space="preserve">, capturing </w:t>
      </w:r>
      <w:r w:rsidR="00500BB6">
        <w:rPr>
          <w:rFonts w:ascii="Times New Roman" w:hAnsi="Times New Roman"/>
          <w:sz w:val="20"/>
          <w:szCs w:val="20"/>
        </w:rPr>
        <w:t xml:space="preserve">initial and repeat </w:t>
      </w:r>
      <w:r w:rsidR="00AD6B66">
        <w:rPr>
          <w:rFonts w:ascii="Times New Roman" w:hAnsi="Times New Roman"/>
          <w:sz w:val="20"/>
          <w:szCs w:val="20"/>
        </w:rPr>
        <w:t>suicide attempts</w:t>
      </w:r>
      <w:r w:rsidR="000770EC">
        <w:rPr>
          <w:rFonts w:ascii="Times New Roman" w:hAnsi="Times New Roman"/>
          <w:sz w:val="20"/>
          <w:szCs w:val="20"/>
        </w:rPr>
        <w:t xml:space="preserve"> </w:t>
      </w:r>
      <w:r w:rsidR="00AD6B66">
        <w:rPr>
          <w:rFonts w:ascii="Times New Roman" w:hAnsi="Times New Roman"/>
          <w:sz w:val="20"/>
          <w:szCs w:val="20"/>
        </w:rPr>
        <w:t>and suicide mortality.</w:t>
      </w:r>
      <w:r w:rsidR="000770EC">
        <w:rPr>
          <w:rFonts w:ascii="Times New Roman" w:hAnsi="Times New Roman"/>
          <w:sz w:val="20"/>
          <w:szCs w:val="20"/>
        </w:rPr>
        <w:t xml:space="preserve"> </w:t>
      </w:r>
      <w:r w:rsidR="0089339E">
        <w:rPr>
          <w:rFonts w:ascii="Times New Roman" w:hAnsi="Times New Roman"/>
          <w:sz w:val="20"/>
          <w:szCs w:val="20"/>
        </w:rPr>
        <w:t xml:space="preserve"> </w:t>
      </w:r>
      <w:r w:rsidR="003B42F5">
        <w:rPr>
          <w:rFonts w:ascii="Times New Roman" w:hAnsi="Times New Roman"/>
          <w:sz w:val="20"/>
          <w:szCs w:val="20"/>
        </w:rPr>
        <w:t>A</w:t>
      </w:r>
      <w:r w:rsidR="008654F1">
        <w:rPr>
          <w:rFonts w:ascii="Times New Roman" w:hAnsi="Times New Roman"/>
          <w:sz w:val="20"/>
          <w:szCs w:val="20"/>
        </w:rPr>
        <w:t xml:space="preserve"> high-level map of the</w:t>
      </w:r>
      <w:r w:rsidR="0089339E">
        <w:rPr>
          <w:rFonts w:ascii="Times New Roman" w:hAnsi="Times New Roman"/>
          <w:sz w:val="20"/>
          <w:szCs w:val="20"/>
        </w:rPr>
        <w:t xml:space="preserve"> </w:t>
      </w:r>
      <w:r w:rsidR="003B42F5">
        <w:rPr>
          <w:rFonts w:ascii="Times New Roman" w:hAnsi="Times New Roman"/>
          <w:sz w:val="20"/>
          <w:szCs w:val="20"/>
        </w:rPr>
        <w:t xml:space="preserve">core </w:t>
      </w:r>
      <w:r w:rsidR="008654F1">
        <w:rPr>
          <w:rFonts w:ascii="Times New Roman" w:hAnsi="Times New Roman"/>
          <w:sz w:val="20"/>
          <w:szCs w:val="20"/>
        </w:rPr>
        <w:t>model</w:t>
      </w:r>
      <w:r w:rsidR="003B42F5">
        <w:rPr>
          <w:rFonts w:ascii="Times New Roman" w:hAnsi="Times New Roman"/>
          <w:sz w:val="20"/>
          <w:szCs w:val="20"/>
        </w:rPr>
        <w:t xml:space="preserve"> </w:t>
      </w:r>
      <w:r w:rsidR="008654F1">
        <w:rPr>
          <w:rFonts w:ascii="Times New Roman" w:hAnsi="Times New Roman"/>
          <w:sz w:val="20"/>
          <w:szCs w:val="20"/>
        </w:rPr>
        <w:t xml:space="preserve">showing the </w:t>
      </w:r>
      <w:r w:rsidR="0089339E">
        <w:rPr>
          <w:rFonts w:ascii="Times New Roman" w:hAnsi="Times New Roman"/>
          <w:sz w:val="20"/>
          <w:szCs w:val="20"/>
        </w:rPr>
        <w:t xml:space="preserve">(causal) </w:t>
      </w:r>
      <w:r w:rsidR="00194BA1">
        <w:rPr>
          <w:rFonts w:ascii="Times New Roman" w:hAnsi="Times New Roman"/>
          <w:sz w:val="20"/>
          <w:szCs w:val="20"/>
        </w:rPr>
        <w:t xml:space="preserve">connections </w:t>
      </w:r>
      <w:r w:rsidR="008654F1">
        <w:rPr>
          <w:rFonts w:ascii="Times New Roman" w:hAnsi="Times New Roman"/>
          <w:sz w:val="20"/>
          <w:szCs w:val="20"/>
        </w:rPr>
        <w:t>among sectors</w:t>
      </w:r>
      <w:r w:rsidR="003B42F5">
        <w:rPr>
          <w:rFonts w:ascii="Times New Roman" w:hAnsi="Times New Roman"/>
          <w:sz w:val="20"/>
          <w:szCs w:val="20"/>
        </w:rPr>
        <w:t xml:space="preserve"> is presented in Fig. S1.</w:t>
      </w:r>
    </w:p>
    <w:p w14:paraId="3AF37930" w14:textId="77777777" w:rsidR="00CE0F4F" w:rsidRDefault="00CE0F4F" w:rsidP="00FE09B6">
      <w:pPr>
        <w:spacing w:line="480" w:lineRule="auto"/>
        <w:rPr>
          <w:rFonts w:ascii="Times New Roman" w:hAnsi="Times New Roman"/>
          <w:sz w:val="20"/>
          <w:szCs w:val="20"/>
        </w:rPr>
      </w:pPr>
    </w:p>
    <w:p w14:paraId="634641BF" w14:textId="2458EC1D" w:rsidR="00CE0F4F" w:rsidRPr="00CE0F4F" w:rsidRDefault="00145A72" w:rsidP="00FE09B6">
      <w:pPr>
        <w:spacing w:line="480" w:lineRule="auto"/>
        <w:rPr>
          <w:rFonts w:ascii="Times New Roman" w:hAnsi="Times New Roman"/>
          <w:i/>
          <w:iCs/>
          <w:sz w:val="20"/>
          <w:szCs w:val="20"/>
        </w:rPr>
      </w:pPr>
      <w:r>
        <w:rPr>
          <w:rFonts w:ascii="Times New Roman" w:hAnsi="Times New Roman"/>
          <w:i/>
          <w:iCs/>
          <w:sz w:val="20"/>
          <w:szCs w:val="20"/>
        </w:rPr>
        <w:t>1.</w:t>
      </w:r>
      <w:r w:rsidR="00CE0F4F" w:rsidRPr="00CE0F4F">
        <w:rPr>
          <w:rFonts w:ascii="Times New Roman" w:hAnsi="Times New Roman"/>
          <w:i/>
          <w:iCs/>
          <w:sz w:val="20"/>
          <w:szCs w:val="20"/>
        </w:rPr>
        <w:t>2.  Population sector</w:t>
      </w:r>
    </w:p>
    <w:p w14:paraId="3F27C5CA" w14:textId="77777777" w:rsidR="009662D8" w:rsidRDefault="00CE0F4F" w:rsidP="00C00B6D">
      <w:pPr>
        <w:spacing w:line="480" w:lineRule="auto"/>
        <w:rPr>
          <w:rFonts w:ascii="Times New Roman" w:hAnsi="Times New Roman"/>
          <w:sz w:val="20"/>
          <w:szCs w:val="20"/>
        </w:rPr>
        <w:sectPr w:rsidR="009662D8" w:rsidSect="00E966E4">
          <w:footerReference w:type="default" r:id="rId7"/>
          <w:pgSz w:w="11906" w:h="16838" w:code="9"/>
          <w:pgMar w:top="1440" w:right="1440" w:bottom="1440" w:left="1440" w:header="284" w:footer="680" w:gutter="0"/>
          <w:cols w:space="708"/>
          <w:docGrid w:linePitch="360"/>
        </w:sectPr>
      </w:pPr>
      <w:r>
        <w:rPr>
          <w:rFonts w:ascii="Times New Roman" w:hAnsi="Times New Roman"/>
          <w:sz w:val="20"/>
          <w:szCs w:val="20"/>
        </w:rPr>
        <w:t>Fig</w:t>
      </w:r>
      <w:r w:rsidR="00C269E8">
        <w:rPr>
          <w:rFonts w:ascii="Times New Roman" w:hAnsi="Times New Roman"/>
          <w:sz w:val="20"/>
          <w:szCs w:val="20"/>
        </w:rPr>
        <w:t>.</w:t>
      </w:r>
      <w:r>
        <w:rPr>
          <w:rFonts w:ascii="Times New Roman" w:hAnsi="Times New Roman"/>
          <w:sz w:val="20"/>
          <w:szCs w:val="20"/>
        </w:rPr>
        <w:t xml:space="preserve"> S2</w:t>
      </w:r>
      <w:r w:rsidR="00C269E8">
        <w:rPr>
          <w:rFonts w:ascii="Times New Roman" w:hAnsi="Times New Roman"/>
          <w:sz w:val="20"/>
          <w:szCs w:val="20"/>
        </w:rPr>
        <w:t xml:space="preserve"> presents</w:t>
      </w:r>
      <w:r>
        <w:rPr>
          <w:rFonts w:ascii="Times New Roman" w:hAnsi="Times New Roman"/>
          <w:sz w:val="20"/>
          <w:szCs w:val="20"/>
        </w:rPr>
        <w:t xml:space="preserve"> the structure of the population sector, which models changes in the size and composition of the</w:t>
      </w:r>
      <w:r w:rsidR="00C269E8">
        <w:rPr>
          <w:rFonts w:ascii="Times New Roman" w:hAnsi="Times New Roman"/>
          <w:sz w:val="20"/>
          <w:szCs w:val="20"/>
        </w:rPr>
        <w:t xml:space="preserve"> population of </w:t>
      </w:r>
      <w:r>
        <w:rPr>
          <w:rFonts w:ascii="Times New Roman" w:hAnsi="Times New Roman"/>
          <w:sz w:val="20"/>
          <w:szCs w:val="20"/>
        </w:rPr>
        <w:t xml:space="preserve">Bogotá </w:t>
      </w:r>
      <w:r w:rsidR="00BF0DDB">
        <w:rPr>
          <w:rFonts w:ascii="Times New Roman" w:hAnsi="Times New Roman"/>
          <w:sz w:val="20"/>
          <w:szCs w:val="20"/>
        </w:rPr>
        <w:t>due to</w:t>
      </w:r>
      <w:r>
        <w:rPr>
          <w:rFonts w:ascii="Times New Roman" w:hAnsi="Times New Roman"/>
          <w:sz w:val="20"/>
          <w:szCs w:val="20"/>
        </w:rPr>
        <w:t xml:space="preserve"> births, migration, aging, and mortality.  The </w:t>
      </w:r>
      <w:r w:rsidR="00C269E8">
        <w:rPr>
          <w:rFonts w:ascii="Times New Roman" w:hAnsi="Times New Roman"/>
          <w:sz w:val="20"/>
          <w:szCs w:val="20"/>
        </w:rPr>
        <w:t xml:space="preserve">total </w:t>
      </w:r>
      <w:r>
        <w:rPr>
          <w:rFonts w:ascii="Times New Roman" w:hAnsi="Times New Roman"/>
          <w:sz w:val="20"/>
          <w:szCs w:val="20"/>
        </w:rPr>
        <w:t xml:space="preserve">population is </w:t>
      </w:r>
      <w:r w:rsidR="00C269E8">
        <w:rPr>
          <w:rFonts w:ascii="Times New Roman" w:hAnsi="Times New Roman"/>
          <w:sz w:val="20"/>
          <w:szCs w:val="20"/>
        </w:rPr>
        <w:t xml:space="preserve">represented as </w:t>
      </w:r>
      <w:r>
        <w:rPr>
          <w:rFonts w:ascii="Times New Roman" w:hAnsi="Times New Roman"/>
          <w:sz w:val="20"/>
          <w:szCs w:val="20"/>
        </w:rPr>
        <w:t>4 stocks (</w:t>
      </w:r>
      <w:r w:rsidR="00BF0DDB">
        <w:rPr>
          <w:rFonts w:ascii="Times New Roman" w:hAnsi="Times New Roman"/>
          <w:sz w:val="20"/>
          <w:szCs w:val="20"/>
        </w:rPr>
        <w:t xml:space="preserve">i.e., </w:t>
      </w:r>
      <w:r>
        <w:rPr>
          <w:rFonts w:ascii="Times New Roman" w:hAnsi="Times New Roman"/>
          <w:sz w:val="20"/>
          <w:szCs w:val="20"/>
        </w:rPr>
        <w:t xml:space="preserve">state variables), corresponding to numbers of people aged 0−6 years, 7−11 years, 12−17 years, and 18 years and above.  Population size increases </w:t>
      </w:r>
      <w:r w:rsidR="00C269E8">
        <w:rPr>
          <w:rFonts w:ascii="Times New Roman" w:hAnsi="Times New Roman"/>
          <w:sz w:val="20"/>
          <w:szCs w:val="20"/>
        </w:rPr>
        <w:t>via</w:t>
      </w:r>
      <w:r>
        <w:rPr>
          <w:rFonts w:ascii="Times New Roman" w:hAnsi="Times New Roman"/>
          <w:sz w:val="20"/>
          <w:szCs w:val="20"/>
        </w:rPr>
        <w:t xml:space="preserve"> births (which flow into the stock of 0−6</w:t>
      </w:r>
      <w:r w:rsidR="00C269E8">
        <w:rPr>
          <w:rFonts w:ascii="Times New Roman" w:hAnsi="Times New Roman"/>
          <w:sz w:val="20"/>
          <w:szCs w:val="20"/>
        </w:rPr>
        <w:t>-</w:t>
      </w:r>
      <w:r>
        <w:rPr>
          <w:rFonts w:ascii="Times New Roman" w:hAnsi="Times New Roman"/>
          <w:sz w:val="20"/>
          <w:szCs w:val="20"/>
        </w:rPr>
        <w:t>year</w:t>
      </w:r>
      <w:r w:rsidR="00C269E8">
        <w:rPr>
          <w:rFonts w:ascii="Times New Roman" w:hAnsi="Times New Roman"/>
          <w:sz w:val="20"/>
          <w:szCs w:val="20"/>
        </w:rPr>
        <w:t>-old</w:t>
      </w:r>
      <w:r>
        <w:rPr>
          <w:rFonts w:ascii="Times New Roman" w:hAnsi="Times New Roman"/>
          <w:sz w:val="20"/>
          <w:szCs w:val="20"/>
        </w:rPr>
        <w:t xml:space="preserve">s) and immigration and decreases </w:t>
      </w:r>
      <w:r w:rsidR="00C269E8">
        <w:rPr>
          <w:rFonts w:ascii="Times New Roman" w:hAnsi="Times New Roman"/>
          <w:sz w:val="20"/>
          <w:szCs w:val="20"/>
        </w:rPr>
        <w:t>through</w:t>
      </w:r>
      <w:r>
        <w:rPr>
          <w:rFonts w:ascii="Times New Roman" w:hAnsi="Times New Roman"/>
          <w:sz w:val="20"/>
          <w:szCs w:val="20"/>
        </w:rPr>
        <w:t xml:space="preserve"> emigration and mortality.  Aging is modelled as a first-order delay, in which people flow out of each stock (except the stock of people aged 18 year</w:t>
      </w:r>
      <w:r w:rsidR="00C269E8">
        <w:rPr>
          <w:rFonts w:ascii="Times New Roman" w:hAnsi="Times New Roman"/>
          <w:sz w:val="20"/>
          <w:szCs w:val="20"/>
        </w:rPr>
        <w:t>s and above</w:t>
      </w:r>
      <w:r>
        <w:rPr>
          <w:rFonts w:ascii="Times New Roman" w:hAnsi="Times New Roman"/>
          <w:sz w:val="20"/>
          <w:szCs w:val="20"/>
        </w:rPr>
        <w:t xml:space="preserve">) at a </w:t>
      </w:r>
      <w:r w:rsidR="000C73F3">
        <w:rPr>
          <w:rFonts w:ascii="Times New Roman" w:hAnsi="Times New Roman"/>
          <w:sz w:val="20"/>
          <w:szCs w:val="20"/>
        </w:rPr>
        <w:t xml:space="preserve">yearly </w:t>
      </w:r>
      <w:r>
        <w:rPr>
          <w:rFonts w:ascii="Times New Roman" w:hAnsi="Times New Roman"/>
          <w:sz w:val="20"/>
          <w:szCs w:val="20"/>
        </w:rPr>
        <w:t>rate</w:t>
      </w:r>
      <w:r w:rsidR="00BF0DDB">
        <w:rPr>
          <w:rFonts w:ascii="Times New Roman" w:hAnsi="Times New Roman"/>
          <w:sz w:val="20"/>
          <w:szCs w:val="20"/>
        </w:rPr>
        <w:t xml:space="preserve"> </w:t>
      </w:r>
      <w:r w:rsidR="000C73F3">
        <w:rPr>
          <w:rFonts w:ascii="Times New Roman" w:hAnsi="Times New Roman"/>
          <w:sz w:val="20"/>
          <w:szCs w:val="20"/>
        </w:rPr>
        <w:t>equal to</w:t>
      </w:r>
      <w:r w:rsidR="00BF0DDB">
        <w:rPr>
          <w:rFonts w:ascii="Times New Roman" w:hAnsi="Times New Roman"/>
          <w:sz w:val="20"/>
          <w:szCs w:val="20"/>
        </w:rPr>
        <w:t xml:space="preserve"> </w:t>
      </w:r>
      <m:oMath>
        <m:f>
          <m:fPr>
            <m:type m:val="lin"/>
            <m:ctrlPr>
              <w:rPr>
                <w:rFonts w:ascii="Cambria Math" w:hAnsi="Cambria Math"/>
                <w:i/>
                <w:sz w:val="20"/>
                <w:szCs w:val="20"/>
              </w:rPr>
            </m:ctrlPr>
          </m:fPr>
          <m:num>
            <m:r>
              <w:rPr>
                <w:rFonts w:ascii="Cambria Math" w:hAnsi="Cambria Math"/>
                <w:sz w:val="20"/>
                <w:szCs w:val="20"/>
              </w:rPr>
              <m:t>n</m:t>
            </m:r>
          </m:num>
          <m:den>
            <m:r>
              <w:rPr>
                <w:rFonts w:ascii="Cambria Math" w:hAnsi="Cambria Math"/>
                <w:sz w:val="20"/>
                <w:szCs w:val="20"/>
              </w:rPr>
              <m:t>d</m:t>
            </m:r>
          </m:den>
        </m:f>
      </m:oMath>
      <w:r>
        <w:rPr>
          <w:rFonts w:ascii="Times New Roman" w:hAnsi="Times New Roman"/>
          <w:sz w:val="20"/>
          <w:szCs w:val="20"/>
        </w:rPr>
        <w:t xml:space="preserve">, where </w:t>
      </w:r>
      <m:oMath>
        <m:r>
          <w:rPr>
            <w:rFonts w:ascii="Cambria Math" w:hAnsi="Cambria Math"/>
            <w:sz w:val="20"/>
            <w:szCs w:val="20"/>
          </w:rPr>
          <m:t>n</m:t>
        </m:r>
      </m:oMath>
      <w:r>
        <w:rPr>
          <w:rFonts w:ascii="Times New Roman" w:hAnsi="Times New Roman"/>
          <w:sz w:val="20"/>
          <w:szCs w:val="20"/>
        </w:rPr>
        <w:t xml:space="preserve"> is the number of people in the stock at a</w:t>
      </w:r>
      <w:r w:rsidR="00C269E8">
        <w:rPr>
          <w:rFonts w:ascii="Times New Roman" w:hAnsi="Times New Roman"/>
          <w:sz w:val="20"/>
          <w:szCs w:val="20"/>
        </w:rPr>
        <w:t>ny</w:t>
      </w:r>
      <w:r>
        <w:rPr>
          <w:rFonts w:ascii="Times New Roman" w:hAnsi="Times New Roman"/>
          <w:sz w:val="20"/>
          <w:szCs w:val="20"/>
        </w:rPr>
        <w:t xml:space="preserve"> particular time point and the delay time </w:t>
      </w:r>
      <m:oMath>
        <m:r>
          <w:rPr>
            <w:rFonts w:ascii="Cambria Math" w:hAnsi="Cambria Math"/>
            <w:sz w:val="20"/>
            <w:szCs w:val="20"/>
          </w:rPr>
          <m:t>d</m:t>
        </m:r>
      </m:oMath>
      <w:r>
        <w:rPr>
          <w:rFonts w:ascii="Times New Roman" w:hAnsi="Times New Roman"/>
          <w:sz w:val="20"/>
          <w:szCs w:val="20"/>
        </w:rPr>
        <w:t xml:space="preserve"> is the mean number of years a person spends in the stock.  Births and deaths occur at rates </w:t>
      </w:r>
      <m:oMath>
        <m:r>
          <w:rPr>
            <w:rFonts w:ascii="Cambria Math" w:hAnsi="Cambria Math"/>
            <w:sz w:val="20"/>
            <w:szCs w:val="20"/>
          </w:rPr>
          <m:t>bP</m:t>
        </m:r>
      </m:oMath>
      <w:r>
        <w:rPr>
          <w:rFonts w:ascii="Times New Roman" w:hAnsi="Times New Roman"/>
          <w:sz w:val="20"/>
          <w:szCs w:val="20"/>
        </w:rPr>
        <w:t xml:space="preserve"> and </w:t>
      </w:r>
      <m:oMath>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i</m:t>
            </m:r>
          </m:sub>
        </m:sSub>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i</m:t>
            </m:r>
          </m:sub>
        </m:sSub>
      </m:oMath>
      <w:r>
        <w:rPr>
          <w:rFonts w:ascii="Times New Roman" w:hAnsi="Times New Roman"/>
          <w:sz w:val="20"/>
          <w:szCs w:val="20"/>
        </w:rPr>
        <w:t>, respectively, where</w:t>
      </w:r>
    </w:p>
    <w:p w14:paraId="24DE5EC1" w14:textId="77777777" w:rsidR="009662D8" w:rsidRDefault="009662D8" w:rsidP="009662D8">
      <w:pPr>
        <w:spacing w:line="480" w:lineRule="auto"/>
        <w:jc w:val="center"/>
        <w:rPr>
          <w:rFonts w:ascii="Times New Roman" w:hAnsi="Times New Roman"/>
          <w:sz w:val="20"/>
          <w:szCs w:val="20"/>
        </w:rPr>
      </w:pPr>
      <w:r>
        <w:rPr>
          <w:rFonts w:ascii="Times New Roman" w:hAnsi="Times New Roman"/>
          <w:noProof/>
          <w:sz w:val="20"/>
          <w:szCs w:val="20"/>
        </w:rPr>
        <w:lastRenderedPageBreak/>
        <w:drawing>
          <wp:inline distT="0" distB="0" distL="0" distR="0" wp14:anchorId="6ACAF622" wp14:editId="07515B10">
            <wp:extent cx="3609975" cy="2927255"/>
            <wp:effectExtent l="0" t="0" r="0" b="698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8"/>
                    <a:stretch>
                      <a:fillRect/>
                    </a:stretch>
                  </pic:blipFill>
                  <pic:spPr>
                    <a:xfrm>
                      <a:off x="0" y="0"/>
                      <a:ext cx="3628262" cy="2942084"/>
                    </a:xfrm>
                    <a:prstGeom prst="rect">
                      <a:avLst/>
                    </a:prstGeom>
                  </pic:spPr>
                </pic:pic>
              </a:graphicData>
            </a:graphic>
          </wp:inline>
        </w:drawing>
      </w:r>
    </w:p>
    <w:p w14:paraId="01E5DFE5" w14:textId="77777777" w:rsidR="009662D8" w:rsidRDefault="009662D8" w:rsidP="009662D8">
      <w:pPr>
        <w:spacing w:line="480" w:lineRule="auto"/>
        <w:rPr>
          <w:rFonts w:ascii="Times New Roman" w:hAnsi="Times New Roman"/>
          <w:sz w:val="20"/>
          <w:szCs w:val="20"/>
        </w:rPr>
      </w:pPr>
      <w:r>
        <w:rPr>
          <w:rFonts w:ascii="Times New Roman" w:hAnsi="Times New Roman"/>
          <w:sz w:val="20"/>
          <w:szCs w:val="20"/>
        </w:rPr>
        <w:t>Fig. S1.  High-level map of the core system dynamics model showing the causal connections among model sectors.  Single-headed arrows indicate unidirectional causal connections; bidirectional causal connections are shown as double-headed arrows.</w:t>
      </w:r>
    </w:p>
    <w:p w14:paraId="5F18185D" w14:textId="77777777" w:rsidR="009662D8" w:rsidRDefault="009662D8" w:rsidP="00C00B6D">
      <w:pPr>
        <w:spacing w:line="480" w:lineRule="auto"/>
        <w:rPr>
          <w:rFonts w:ascii="Times New Roman" w:hAnsi="Times New Roman"/>
          <w:sz w:val="20"/>
          <w:szCs w:val="20"/>
        </w:rPr>
      </w:pPr>
    </w:p>
    <w:p w14:paraId="630B19A2" w14:textId="7049ED0E" w:rsidR="00C00B6D" w:rsidRDefault="00CE0F4F" w:rsidP="00C00B6D">
      <w:pPr>
        <w:spacing w:line="480" w:lineRule="auto"/>
        <w:rPr>
          <w:rFonts w:ascii="Times New Roman" w:hAnsi="Times New Roman"/>
          <w:sz w:val="20"/>
          <w:szCs w:val="20"/>
        </w:rPr>
      </w:pPr>
      <m:oMath>
        <m:r>
          <w:rPr>
            <w:rFonts w:ascii="Cambria Math" w:hAnsi="Cambria Math"/>
            <w:sz w:val="20"/>
            <w:szCs w:val="20"/>
          </w:rPr>
          <m:t>P</m:t>
        </m:r>
      </m:oMath>
      <w:r w:rsidR="00C00B6D">
        <w:rPr>
          <w:rFonts w:ascii="Times New Roman" w:hAnsi="Times New Roman"/>
          <w:sz w:val="20"/>
          <w:szCs w:val="20"/>
        </w:rPr>
        <w:t xml:space="preserve"> is the total population, </w:t>
      </w:r>
      <m:oMath>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i</m:t>
            </m:r>
          </m:sub>
        </m:sSub>
      </m:oMath>
      <w:r w:rsidR="00C00B6D">
        <w:rPr>
          <w:rFonts w:ascii="Times New Roman" w:hAnsi="Times New Roman"/>
          <w:sz w:val="20"/>
          <w:szCs w:val="20"/>
        </w:rPr>
        <w:t xml:space="preserve"> is the population for age group </w:t>
      </w:r>
      <m:oMath>
        <m:r>
          <w:rPr>
            <w:rFonts w:ascii="Cambria Math" w:hAnsi="Cambria Math"/>
            <w:sz w:val="20"/>
            <w:szCs w:val="20"/>
          </w:rPr>
          <m:t>i</m:t>
        </m:r>
      </m:oMath>
      <w:r w:rsidR="00C00B6D">
        <w:rPr>
          <w:rFonts w:ascii="Times New Roman" w:hAnsi="Times New Roman"/>
          <w:sz w:val="20"/>
          <w:szCs w:val="20"/>
        </w:rPr>
        <w:t xml:space="preserve">, and the per capita birth rate </w:t>
      </w:r>
      <m:oMath>
        <m:r>
          <w:rPr>
            <w:rFonts w:ascii="Cambria Math" w:hAnsi="Cambria Math"/>
            <w:sz w:val="20"/>
            <w:szCs w:val="20"/>
          </w:rPr>
          <m:t>b</m:t>
        </m:r>
      </m:oMath>
      <w:r w:rsidR="00C00B6D">
        <w:rPr>
          <w:rFonts w:ascii="Times New Roman" w:hAnsi="Times New Roman"/>
          <w:sz w:val="20"/>
          <w:szCs w:val="20"/>
        </w:rPr>
        <w:t xml:space="preserve"> and age-specific per capita mortality rates </w:t>
      </w:r>
      <m:oMath>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i</m:t>
            </m:r>
          </m:sub>
        </m:sSub>
      </m:oMath>
      <w:r w:rsidR="00C00B6D">
        <w:rPr>
          <w:rFonts w:ascii="Times New Roman" w:hAnsi="Times New Roman"/>
          <w:sz w:val="20"/>
          <w:szCs w:val="20"/>
        </w:rPr>
        <w:t xml:space="preserve"> decline at constant rates per year.  Net migration for age group </w:t>
      </w:r>
      <m:oMath>
        <m:r>
          <w:rPr>
            <w:rFonts w:ascii="Cambria Math" w:hAnsi="Cambria Math"/>
            <w:sz w:val="20"/>
            <w:szCs w:val="20"/>
          </w:rPr>
          <m:t>i</m:t>
        </m:r>
      </m:oMath>
      <w:r w:rsidR="00C00B6D">
        <w:rPr>
          <w:rFonts w:ascii="Times New Roman" w:hAnsi="Times New Roman"/>
          <w:sz w:val="20"/>
          <w:szCs w:val="20"/>
        </w:rPr>
        <w:t xml:space="preserve"> is equal to </w:t>
      </w:r>
      <m:oMath>
        <m:sSub>
          <m:sSubPr>
            <m:ctrlPr>
              <w:rPr>
                <w:rFonts w:ascii="Cambria Math" w:hAnsi="Cambria Math"/>
                <w:i/>
                <w:sz w:val="20"/>
                <w:szCs w:val="20"/>
              </w:rPr>
            </m:ctrlPr>
          </m:sSubPr>
          <m:e>
            <m:r>
              <w:rPr>
                <w:rFonts w:ascii="Cambria Math" w:hAnsi="Cambria Math"/>
                <w:sz w:val="20"/>
                <w:szCs w:val="20"/>
              </w:rPr>
              <m:t>I</m:t>
            </m:r>
          </m:e>
          <m:sub>
            <m:r>
              <w:rPr>
                <w:rFonts w:ascii="Cambria Math" w:hAnsi="Cambria Math"/>
                <w:sz w:val="20"/>
                <w:szCs w:val="20"/>
              </w:rPr>
              <m:t>i</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e</m:t>
            </m:r>
          </m:e>
          <m:sub>
            <m:r>
              <w:rPr>
                <w:rFonts w:ascii="Cambria Math" w:hAnsi="Cambria Math"/>
                <w:sz w:val="20"/>
                <w:szCs w:val="20"/>
              </w:rPr>
              <m:t>i</m:t>
            </m:r>
          </m:sub>
        </m:sSub>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i</m:t>
            </m:r>
          </m:sub>
        </m:sSub>
      </m:oMath>
      <w:r w:rsidR="00C00B6D">
        <w:rPr>
          <w:rFonts w:ascii="Times New Roman" w:hAnsi="Times New Roman"/>
          <w:sz w:val="20"/>
          <w:szCs w:val="20"/>
        </w:rPr>
        <w:t xml:space="preserve">, where </w:t>
      </w:r>
      <m:oMath>
        <m:sSub>
          <m:sSubPr>
            <m:ctrlPr>
              <w:rPr>
                <w:rFonts w:ascii="Cambria Math" w:hAnsi="Cambria Math"/>
                <w:i/>
                <w:sz w:val="20"/>
                <w:szCs w:val="20"/>
              </w:rPr>
            </m:ctrlPr>
          </m:sSubPr>
          <m:e>
            <m:r>
              <w:rPr>
                <w:rFonts w:ascii="Cambria Math" w:hAnsi="Cambria Math"/>
                <w:sz w:val="20"/>
                <w:szCs w:val="20"/>
              </w:rPr>
              <m:t>I</m:t>
            </m:r>
          </m:e>
          <m:sub>
            <m:r>
              <w:rPr>
                <w:rFonts w:ascii="Cambria Math" w:hAnsi="Cambria Math"/>
                <w:sz w:val="20"/>
                <w:szCs w:val="20"/>
              </w:rPr>
              <m:t>i</m:t>
            </m:r>
          </m:sub>
        </m:sSub>
      </m:oMath>
      <w:r w:rsidR="00C00B6D">
        <w:rPr>
          <w:rFonts w:ascii="Times New Roman" w:hAnsi="Times New Roman"/>
          <w:sz w:val="20"/>
          <w:szCs w:val="20"/>
        </w:rPr>
        <w:t xml:space="preserve"> is age-specific immigration per year and </w:t>
      </w:r>
      <m:oMath>
        <m:sSub>
          <m:sSubPr>
            <m:ctrlPr>
              <w:rPr>
                <w:rFonts w:ascii="Cambria Math" w:hAnsi="Cambria Math"/>
                <w:i/>
                <w:sz w:val="20"/>
                <w:szCs w:val="20"/>
              </w:rPr>
            </m:ctrlPr>
          </m:sSubPr>
          <m:e>
            <m:r>
              <w:rPr>
                <w:rFonts w:ascii="Cambria Math" w:hAnsi="Cambria Math"/>
                <w:sz w:val="20"/>
                <w:szCs w:val="20"/>
              </w:rPr>
              <m:t>e</m:t>
            </m:r>
          </m:e>
          <m:sub>
            <m:r>
              <w:rPr>
                <w:rFonts w:ascii="Cambria Math" w:hAnsi="Cambria Math"/>
                <w:sz w:val="20"/>
                <w:szCs w:val="20"/>
              </w:rPr>
              <m:t>i</m:t>
            </m:r>
          </m:sub>
        </m:sSub>
      </m:oMath>
      <w:r w:rsidR="00C00B6D">
        <w:rPr>
          <w:rFonts w:ascii="Times New Roman" w:hAnsi="Times New Roman"/>
          <w:sz w:val="20"/>
          <w:szCs w:val="20"/>
        </w:rPr>
        <w:t xml:space="preserve"> is the age-specific per capita emigration rate per year.  Population estimates derived from the model are presented together with estimates from the National Population and Housing Census in Fig. S3.</w:t>
      </w:r>
    </w:p>
    <w:p w14:paraId="209C0BE9" w14:textId="2D767B33" w:rsidR="003B42F5" w:rsidRDefault="003B42F5" w:rsidP="00FE09B6">
      <w:pPr>
        <w:spacing w:line="480" w:lineRule="auto"/>
        <w:rPr>
          <w:rFonts w:ascii="Times New Roman" w:hAnsi="Times New Roman"/>
          <w:sz w:val="20"/>
          <w:szCs w:val="20"/>
        </w:rPr>
      </w:pPr>
    </w:p>
    <w:p w14:paraId="1A1D7B16" w14:textId="77777777" w:rsidR="009662D8" w:rsidRDefault="009662D8" w:rsidP="009662D8">
      <w:pPr>
        <w:spacing w:line="480" w:lineRule="auto"/>
        <w:rPr>
          <w:rFonts w:ascii="Times New Roman" w:hAnsi="Times New Roman"/>
          <w:sz w:val="20"/>
          <w:szCs w:val="20"/>
        </w:rPr>
      </w:pPr>
      <w:r w:rsidRPr="00607A2C">
        <w:rPr>
          <w:rFonts w:ascii="Times New Roman" w:hAnsi="Times New Roman"/>
          <w:noProof/>
          <w:sz w:val="20"/>
          <w:szCs w:val="20"/>
        </w:rPr>
        <w:drawing>
          <wp:inline distT="0" distB="0" distL="0" distR="0" wp14:anchorId="17BBDC56" wp14:editId="1D007FB9">
            <wp:extent cx="5731510" cy="2237740"/>
            <wp:effectExtent l="0" t="0" r="2540" b="0"/>
            <wp:docPr id="4" name="Picture 3" descr="A black and white diagram&#10;&#10;Description automatically generated">
              <a:extLst xmlns:a="http://schemas.openxmlformats.org/drawingml/2006/main">
                <a:ext uri="{FF2B5EF4-FFF2-40B4-BE49-F238E27FC236}">
                  <a16:creationId xmlns:a16="http://schemas.microsoft.com/office/drawing/2014/main" id="{A2D1B4CE-B84E-4538-8434-5C03E6AB9D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black and white diagram&#10;&#10;Description automatically generated">
                      <a:extLst>
                        <a:ext uri="{FF2B5EF4-FFF2-40B4-BE49-F238E27FC236}">
                          <a16:creationId xmlns:a16="http://schemas.microsoft.com/office/drawing/2014/main" id="{A2D1B4CE-B84E-4538-8434-5C03E6AB9D52}"/>
                        </a:ext>
                      </a:extLst>
                    </pic:cNvPr>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5731510" cy="2237740"/>
                    </a:xfrm>
                    <a:prstGeom prst="rect">
                      <a:avLst/>
                    </a:prstGeom>
                  </pic:spPr>
                </pic:pic>
              </a:graphicData>
            </a:graphic>
          </wp:inline>
        </w:drawing>
      </w:r>
    </w:p>
    <w:p w14:paraId="5E51CE80" w14:textId="270B0116" w:rsidR="009662D8" w:rsidRDefault="009662D8" w:rsidP="009662D8">
      <w:pPr>
        <w:spacing w:line="480" w:lineRule="auto"/>
        <w:rPr>
          <w:rFonts w:ascii="Times New Roman" w:hAnsi="Times New Roman"/>
          <w:sz w:val="20"/>
          <w:szCs w:val="20"/>
        </w:rPr>
      </w:pPr>
      <w:r>
        <w:rPr>
          <w:rFonts w:ascii="Times New Roman" w:hAnsi="Times New Roman"/>
          <w:sz w:val="20"/>
          <w:szCs w:val="20"/>
        </w:rPr>
        <w:t>Fig. S2.  Stock and flow structure of the population sector.</w:t>
      </w:r>
    </w:p>
    <w:p w14:paraId="036BE4A3" w14:textId="77777777" w:rsidR="009662D8" w:rsidRDefault="009662D8" w:rsidP="009662D8">
      <w:pPr>
        <w:spacing w:line="480" w:lineRule="auto"/>
        <w:rPr>
          <w:rFonts w:ascii="Times New Roman" w:hAnsi="Times New Roman"/>
          <w:sz w:val="20"/>
          <w:szCs w:val="20"/>
        </w:rPr>
      </w:pPr>
    </w:p>
    <w:p w14:paraId="5D2EF66A" w14:textId="77777777" w:rsidR="009662D8" w:rsidRDefault="009662D8" w:rsidP="009662D8">
      <w:pPr>
        <w:spacing w:line="480" w:lineRule="auto"/>
        <w:rPr>
          <w:rFonts w:ascii="Times New Roman" w:hAnsi="Times New Roman"/>
          <w:sz w:val="20"/>
          <w:szCs w:val="20"/>
        </w:rPr>
      </w:pPr>
      <w:r>
        <w:rPr>
          <w:rFonts w:ascii="Times New Roman" w:hAnsi="Times New Roman"/>
          <w:noProof/>
          <w:sz w:val="20"/>
          <w:szCs w:val="20"/>
        </w:rPr>
        <w:lastRenderedPageBreak/>
        <w:drawing>
          <wp:inline distT="0" distB="0" distL="0" distR="0" wp14:anchorId="3730A3B1" wp14:editId="5955EB8D">
            <wp:extent cx="5731086" cy="2456179"/>
            <wp:effectExtent l="0" t="0" r="3175" b="190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0"/>
                    <a:stretch>
                      <a:fillRect/>
                    </a:stretch>
                  </pic:blipFill>
                  <pic:spPr>
                    <a:xfrm>
                      <a:off x="0" y="0"/>
                      <a:ext cx="5731086" cy="2456179"/>
                    </a:xfrm>
                    <a:prstGeom prst="rect">
                      <a:avLst/>
                    </a:prstGeom>
                  </pic:spPr>
                </pic:pic>
              </a:graphicData>
            </a:graphic>
          </wp:inline>
        </w:drawing>
      </w:r>
    </w:p>
    <w:p w14:paraId="6DB018FF" w14:textId="77777777" w:rsidR="009662D8" w:rsidRDefault="009662D8" w:rsidP="009662D8">
      <w:pPr>
        <w:spacing w:line="480" w:lineRule="auto"/>
        <w:rPr>
          <w:rFonts w:ascii="Times New Roman" w:hAnsi="Times New Roman"/>
          <w:sz w:val="20"/>
          <w:szCs w:val="20"/>
        </w:rPr>
      </w:pPr>
      <w:r>
        <w:rPr>
          <w:rFonts w:ascii="Times New Roman" w:hAnsi="Times New Roman"/>
          <w:sz w:val="20"/>
          <w:szCs w:val="20"/>
        </w:rPr>
        <w:t xml:space="preserve">Fig. S3.  Population estimates and projections (all ages and 0−17-year-olds) derived from the system dynamics model and from the National Population and Housing Census (CNPV; available at: </w:t>
      </w:r>
      <w:r w:rsidRPr="008E7A2F">
        <w:rPr>
          <w:rFonts w:ascii="Times New Roman" w:hAnsi="Times New Roman"/>
          <w:sz w:val="20"/>
          <w:szCs w:val="20"/>
        </w:rPr>
        <w:t>https://www.dane.gov.co/</w:t>
      </w:r>
      <w:r>
        <w:rPr>
          <w:rFonts w:ascii="Times New Roman" w:hAnsi="Times New Roman"/>
          <w:sz w:val="20"/>
          <w:szCs w:val="20"/>
        </w:rPr>
        <w:t>).</w:t>
      </w:r>
    </w:p>
    <w:p w14:paraId="25A9399D" w14:textId="77777777" w:rsidR="009662D8" w:rsidRDefault="009662D8" w:rsidP="00FE09B6">
      <w:pPr>
        <w:spacing w:line="480" w:lineRule="auto"/>
        <w:rPr>
          <w:rFonts w:ascii="Times New Roman" w:hAnsi="Times New Roman"/>
          <w:sz w:val="20"/>
          <w:szCs w:val="20"/>
        </w:rPr>
      </w:pPr>
    </w:p>
    <w:p w14:paraId="763A4D3D" w14:textId="3C366B36" w:rsidR="00371053" w:rsidRPr="00AE249F" w:rsidRDefault="00145A72" w:rsidP="00371053">
      <w:pPr>
        <w:spacing w:line="480" w:lineRule="auto"/>
        <w:rPr>
          <w:rFonts w:ascii="Times New Roman" w:hAnsi="Times New Roman"/>
          <w:i/>
          <w:iCs/>
          <w:sz w:val="20"/>
          <w:szCs w:val="20"/>
        </w:rPr>
      </w:pPr>
      <w:r>
        <w:rPr>
          <w:rFonts w:ascii="Times New Roman" w:hAnsi="Times New Roman"/>
          <w:i/>
          <w:iCs/>
          <w:sz w:val="20"/>
          <w:szCs w:val="20"/>
        </w:rPr>
        <w:t>1.</w:t>
      </w:r>
      <w:r w:rsidR="00371053" w:rsidRPr="00AE249F">
        <w:rPr>
          <w:rFonts w:ascii="Times New Roman" w:hAnsi="Times New Roman"/>
          <w:i/>
          <w:iCs/>
          <w:sz w:val="20"/>
          <w:szCs w:val="20"/>
        </w:rPr>
        <w:t>3.  Mental health problems sector</w:t>
      </w:r>
    </w:p>
    <w:p w14:paraId="7A59EEC4" w14:textId="77777777" w:rsidR="00DE78E0" w:rsidRDefault="00ED1C8E" w:rsidP="00ED1C8E">
      <w:pPr>
        <w:spacing w:line="480" w:lineRule="auto"/>
        <w:rPr>
          <w:rFonts w:ascii="Times New Roman" w:hAnsi="Times New Roman"/>
          <w:sz w:val="20"/>
          <w:szCs w:val="20"/>
        </w:rPr>
      </w:pPr>
      <w:r>
        <w:rPr>
          <w:rFonts w:ascii="Times New Roman" w:hAnsi="Times New Roman"/>
          <w:sz w:val="20"/>
          <w:szCs w:val="20"/>
        </w:rPr>
        <w:t xml:space="preserve">Numbers of people </w:t>
      </w:r>
      <w:r w:rsidR="00C85B22">
        <w:rPr>
          <w:rFonts w:ascii="Times New Roman" w:hAnsi="Times New Roman"/>
          <w:sz w:val="20"/>
          <w:szCs w:val="20"/>
        </w:rPr>
        <w:t xml:space="preserve">aged 7−11 years, 12−17 years, and 18 years </w:t>
      </w:r>
      <w:r w:rsidR="00CF7156">
        <w:rPr>
          <w:rFonts w:ascii="Times New Roman" w:hAnsi="Times New Roman"/>
          <w:sz w:val="20"/>
          <w:szCs w:val="20"/>
        </w:rPr>
        <w:t xml:space="preserve">and above reporting </w:t>
      </w:r>
      <w:r w:rsidR="00C85B22">
        <w:rPr>
          <w:rFonts w:ascii="Times New Roman" w:hAnsi="Times New Roman"/>
          <w:sz w:val="20"/>
          <w:szCs w:val="20"/>
        </w:rPr>
        <w:t>significant</w:t>
      </w:r>
      <w:r w:rsidR="00CF7156">
        <w:rPr>
          <w:rFonts w:ascii="Times New Roman" w:hAnsi="Times New Roman"/>
          <w:sz w:val="20"/>
          <w:szCs w:val="20"/>
        </w:rPr>
        <w:t>, current</w:t>
      </w:r>
      <w:r w:rsidR="00C85B22">
        <w:rPr>
          <w:rFonts w:ascii="Times New Roman" w:hAnsi="Times New Roman"/>
          <w:sz w:val="20"/>
          <w:szCs w:val="20"/>
        </w:rPr>
        <w:t xml:space="preserve"> mental health problems (8 or more symptoms on the Self Reporting Questionnaire</w:t>
      </w:r>
      <w:r w:rsidR="00CF7156">
        <w:rPr>
          <w:rFonts w:ascii="Times New Roman" w:hAnsi="Times New Roman"/>
          <w:sz w:val="20"/>
          <w:szCs w:val="20"/>
        </w:rPr>
        <w:t xml:space="preserve"> </w:t>
      </w:r>
      <w:r w:rsidR="00D32489">
        <w:rPr>
          <w:rFonts w:ascii="Times New Roman" w:hAnsi="Times New Roman"/>
          <w:sz w:val="20"/>
          <w:szCs w:val="20"/>
        </w:rPr>
        <w:t xml:space="preserve">or, for 7−11-year-olds, </w:t>
      </w:r>
      <w:r w:rsidR="00C85B22">
        <w:rPr>
          <w:rFonts w:ascii="Times New Roman" w:hAnsi="Times New Roman"/>
          <w:sz w:val="20"/>
          <w:szCs w:val="20"/>
        </w:rPr>
        <w:t>2 or more symptoms on the Reporting Questionnaire for Children</w:t>
      </w:r>
      <w:r w:rsidR="00BE174F">
        <w:rPr>
          <w:rFonts w:ascii="Times New Roman" w:hAnsi="Times New Roman"/>
          <w:sz w:val="20"/>
          <w:szCs w:val="20"/>
        </w:rPr>
        <w:t>;</w:t>
      </w:r>
      <w:r w:rsidR="00D32489">
        <w:rPr>
          <w:rFonts w:ascii="Times New Roman" w:hAnsi="Times New Roman"/>
          <w:sz w:val="20"/>
          <w:szCs w:val="20"/>
        </w:rPr>
        <w:t xml:space="preserve"> </w:t>
      </w:r>
      <w:r w:rsidR="00CF7156">
        <w:rPr>
          <w:rFonts w:ascii="Times New Roman" w:hAnsi="Times New Roman"/>
          <w:sz w:val="20"/>
          <w:szCs w:val="20"/>
        </w:rPr>
        <w:t xml:space="preserve">see </w:t>
      </w:r>
      <w:r w:rsidR="00BE174F" w:rsidRPr="00BE174F">
        <w:rPr>
          <w:rFonts w:ascii="Times New Roman" w:hAnsi="Times New Roman"/>
          <w:sz w:val="20"/>
          <w:szCs w:val="20"/>
        </w:rPr>
        <w:t>Ministerio de Salud y Protección Social</w:t>
      </w:r>
      <w:r w:rsidR="00BE174F">
        <w:rPr>
          <w:rFonts w:ascii="Times New Roman" w:hAnsi="Times New Roman"/>
          <w:sz w:val="20"/>
          <w:szCs w:val="20"/>
        </w:rPr>
        <w:t>, 2015</w:t>
      </w:r>
      <w:r w:rsidR="00C85B22">
        <w:rPr>
          <w:rFonts w:ascii="Times New Roman" w:hAnsi="Times New Roman"/>
          <w:sz w:val="20"/>
          <w:szCs w:val="20"/>
        </w:rPr>
        <w:t xml:space="preserve">) </w:t>
      </w:r>
      <w:r w:rsidR="00D32489">
        <w:rPr>
          <w:rFonts w:ascii="Times New Roman" w:hAnsi="Times New Roman"/>
          <w:sz w:val="20"/>
          <w:szCs w:val="20"/>
        </w:rPr>
        <w:t>are modelled as stocks with inflows corresponding to the incidence of mental health problems and outflows corresponding to recovery (</w:t>
      </w:r>
      <w:r w:rsidR="008B4020">
        <w:rPr>
          <w:rFonts w:ascii="Times New Roman" w:hAnsi="Times New Roman"/>
          <w:sz w:val="20"/>
          <w:szCs w:val="20"/>
        </w:rPr>
        <w:t xml:space="preserve">see </w:t>
      </w:r>
      <w:r w:rsidR="00D32489">
        <w:rPr>
          <w:rFonts w:ascii="Times New Roman" w:hAnsi="Times New Roman"/>
          <w:sz w:val="20"/>
          <w:szCs w:val="20"/>
        </w:rPr>
        <w:t>Fig. S4).</w:t>
      </w:r>
      <w:r w:rsidR="009205B3">
        <w:rPr>
          <w:rFonts w:ascii="Times New Roman" w:hAnsi="Times New Roman"/>
          <w:sz w:val="20"/>
          <w:szCs w:val="20"/>
        </w:rPr>
        <w:t xml:space="preserve">  The incidence of mental health problems </w:t>
      </w:r>
      <w:r w:rsidR="00800A5E">
        <w:rPr>
          <w:rFonts w:ascii="Times New Roman" w:hAnsi="Times New Roman"/>
          <w:sz w:val="20"/>
          <w:szCs w:val="20"/>
        </w:rPr>
        <w:t xml:space="preserve">for each age group </w:t>
      </w:r>
      <w:r w:rsidR="009205B3">
        <w:rPr>
          <w:rFonts w:ascii="Times New Roman" w:hAnsi="Times New Roman"/>
          <w:sz w:val="20"/>
          <w:szCs w:val="20"/>
        </w:rPr>
        <w:t xml:space="preserve">is equal to </w:t>
      </w:r>
      <m:oMath>
        <m:r>
          <w:rPr>
            <w:rFonts w:ascii="Cambria Math" w:hAnsi="Cambria Math"/>
            <w:sz w:val="20"/>
            <w:szCs w:val="20"/>
          </w:rPr>
          <m:t>hsL</m:t>
        </m:r>
      </m:oMath>
      <w:r w:rsidR="009205B3">
        <w:rPr>
          <w:rFonts w:ascii="Times New Roman" w:hAnsi="Times New Roman"/>
          <w:sz w:val="20"/>
          <w:szCs w:val="20"/>
        </w:rPr>
        <w:t xml:space="preserve">, where </w:t>
      </w:r>
      <m:oMath>
        <m:r>
          <w:rPr>
            <w:rFonts w:ascii="Cambria Math" w:hAnsi="Cambria Math"/>
            <w:sz w:val="20"/>
            <w:szCs w:val="20"/>
          </w:rPr>
          <m:t>s</m:t>
        </m:r>
      </m:oMath>
      <w:r w:rsidR="009205B3">
        <w:rPr>
          <w:rFonts w:ascii="Times New Roman" w:hAnsi="Times New Roman"/>
          <w:sz w:val="20"/>
          <w:szCs w:val="20"/>
        </w:rPr>
        <w:t xml:space="preserve"> is the reference (or base) per capita </w:t>
      </w:r>
      <w:r w:rsidR="00145A72">
        <w:rPr>
          <w:rFonts w:ascii="Times New Roman" w:hAnsi="Times New Roman"/>
          <w:sz w:val="20"/>
          <w:szCs w:val="20"/>
        </w:rPr>
        <w:t>incidence of</w:t>
      </w:r>
      <w:r w:rsidR="009205B3">
        <w:rPr>
          <w:rFonts w:ascii="Times New Roman" w:hAnsi="Times New Roman"/>
          <w:sz w:val="20"/>
          <w:szCs w:val="20"/>
        </w:rPr>
        <w:t xml:space="preserve"> mental health problem</w:t>
      </w:r>
      <w:r w:rsidR="00145A72">
        <w:rPr>
          <w:rFonts w:ascii="Times New Roman" w:hAnsi="Times New Roman"/>
          <w:sz w:val="20"/>
          <w:szCs w:val="20"/>
        </w:rPr>
        <w:t>s</w:t>
      </w:r>
      <w:r w:rsidR="009205B3">
        <w:rPr>
          <w:rFonts w:ascii="Times New Roman" w:hAnsi="Times New Roman"/>
          <w:sz w:val="20"/>
          <w:szCs w:val="20"/>
        </w:rPr>
        <w:t xml:space="preserve"> per year (assumed to increase linearly over time, consistent with increasing</w:t>
      </w:r>
      <w:r w:rsidR="008B4020">
        <w:rPr>
          <w:rFonts w:ascii="Times New Roman" w:hAnsi="Times New Roman"/>
          <w:sz w:val="20"/>
          <w:szCs w:val="20"/>
        </w:rPr>
        <w:t xml:space="preserve"> suicide attempt rates</w:t>
      </w:r>
      <w:r w:rsidR="00145A72">
        <w:rPr>
          <w:rFonts w:ascii="Times New Roman" w:hAnsi="Times New Roman"/>
          <w:sz w:val="20"/>
          <w:szCs w:val="20"/>
        </w:rPr>
        <w:t>; see section 1.11</w:t>
      </w:r>
      <w:r w:rsidR="009205B3">
        <w:rPr>
          <w:rFonts w:ascii="Times New Roman" w:hAnsi="Times New Roman"/>
          <w:sz w:val="20"/>
          <w:szCs w:val="20"/>
        </w:rPr>
        <w:t xml:space="preserve">), </w:t>
      </w:r>
      <m:oMath>
        <m:r>
          <w:rPr>
            <w:rFonts w:ascii="Cambria Math" w:hAnsi="Cambria Math"/>
            <w:sz w:val="20"/>
            <w:szCs w:val="20"/>
          </w:rPr>
          <m:t>h</m:t>
        </m:r>
      </m:oMath>
      <w:r w:rsidR="009205B3">
        <w:rPr>
          <w:rFonts w:ascii="Times New Roman" w:hAnsi="Times New Roman"/>
          <w:sz w:val="20"/>
          <w:szCs w:val="20"/>
        </w:rPr>
        <w:t xml:space="preserve"> is the product of the effects of developmental vulnerabilit</w:t>
      </w:r>
      <w:r w:rsidR="008B4020">
        <w:rPr>
          <w:rFonts w:ascii="Times New Roman" w:hAnsi="Times New Roman"/>
          <w:sz w:val="20"/>
          <w:szCs w:val="20"/>
        </w:rPr>
        <w:t xml:space="preserve">y </w:t>
      </w:r>
      <w:r w:rsidR="009205B3">
        <w:rPr>
          <w:rFonts w:ascii="Times New Roman" w:hAnsi="Times New Roman"/>
          <w:sz w:val="20"/>
          <w:szCs w:val="20"/>
        </w:rPr>
        <w:t>(Green et al., 2019), unemployment and</w:t>
      </w:r>
      <w:r w:rsidR="008B4020">
        <w:rPr>
          <w:rFonts w:ascii="Times New Roman" w:hAnsi="Times New Roman"/>
          <w:sz w:val="20"/>
          <w:szCs w:val="20"/>
        </w:rPr>
        <w:t xml:space="preserve"> </w:t>
      </w:r>
      <w:r w:rsidR="009205B3">
        <w:rPr>
          <w:rFonts w:ascii="Times New Roman" w:hAnsi="Times New Roman"/>
          <w:sz w:val="20"/>
          <w:szCs w:val="20"/>
        </w:rPr>
        <w:t>poverty</w:t>
      </w:r>
      <w:r w:rsidR="00B75BA0">
        <w:rPr>
          <w:rFonts w:ascii="Times New Roman" w:hAnsi="Times New Roman"/>
          <w:sz w:val="20"/>
          <w:szCs w:val="20"/>
        </w:rPr>
        <w:t xml:space="preserve"> (</w:t>
      </w:r>
      <w:r w:rsidR="007159F6">
        <w:rPr>
          <w:rFonts w:ascii="Times New Roman" w:hAnsi="Times New Roman"/>
          <w:sz w:val="20"/>
          <w:szCs w:val="20"/>
        </w:rPr>
        <w:t>Weich and Lewis, 1998</w:t>
      </w:r>
      <w:r w:rsidR="00B75BA0">
        <w:rPr>
          <w:rFonts w:ascii="Times New Roman" w:hAnsi="Times New Roman"/>
          <w:sz w:val="20"/>
          <w:szCs w:val="20"/>
        </w:rPr>
        <w:t>)</w:t>
      </w:r>
      <w:r w:rsidR="009205B3">
        <w:rPr>
          <w:rFonts w:ascii="Times New Roman" w:hAnsi="Times New Roman"/>
          <w:sz w:val="20"/>
          <w:szCs w:val="20"/>
        </w:rPr>
        <w:t>, substance use problems</w:t>
      </w:r>
      <w:r w:rsidR="00257852">
        <w:rPr>
          <w:rFonts w:ascii="Times New Roman" w:hAnsi="Times New Roman"/>
          <w:sz w:val="20"/>
          <w:szCs w:val="20"/>
        </w:rPr>
        <w:t xml:space="preserve"> (</w:t>
      </w:r>
      <w:r w:rsidR="00CC7B6D">
        <w:rPr>
          <w:rFonts w:ascii="Times New Roman" w:hAnsi="Times New Roman"/>
          <w:sz w:val="20"/>
          <w:szCs w:val="20"/>
        </w:rPr>
        <w:t>Marmorstein et al., 2010</w:t>
      </w:r>
      <w:r w:rsidR="00257852">
        <w:rPr>
          <w:rFonts w:ascii="Times New Roman" w:hAnsi="Times New Roman"/>
          <w:sz w:val="20"/>
          <w:szCs w:val="20"/>
        </w:rPr>
        <w:t>)</w:t>
      </w:r>
      <w:r w:rsidR="009205B3">
        <w:rPr>
          <w:rFonts w:ascii="Times New Roman" w:hAnsi="Times New Roman"/>
          <w:sz w:val="20"/>
          <w:szCs w:val="20"/>
        </w:rPr>
        <w:t>, exposure to family violence and violent crime</w:t>
      </w:r>
      <w:r w:rsidR="00B75BA0">
        <w:rPr>
          <w:rFonts w:ascii="Times New Roman" w:hAnsi="Times New Roman"/>
          <w:sz w:val="20"/>
          <w:szCs w:val="20"/>
        </w:rPr>
        <w:t xml:space="preserve"> (</w:t>
      </w:r>
      <w:r w:rsidR="00B401B6">
        <w:rPr>
          <w:rFonts w:ascii="Times New Roman" w:hAnsi="Times New Roman"/>
          <w:sz w:val="20"/>
          <w:szCs w:val="20"/>
        </w:rPr>
        <w:t xml:space="preserve">Ouellet-Morin et al., 2015; </w:t>
      </w:r>
      <w:r w:rsidR="00B75BA0" w:rsidRPr="00257852">
        <w:rPr>
          <w:rFonts w:ascii="Times New Roman" w:hAnsi="Times New Roman"/>
          <w:sz w:val="20"/>
          <w:szCs w:val="20"/>
        </w:rPr>
        <w:t>Benjet et al., 2019</w:t>
      </w:r>
      <w:r w:rsidR="00B75BA0">
        <w:rPr>
          <w:rFonts w:ascii="Times New Roman" w:hAnsi="Times New Roman"/>
          <w:sz w:val="20"/>
          <w:szCs w:val="20"/>
        </w:rPr>
        <w:t>)</w:t>
      </w:r>
      <w:r w:rsidR="00257852">
        <w:rPr>
          <w:rFonts w:ascii="Times New Roman" w:hAnsi="Times New Roman"/>
          <w:sz w:val="20"/>
          <w:szCs w:val="20"/>
        </w:rPr>
        <w:t>, and</w:t>
      </w:r>
      <w:r w:rsidR="000222E9">
        <w:rPr>
          <w:rFonts w:ascii="Times New Roman" w:hAnsi="Times New Roman"/>
          <w:sz w:val="20"/>
          <w:szCs w:val="20"/>
        </w:rPr>
        <w:t xml:space="preserve"> conflict-related</w:t>
      </w:r>
      <w:r w:rsidR="008B4020">
        <w:rPr>
          <w:rFonts w:ascii="Times New Roman" w:hAnsi="Times New Roman"/>
          <w:sz w:val="20"/>
          <w:szCs w:val="20"/>
        </w:rPr>
        <w:t xml:space="preserve"> </w:t>
      </w:r>
      <w:r w:rsidR="00257852">
        <w:rPr>
          <w:rFonts w:ascii="Times New Roman" w:hAnsi="Times New Roman"/>
          <w:sz w:val="20"/>
          <w:szCs w:val="20"/>
        </w:rPr>
        <w:t>internal displacement (</w:t>
      </w:r>
      <w:r w:rsidR="008530FA" w:rsidRPr="008530FA">
        <w:rPr>
          <w:rFonts w:ascii="Times New Roman" w:hAnsi="Times New Roman"/>
          <w:sz w:val="20"/>
          <w:szCs w:val="20"/>
        </w:rPr>
        <w:t>Marroqu</w:t>
      </w:r>
      <w:r w:rsidR="008530FA">
        <w:rPr>
          <w:rFonts w:ascii="Times New Roman" w:hAnsi="Times New Roman"/>
          <w:sz w:val="20"/>
          <w:szCs w:val="20"/>
        </w:rPr>
        <w:t>í</w:t>
      </w:r>
      <w:r w:rsidR="008530FA" w:rsidRPr="008530FA">
        <w:rPr>
          <w:rFonts w:ascii="Times New Roman" w:hAnsi="Times New Roman"/>
          <w:sz w:val="20"/>
          <w:szCs w:val="20"/>
        </w:rPr>
        <w:t>n Rivera et al., 2020</w:t>
      </w:r>
      <w:r w:rsidR="00257852">
        <w:rPr>
          <w:rFonts w:ascii="Times New Roman" w:hAnsi="Times New Roman"/>
          <w:sz w:val="20"/>
          <w:szCs w:val="20"/>
        </w:rPr>
        <w:t>)</w:t>
      </w:r>
      <w:r w:rsidR="009205B3">
        <w:rPr>
          <w:rFonts w:ascii="Times New Roman" w:hAnsi="Times New Roman"/>
          <w:sz w:val="20"/>
          <w:szCs w:val="20"/>
        </w:rPr>
        <w:t xml:space="preserve"> on mental health, and </w:t>
      </w:r>
      <m:oMath>
        <m:r>
          <w:rPr>
            <w:rFonts w:ascii="Cambria Math" w:hAnsi="Cambria Math"/>
            <w:sz w:val="20"/>
            <w:szCs w:val="20"/>
          </w:rPr>
          <m:t>L</m:t>
        </m:r>
      </m:oMath>
      <w:r w:rsidR="009205B3">
        <w:rPr>
          <w:rFonts w:ascii="Times New Roman" w:hAnsi="Times New Roman"/>
          <w:sz w:val="20"/>
          <w:szCs w:val="20"/>
        </w:rPr>
        <w:t xml:space="preserve"> is the number of people not experiencin</w:t>
      </w:r>
      <w:r w:rsidR="00386E73">
        <w:rPr>
          <w:rFonts w:ascii="Times New Roman" w:hAnsi="Times New Roman"/>
          <w:sz w:val="20"/>
          <w:szCs w:val="20"/>
        </w:rPr>
        <w:t>g</w:t>
      </w:r>
      <w:r w:rsidR="006E63A4">
        <w:rPr>
          <w:rFonts w:ascii="Times New Roman" w:hAnsi="Times New Roman"/>
          <w:sz w:val="20"/>
          <w:szCs w:val="20"/>
        </w:rPr>
        <w:t xml:space="preserve"> </w:t>
      </w:r>
      <w:r w:rsidR="000222E9">
        <w:rPr>
          <w:rFonts w:ascii="Times New Roman" w:hAnsi="Times New Roman"/>
          <w:sz w:val="20"/>
          <w:szCs w:val="20"/>
        </w:rPr>
        <w:t xml:space="preserve">significant </w:t>
      </w:r>
      <w:r w:rsidR="009205B3">
        <w:rPr>
          <w:rFonts w:ascii="Times New Roman" w:hAnsi="Times New Roman"/>
          <w:sz w:val="20"/>
          <w:szCs w:val="20"/>
        </w:rPr>
        <w:t>mental health problems</w:t>
      </w:r>
      <w:r w:rsidR="00490ADA">
        <w:rPr>
          <w:rFonts w:ascii="Times New Roman" w:hAnsi="Times New Roman"/>
          <w:sz w:val="20"/>
          <w:szCs w:val="20"/>
        </w:rPr>
        <w:t>.</w:t>
      </w:r>
      <w:r w:rsidR="00FD3444">
        <w:rPr>
          <w:rFonts w:ascii="Times New Roman" w:hAnsi="Times New Roman"/>
          <w:sz w:val="20"/>
          <w:szCs w:val="20"/>
        </w:rPr>
        <w:t xml:space="preserve">  </w:t>
      </w:r>
      <w:r w:rsidR="00490ADA">
        <w:rPr>
          <w:rFonts w:ascii="Times New Roman" w:hAnsi="Times New Roman"/>
          <w:sz w:val="20"/>
          <w:szCs w:val="20"/>
        </w:rPr>
        <w:t xml:space="preserve">Age-specific recovery </w:t>
      </w:r>
      <w:r w:rsidR="00386E73">
        <w:rPr>
          <w:rFonts w:ascii="Times New Roman" w:hAnsi="Times New Roman"/>
          <w:sz w:val="20"/>
          <w:szCs w:val="20"/>
        </w:rPr>
        <w:t>rates are</w:t>
      </w:r>
      <w:r w:rsidR="00490ADA">
        <w:rPr>
          <w:rFonts w:ascii="Times New Roman" w:hAnsi="Times New Roman"/>
          <w:sz w:val="20"/>
          <w:szCs w:val="20"/>
        </w:rPr>
        <w:t xml:space="preserve"> </w:t>
      </w:r>
      <w:r w:rsidR="000222E9">
        <w:rPr>
          <w:rFonts w:ascii="Times New Roman" w:hAnsi="Times New Roman"/>
          <w:sz w:val="20"/>
          <w:szCs w:val="20"/>
        </w:rPr>
        <w:t>equal to</w:t>
      </w:r>
      <w:r w:rsidR="00490ADA">
        <w:rPr>
          <w:rFonts w:ascii="Times New Roman" w:hAnsi="Times New Roman"/>
          <w:sz w:val="20"/>
          <w:szCs w:val="20"/>
        </w:rPr>
        <w:t xml:space="preserve"> </w:t>
      </w:r>
      <m:oMath>
        <m:r>
          <w:rPr>
            <w:rFonts w:ascii="Cambria Math" w:hAnsi="Cambria Math"/>
            <w:sz w:val="20"/>
            <w:szCs w:val="20"/>
          </w:rPr>
          <m:t>rH+T</m:t>
        </m:r>
      </m:oMath>
      <w:r w:rsidR="00490ADA">
        <w:rPr>
          <w:rFonts w:ascii="Times New Roman" w:hAnsi="Times New Roman"/>
          <w:sz w:val="20"/>
          <w:szCs w:val="20"/>
        </w:rPr>
        <w:t xml:space="preserve">, where </w:t>
      </w:r>
      <m:oMath>
        <m:r>
          <w:rPr>
            <w:rFonts w:ascii="Cambria Math" w:hAnsi="Cambria Math"/>
            <w:sz w:val="20"/>
            <w:szCs w:val="20"/>
          </w:rPr>
          <m:t>r</m:t>
        </m:r>
      </m:oMath>
      <w:r w:rsidR="00490ADA">
        <w:rPr>
          <w:rFonts w:ascii="Times New Roman" w:hAnsi="Times New Roman"/>
          <w:sz w:val="20"/>
          <w:szCs w:val="20"/>
        </w:rPr>
        <w:t xml:space="preserve"> is the per capita spontaneous recovery rate per year, </w:t>
      </w:r>
      <m:oMath>
        <m:r>
          <w:rPr>
            <w:rFonts w:ascii="Cambria Math" w:hAnsi="Cambria Math"/>
            <w:sz w:val="20"/>
            <w:szCs w:val="20"/>
          </w:rPr>
          <m:t>H</m:t>
        </m:r>
      </m:oMath>
      <w:r w:rsidR="00490ADA">
        <w:rPr>
          <w:rFonts w:ascii="Times New Roman" w:hAnsi="Times New Roman"/>
          <w:sz w:val="20"/>
          <w:szCs w:val="20"/>
        </w:rPr>
        <w:t xml:space="preserve"> is the number of people</w:t>
      </w:r>
      <w:r w:rsidR="00386E73">
        <w:rPr>
          <w:rFonts w:ascii="Times New Roman" w:hAnsi="Times New Roman"/>
          <w:sz w:val="20"/>
          <w:szCs w:val="20"/>
        </w:rPr>
        <w:t xml:space="preserve"> </w:t>
      </w:r>
      <w:r w:rsidR="000222E9">
        <w:rPr>
          <w:rFonts w:ascii="Times New Roman" w:hAnsi="Times New Roman"/>
          <w:sz w:val="20"/>
          <w:szCs w:val="20"/>
        </w:rPr>
        <w:t xml:space="preserve">experiencing significant </w:t>
      </w:r>
      <w:r w:rsidR="00490ADA">
        <w:rPr>
          <w:rFonts w:ascii="Times New Roman" w:hAnsi="Times New Roman"/>
          <w:sz w:val="20"/>
          <w:szCs w:val="20"/>
        </w:rPr>
        <w:t xml:space="preserve">mental health problems, and </w:t>
      </w:r>
      <m:oMath>
        <m:r>
          <w:rPr>
            <w:rFonts w:ascii="Cambria Math" w:hAnsi="Cambria Math"/>
            <w:sz w:val="20"/>
            <w:szCs w:val="20"/>
          </w:rPr>
          <m:t>T</m:t>
        </m:r>
      </m:oMath>
      <w:r w:rsidR="00490ADA">
        <w:rPr>
          <w:rFonts w:ascii="Times New Roman" w:hAnsi="Times New Roman"/>
          <w:sz w:val="20"/>
          <w:szCs w:val="20"/>
        </w:rPr>
        <w:t xml:space="preserve"> is the number of people recovering per year due to</w:t>
      </w:r>
      <w:r w:rsidR="00386E73">
        <w:rPr>
          <w:rFonts w:ascii="Times New Roman" w:hAnsi="Times New Roman"/>
          <w:sz w:val="20"/>
          <w:szCs w:val="20"/>
        </w:rPr>
        <w:t xml:space="preserve"> </w:t>
      </w:r>
      <w:r w:rsidR="000222E9">
        <w:rPr>
          <w:rFonts w:ascii="Times New Roman" w:hAnsi="Times New Roman"/>
          <w:sz w:val="20"/>
          <w:szCs w:val="20"/>
        </w:rPr>
        <w:t xml:space="preserve">effective </w:t>
      </w:r>
      <w:r w:rsidR="00490ADA">
        <w:rPr>
          <w:rFonts w:ascii="Times New Roman" w:hAnsi="Times New Roman"/>
          <w:sz w:val="20"/>
          <w:szCs w:val="20"/>
        </w:rPr>
        <w:t>mental health treatment (see section 1.1</w:t>
      </w:r>
      <w:r w:rsidR="00386E73">
        <w:rPr>
          <w:rFonts w:ascii="Times New Roman" w:hAnsi="Times New Roman"/>
          <w:sz w:val="20"/>
          <w:szCs w:val="20"/>
        </w:rPr>
        <w:t>0</w:t>
      </w:r>
      <w:r w:rsidR="000222E9">
        <w:rPr>
          <w:rFonts w:ascii="Times New Roman" w:hAnsi="Times New Roman"/>
          <w:sz w:val="20"/>
          <w:szCs w:val="20"/>
        </w:rPr>
        <w:t xml:space="preserve"> below</w:t>
      </w:r>
      <w:r w:rsidR="00490ADA">
        <w:rPr>
          <w:rFonts w:ascii="Times New Roman" w:hAnsi="Times New Roman"/>
          <w:sz w:val="20"/>
          <w:szCs w:val="20"/>
        </w:rPr>
        <w:t xml:space="preserve">).  Aging of people </w:t>
      </w:r>
      <w:r w:rsidR="00386E73">
        <w:rPr>
          <w:rFonts w:ascii="Times New Roman" w:hAnsi="Times New Roman"/>
          <w:sz w:val="20"/>
          <w:szCs w:val="20"/>
        </w:rPr>
        <w:t xml:space="preserve">reporting </w:t>
      </w:r>
      <w:r w:rsidR="000222E9">
        <w:rPr>
          <w:rFonts w:ascii="Times New Roman" w:hAnsi="Times New Roman"/>
          <w:sz w:val="20"/>
          <w:szCs w:val="20"/>
        </w:rPr>
        <w:t xml:space="preserve">significant </w:t>
      </w:r>
      <w:r w:rsidR="00490ADA">
        <w:rPr>
          <w:rFonts w:ascii="Times New Roman" w:hAnsi="Times New Roman"/>
          <w:sz w:val="20"/>
          <w:szCs w:val="20"/>
        </w:rPr>
        <w:t>mental health problems is modelled using the same approach described for the population sector</w:t>
      </w:r>
      <w:r w:rsidR="000222E9">
        <w:rPr>
          <w:rFonts w:ascii="Times New Roman" w:hAnsi="Times New Roman"/>
          <w:sz w:val="20"/>
          <w:szCs w:val="20"/>
        </w:rPr>
        <w:t xml:space="preserve"> </w:t>
      </w:r>
      <w:r w:rsidR="00490ADA">
        <w:rPr>
          <w:rFonts w:ascii="Times New Roman" w:hAnsi="Times New Roman"/>
          <w:sz w:val="20"/>
          <w:szCs w:val="20"/>
        </w:rPr>
        <w:t>(i.e., as a first-order delay; see section 1.2).</w:t>
      </w:r>
    </w:p>
    <w:p w14:paraId="4A0C929D" w14:textId="77777777" w:rsidR="00DE78E0" w:rsidRDefault="00DE78E0" w:rsidP="00ED1C8E">
      <w:pPr>
        <w:spacing w:line="480" w:lineRule="auto"/>
        <w:rPr>
          <w:rFonts w:ascii="Times New Roman" w:hAnsi="Times New Roman"/>
          <w:sz w:val="20"/>
          <w:szCs w:val="20"/>
        </w:rPr>
      </w:pPr>
    </w:p>
    <w:p w14:paraId="3CC4A22C" w14:textId="77777777" w:rsidR="00DE78E0" w:rsidRDefault="00DE78E0" w:rsidP="00DE78E0">
      <w:pPr>
        <w:spacing w:line="480" w:lineRule="auto"/>
        <w:rPr>
          <w:rFonts w:ascii="Times New Roman" w:hAnsi="Times New Roman"/>
          <w:sz w:val="20"/>
          <w:szCs w:val="20"/>
        </w:rPr>
      </w:pPr>
      <w:r>
        <w:rPr>
          <w:rFonts w:ascii="Times New Roman" w:hAnsi="Times New Roman"/>
          <w:noProof/>
          <w:sz w:val="20"/>
          <w:szCs w:val="20"/>
        </w:rPr>
        <w:lastRenderedPageBreak/>
        <w:drawing>
          <wp:inline distT="0" distB="0" distL="0" distR="0" wp14:anchorId="13D77123" wp14:editId="4B1C1212">
            <wp:extent cx="5731510" cy="3193415"/>
            <wp:effectExtent l="0" t="0" r="2540" b="6985"/>
            <wp:docPr id="1" name="Picture 1" descr="A computer screen shot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omputer screen shot of a diagram&#10;&#10;Description automatically generated"/>
                    <pic:cNvPicPr/>
                  </pic:nvPicPr>
                  <pic:blipFill>
                    <a:blip r:embed="rId11"/>
                    <a:stretch>
                      <a:fillRect/>
                    </a:stretch>
                  </pic:blipFill>
                  <pic:spPr>
                    <a:xfrm>
                      <a:off x="0" y="0"/>
                      <a:ext cx="5731510" cy="3193415"/>
                    </a:xfrm>
                    <a:prstGeom prst="rect">
                      <a:avLst/>
                    </a:prstGeom>
                  </pic:spPr>
                </pic:pic>
              </a:graphicData>
            </a:graphic>
          </wp:inline>
        </w:drawing>
      </w:r>
    </w:p>
    <w:p w14:paraId="5E8E4AC6" w14:textId="77777777" w:rsidR="00DE78E0" w:rsidRDefault="00DE78E0" w:rsidP="00DE78E0">
      <w:pPr>
        <w:spacing w:line="480" w:lineRule="auto"/>
        <w:rPr>
          <w:rFonts w:ascii="Times New Roman" w:hAnsi="Times New Roman"/>
          <w:sz w:val="20"/>
          <w:szCs w:val="20"/>
        </w:rPr>
      </w:pPr>
      <w:r>
        <w:rPr>
          <w:rFonts w:ascii="Times New Roman" w:hAnsi="Times New Roman"/>
          <w:sz w:val="20"/>
          <w:szCs w:val="20"/>
        </w:rPr>
        <w:t>Fig. S4.  Structure of the mental health problems sector.  Modelled factors that affect the incidence of mental health problems and recovery are listed in the text boxes.</w:t>
      </w:r>
    </w:p>
    <w:p w14:paraId="3A75A0B5" w14:textId="77777777" w:rsidR="00DE78E0" w:rsidRDefault="00DE78E0" w:rsidP="00ED1C8E">
      <w:pPr>
        <w:spacing w:line="480" w:lineRule="auto"/>
        <w:rPr>
          <w:rFonts w:ascii="Times New Roman" w:hAnsi="Times New Roman"/>
          <w:sz w:val="20"/>
          <w:szCs w:val="20"/>
        </w:rPr>
      </w:pPr>
    </w:p>
    <w:p w14:paraId="711DE12C" w14:textId="20E1C9E4" w:rsidR="00DE78E0" w:rsidRDefault="0075552F" w:rsidP="00ED1C8E">
      <w:pPr>
        <w:spacing w:line="480" w:lineRule="auto"/>
        <w:rPr>
          <w:rFonts w:ascii="Times New Roman" w:hAnsi="Times New Roman"/>
          <w:sz w:val="20"/>
          <w:szCs w:val="20"/>
        </w:rPr>
      </w:pPr>
      <w:r>
        <w:rPr>
          <w:rFonts w:ascii="Times New Roman" w:hAnsi="Times New Roman"/>
          <w:sz w:val="20"/>
          <w:szCs w:val="20"/>
        </w:rPr>
        <w:t xml:space="preserve">Numbers of people with </w:t>
      </w:r>
      <w:r w:rsidR="004C638E">
        <w:rPr>
          <w:rFonts w:ascii="Times New Roman" w:hAnsi="Times New Roman"/>
          <w:sz w:val="20"/>
          <w:szCs w:val="20"/>
        </w:rPr>
        <w:t xml:space="preserve">current </w:t>
      </w:r>
      <w:r>
        <w:rPr>
          <w:rFonts w:ascii="Times New Roman" w:hAnsi="Times New Roman"/>
          <w:sz w:val="20"/>
          <w:szCs w:val="20"/>
        </w:rPr>
        <w:t xml:space="preserve">mental health problems increase (or decrease) via net migration at age-specific rates </w:t>
      </w:r>
      <m:oMath>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i</m:t>
            </m:r>
          </m:sub>
        </m:sSub>
        <m:sSub>
          <m:sSubPr>
            <m:ctrlPr>
              <w:rPr>
                <w:rFonts w:ascii="Cambria Math" w:hAnsi="Cambria Math"/>
                <w:i/>
                <w:sz w:val="20"/>
                <w:szCs w:val="20"/>
              </w:rPr>
            </m:ctrlPr>
          </m:sSubPr>
          <m:e>
            <m:r>
              <w:rPr>
                <w:rFonts w:ascii="Cambria Math" w:hAnsi="Cambria Math"/>
                <w:sz w:val="20"/>
                <w:szCs w:val="20"/>
              </w:rPr>
              <m:t>I</m:t>
            </m:r>
          </m:e>
          <m:sub>
            <m:r>
              <w:rPr>
                <w:rFonts w:ascii="Cambria Math" w:hAnsi="Cambria Math"/>
                <w:sz w:val="20"/>
                <w:szCs w:val="20"/>
              </w:rPr>
              <m:t>i</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q</m:t>
            </m:r>
          </m:e>
          <m:sub>
            <m:r>
              <w:rPr>
                <w:rFonts w:ascii="Cambria Math" w:hAnsi="Cambria Math"/>
                <w:sz w:val="20"/>
                <w:szCs w:val="20"/>
              </w:rPr>
              <m:t>i</m:t>
            </m:r>
          </m:sub>
        </m:sSub>
        <m:sSub>
          <m:sSubPr>
            <m:ctrlPr>
              <w:rPr>
                <w:rFonts w:ascii="Cambria Math" w:hAnsi="Cambria Math"/>
                <w:i/>
                <w:sz w:val="20"/>
                <w:szCs w:val="20"/>
              </w:rPr>
            </m:ctrlPr>
          </m:sSubPr>
          <m:e>
            <m:r>
              <w:rPr>
                <w:rFonts w:ascii="Cambria Math" w:hAnsi="Cambria Math"/>
                <w:sz w:val="20"/>
                <w:szCs w:val="20"/>
              </w:rPr>
              <m:t>e</m:t>
            </m:r>
          </m:e>
          <m:sub>
            <m:r>
              <w:rPr>
                <w:rFonts w:ascii="Cambria Math" w:hAnsi="Cambria Math"/>
                <w:sz w:val="20"/>
                <w:szCs w:val="20"/>
              </w:rPr>
              <m:t>i</m:t>
            </m:r>
          </m:sub>
        </m:sSub>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i</m:t>
            </m:r>
          </m:sub>
        </m:sSub>
      </m:oMath>
      <w:r>
        <w:rPr>
          <w:rFonts w:ascii="Times New Roman" w:hAnsi="Times New Roman"/>
          <w:sz w:val="20"/>
          <w:szCs w:val="20"/>
        </w:rPr>
        <w:t xml:space="preserve">, where </w:t>
      </w:r>
      <m:oMath>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i</m:t>
            </m:r>
          </m:sub>
        </m:sSub>
      </m:oMath>
      <w:r>
        <w:rPr>
          <w:rFonts w:ascii="Times New Roman" w:hAnsi="Times New Roman"/>
          <w:sz w:val="20"/>
          <w:szCs w:val="20"/>
        </w:rPr>
        <w:t xml:space="preserve"> and </w:t>
      </w:r>
      <m:oMath>
        <m:sSub>
          <m:sSubPr>
            <m:ctrlPr>
              <w:rPr>
                <w:rFonts w:ascii="Cambria Math" w:hAnsi="Cambria Math"/>
                <w:i/>
                <w:sz w:val="20"/>
                <w:szCs w:val="20"/>
              </w:rPr>
            </m:ctrlPr>
          </m:sSubPr>
          <m:e>
            <m:r>
              <w:rPr>
                <w:rFonts w:ascii="Cambria Math" w:hAnsi="Cambria Math"/>
                <w:sz w:val="20"/>
                <w:szCs w:val="20"/>
              </w:rPr>
              <m:t>q</m:t>
            </m:r>
          </m:e>
          <m:sub>
            <m:r>
              <w:rPr>
                <w:rFonts w:ascii="Cambria Math" w:hAnsi="Cambria Math"/>
                <w:sz w:val="20"/>
                <w:szCs w:val="20"/>
              </w:rPr>
              <m:t>i</m:t>
            </m:r>
          </m:sub>
        </m:sSub>
      </m:oMath>
      <w:r>
        <w:rPr>
          <w:rFonts w:ascii="Times New Roman" w:hAnsi="Times New Roman"/>
          <w:sz w:val="20"/>
          <w:szCs w:val="20"/>
        </w:rPr>
        <w:t xml:space="preserve"> are the age-specific proportions of people with </w:t>
      </w:r>
      <w:r w:rsidR="00210AA6">
        <w:rPr>
          <w:rFonts w:ascii="Times New Roman" w:hAnsi="Times New Roman"/>
          <w:sz w:val="20"/>
          <w:szCs w:val="20"/>
        </w:rPr>
        <w:t xml:space="preserve">mental health problems among </w:t>
      </w:r>
      <w:r w:rsidR="009041FE">
        <w:rPr>
          <w:rFonts w:ascii="Times New Roman" w:hAnsi="Times New Roman"/>
          <w:sz w:val="20"/>
          <w:szCs w:val="20"/>
        </w:rPr>
        <w:t>immigrants and</w:t>
      </w:r>
      <w:r w:rsidR="00EE6CEF">
        <w:rPr>
          <w:rFonts w:ascii="Times New Roman" w:hAnsi="Times New Roman"/>
          <w:sz w:val="20"/>
          <w:szCs w:val="20"/>
        </w:rPr>
        <w:t xml:space="preserve"> </w:t>
      </w:r>
      <w:r w:rsidR="00EC0632">
        <w:rPr>
          <w:rFonts w:ascii="Times New Roman" w:hAnsi="Times New Roman"/>
          <w:sz w:val="20"/>
          <w:szCs w:val="20"/>
        </w:rPr>
        <w:t>Bogotá residents, respectively</w:t>
      </w:r>
      <w:r w:rsidR="004C638E">
        <w:rPr>
          <w:rFonts w:ascii="Times New Roman" w:hAnsi="Times New Roman"/>
          <w:sz w:val="20"/>
          <w:szCs w:val="20"/>
        </w:rPr>
        <w:t xml:space="preserve">, </w:t>
      </w:r>
      <m:oMath>
        <m:sSub>
          <m:sSubPr>
            <m:ctrlPr>
              <w:rPr>
                <w:rFonts w:ascii="Cambria Math" w:hAnsi="Cambria Math"/>
                <w:i/>
                <w:sz w:val="20"/>
                <w:szCs w:val="20"/>
              </w:rPr>
            </m:ctrlPr>
          </m:sSubPr>
          <m:e>
            <m:r>
              <w:rPr>
                <w:rFonts w:ascii="Cambria Math" w:hAnsi="Cambria Math"/>
                <w:sz w:val="20"/>
                <w:szCs w:val="20"/>
              </w:rPr>
              <m:t>I</m:t>
            </m:r>
          </m:e>
          <m:sub>
            <m:r>
              <w:rPr>
                <w:rFonts w:ascii="Cambria Math" w:hAnsi="Cambria Math"/>
                <w:sz w:val="20"/>
                <w:szCs w:val="20"/>
              </w:rPr>
              <m:t>i</m:t>
            </m:r>
          </m:sub>
        </m:sSub>
      </m:oMath>
      <w:r w:rsidR="004C638E">
        <w:rPr>
          <w:rFonts w:ascii="Times New Roman" w:hAnsi="Times New Roman"/>
          <w:sz w:val="20"/>
          <w:szCs w:val="20"/>
        </w:rPr>
        <w:t xml:space="preserve"> is total age-specific immigration per year, </w:t>
      </w:r>
      <m:oMath>
        <m:sSub>
          <m:sSubPr>
            <m:ctrlPr>
              <w:rPr>
                <w:rFonts w:ascii="Cambria Math" w:hAnsi="Cambria Math"/>
                <w:i/>
                <w:sz w:val="20"/>
                <w:szCs w:val="20"/>
              </w:rPr>
            </m:ctrlPr>
          </m:sSubPr>
          <m:e>
            <m:r>
              <w:rPr>
                <w:rFonts w:ascii="Cambria Math" w:hAnsi="Cambria Math"/>
                <w:sz w:val="20"/>
                <w:szCs w:val="20"/>
              </w:rPr>
              <m:t>e</m:t>
            </m:r>
          </m:e>
          <m:sub>
            <m:r>
              <w:rPr>
                <w:rFonts w:ascii="Cambria Math" w:hAnsi="Cambria Math"/>
                <w:sz w:val="20"/>
                <w:szCs w:val="20"/>
              </w:rPr>
              <m:t>i</m:t>
            </m:r>
          </m:sub>
        </m:sSub>
      </m:oMath>
      <w:r w:rsidR="004C638E">
        <w:rPr>
          <w:rFonts w:ascii="Times New Roman" w:hAnsi="Times New Roman"/>
          <w:sz w:val="20"/>
          <w:szCs w:val="20"/>
        </w:rPr>
        <w:t xml:space="preserve"> is the age-specific per capita emigration rate per year, and </w:t>
      </w:r>
      <m:oMath>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i</m:t>
            </m:r>
          </m:sub>
        </m:sSub>
      </m:oMath>
      <w:r w:rsidR="004C638E">
        <w:rPr>
          <w:rFonts w:ascii="Times New Roman" w:hAnsi="Times New Roman"/>
          <w:sz w:val="20"/>
          <w:szCs w:val="20"/>
        </w:rPr>
        <w:t xml:space="preserve"> is the number of people in age group </w:t>
      </w:r>
      <m:oMath>
        <m:r>
          <w:rPr>
            <w:rFonts w:ascii="Cambria Math" w:hAnsi="Cambria Math"/>
            <w:sz w:val="20"/>
            <w:szCs w:val="20"/>
          </w:rPr>
          <m:t>i</m:t>
        </m:r>
      </m:oMath>
      <w:r w:rsidR="004C638E">
        <w:rPr>
          <w:rFonts w:ascii="Times New Roman" w:hAnsi="Times New Roman"/>
          <w:sz w:val="20"/>
          <w:szCs w:val="20"/>
        </w:rPr>
        <w:t xml:space="preserve"> residing in Bogotá.</w:t>
      </w:r>
      <w:r w:rsidR="00F5054A">
        <w:rPr>
          <w:rFonts w:ascii="Times New Roman" w:hAnsi="Times New Roman"/>
          <w:sz w:val="20"/>
          <w:szCs w:val="20"/>
        </w:rPr>
        <w:t xml:space="preserve">  </w:t>
      </w:r>
      <w:r w:rsidR="002377F6">
        <w:rPr>
          <w:rFonts w:ascii="Times New Roman" w:hAnsi="Times New Roman"/>
          <w:sz w:val="20"/>
          <w:szCs w:val="20"/>
        </w:rPr>
        <w:t>Age-specific per capita mortality among people</w:t>
      </w:r>
      <w:r w:rsidR="00E713B6">
        <w:rPr>
          <w:rFonts w:ascii="Times New Roman" w:hAnsi="Times New Roman"/>
          <w:sz w:val="20"/>
          <w:szCs w:val="20"/>
        </w:rPr>
        <w:t xml:space="preserve"> </w:t>
      </w:r>
      <w:r w:rsidR="00F5054A">
        <w:rPr>
          <w:rFonts w:ascii="Times New Roman" w:hAnsi="Times New Roman"/>
          <w:sz w:val="20"/>
          <w:szCs w:val="20"/>
        </w:rPr>
        <w:t>experiencing</w:t>
      </w:r>
      <w:r w:rsidR="002377F6">
        <w:rPr>
          <w:rFonts w:ascii="Times New Roman" w:hAnsi="Times New Roman"/>
          <w:sz w:val="20"/>
          <w:szCs w:val="20"/>
        </w:rPr>
        <w:t xml:space="preserve"> significant mental health problems is assumed to be 1.37 times that for people </w:t>
      </w:r>
      <w:r w:rsidR="00F5054A">
        <w:rPr>
          <w:rFonts w:ascii="Times New Roman" w:hAnsi="Times New Roman"/>
          <w:sz w:val="20"/>
          <w:szCs w:val="20"/>
        </w:rPr>
        <w:t>with no</w:t>
      </w:r>
      <w:r w:rsidR="002377F6">
        <w:rPr>
          <w:rFonts w:ascii="Times New Roman" w:hAnsi="Times New Roman"/>
          <w:sz w:val="20"/>
          <w:szCs w:val="20"/>
        </w:rPr>
        <w:t xml:space="preserve"> </w:t>
      </w:r>
      <w:r w:rsidR="00F5054A">
        <w:rPr>
          <w:rFonts w:ascii="Times New Roman" w:hAnsi="Times New Roman"/>
          <w:sz w:val="20"/>
          <w:szCs w:val="20"/>
        </w:rPr>
        <w:t xml:space="preserve">significant </w:t>
      </w:r>
      <w:r w:rsidR="002377F6">
        <w:rPr>
          <w:rFonts w:ascii="Times New Roman" w:hAnsi="Times New Roman"/>
          <w:sz w:val="20"/>
          <w:szCs w:val="20"/>
        </w:rPr>
        <w:t>mental health problems (Russ et al., 2012).</w:t>
      </w:r>
      <w:r w:rsidR="008B08D6">
        <w:rPr>
          <w:rFonts w:ascii="Times New Roman" w:hAnsi="Times New Roman"/>
          <w:sz w:val="20"/>
          <w:szCs w:val="20"/>
        </w:rPr>
        <w:t xml:space="preserve">  Fig. S5 shows</w:t>
      </w:r>
      <w:r w:rsidR="002377F6">
        <w:rPr>
          <w:rFonts w:ascii="Times New Roman" w:hAnsi="Times New Roman"/>
          <w:sz w:val="20"/>
          <w:szCs w:val="20"/>
        </w:rPr>
        <w:t xml:space="preserve"> </w:t>
      </w:r>
      <w:r w:rsidR="008B08D6">
        <w:rPr>
          <w:rFonts w:ascii="Times New Roman" w:hAnsi="Times New Roman"/>
          <w:sz w:val="20"/>
          <w:szCs w:val="20"/>
        </w:rPr>
        <w:t>e</w:t>
      </w:r>
      <w:r w:rsidR="00F5054A">
        <w:rPr>
          <w:rFonts w:ascii="Times New Roman" w:hAnsi="Times New Roman"/>
          <w:sz w:val="20"/>
          <w:szCs w:val="20"/>
        </w:rPr>
        <w:t xml:space="preserve">stimates of the prevalence of mental health problems derived from the </w:t>
      </w:r>
      <w:r w:rsidR="00F5054A">
        <w:rPr>
          <w:rFonts w:ascii="Times New Roman" w:hAnsi="Times New Roman"/>
          <w:noProof/>
          <w:sz w:val="20"/>
          <w:szCs w:val="20"/>
        </w:rPr>
        <w:t>model and the 2015 National Survey of Mental Health</w:t>
      </w:r>
      <w:r w:rsidR="00F5054A">
        <w:rPr>
          <w:rFonts w:ascii="Times New Roman" w:hAnsi="Times New Roman"/>
          <w:sz w:val="20"/>
          <w:szCs w:val="20"/>
        </w:rPr>
        <w:t>.</w:t>
      </w:r>
    </w:p>
    <w:p w14:paraId="502155E8" w14:textId="77777777" w:rsidR="00503261" w:rsidRDefault="00503261" w:rsidP="00ED1C8E">
      <w:pPr>
        <w:spacing w:line="480" w:lineRule="auto"/>
        <w:rPr>
          <w:rFonts w:ascii="Times New Roman" w:hAnsi="Times New Roman"/>
          <w:sz w:val="20"/>
          <w:szCs w:val="20"/>
        </w:rPr>
      </w:pPr>
    </w:p>
    <w:p w14:paraId="6BC467E0" w14:textId="42D492AD" w:rsidR="00DE78E0" w:rsidRPr="00B94D35" w:rsidRDefault="00B94D35" w:rsidP="00ED1C8E">
      <w:pPr>
        <w:spacing w:line="480" w:lineRule="auto"/>
        <w:rPr>
          <w:rFonts w:ascii="Times New Roman" w:hAnsi="Times New Roman"/>
          <w:i/>
          <w:iCs/>
          <w:sz w:val="20"/>
          <w:szCs w:val="20"/>
        </w:rPr>
      </w:pPr>
      <w:r w:rsidRPr="00B94D35">
        <w:rPr>
          <w:rFonts w:ascii="Times New Roman" w:hAnsi="Times New Roman"/>
          <w:i/>
          <w:iCs/>
          <w:sz w:val="20"/>
          <w:szCs w:val="20"/>
        </w:rPr>
        <w:t>1.4.  Developmental vulnerability sector</w:t>
      </w:r>
    </w:p>
    <w:p w14:paraId="7056D398" w14:textId="77777777" w:rsidR="002B065E" w:rsidRDefault="00503261" w:rsidP="00FE09B6">
      <w:pPr>
        <w:spacing w:line="480" w:lineRule="auto"/>
        <w:rPr>
          <w:rFonts w:ascii="Times New Roman" w:hAnsi="Times New Roman"/>
          <w:sz w:val="20"/>
          <w:szCs w:val="20"/>
        </w:rPr>
        <w:sectPr w:rsidR="002B065E" w:rsidSect="00E966E4">
          <w:pgSz w:w="11906" w:h="16838" w:code="9"/>
          <w:pgMar w:top="1440" w:right="1440" w:bottom="1440" w:left="1440" w:header="284" w:footer="680" w:gutter="0"/>
          <w:cols w:space="708"/>
          <w:docGrid w:linePitch="360"/>
        </w:sectPr>
      </w:pPr>
      <w:r>
        <w:rPr>
          <w:rFonts w:ascii="Times New Roman" w:hAnsi="Times New Roman"/>
          <w:sz w:val="20"/>
          <w:szCs w:val="20"/>
        </w:rPr>
        <w:t xml:space="preserve">The developmental vulnerability sector models exposure to adverse experiences </w:t>
      </w:r>
      <w:r w:rsidR="00A30E21">
        <w:rPr>
          <w:rFonts w:ascii="Times New Roman" w:hAnsi="Times New Roman"/>
          <w:sz w:val="20"/>
          <w:szCs w:val="20"/>
        </w:rPr>
        <w:t>during</w:t>
      </w:r>
      <w:r>
        <w:rPr>
          <w:rFonts w:ascii="Times New Roman" w:hAnsi="Times New Roman"/>
          <w:sz w:val="20"/>
          <w:szCs w:val="20"/>
        </w:rPr>
        <w:t xml:space="preserve"> childhood and its effect on the risk of developing</w:t>
      </w:r>
      <w:r w:rsidR="00A30E21">
        <w:rPr>
          <w:rFonts w:ascii="Times New Roman" w:hAnsi="Times New Roman"/>
          <w:sz w:val="20"/>
          <w:szCs w:val="20"/>
        </w:rPr>
        <w:t xml:space="preserve"> </w:t>
      </w:r>
      <w:r>
        <w:rPr>
          <w:rFonts w:ascii="Times New Roman" w:hAnsi="Times New Roman"/>
          <w:sz w:val="20"/>
          <w:szCs w:val="20"/>
        </w:rPr>
        <w:t>mental health problems in adolescence and adulthood</w:t>
      </w:r>
      <w:r w:rsidR="00A30E21">
        <w:rPr>
          <w:rFonts w:ascii="Times New Roman" w:hAnsi="Times New Roman"/>
          <w:sz w:val="20"/>
          <w:szCs w:val="20"/>
        </w:rPr>
        <w:t xml:space="preserve"> (Fig. S6)</w:t>
      </w:r>
      <w:r>
        <w:rPr>
          <w:rFonts w:ascii="Times New Roman" w:hAnsi="Times New Roman"/>
          <w:sz w:val="20"/>
          <w:szCs w:val="20"/>
        </w:rPr>
        <w:t>.  The number of developmentally vulnerable children aged 0−11 years is modelled as a stock that increases as children at low risk of</w:t>
      </w:r>
      <w:r w:rsidR="00A30E21">
        <w:rPr>
          <w:rFonts w:ascii="Times New Roman" w:hAnsi="Times New Roman"/>
          <w:sz w:val="20"/>
          <w:szCs w:val="20"/>
        </w:rPr>
        <w:t xml:space="preserve"> </w:t>
      </w:r>
      <w:r>
        <w:rPr>
          <w:rFonts w:ascii="Times New Roman" w:hAnsi="Times New Roman"/>
          <w:sz w:val="20"/>
          <w:szCs w:val="20"/>
        </w:rPr>
        <w:t>psychopathology transition to a state of higher risk; we assume that the onset of developmental vulnerability depends on cumulative exposure to adverse experiences (parental mental health</w:t>
      </w:r>
      <w:r w:rsidR="000369DD">
        <w:rPr>
          <w:rFonts w:ascii="Times New Roman" w:hAnsi="Times New Roman"/>
          <w:sz w:val="20"/>
          <w:szCs w:val="20"/>
        </w:rPr>
        <w:t xml:space="preserve"> </w:t>
      </w:r>
      <w:r w:rsidR="00D52EF9">
        <w:rPr>
          <w:rFonts w:ascii="Times New Roman" w:hAnsi="Times New Roman"/>
          <w:sz w:val="20"/>
          <w:szCs w:val="20"/>
        </w:rPr>
        <w:t xml:space="preserve">and substance use </w:t>
      </w:r>
      <w:r>
        <w:rPr>
          <w:rFonts w:ascii="Times New Roman" w:hAnsi="Times New Roman"/>
          <w:sz w:val="20"/>
          <w:szCs w:val="20"/>
        </w:rPr>
        <w:t xml:space="preserve">problems, </w:t>
      </w:r>
      <w:r w:rsidR="00C62BFF">
        <w:rPr>
          <w:rFonts w:ascii="Times New Roman" w:hAnsi="Times New Roman"/>
          <w:sz w:val="20"/>
          <w:szCs w:val="20"/>
        </w:rPr>
        <w:t xml:space="preserve">poverty, </w:t>
      </w:r>
      <w:r>
        <w:rPr>
          <w:rFonts w:ascii="Times New Roman" w:hAnsi="Times New Roman"/>
          <w:sz w:val="20"/>
          <w:szCs w:val="20"/>
        </w:rPr>
        <w:t>family violence</w:t>
      </w:r>
      <w:r w:rsidR="00A30E21">
        <w:rPr>
          <w:rFonts w:ascii="Times New Roman" w:hAnsi="Times New Roman"/>
          <w:sz w:val="20"/>
          <w:szCs w:val="20"/>
        </w:rPr>
        <w:t>, internal displacement</w:t>
      </w:r>
      <w:r>
        <w:rPr>
          <w:rFonts w:ascii="Times New Roman" w:hAnsi="Times New Roman"/>
          <w:sz w:val="20"/>
          <w:szCs w:val="20"/>
        </w:rPr>
        <w:t>) and is irreversible.</w:t>
      </w:r>
      <w:r w:rsidRPr="00503261">
        <w:rPr>
          <w:rFonts w:ascii="Times New Roman" w:hAnsi="Times New Roman"/>
          <w:sz w:val="20"/>
          <w:szCs w:val="20"/>
        </w:rPr>
        <w:t xml:space="preserve"> </w:t>
      </w:r>
      <w:r>
        <w:rPr>
          <w:rFonts w:ascii="Times New Roman" w:hAnsi="Times New Roman"/>
          <w:sz w:val="20"/>
          <w:szCs w:val="20"/>
        </w:rPr>
        <w:t>The incidence of developmental</w:t>
      </w:r>
    </w:p>
    <w:p w14:paraId="524CF224" w14:textId="77777777" w:rsidR="002B065E" w:rsidRDefault="002B065E" w:rsidP="002B065E">
      <w:pPr>
        <w:spacing w:line="480" w:lineRule="auto"/>
        <w:rPr>
          <w:rFonts w:ascii="Times New Roman" w:hAnsi="Times New Roman"/>
          <w:noProof/>
          <w:sz w:val="20"/>
          <w:szCs w:val="20"/>
        </w:rPr>
      </w:pPr>
      <w:r>
        <w:rPr>
          <w:rFonts w:ascii="Times New Roman" w:hAnsi="Times New Roman"/>
          <w:noProof/>
          <w:sz w:val="20"/>
          <w:szCs w:val="20"/>
        </w:rPr>
        <w:lastRenderedPageBreak/>
        <w:drawing>
          <wp:inline distT="0" distB="0" distL="0" distR="0" wp14:anchorId="23715604" wp14:editId="208B284C">
            <wp:extent cx="5731086" cy="2456180"/>
            <wp:effectExtent l="0" t="0" r="3175" b="127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2"/>
                    <a:stretch>
                      <a:fillRect/>
                    </a:stretch>
                  </pic:blipFill>
                  <pic:spPr>
                    <a:xfrm>
                      <a:off x="0" y="0"/>
                      <a:ext cx="5731086" cy="2456180"/>
                    </a:xfrm>
                    <a:prstGeom prst="rect">
                      <a:avLst/>
                    </a:prstGeom>
                  </pic:spPr>
                </pic:pic>
              </a:graphicData>
            </a:graphic>
          </wp:inline>
        </w:drawing>
      </w:r>
    </w:p>
    <w:p w14:paraId="6CF23893" w14:textId="77777777" w:rsidR="002B065E" w:rsidRDefault="002B065E" w:rsidP="002B065E">
      <w:pPr>
        <w:spacing w:line="480" w:lineRule="auto"/>
        <w:rPr>
          <w:rFonts w:ascii="Times New Roman" w:hAnsi="Times New Roman"/>
          <w:noProof/>
          <w:sz w:val="20"/>
          <w:szCs w:val="20"/>
        </w:rPr>
      </w:pPr>
      <w:r>
        <w:rPr>
          <w:rFonts w:ascii="Times New Roman" w:hAnsi="Times New Roman"/>
          <w:noProof/>
          <w:sz w:val="20"/>
          <w:szCs w:val="20"/>
        </w:rPr>
        <w:t xml:space="preserve">Fig. S5.  Estimates of the prevalence of mental health problems (12−17 years and 18 years and above) derived from the system dynamics model and the 2015 National Survey of Mental Health (ENSM; available at: </w:t>
      </w:r>
      <w:r w:rsidRPr="00E23913">
        <w:rPr>
          <w:rFonts w:ascii="Times New Roman" w:hAnsi="Times New Roman"/>
          <w:noProof/>
          <w:sz w:val="20"/>
          <w:szCs w:val="20"/>
        </w:rPr>
        <w:t>https://www.minsalud.gov.co/salud/publica/epidemiologia/Paginas/Estudios-y-encuestas.aspx</w:t>
      </w:r>
      <w:r>
        <w:rPr>
          <w:rFonts w:ascii="Times New Roman" w:hAnsi="Times New Roman"/>
          <w:noProof/>
          <w:sz w:val="20"/>
          <w:szCs w:val="20"/>
        </w:rPr>
        <w:t>).  The error bars for the ENSM estimates correspond to 95% confidence intervals.</w:t>
      </w:r>
    </w:p>
    <w:p w14:paraId="2F0E2EA7" w14:textId="77777777" w:rsidR="002B065E" w:rsidRDefault="002B065E" w:rsidP="00FE09B6">
      <w:pPr>
        <w:spacing w:line="480" w:lineRule="auto"/>
        <w:rPr>
          <w:rFonts w:ascii="Times New Roman" w:hAnsi="Times New Roman"/>
          <w:sz w:val="20"/>
          <w:szCs w:val="20"/>
        </w:rPr>
      </w:pPr>
    </w:p>
    <w:p w14:paraId="18A3A93B" w14:textId="20566FDD" w:rsidR="00371053" w:rsidRDefault="00503261" w:rsidP="00FE09B6">
      <w:pPr>
        <w:spacing w:line="480" w:lineRule="auto"/>
        <w:rPr>
          <w:rFonts w:ascii="Times New Roman" w:hAnsi="Times New Roman"/>
          <w:sz w:val="20"/>
          <w:szCs w:val="20"/>
        </w:rPr>
      </w:pPr>
      <w:r>
        <w:rPr>
          <w:rFonts w:ascii="Times New Roman" w:hAnsi="Times New Roman"/>
          <w:sz w:val="20"/>
          <w:szCs w:val="20"/>
        </w:rPr>
        <w:t>vulnerability is</w:t>
      </w:r>
      <w:r w:rsidR="00634C95">
        <w:rPr>
          <w:rFonts w:ascii="Times New Roman" w:hAnsi="Times New Roman"/>
          <w:sz w:val="20"/>
          <w:szCs w:val="20"/>
        </w:rPr>
        <w:t xml:space="preserve"> equal to</w:t>
      </w:r>
      <w:r>
        <w:rPr>
          <w:rFonts w:ascii="Times New Roman" w:hAnsi="Times New Roman"/>
          <w:sz w:val="20"/>
          <w:szCs w:val="20"/>
        </w:rPr>
        <w:t xml:space="preserve"> </w:t>
      </w:r>
      <m:oMath>
        <m:r>
          <w:rPr>
            <w:rFonts w:ascii="Cambria Math" w:hAnsi="Cambria Math"/>
            <w:sz w:val="20"/>
            <w:szCs w:val="20"/>
          </w:rPr>
          <m:t>hsR</m:t>
        </m:r>
      </m:oMath>
      <w:r>
        <w:rPr>
          <w:rFonts w:ascii="Times New Roman" w:hAnsi="Times New Roman"/>
          <w:sz w:val="20"/>
          <w:szCs w:val="20"/>
        </w:rPr>
        <w:t xml:space="preserve">, where </w:t>
      </w:r>
      <m:oMath>
        <m:r>
          <w:rPr>
            <w:rFonts w:ascii="Cambria Math" w:hAnsi="Cambria Math"/>
            <w:sz w:val="20"/>
            <w:szCs w:val="20"/>
          </w:rPr>
          <m:t>s</m:t>
        </m:r>
      </m:oMath>
      <w:r>
        <w:rPr>
          <w:rFonts w:ascii="Times New Roman" w:hAnsi="Times New Roman"/>
          <w:sz w:val="20"/>
          <w:szCs w:val="20"/>
        </w:rPr>
        <w:t xml:space="preserve"> is the </w:t>
      </w:r>
      <w:r w:rsidR="00D52EF9">
        <w:rPr>
          <w:rFonts w:ascii="Times New Roman" w:hAnsi="Times New Roman"/>
          <w:sz w:val="20"/>
          <w:szCs w:val="20"/>
        </w:rPr>
        <w:t>reference (or base)</w:t>
      </w:r>
      <w:r w:rsidR="00A92660">
        <w:rPr>
          <w:rFonts w:ascii="Times New Roman" w:hAnsi="Times New Roman"/>
          <w:sz w:val="20"/>
          <w:szCs w:val="20"/>
        </w:rPr>
        <w:t xml:space="preserve"> </w:t>
      </w:r>
      <w:r>
        <w:rPr>
          <w:rFonts w:ascii="Times New Roman" w:hAnsi="Times New Roman"/>
          <w:sz w:val="20"/>
          <w:szCs w:val="20"/>
        </w:rPr>
        <w:t>per capita rate at which children at low risk of</w:t>
      </w:r>
      <w:r w:rsidR="00634C95">
        <w:rPr>
          <w:rFonts w:ascii="Times New Roman" w:hAnsi="Times New Roman"/>
          <w:sz w:val="20"/>
          <w:szCs w:val="20"/>
        </w:rPr>
        <w:t xml:space="preserve"> </w:t>
      </w:r>
      <w:r w:rsidR="00736E25">
        <w:rPr>
          <w:rFonts w:ascii="Times New Roman" w:hAnsi="Times New Roman"/>
          <w:sz w:val="20"/>
          <w:szCs w:val="20"/>
        </w:rPr>
        <w:t xml:space="preserve">later </w:t>
      </w:r>
      <w:r>
        <w:rPr>
          <w:rFonts w:ascii="Times New Roman" w:hAnsi="Times New Roman"/>
          <w:sz w:val="20"/>
          <w:szCs w:val="20"/>
        </w:rPr>
        <w:t>psychopathology transition to a state of higher risk</w:t>
      </w:r>
      <w:r w:rsidR="000369DD">
        <w:rPr>
          <w:rFonts w:ascii="Times New Roman" w:hAnsi="Times New Roman"/>
          <w:sz w:val="20"/>
          <w:szCs w:val="20"/>
        </w:rPr>
        <w:t xml:space="preserve"> per year</w:t>
      </w:r>
      <w:r>
        <w:rPr>
          <w:rFonts w:ascii="Times New Roman" w:hAnsi="Times New Roman"/>
          <w:sz w:val="20"/>
          <w:szCs w:val="20"/>
        </w:rPr>
        <w:t xml:space="preserve">, </w:t>
      </w:r>
      <m:oMath>
        <m:r>
          <w:rPr>
            <w:rFonts w:ascii="Cambria Math" w:hAnsi="Cambria Math"/>
            <w:sz w:val="20"/>
            <w:szCs w:val="20"/>
          </w:rPr>
          <m:t>h</m:t>
        </m:r>
      </m:oMath>
      <w:r>
        <w:rPr>
          <w:rFonts w:ascii="Times New Roman" w:hAnsi="Times New Roman"/>
          <w:sz w:val="20"/>
          <w:szCs w:val="20"/>
        </w:rPr>
        <w:t xml:space="preserve"> is the product of the effects of parental mental health problems</w:t>
      </w:r>
      <w:r w:rsidR="002061F1">
        <w:rPr>
          <w:rFonts w:ascii="Times New Roman" w:hAnsi="Times New Roman"/>
          <w:sz w:val="20"/>
          <w:szCs w:val="20"/>
        </w:rPr>
        <w:t xml:space="preserve"> (Dean et al., 2018)</w:t>
      </w:r>
      <w:r>
        <w:rPr>
          <w:rFonts w:ascii="Times New Roman" w:hAnsi="Times New Roman"/>
          <w:sz w:val="20"/>
          <w:szCs w:val="20"/>
        </w:rPr>
        <w:t xml:space="preserve">, </w:t>
      </w:r>
      <w:r w:rsidR="00C62BFF">
        <w:rPr>
          <w:rFonts w:ascii="Times New Roman" w:hAnsi="Times New Roman"/>
          <w:sz w:val="20"/>
          <w:szCs w:val="20"/>
        </w:rPr>
        <w:t>poverty (</w:t>
      </w:r>
      <w:r w:rsidR="00C62BFF" w:rsidRPr="00A57D59">
        <w:rPr>
          <w:rFonts w:ascii="Times New Roman" w:hAnsi="Times New Roman"/>
          <w:sz w:val="20"/>
          <w:szCs w:val="20"/>
        </w:rPr>
        <w:t>Costello et al., 2003</w:t>
      </w:r>
      <w:r w:rsidR="00C62BFF">
        <w:rPr>
          <w:rFonts w:ascii="Times New Roman" w:hAnsi="Times New Roman"/>
          <w:sz w:val="20"/>
          <w:szCs w:val="20"/>
        </w:rPr>
        <w:t>), family violence (</w:t>
      </w:r>
      <w:r w:rsidR="00C62BFF" w:rsidRPr="00311D96">
        <w:rPr>
          <w:rFonts w:ascii="Times New Roman" w:hAnsi="Times New Roman"/>
          <w:sz w:val="20"/>
          <w:szCs w:val="20"/>
        </w:rPr>
        <w:t>Kernic et al., 2003</w:t>
      </w:r>
      <w:r w:rsidR="00C62BFF">
        <w:rPr>
          <w:rFonts w:ascii="Times New Roman" w:hAnsi="Times New Roman"/>
          <w:sz w:val="20"/>
          <w:szCs w:val="20"/>
        </w:rPr>
        <w:t>), parental substance use problems (</w:t>
      </w:r>
      <w:r w:rsidR="00C62BFF" w:rsidRPr="0068535A">
        <w:rPr>
          <w:rFonts w:ascii="Times New Roman" w:hAnsi="Times New Roman"/>
          <w:sz w:val="20"/>
          <w:szCs w:val="20"/>
        </w:rPr>
        <w:t>Lynskey et al., 1994</w:t>
      </w:r>
      <w:r w:rsidR="00C62BFF">
        <w:rPr>
          <w:rFonts w:ascii="Times New Roman" w:hAnsi="Times New Roman"/>
          <w:sz w:val="20"/>
          <w:szCs w:val="20"/>
        </w:rPr>
        <w:t xml:space="preserve">), </w:t>
      </w:r>
      <w:r>
        <w:rPr>
          <w:rFonts w:ascii="Times New Roman" w:hAnsi="Times New Roman"/>
          <w:sz w:val="20"/>
          <w:szCs w:val="20"/>
        </w:rPr>
        <w:t>and</w:t>
      </w:r>
      <w:r w:rsidR="00A92660">
        <w:rPr>
          <w:rFonts w:ascii="Times New Roman" w:hAnsi="Times New Roman"/>
          <w:sz w:val="20"/>
          <w:szCs w:val="20"/>
        </w:rPr>
        <w:t xml:space="preserve"> </w:t>
      </w:r>
      <w:r w:rsidR="00C62BFF">
        <w:rPr>
          <w:rFonts w:ascii="Times New Roman" w:hAnsi="Times New Roman"/>
          <w:sz w:val="20"/>
          <w:szCs w:val="20"/>
        </w:rPr>
        <w:t xml:space="preserve">internal </w:t>
      </w:r>
      <w:r>
        <w:rPr>
          <w:rFonts w:ascii="Times New Roman" w:hAnsi="Times New Roman"/>
          <w:sz w:val="20"/>
          <w:szCs w:val="20"/>
        </w:rPr>
        <w:t xml:space="preserve">displacement </w:t>
      </w:r>
      <w:r w:rsidR="000369DD">
        <w:rPr>
          <w:rFonts w:ascii="Times New Roman" w:hAnsi="Times New Roman"/>
          <w:sz w:val="20"/>
          <w:szCs w:val="20"/>
        </w:rPr>
        <w:t>(</w:t>
      </w:r>
      <w:r w:rsidR="000369DD" w:rsidRPr="008530FA">
        <w:rPr>
          <w:rFonts w:ascii="Times New Roman" w:hAnsi="Times New Roman"/>
          <w:sz w:val="20"/>
          <w:szCs w:val="20"/>
        </w:rPr>
        <w:t>Marroqu</w:t>
      </w:r>
      <w:r w:rsidR="000369DD">
        <w:rPr>
          <w:rFonts w:ascii="Times New Roman" w:hAnsi="Times New Roman"/>
          <w:sz w:val="20"/>
          <w:szCs w:val="20"/>
        </w:rPr>
        <w:t>í</w:t>
      </w:r>
      <w:r w:rsidR="000369DD" w:rsidRPr="008530FA">
        <w:rPr>
          <w:rFonts w:ascii="Times New Roman" w:hAnsi="Times New Roman"/>
          <w:sz w:val="20"/>
          <w:szCs w:val="20"/>
        </w:rPr>
        <w:t>n Rivera et al., 2020</w:t>
      </w:r>
      <w:r w:rsidR="000369DD">
        <w:rPr>
          <w:rFonts w:ascii="Times New Roman" w:hAnsi="Times New Roman"/>
          <w:sz w:val="20"/>
          <w:szCs w:val="20"/>
        </w:rPr>
        <w:t xml:space="preserve">) </w:t>
      </w:r>
      <w:r>
        <w:rPr>
          <w:rFonts w:ascii="Times New Roman" w:hAnsi="Times New Roman"/>
          <w:sz w:val="20"/>
          <w:szCs w:val="20"/>
        </w:rPr>
        <w:t xml:space="preserve">on </w:t>
      </w:r>
      <w:r w:rsidR="002B7A69">
        <w:rPr>
          <w:rFonts w:ascii="Times New Roman" w:hAnsi="Times New Roman"/>
          <w:sz w:val="20"/>
          <w:szCs w:val="20"/>
        </w:rPr>
        <w:t xml:space="preserve">the risk of </w:t>
      </w:r>
      <w:r w:rsidR="00B95AAB">
        <w:rPr>
          <w:rFonts w:ascii="Times New Roman" w:hAnsi="Times New Roman"/>
          <w:sz w:val="20"/>
          <w:szCs w:val="20"/>
        </w:rPr>
        <w:t xml:space="preserve">later </w:t>
      </w:r>
      <w:r w:rsidR="00736E25">
        <w:rPr>
          <w:rFonts w:ascii="Times New Roman" w:hAnsi="Times New Roman"/>
          <w:sz w:val="20"/>
          <w:szCs w:val="20"/>
        </w:rPr>
        <w:t>psychopathology</w:t>
      </w:r>
      <w:r w:rsidR="002B7A69">
        <w:rPr>
          <w:rFonts w:ascii="Times New Roman" w:hAnsi="Times New Roman"/>
          <w:sz w:val="20"/>
          <w:szCs w:val="20"/>
        </w:rPr>
        <w:t xml:space="preserve">, and </w:t>
      </w:r>
      <m:oMath>
        <m:r>
          <w:rPr>
            <w:rFonts w:ascii="Cambria Math" w:hAnsi="Cambria Math"/>
            <w:sz w:val="20"/>
            <w:szCs w:val="20"/>
          </w:rPr>
          <m:t>R</m:t>
        </m:r>
      </m:oMath>
      <w:r w:rsidR="002B7A69">
        <w:rPr>
          <w:rFonts w:ascii="Times New Roman" w:hAnsi="Times New Roman"/>
          <w:sz w:val="20"/>
          <w:szCs w:val="20"/>
        </w:rPr>
        <w:t xml:space="preserve"> is the number of low</w:t>
      </w:r>
      <w:r w:rsidR="00B95AAB">
        <w:rPr>
          <w:rFonts w:ascii="Times New Roman" w:hAnsi="Times New Roman"/>
          <w:sz w:val="20"/>
          <w:szCs w:val="20"/>
        </w:rPr>
        <w:t>er</w:t>
      </w:r>
      <w:r w:rsidR="002B7A69">
        <w:rPr>
          <w:rFonts w:ascii="Times New Roman" w:hAnsi="Times New Roman"/>
          <w:sz w:val="20"/>
          <w:szCs w:val="20"/>
        </w:rPr>
        <w:t>-risk 0−11-year-olds in the population.</w:t>
      </w:r>
      <w:r w:rsidR="00922759">
        <w:rPr>
          <w:rFonts w:ascii="Times New Roman" w:hAnsi="Times New Roman"/>
          <w:sz w:val="20"/>
          <w:szCs w:val="20"/>
        </w:rPr>
        <w:t xml:space="preserve">  The</w:t>
      </w:r>
      <w:r w:rsidR="00B95AAB">
        <w:rPr>
          <w:rFonts w:ascii="Times New Roman" w:hAnsi="Times New Roman"/>
          <w:sz w:val="20"/>
          <w:szCs w:val="20"/>
        </w:rPr>
        <w:t xml:space="preserve"> </w:t>
      </w:r>
      <w:r w:rsidR="00922759">
        <w:rPr>
          <w:rFonts w:ascii="Times New Roman" w:hAnsi="Times New Roman"/>
          <w:sz w:val="20"/>
          <w:szCs w:val="20"/>
        </w:rPr>
        <w:t xml:space="preserve">rate </w:t>
      </w:r>
      <m:oMath>
        <m:r>
          <w:rPr>
            <w:rFonts w:ascii="Cambria Math" w:hAnsi="Cambria Math"/>
            <w:sz w:val="20"/>
            <w:szCs w:val="20"/>
          </w:rPr>
          <m:t>s</m:t>
        </m:r>
      </m:oMath>
      <w:r w:rsidR="00922759">
        <w:rPr>
          <w:rFonts w:ascii="Times New Roman" w:hAnsi="Times New Roman"/>
          <w:sz w:val="20"/>
          <w:szCs w:val="20"/>
        </w:rPr>
        <w:t xml:space="preserve"> was set so that the prevalence of developmental vulnerability among children turning 12</w:t>
      </w:r>
      <w:r w:rsidR="00A92660">
        <w:rPr>
          <w:rFonts w:ascii="Times New Roman" w:hAnsi="Times New Roman"/>
          <w:sz w:val="20"/>
          <w:szCs w:val="20"/>
        </w:rPr>
        <w:t xml:space="preserve"> years </w:t>
      </w:r>
      <w:r w:rsidR="00922759">
        <w:rPr>
          <w:rFonts w:ascii="Times New Roman" w:hAnsi="Times New Roman"/>
          <w:sz w:val="20"/>
          <w:szCs w:val="20"/>
        </w:rPr>
        <w:t xml:space="preserve">aligned with </w:t>
      </w:r>
      <w:r w:rsidR="002140F5">
        <w:rPr>
          <w:rFonts w:ascii="Times New Roman" w:hAnsi="Times New Roman"/>
          <w:sz w:val="20"/>
          <w:szCs w:val="20"/>
        </w:rPr>
        <w:t>th</w:t>
      </w:r>
      <w:r w:rsidR="00BD374A">
        <w:rPr>
          <w:rFonts w:ascii="Times New Roman" w:hAnsi="Times New Roman"/>
          <w:sz w:val="20"/>
          <w:szCs w:val="20"/>
        </w:rPr>
        <w:t xml:space="preserve">e </w:t>
      </w:r>
      <w:r w:rsidR="00922759">
        <w:rPr>
          <w:rFonts w:ascii="Times New Roman" w:hAnsi="Times New Roman"/>
          <w:sz w:val="20"/>
          <w:szCs w:val="20"/>
        </w:rPr>
        <w:t xml:space="preserve">proportion of 12−17-year-olds </w:t>
      </w:r>
      <w:r w:rsidR="00BD374A">
        <w:rPr>
          <w:rFonts w:ascii="Times New Roman" w:hAnsi="Times New Roman"/>
          <w:sz w:val="20"/>
          <w:szCs w:val="20"/>
        </w:rPr>
        <w:t>reporting</w:t>
      </w:r>
      <w:r w:rsidR="00B95AAB">
        <w:rPr>
          <w:rFonts w:ascii="Times New Roman" w:hAnsi="Times New Roman"/>
          <w:sz w:val="20"/>
          <w:szCs w:val="20"/>
        </w:rPr>
        <w:t xml:space="preserve"> </w:t>
      </w:r>
      <w:r w:rsidR="00922759">
        <w:rPr>
          <w:rFonts w:ascii="Times New Roman" w:hAnsi="Times New Roman"/>
          <w:sz w:val="20"/>
          <w:szCs w:val="20"/>
        </w:rPr>
        <w:t xml:space="preserve">mental health problems </w:t>
      </w:r>
      <w:r w:rsidR="00BD374A">
        <w:rPr>
          <w:rFonts w:ascii="Times New Roman" w:hAnsi="Times New Roman"/>
          <w:sz w:val="20"/>
          <w:szCs w:val="20"/>
        </w:rPr>
        <w:t xml:space="preserve">in the 2015 National Mental Health Survey </w:t>
      </w:r>
      <w:r w:rsidR="00922759">
        <w:rPr>
          <w:rFonts w:ascii="Times New Roman" w:hAnsi="Times New Roman"/>
          <w:sz w:val="20"/>
          <w:szCs w:val="20"/>
        </w:rPr>
        <w:t>(see section 1.3).</w:t>
      </w:r>
    </w:p>
    <w:p w14:paraId="717FC6D2" w14:textId="77777777" w:rsidR="002B065E" w:rsidRDefault="002B065E" w:rsidP="00FE09B6">
      <w:pPr>
        <w:spacing w:line="480" w:lineRule="auto"/>
        <w:rPr>
          <w:rFonts w:ascii="Times New Roman" w:hAnsi="Times New Roman"/>
          <w:sz w:val="20"/>
          <w:szCs w:val="20"/>
        </w:rPr>
      </w:pPr>
    </w:p>
    <w:p w14:paraId="3BD240CA" w14:textId="2C5B62F2" w:rsidR="00720017" w:rsidRDefault="00720017" w:rsidP="00FE09B6">
      <w:pPr>
        <w:spacing w:line="480" w:lineRule="auto"/>
        <w:rPr>
          <w:rFonts w:ascii="Times New Roman" w:hAnsi="Times New Roman"/>
          <w:sz w:val="20"/>
          <w:szCs w:val="20"/>
        </w:rPr>
      </w:pPr>
      <w:r>
        <w:rPr>
          <w:rFonts w:ascii="Times New Roman" w:hAnsi="Times New Roman"/>
          <w:sz w:val="20"/>
          <w:szCs w:val="20"/>
        </w:rPr>
        <w:t xml:space="preserve">As developmentally vulnerable children turn 12, they flow into an aging chain that provides a means of tracking numbers of people aged 12−17 years, and 18 years and above at higher risk of developing mental health problems due to adverse experiences in childhood.  A person’s level of risk (either high or low) at the time they reach 12 years is assumed to remain unchanged (people are removed from the aging chain only through mortality and emigration; </w:t>
      </w:r>
      <w:r w:rsidR="0000687A">
        <w:rPr>
          <w:rFonts w:ascii="Times New Roman" w:hAnsi="Times New Roman"/>
          <w:sz w:val="20"/>
          <w:szCs w:val="20"/>
        </w:rPr>
        <w:t xml:space="preserve">see </w:t>
      </w:r>
      <w:r>
        <w:rPr>
          <w:rFonts w:ascii="Times New Roman" w:hAnsi="Times New Roman"/>
          <w:sz w:val="20"/>
          <w:szCs w:val="20"/>
        </w:rPr>
        <w:t xml:space="preserve">Fig. S6) and </w:t>
      </w:r>
      <w:r w:rsidR="0000687A">
        <w:rPr>
          <w:rFonts w:ascii="Times New Roman" w:hAnsi="Times New Roman"/>
          <w:sz w:val="20"/>
          <w:szCs w:val="20"/>
        </w:rPr>
        <w:t>influences</w:t>
      </w:r>
      <w:r>
        <w:rPr>
          <w:rFonts w:ascii="Times New Roman" w:hAnsi="Times New Roman"/>
          <w:sz w:val="20"/>
          <w:szCs w:val="20"/>
        </w:rPr>
        <w:t xml:space="preserve"> the probability that they will experience significant mental health problems throughout their life.  Age-specific per capita mortality rates for people with a high risk of developing mental health problems are assumed to be 1.37 times those for people with a low level of risk (Russ </w:t>
      </w:r>
      <w:r>
        <w:rPr>
          <w:rFonts w:ascii="Times New Roman" w:hAnsi="Times New Roman"/>
          <w:sz w:val="20"/>
          <w:szCs w:val="20"/>
        </w:rPr>
        <w:lastRenderedPageBreak/>
        <w:t xml:space="preserve">et al., 2012).  Net migration adds to (or subtracts from) the numbers of people at </w:t>
      </w:r>
      <w:r w:rsidR="00E27934">
        <w:rPr>
          <w:rFonts w:ascii="Times New Roman" w:hAnsi="Times New Roman"/>
          <w:sz w:val="20"/>
          <w:szCs w:val="20"/>
        </w:rPr>
        <w:t>high</w:t>
      </w:r>
      <w:r>
        <w:rPr>
          <w:rFonts w:ascii="Times New Roman" w:hAnsi="Times New Roman"/>
          <w:sz w:val="20"/>
          <w:szCs w:val="20"/>
        </w:rPr>
        <w:t xml:space="preserve"> risk of</w:t>
      </w:r>
      <w:r w:rsidR="00E27934">
        <w:rPr>
          <w:rFonts w:ascii="Times New Roman" w:hAnsi="Times New Roman"/>
          <w:sz w:val="20"/>
          <w:szCs w:val="20"/>
        </w:rPr>
        <w:t xml:space="preserve"> developing mental health problems</w:t>
      </w:r>
      <w:r>
        <w:rPr>
          <w:rFonts w:ascii="Times New Roman" w:hAnsi="Times New Roman"/>
          <w:sz w:val="20"/>
          <w:szCs w:val="20"/>
        </w:rPr>
        <w:t xml:space="preserve"> at age-specific rates </w:t>
      </w:r>
      <m:oMath>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i</m:t>
            </m:r>
          </m:sub>
        </m:sSub>
        <m:sSub>
          <m:sSubPr>
            <m:ctrlPr>
              <w:rPr>
                <w:rFonts w:ascii="Cambria Math" w:hAnsi="Cambria Math"/>
                <w:i/>
                <w:sz w:val="20"/>
                <w:szCs w:val="20"/>
              </w:rPr>
            </m:ctrlPr>
          </m:sSubPr>
          <m:e>
            <m:r>
              <w:rPr>
                <w:rFonts w:ascii="Cambria Math" w:hAnsi="Cambria Math"/>
                <w:sz w:val="20"/>
                <w:szCs w:val="20"/>
              </w:rPr>
              <m:t>I</m:t>
            </m:r>
          </m:e>
          <m:sub>
            <m:r>
              <w:rPr>
                <w:rFonts w:ascii="Cambria Math" w:hAnsi="Cambria Math"/>
                <w:sz w:val="20"/>
                <w:szCs w:val="20"/>
              </w:rPr>
              <m:t>i</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q</m:t>
            </m:r>
          </m:e>
          <m:sub>
            <m:r>
              <w:rPr>
                <w:rFonts w:ascii="Cambria Math" w:hAnsi="Cambria Math"/>
                <w:sz w:val="20"/>
                <w:szCs w:val="20"/>
              </w:rPr>
              <m:t>i</m:t>
            </m:r>
          </m:sub>
        </m:sSub>
        <m:sSub>
          <m:sSubPr>
            <m:ctrlPr>
              <w:rPr>
                <w:rFonts w:ascii="Cambria Math" w:hAnsi="Cambria Math"/>
                <w:i/>
                <w:sz w:val="20"/>
                <w:szCs w:val="20"/>
              </w:rPr>
            </m:ctrlPr>
          </m:sSubPr>
          <m:e>
            <m:r>
              <w:rPr>
                <w:rFonts w:ascii="Cambria Math" w:hAnsi="Cambria Math"/>
                <w:sz w:val="20"/>
                <w:szCs w:val="20"/>
              </w:rPr>
              <m:t>e</m:t>
            </m:r>
          </m:e>
          <m:sub>
            <m:r>
              <w:rPr>
                <w:rFonts w:ascii="Cambria Math" w:hAnsi="Cambria Math"/>
                <w:sz w:val="20"/>
                <w:szCs w:val="20"/>
              </w:rPr>
              <m:t>i</m:t>
            </m:r>
          </m:sub>
        </m:sSub>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i</m:t>
            </m:r>
          </m:sub>
        </m:sSub>
      </m:oMath>
      <w:r>
        <w:rPr>
          <w:rFonts w:ascii="Times New Roman" w:hAnsi="Times New Roman"/>
          <w:sz w:val="20"/>
          <w:szCs w:val="20"/>
        </w:rPr>
        <w:t xml:space="preserve">, where </w:t>
      </w:r>
      <m:oMath>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i</m:t>
            </m:r>
          </m:sub>
        </m:sSub>
      </m:oMath>
      <w:r>
        <w:rPr>
          <w:rFonts w:ascii="Times New Roman" w:hAnsi="Times New Roman"/>
          <w:sz w:val="20"/>
          <w:szCs w:val="20"/>
        </w:rPr>
        <w:t xml:space="preserve"> and </w:t>
      </w:r>
      <m:oMath>
        <m:sSub>
          <m:sSubPr>
            <m:ctrlPr>
              <w:rPr>
                <w:rFonts w:ascii="Cambria Math" w:hAnsi="Cambria Math"/>
                <w:i/>
                <w:sz w:val="20"/>
                <w:szCs w:val="20"/>
              </w:rPr>
            </m:ctrlPr>
          </m:sSubPr>
          <m:e>
            <m:r>
              <w:rPr>
                <w:rFonts w:ascii="Cambria Math" w:hAnsi="Cambria Math"/>
                <w:sz w:val="20"/>
                <w:szCs w:val="20"/>
              </w:rPr>
              <m:t>q</m:t>
            </m:r>
          </m:e>
          <m:sub>
            <m:r>
              <w:rPr>
                <w:rFonts w:ascii="Cambria Math" w:hAnsi="Cambria Math"/>
                <w:sz w:val="20"/>
                <w:szCs w:val="20"/>
              </w:rPr>
              <m:t>i</m:t>
            </m:r>
          </m:sub>
        </m:sSub>
      </m:oMath>
      <w:r>
        <w:rPr>
          <w:rFonts w:ascii="Times New Roman" w:hAnsi="Times New Roman"/>
          <w:sz w:val="20"/>
          <w:szCs w:val="20"/>
        </w:rPr>
        <w:t xml:space="preserve"> are the age-specific proportions of people with a</w:t>
      </w:r>
      <w:r w:rsidR="00E27934">
        <w:rPr>
          <w:rFonts w:ascii="Times New Roman" w:hAnsi="Times New Roman"/>
          <w:sz w:val="20"/>
          <w:szCs w:val="20"/>
        </w:rPr>
        <w:t>n increased</w:t>
      </w:r>
      <w:r>
        <w:rPr>
          <w:rFonts w:ascii="Times New Roman" w:hAnsi="Times New Roman"/>
          <w:sz w:val="20"/>
          <w:szCs w:val="20"/>
        </w:rPr>
        <w:t xml:space="preserve"> risk of </w:t>
      </w:r>
      <w:r w:rsidR="00E27934">
        <w:rPr>
          <w:rFonts w:ascii="Times New Roman" w:hAnsi="Times New Roman"/>
          <w:sz w:val="20"/>
          <w:szCs w:val="20"/>
        </w:rPr>
        <w:t>psychopathology</w:t>
      </w:r>
      <w:r>
        <w:rPr>
          <w:rFonts w:ascii="Times New Roman" w:hAnsi="Times New Roman"/>
          <w:sz w:val="20"/>
          <w:szCs w:val="20"/>
        </w:rPr>
        <w:t xml:space="preserve"> among immigrants and Bogotá residents, respectively, </w:t>
      </w:r>
      <m:oMath>
        <m:sSub>
          <m:sSubPr>
            <m:ctrlPr>
              <w:rPr>
                <w:rFonts w:ascii="Cambria Math" w:hAnsi="Cambria Math"/>
                <w:i/>
                <w:sz w:val="20"/>
                <w:szCs w:val="20"/>
              </w:rPr>
            </m:ctrlPr>
          </m:sSubPr>
          <m:e>
            <m:r>
              <w:rPr>
                <w:rFonts w:ascii="Cambria Math" w:hAnsi="Cambria Math"/>
                <w:sz w:val="20"/>
                <w:szCs w:val="20"/>
              </w:rPr>
              <m:t>I</m:t>
            </m:r>
          </m:e>
          <m:sub>
            <m:r>
              <w:rPr>
                <w:rFonts w:ascii="Cambria Math" w:hAnsi="Cambria Math"/>
                <w:sz w:val="20"/>
                <w:szCs w:val="20"/>
              </w:rPr>
              <m:t>i</m:t>
            </m:r>
          </m:sub>
        </m:sSub>
      </m:oMath>
      <w:r>
        <w:rPr>
          <w:rFonts w:ascii="Times New Roman" w:hAnsi="Times New Roman"/>
          <w:sz w:val="20"/>
          <w:szCs w:val="20"/>
        </w:rPr>
        <w:t xml:space="preserve"> is total age-specific immigration per year, </w:t>
      </w:r>
      <m:oMath>
        <m:sSub>
          <m:sSubPr>
            <m:ctrlPr>
              <w:rPr>
                <w:rFonts w:ascii="Cambria Math" w:hAnsi="Cambria Math"/>
                <w:i/>
                <w:sz w:val="20"/>
                <w:szCs w:val="20"/>
              </w:rPr>
            </m:ctrlPr>
          </m:sSubPr>
          <m:e>
            <m:r>
              <w:rPr>
                <w:rFonts w:ascii="Cambria Math" w:hAnsi="Cambria Math"/>
                <w:sz w:val="20"/>
                <w:szCs w:val="20"/>
              </w:rPr>
              <m:t>e</m:t>
            </m:r>
          </m:e>
          <m:sub>
            <m:r>
              <w:rPr>
                <w:rFonts w:ascii="Cambria Math" w:hAnsi="Cambria Math"/>
                <w:sz w:val="20"/>
                <w:szCs w:val="20"/>
              </w:rPr>
              <m:t>i</m:t>
            </m:r>
          </m:sub>
        </m:sSub>
      </m:oMath>
      <w:r>
        <w:rPr>
          <w:rFonts w:ascii="Times New Roman" w:hAnsi="Times New Roman"/>
          <w:sz w:val="20"/>
          <w:szCs w:val="20"/>
        </w:rPr>
        <w:t xml:space="preserve"> is the age-specific per capita emigration rate per year, and </w:t>
      </w:r>
      <m:oMath>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i</m:t>
            </m:r>
          </m:sub>
        </m:sSub>
      </m:oMath>
      <w:r>
        <w:rPr>
          <w:rFonts w:ascii="Times New Roman" w:hAnsi="Times New Roman"/>
          <w:sz w:val="20"/>
          <w:szCs w:val="20"/>
        </w:rPr>
        <w:t xml:space="preserve"> is the number of people in age group </w:t>
      </w:r>
      <m:oMath>
        <m:r>
          <w:rPr>
            <w:rFonts w:ascii="Cambria Math" w:hAnsi="Cambria Math"/>
            <w:sz w:val="20"/>
            <w:szCs w:val="20"/>
          </w:rPr>
          <m:t>i</m:t>
        </m:r>
      </m:oMath>
      <w:r>
        <w:rPr>
          <w:rFonts w:ascii="Times New Roman" w:hAnsi="Times New Roman"/>
          <w:sz w:val="20"/>
          <w:szCs w:val="20"/>
        </w:rPr>
        <w:t xml:space="preserve"> residing in Bogotá.</w:t>
      </w:r>
    </w:p>
    <w:p w14:paraId="2D1E0B00" w14:textId="77777777" w:rsidR="002B065E" w:rsidRDefault="002B065E" w:rsidP="00FE09B6">
      <w:pPr>
        <w:spacing w:line="480" w:lineRule="auto"/>
        <w:rPr>
          <w:rFonts w:ascii="Times New Roman" w:hAnsi="Times New Roman"/>
          <w:sz w:val="20"/>
          <w:szCs w:val="20"/>
        </w:rPr>
      </w:pPr>
    </w:p>
    <w:p w14:paraId="6122E9EF" w14:textId="77777777" w:rsidR="002B065E" w:rsidRDefault="002B065E" w:rsidP="002B065E">
      <w:pPr>
        <w:spacing w:line="480" w:lineRule="auto"/>
        <w:rPr>
          <w:rFonts w:ascii="Times New Roman" w:hAnsi="Times New Roman"/>
          <w:sz w:val="20"/>
          <w:szCs w:val="20"/>
        </w:rPr>
      </w:pPr>
      <w:r>
        <w:rPr>
          <w:rFonts w:ascii="Times New Roman" w:hAnsi="Times New Roman"/>
          <w:noProof/>
          <w:sz w:val="20"/>
          <w:szCs w:val="20"/>
        </w:rPr>
        <w:drawing>
          <wp:inline distT="0" distB="0" distL="0" distR="0" wp14:anchorId="1B6625EB" wp14:editId="38C95D92">
            <wp:extent cx="5731510" cy="3533775"/>
            <wp:effectExtent l="0" t="0" r="2540" b="9525"/>
            <wp:docPr id="2" name="Picture 2" descr="A computer screen shot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omputer screen shot of a diagram&#10;&#10;Description automatically generated"/>
                    <pic:cNvPicPr/>
                  </pic:nvPicPr>
                  <pic:blipFill>
                    <a:blip r:embed="rId13"/>
                    <a:stretch>
                      <a:fillRect/>
                    </a:stretch>
                  </pic:blipFill>
                  <pic:spPr>
                    <a:xfrm>
                      <a:off x="0" y="0"/>
                      <a:ext cx="5731510" cy="3533775"/>
                    </a:xfrm>
                    <a:prstGeom prst="rect">
                      <a:avLst/>
                    </a:prstGeom>
                  </pic:spPr>
                </pic:pic>
              </a:graphicData>
            </a:graphic>
          </wp:inline>
        </w:drawing>
      </w:r>
    </w:p>
    <w:p w14:paraId="13757069" w14:textId="77777777" w:rsidR="002B065E" w:rsidRDefault="002B065E" w:rsidP="002B065E">
      <w:pPr>
        <w:spacing w:line="480" w:lineRule="auto"/>
        <w:rPr>
          <w:rFonts w:ascii="Times New Roman" w:hAnsi="Times New Roman"/>
          <w:sz w:val="20"/>
          <w:szCs w:val="20"/>
        </w:rPr>
      </w:pPr>
      <w:r>
        <w:rPr>
          <w:rFonts w:ascii="Times New Roman" w:hAnsi="Times New Roman"/>
          <w:sz w:val="20"/>
          <w:szCs w:val="20"/>
        </w:rPr>
        <w:t>Fig. S6.  Structure of the developmental vulnerability sector.  Modelled factors that affect the incidence of developmental vulnerability are listed in the text box.</w:t>
      </w:r>
    </w:p>
    <w:p w14:paraId="47372A94" w14:textId="77777777" w:rsidR="008D48AB" w:rsidRDefault="008D48AB" w:rsidP="00FE09B6">
      <w:pPr>
        <w:spacing w:line="480" w:lineRule="auto"/>
        <w:rPr>
          <w:rFonts w:ascii="Times New Roman" w:hAnsi="Times New Roman"/>
          <w:sz w:val="20"/>
          <w:szCs w:val="20"/>
        </w:rPr>
      </w:pPr>
    </w:p>
    <w:p w14:paraId="2DE2C1F5" w14:textId="64920C5D" w:rsidR="00371053" w:rsidRPr="00D36675" w:rsidRDefault="00990480" w:rsidP="00FE09B6">
      <w:pPr>
        <w:spacing w:line="480" w:lineRule="auto"/>
        <w:rPr>
          <w:rFonts w:ascii="Times New Roman" w:hAnsi="Times New Roman"/>
          <w:i/>
          <w:iCs/>
          <w:sz w:val="20"/>
          <w:szCs w:val="20"/>
        </w:rPr>
      </w:pPr>
      <w:r w:rsidRPr="00D36675">
        <w:rPr>
          <w:rFonts w:ascii="Times New Roman" w:hAnsi="Times New Roman"/>
          <w:i/>
          <w:iCs/>
          <w:sz w:val="20"/>
          <w:szCs w:val="20"/>
        </w:rPr>
        <w:t>1.5.  Education sector</w:t>
      </w:r>
    </w:p>
    <w:p w14:paraId="388491FA" w14:textId="65486FFD" w:rsidR="00D0476F" w:rsidRDefault="00AF24A0" w:rsidP="00D0476F">
      <w:pPr>
        <w:spacing w:line="480" w:lineRule="auto"/>
        <w:rPr>
          <w:rFonts w:ascii="Times New Roman" w:hAnsi="Times New Roman"/>
          <w:sz w:val="20"/>
          <w:szCs w:val="20"/>
        </w:rPr>
      </w:pPr>
      <w:r>
        <w:rPr>
          <w:rFonts w:ascii="Times New Roman" w:hAnsi="Times New Roman"/>
          <w:sz w:val="20"/>
          <w:szCs w:val="20"/>
        </w:rPr>
        <w:t xml:space="preserve">Fig. S7 </w:t>
      </w:r>
      <w:r w:rsidR="0030217C">
        <w:rPr>
          <w:rFonts w:ascii="Times New Roman" w:hAnsi="Times New Roman"/>
          <w:sz w:val="20"/>
          <w:szCs w:val="20"/>
        </w:rPr>
        <w:t>presents</w:t>
      </w:r>
      <w:r>
        <w:rPr>
          <w:rFonts w:ascii="Times New Roman" w:hAnsi="Times New Roman"/>
          <w:sz w:val="20"/>
          <w:szCs w:val="20"/>
        </w:rPr>
        <w:t xml:space="preserve"> the structure of the education sector, which </w:t>
      </w:r>
      <w:r w:rsidR="0030217C">
        <w:rPr>
          <w:rFonts w:ascii="Times New Roman" w:hAnsi="Times New Roman"/>
          <w:sz w:val="20"/>
          <w:szCs w:val="20"/>
        </w:rPr>
        <w:t>captures</w:t>
      </w:r>
      <w:r>
        <w:rPr>
          <w:rFonts w:ascii="Times New Roman" w:hAnsi="Times New Roman"/>
          <w:sz w:val="20"/>
          <w:szCs w:val="20"/>
        </w:rPr>
        <w:t xml:space="preserve"> numbers of people enrolled in elementary, secondary, and post-secondary education, and upper secondary (g</w:t>
      </w:r>
      <w:r w:rsidRPr="00933BCF">
        <w:rPr>
          <w:rFonts w:ascii="Times New Roman" w:hAnsi="Times New Roman"/>
          <w:sz w:val="20"/>
          <w:szCs w:val="20"/>
        </w:rPr>
        <w:t>rades 10</w:t>
      </w:r>
      <w:r>
        <w:rPr>
          <w:rFonts w:ascii="Times New Roman" w:hAnsi="Times New Roman"/>
          <w:sz w:val="20"/>
          <w:szCs w:val="20"/>
        </w:rPr>
        <w:t>−</w:t>
      </w:r>
      <w:r w:rsidRPr="00933BCF">
        <w:rPr>
          <w:rFonts w:ascii="Times New Roman" w:hAnsi="Times New Roman"/>
          <w:sz w:val="20"/>
          <w:szCs w:val="20"/>
        </w:rPr>
        <w:t>11</w:t>
      </w:r>
      <w:r>
        <w:rPr>
          <w:rFonts w:ascii="Times New Roman" w:hAnsi="Times New Roman"/>
          <w:sz w:val="20"/>
          <w:szCs w:val="20"/>
        </w:rPr>
        <w:t xml:space="preserve">) and post-secondary </w:t>
      </w:r>
      <w:r w:rsidR="00DB127F">
        <w:rPr>
          <w:rFonts w:ascii="Times New Roman" w:hAnsi="Times New Roman"/>
          <w:sz w:val="20"/>
          <w:szCs w:val="20"/>
        </w:rPr>
        <w:t>education</w:t>
      </w:r>
      <w:r w:rsidR="00545F14">
        <w:rPr>
          <w:rFonts w:ascii="Times New Roman" w:hAnsi="Times New Roman"/>
          <w:sz w:val="20"/>
          <w:szCs w:val="20"/>
        </w:rPr>
        <w:t xml:space="preserve"> </w:t>
      </w:r>
      <w:r>
        <w:rPr>
          <w:rFonts w:ascii="Times New Roman" w:hAnsi="Times New Roman"/>
          <w:sz w:val="20"/>
          <w:szCs w:val="20"/>
        </w:rPr>
        <w:t xml:space="preserve">completion rates.  </w:t>
      </w:r>
      <w:r w:rsidR="0064470F">
        <w:rPr>
          <w:rFonts w:ascii="Times New Roman" w:hAnsi="Times New Roman"/>
          <w:sz w:val="20"/>
          <w:szCs w:val="20"/>
        </w:rPr>
        <w:t>Nearly all c</w:t>
      </w:r>
      <w:r w:rsidR="00D0476F">
        <w:rPr>
          <w:rFonts w:ascii="Times New Roman" w:hAnsi="Times New Roman"/>
          <w:sz w:val="20"/>
          <w:szCs w:val="20"/>
        </w:rPr>
        <w:t>hildren turning 7 years</w:t>
      </w:r>
      <w:r w:rsidR="00084541">
        <w:rPr>
          <w:rFonts w:ascii="Times New Roman" w:hAnsi="Times New Roman"/>
          <w:sz w:val="20"/>
          <w:szCs w:val="20"/>
        </w:rPr>
        <w:t xml:space="preserve"> </w:t>
      </w:r>
      <w:r w:rsidR="00986BAC">
        <w:rPr>
          <w:rFonts w:ascii="Times New Roman" w:hAnsi="Times New Roman"/>
          <w:sz w:val="20"/>
          <w:szCs w:val="20"/>
        </w:rPr>
        <w:t>(9</w:t>
      </w:r>
      <w:r w:rsidR="00F84301">
        <w:rPr>
          <w:rFonts w:ascii="Times New Roman" w:hAnsi="Times New Roman"/>
          <w:sz w:val="20"/>
          <w:szCs w:val="20"/>
        </w:rPr>
        <w:t>6.8</w:t>
      </w:r>
      <w:r w:rsidR="00986BAC">
        <w:rPr>
          <w:rFonts w:ascii="Times New Roman" w:hAnsi="Times New Roman"/>
          <w:sz w:val="20"/>
          <w:szCs w:val="20"/>
        </w:rPr>
        <w:t xml:space="preserve">%) </w:t>
      </w:r>
      <w:r w:rsidR="00D0476F">
        <w:rPr>
          <w:rFonts w:ascii="Times New Roman" w:hAnsi="Times New Roman"/>
          <w:sz w:val="20"/>
          <w:szCs w:val="20"/>
        </w:rPr>
        <w:t>and</w:t>
      </w:r>
      <w:r w:rsidR="0064470F">
        <w:rPr>
          <w:rFonts w:ascii="Times New Roman" w:hAnsi="Times New Roman"/>
          <w:sz w:val="20"/>
          <w:szCs w:val="20"/>
        </w:rPr>
        <w:t xml:space="preserve"> </w:t>
      </w:r>
      <w:r w:rsidR="0030217C">
        <w:rPr>
          <w:rFonts w:ascii="Times New Roman" w:hAnsi="Times New Roman"/>
          <w:sz w:val="20"/>
          <w:szCs w:val="20"/>
        </w:rPr>
        <w:t xml:space="preserve">the majority of </w:t>
      </w:r>
      <w:r w:rsidR="00986BAC">
        <w:rPr>
          <w:rFonts w:ascii="Times New Roman" w:hAnsi="Times New Roman"/>
          <w:sz w:val="20"/>
          <w:szCs w:val="20"/>
        </w:rPr>
        <w:t xml:space="preserve">school-age </w:t>
      </w:r>
      <w:r w:rsidR="0030217C">
        <w:rPr>
          <w:rFonts w:ascii="Times New Roman" w:hAnsi="Times New Roman"/>
          <w:sz w:val="20"/>
          <w:szCs w:val="20"/>
        </w:rPr>
        <w:t xml:space="preserve">immigrants </w:t>
      </w:r>
      <w:r w:rsidR="00D0476F">
        <w:rPr>
          <w:rFonts w:ascii="Times New Roman" w:hAnsi="Times New Roman"/>
          <w:sz w:val="20"/>
          <w:szCs w:val="20"/>
        </w:rPr>
        <w:t>flow into stocks of 7−11-year-olds and 12−17-year-olds who are currently studying.</w:t>
      </w:r>
      <w:r w:rsidR="008D48AB">
        <w:rPr>
          <w:rStyle w:val="FootnoteReference"/>
          <w:rFonts w:ascii="Times New Roman" w:hAnsi="Times New Roman"/>
          <w:sz w:val="20"/>
          <w:szCs w:val="20"/>
        </w:rPr>
        <w:footnoteReference w:id="1"/>
      </w:r>
      <w:r w:rsidR="00D0476F" w:rsidRPr="00D0476F">
        <w:rPr>
          <w:rFonts w:ascii="Times New Roman" w:hAnsi="Times New Roman"/>
          <w:sz w:val="20"/>
          <w:szCs w:val="20"/>
        </w:rPr>
        <w:t xml:space="preserve"> </w:t>
      </w:r>
      <w:r w:rsidR="00D0476F">
        <w:rPr>
          <w:rFonts w:ascii="Times New Roman" w:hAnsi="Times New Roman"/>
          <w:sz w:val="20"/>
          <w:szCs w:val="20"/>
        </w:rPr>
        <w:t xml:space="preserve"> After completing </w:t>
      </w:r>
      <w:r w:rsidR="00135B55">
        <w:rPr>
          <w:rFonts w:ascii="Times New Roman" w:hAnsi="Times New Roman"/>
          <w:sz w:val="20"/>
          <w:szCs w:val="20"/>
        </w:rPr>
        <w:t xml:space="preserve">secondary </w:t>
      </w:r>
      <w:r w:rsidR="00135B55">
        <w:rPr>
          <w:rFonts w:ascii="Times New Roman" w:hAnsi="Times New Roman"/>
          <w:sz w:val="20"/>
          <w:szCs w:val="20"/>
        </w:rPr>
        <w:lastRenderedPageBreak/>
        <w:t xml:space="preserve">education (either </w:t>
      </w:r>
      <w:r w:rsidR="00D0476F">
        <w:rPr>
          <w:rFonts w:ascii="Times New Roman" w:hAnsi="Times New Roman"/>
          <w:sz w:val="20"/>
          <w:szCs w:val="20"/>
        </w:rPr>
        <w:t xml:space="preserve">basic </w:t>
      </w:r>
      <w:r w:rsidR="0030217C">
        <w:rPr>
          <w:rFonts w:ascii="Times New Roman" w:hAnsi="Times New Roman"/>
          <w:sz w:val="20"/>
          <w:szCs w:val="20"/>
        </w:rPr>
        <w:t xml:space="preserve">secondary </w:t>
      </w:r>
      <w:r w:rsidR="00D0476F">
        <w:rPr>
          <w:rFonts w:ascii="Times New Roman" w:hAnsi="Times New Roman"/>
          <w:sz w:val="20"/>
          <w:szCs w:val="20"/>
        </w:rPr>
        <w:t>or upper secondary</w:t>
      </w:r>
      <w:r w:rsidR="00135B55">
        <w:rPr>
          <w:rFonts w:ascii="Times New Roman" w:hAnsi="Times New Roman"/>
          <w:sz w:val="20"/>
          <w:szCs w:val="20"/>
        </w:rPr>
        <w:t xml:space="preserve"> education)</w:t>
      </w:r>
      <w:r w:rsidR="00D0476F">
        <w:rPr>
          <w:rFonts w:ascii="Times New Roman" w:hAnsi="Times New Roman"/>
          <w:sz w:val="20"/>
          <w:szCs w:val="20"/>
        </w:rPr>
        <w:t>, adolescents aged 12−17 years may progress to post-secondary education, in which case they enter a stock of students aged 18 years or more as they age</w:t>
      </w:r>
      <w:r w:rsidR="008D48AB">
        <w:rPr>
          <w:rFonts w:ascii="Times New Roman" w:hAnsi="Times New Roman"/>
          <w:sz w:val="20"/>
          <w:szCs w:val="20"/>
        </w:rPr>
        <w:t xml:space="preserve"> (via the flow labelled ‘Ageing studying 12−17’ in Fig. S7)</w:t>
      </w:r>
      <w:r w:rsidR="00D0476F">
        <w:rPr>
          <w:rFonts w:ascii="Times New Roman" w:hAnsi="Times New Roman"/>
          <w:sz w:val="20"/>
          <w:szCs w:val="20"/>
        </w:rPr>
        <w:t xml:space="preserve">, or they discontinue their formal education, where the discontinuation rate per year, </w:t>
      </w:r>
      <m:oMath>
        <m:r>
          <w:rPr>
            <w:rFonts w:ascii="Cambria Math" w:hAnsi="Cambria Math"/>
            <w:sz w:val="20"/>
            <w:szCs w:val="20"/>
          </w:rPr>
          <m:t>hdS</m:t>
        </m:r>
      </m:oMath>
      <w:r w:rsidR="00D0476F">
        <w:rPr>
          <w:rFonts w:ascii="Times New Roman" w:hAnsi="Times New Roman"/>
          <w:sz w:val="20"/>
          <w:szCs w:val="20"/>
        </w:rPr>
        <w:t xml:space="preserve">, is equal to the product of the reference per capita discontinuation rate </w:t>
      </w:r>
      <m:oMath>
        <m:r>
          <w:rPr>
            <w:rFonts w:ascii="Cambria Math" w:hAnsi="Cambria Math"/>
            <w:sz w:val="20"/>
            <w:szCs w:val="20"/>
          </w:rPr>
          <m:t>d</m:t>
        </m:r>
      </m:oMath>
      <w:r w:rsidR="00D0476F">
        <w:rPr>
          <w:rFonts w:ascii="Times New Roman" w:hAnsi="Times New Roman"/>
          <w:sz w:val="20"/>
          <w:szCs w:val="20"/>
        </w:rPr>
        <w:t xml:space="preserve">, the effect </w:t>
      </w:r>
      <m:oMath>
        <m:r>
          <w:rPr>
            <w:rFonts w:ascii="Cambria Math" w:hAnsi="Cambria Math"/>
            <w:sz w:val="20"/>
            <w:szCs w:val="20"/>
          </w:rPr>
          <m:t>h</m:t>
        </m:r>
      </m:oMath>
      <w:r w:rsidR="00D0476F">
        <w:rPr>
          <w:rFonts w:ascii="Times New Roman" w:hAnsi="Times New Roman"/>
          <w:sz w:val="20"/>
          <w:szCs w:val="20"/>
        </w:rPr>
        <w:t xml:space="preserve"> of mental health problems on the discontinuation rate (</w:t>
      </w:r>
      <w:r w:rsidR="00D0476F" w:rsidRPr="002A4A5B">
        <w:rPr>
          <w:rFonts w:ascii="Times New Roman" w:hAnsi="Times New Roman"/>
          <w:sz w:val="20"/>
          <w:szCs w:val="20"/>
        </w:rPr>
        <w:t>Lee et al., 2009</w:t>
      </w:r>
      <w:r w:rsidR="00D0476F">
        <w:rPr>
          <w:rFonts w:ascii="Times New Roman" w:hAnsi="Times New Roman"/>
          <w:sz w:val="20"/>
          <w:szCs w:val="20"/>
        </w:rPr>
        <w:t xml:space="preserve">), and the number of 12−17-year-olds currently studying, </w:t>
      </w:r>
      <m:oMath>
        <m:r>
          <w:rPr>
            <w:rFonts w:ascii="Cambria Math" w:hAnsi="Cambria Math"/>
            <w:sz w:val="20"/>
            <w:szCs w:val="20"/>
          </w:rPr>
          <m:t>S</m:t>
        </m:r>
      </m:oMath>
      <w:r w:rsidR="00D0476F">
        <w:rPr>
          <w:rFonts w:ascii="Times New Roman" w:hAnsi="Times New Roman"/>
          <w:sz w:val="20"/>
          <w:szCs w:val="20"/>
        </w:rPr>
        <w:t xml:space="preserve">.  Adults (aged </w:t>
      </w:r>
      <w:r w:rsidR="008D48AB">
        <w:rPr>
          <w:rFonts w:ascii="Times New Roman" w:hAnsi="Times New Roman"/>
          <w:sz w:val="20"/>
          <w:szCs w:val="20"/>
        </w:rPr>
        <w:t>over 17 years</w:t>
      </w:r>
      <w:r w:rsidR="00D0476F">
        <w:rPr>
          <w:rFonts w:ascii="Times New Roman" w:hAnsi="Times New Roman"/>
          <w:sz w:val="20"/>
          <w:szCs w:val="20"/>
        </w:rPr>
        <w:t>) who are not currently studying may enrol in</w:t>
      </w:r>
      <w:r w:rsidR="00D0476F" w:rsidRPr="00933BCF">
        <w:rPr>
          <w:rFonts w:ascii="Times New Roman" w:hAnsi="Times New Roman"/>
          <w:sz w:val="20"/>
          <w:szCs w:val="20"/>
        </w:rPr>
        <w:t xml:space="preserve"> post-secondary</w:t>
      </w:r>
      <w:r w:rsidR="00D0476F">
        <w:rPr>
          <w:rFonts w:ascii="Times New Roman" w:hAnsi="Times New Roman"/>
          <w:sz w:val="20"/>
          <w:szCs w:val="20"/>
        </w:rPr>
        <w:t xml:space="preserve"> (or possibly upper secondary) </w:t>
      </w:r>
      <w:r w:rsidR="00D0476F" w:rsidRPr="00933BCF">
        <w:rPr>
          <w:rFonts w:ascii="Times New Roman" w:hAnsi="Times New Roman"/>
          <w:sz w:val="20"/>
          <w:szCs w:val="20"/>
        </w:rPr>
        <w:t>education at any time</w:t>
      </w:r>
      <w:r w:rsidR="00D0476F">
        <w:rPr>
          <w:rFonts w:ascii="Times New Roman" w:hAnsi="Times New Roman"/>
          <w:sz w:val="20"/>
          <w:szCs w:val="20"/>
        </w:rPr>
        <w:t xml:space="preserve">, while those currently studying either complete their qualification or drop out prior to completion, where the discontinuation rate depends on the proportion of </w:t>
      </w:r>
      <w:r w:rsidR="00DC2738">
        <w:rPr>
          <w:rFonts w:ascii="Times New Roman" w:hAnsi="Times New Roman"/>
          <w:sz w:val="20"/>
          <w:szCs w:val="20"/>
        </w:rPr>
        <w:t>adults</w:t>
      </w:r>
      <w:r w:rsidR="00D0476F">
        <w:rPr>
          <w:rFonts w:ascii="Times New Roman" w:hAnsi="Times New Roman"/>
          <w:sz w:val="20"/>
          <w:szCs w:val="20"/>
        </w:rPr>
        <w:t xml:space="preserve"> studying who have</w:t>
      </w:r>
      <w:r w:rsidR="008D48AB">
        <w:rPr>
          <w:rFonts w:ascii="Times New Roman" w:hAnsi="Times New Roman"/>
          <w:sz w:val="20"/>
          <w:szCs w:val="20"/>
        </w:rPr>
        <w:t xml:space="preserve"> </w:t>
      </w:r>
      <w:r w:rsidR="00D0476F">
        <w:rPr>
          <w:rFonts w:ascii="Times New Roman" w:hAnsi="Times New Roman"/>
          <w:sz w:val="20"/>
          <w:szCs w:val="20"/>
        </w:rPr>
        <w:t xml:space="preserve">mental health problems (as for 12−17-year-olds); the flow labelled </w:t>
      </w:r>
      <w:r w:rsidR="00D0476F" w:rsidRPr="00933BCF">
        <w:rPr>
          <w:rFonts w:ascii="Times New Roman" w:hAnsi="Times New Roman"/>
          <w:sz w:val="20"/>
          <w:szCs w:val="20"/>
        </w:rPr>
        <w:t>‘Net post-secondary study enrolments 18+’</w:t>
      </w:r>
      <w:r w:rsidR="00D0476F">
        <w:rPr>
          <w:rFonts w:ascii="Times New Roman" w:hAnsi="Times New Roman"/>
          <w:sz w:val="20"/>
          <w:szCs w:val="20"/>
        </w:rPr>
        <w:t xml:space="preserve"> in Fig. S7 </w:t>
      </w:r>
      <w:r w:rsidR="00D0476F" w:rsidRPr="00933BCF">
        <w:rPr>
          <w:rFonts w:ascii="Times New Roman" w:hAnsi="Times New Roman"/>
          <w:sz w:val="20"/>
          <w:szCs w:val="20"/>
        </w:rPr>
        <w:t>is equal to the number of adults commencing study</w:t>
      </w:r>
      <w:r w:rsidR="00D0476F">
        <w:rPr>
          <w:rFonts w:ascii="Times New Roman" w:hAnsi="Times New Roman"/>
          <w:sz w:val="20"/>
          <w:szCs w:val="20"/>
        </w:rPr>
        <w:t xml:space="preserve"> per year </w:t>
      </w:r>
      <w:r w:rsidR="00D0476F" w:rsidRPr="00933BCF">
        <w:rPr>
          <w:rFonts w:ascii="Times New Roman" w:hAnsi="Times New Roman"/>
          <w:sz w:val="20"/>
          <w:szCs w:val="20"/>
        </w:rPr>
        <w:t>minus the number of adults completing or discontinuing study per year.</w:t>
      </w:r>
      <w:r w:rsidR="00D0476F">
        <w:rPr>
          <w:rFonts w:ascii="Times New Roman" w:hAnsi="Times New Roman"/>
          <w:sz w:val="20"/>
          <w:szCs w:val="20"/>
        </w:rPr>
        <w:t xml:space="preserve"> </w:t>
      </w:r>
      <w:r w:rsidR="00D0476F" w:rsidRPr="007F2FE6">
        <w:rPr>
          <w:rFonts w:ascii="Times New Roman" w:hAnsi="Times New Roman"/>
          <w:sz w:val="20"/>
          <w:szCs w:val="20"/>
        </w:rPr>
        <w:t xml:space="preserve"> </w:t>
      </w:r>
      <w:r w:rsidR="00D0476F">
        <w:rPr>
          <w:rFonts w:ascii="Times New Roman" w:hAnsi="Times New Roman"/>
          <w:sz w:val="20"/>
          <w:szCs w:val="20"/>
        </w:rPr>
        <w:t>People currently enrolled in elementary, secondary, or post-secondary education are assumed to experience the same age-specific per capita mortality as people not currently studying.</w:t>
      </w:r>
      <w:r w:rsidR="00347D18">
        <w:rPr>
          <w:rFonts w:ascii="Times New Roman" w:hAnsi="Times New Roman"/>
          <w:sz w:val="20"/>
          <w:szCs w:val="20"/>
        </w:rPr>
        <w:softHyphen/>
      </w:r>
      <w:r w:rsidR="00347D18">
        <w:rPr>
          <w:rFonts w:ascii="Times New Roman" w:hAnsi="Times New Roman"/>
          <w:sz w:val="20"/>
          <w:szCs w:val="20"/>
        </w:rPr>
        <w:softHyphen/>
      </w:r>
      <w:r w:rsidR="00347D18">
        <w:rPr>
          <w:rFonts w:ascii="Times New Roman" w:hAnsi="Times New Roman"/>
          <w:sz w:val="20"/>
          <w:szCs w:val="20"/>
        </w:rPr>
        <w:softHyphen/>
      </w:r>
    </w:p>
    <w:p w14:paraId="06087DD3" w14:textId="77777777" w:rsidR="001F2087" w:rsidRDefault="001F2087" w:rsidP="00FE09B6">
      <w:pPr>
        <w:spacing w:line="480" w:lineRule="auto"/>
        <w:rPr>
          <w:rFonts w:ascii="Times New Roman" w:hAnsi="Times New Roman"/>
          <w:sz w:val="20"/>
          <w:szCs w:val="20"/>
        </w:rPr>
      </w:pPr>
    </w:p>
    <w:p w14:paraId="3289316A" w14:textId="1F7671E4" w:rsidR="001145CC" w:rsidRDefault="001145CC" w:rsidP="00FE09B6">
      <w:pPr>
        <w:spacing w:line="480" w:lineRule="auto"/>
        <w:rPr>
          <w:rFonts w:ascii="Times New Roman" w:hAnsi="Times New Roman"/>
          <w:sz w:val="20"/>
          <w:szCs w:val="20"/>
        </w:rPr>
      </w:pPr>
      <w:r>
        <w:rPr>
          <w:rFonts w:ascii="Times New Roman" w:hAnsi="Times New Roman"/>
          <w:noProof/>
          <w:sz w:val="20"/>
          <w:szCs w:val="20"/>
        </w:rPr>
        <w:drawing>
          <wp:inline distT="0" distB="0" distL="0" distR="0" wp14:anchorId="1DFC0D79" wp14:editId="25EB6BA4">
            <wp:extent cx="5731510" cy="4144010"/>
            <wp:effectExtent l="0" t="0" r="254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4"/>
                    <a:stretch>
                      <a:fillRect/>
                    </a:stretch>
                  </pic:blipFill>
                  <pic:spPr>
                    <a:xfrm>
                      <a:off x="0" y="0"/>
                      <a:ext cx="5731510" cy="4144010"/>
                    </a:xfrm>
                    <a:prstGeom prst="rect">
                      <a:avLst/>
                    </a:prstGeom>
                  </pic:spPr>
                </pic:pic>
              </a:graphicData>
            </a:graphic>
          </wp:inline>
        </w:drawing>
      </w:r>
    </w:p>
    <w:p w14:paraId="69FF9355" w14:textId="1C3A7C31" w:rsidR="001145CC" w:rsidRDefault="001145CC" w:rsidP="00FE09B6">
      <w:pPr>
        <w:spacing w:line="480" w:lineRule="auto"/>
        <w:rPr>
          <w:rFonts w:ascii="Times New Roman" w:hAnsi="Times New Roman"/>
          <w:sz w:val="20"/>
          <w:szCs w:val="20"/>
        </w:rPr>
      </w:pPr>
      <w:r>
        <w:rPr>
          <w:rFonts w:ascii="Times New Roman" w:hAnsi="Times New Roman"/>
          <w:sz w:val="20"/>
          <w:szCs w:val="20"/>
        </w:rPr>
        <w:t>Fig. S7.  Structure of the education sector.</w:t>
      </w:r>
      <w:r w:rsidR="001F2087" w:rsidRPr="001F2087">
        <w:rPr>
          <w:rFonts w:ascii="Times New Roman" w:hAnsi="Times New Roman"/>
          <w:sz w:val="20"/>
          <w:szCs w:val="20"/>
        </w:rPr>
        <w:t xml:space="preserve"> </w:t>
      </w:r>
      <w:r w:rsidR="001F2087">
        <w:rPr>
          <w:rFonts w:ascii="Times New Roman" w:hAnsi="Times New Roman"/>
          <w:sz w:val="20"/>
          <w:szCs w:val="20"/>
        </w:rPr>
        <w:t xml:space="preserve"> Modelled factors that affect the discontinuation rate are listed in the text box.  SSGC = secondary school graduation certificate.</w:t>
      </w:r>
    </w:p>
    <w:p w14:paraId="0D351EBE" w14:textId="1F1CB135" w:rsidR="00AC52BE" w:rsidRDefault="009A36A1" w:rsidP="00FE09B6">
      <w:pPr>
        <w:spacing w:line="480" w:lineRule="auto"/>
        <w:rPr>
          <w:rFonts w:ascii="Times New Roman" w:hAnsi="Times New Roman"/>
          <w:sz w:val="20"/>
          <w:szCs w:val="20"/>
        </w:rPr>
      </w:pPr>
      <w:r>
        <w:rPr>
          <w:rFonts w:ascii="Times New Roman" w:hAnsi="Times New Roman"/>
          <w:sz w:val="20"/>
          <w:szCs w:val="20"/>
        </w:rPr>
        <w:lastRenderedPageBreak/>
        <w:t>People completing upper secondary (g</w:t>
      </w:r>
      <w:r w:rsidRPr="00933BCF">
        <w:rPr>
          <w:rFonts w:ascii="Times New Roman" w:hAnsi="Times New Roman"/>
          <w:sz w:val="20"/>
          <w:szCs w:val="20"/>
        </w:rPr>
        <w:t>rades 10</w:t>
      </w:r>
      <w:r>
        <w:rPr>
          <w:rFonts w:ascii="Times New Roman" w:hAnsi="Times New Roman"/>
          <w:sz w:val="20"/>
          <w:szCs w:val="20"/>
        </w:rPr>
        <w:t>−</w:t>
      </w:r>
      <w:r w:rsidRPr="00933BCF">
        <w:rPr>
          <w:rFonts w:ascii="Times New Roman" w:hAnsi="Times New Roman"/>
          <w:sz w:val="20"/>
          <w:szCs w:val="20"/>
        </w:rPr>
        <w:t>11</w:t>
      </w:r>
      <w:r>
        <w:rPr>
          <w:rFonts w:ascii="Times New Roman" w:hAnsi="Times New Roman"/>
          <w:sz w:val="20"/>
          <w:szCs w:val="20"/>
        </w:rPr>
        <w:t>) and post-secondary education</w:t>
      </w:r>
      <w:r w:rsidR="00D62B53">
        <w:rPr>
          <w:rFonts w:ascii="Times New Roman" w:hAnsi="Times New Roman"/>
          <w:sz w:val="20"/>
          <w:szCs w:val="20"/>
        </w:rPr>
        <w:t xml:space="preserve"> </w:t>
      </w:r>
      <w:r>
        <w:rPr>
          <w:rFonts w:ascii="Times New Roman" w:hAnsi="Times New Roman"/>
          <w:sz w:val="20"/>
          <w:szCs w:val="20"/>
        </w:rPr>
        <w:t xml:space="preserve">flow into stocks of 12−17-year-olds and adults aged 18 years </w:t>
      </w:r>
      <w:r w:rsidR="00D62B53">
        <w:rPr>
          <w:rFonts w:ascii="Times New Roman" w:hAnsi="Times New Roman"/>
          <w:sz w:val="20"/>
          <w:szCs w:val="20"/>
        </w:rPr>
        <w:t>and above</w:t>
      </w:r>
      <w:r>
        <w:rPr>
          <w:rFonts w:ascii="Times New Roman" w:hAnsi="Times New Roman"/>
          <w:sz w:val="20"/>
          <w:szCs w:val="20"/>
        </w:rPr>
        <w:t xml:space="preserve"> holding a </w:t>
      </w:r>
      <w:r w:rsidR="009F71CF">
        <w:rPr>
          <w:rFonts w:ascii="Times New Roman" w:hAnsi="Times New Roman"/>
          <w:sz w:val="20"/>
          <w:szCs w:val="20"/>
        </w:rPr>
        <w:t>s</w:t>
      </w:r>
      <w:r>
        <w:rPr>
          <w:rFonts w:ascii="Times New Roman" w:hAnsi="Times New Roman"/>
          <w:sz w:val="20"/>
          <w:szCs w:val="20"/>
        </w:rPr>
        <w:t xml:space="preserve">econdary </w:t>
      </w:r>
      <w:r w:rsidR="009F71CF">
        <w:rPr>
          <w:rFonts w:ascii="Times New Roman" w:hAnsi="Times New Roman"/>
          <w:sz w:val="20"/>
          <w:szCs w:val="20"/>
        </w:rPr>
        <w:t>s</w:t>
      </w:r>
      <w:r>
        <w:rPr>
          <w:rFonts w:ascii="Times New Roman" w:hAnsi="Times New Roman"/>
          <w:sz w:val="20"/>
          <w:szCs w:val="20"/>
        </w:rPr>
        <w:t xml:space="preserve">chool </w:t>
      </w:r>
      <w:r w:rsidR="009F71CF">
        <w:rPr>
          <w:rFonts w:ascii="Times New Roman" w:hAnsi="Times New Roman"/>
          <w:sz w:val="20"/>
          <w:szCs w:val="20"/>
        </w:rPr>
        <w:t>g</w:t>
      </w:r>
      <w:r>
        <w:rPr>
          <w:rFonts w:ascii="Times New Roman" w:hAnsi="Times New Roman"/>
          <w:sz w:val="20"/>
          <w:szCs w:val="20"/>
        </w:rPr>
        <w:t xml:space="preserve">raduation </w:t>
      </w:r>
      <w:r w:rsidR="009F71CF">
        <w:rPr>
          <w:rFonts w:ascii="Times New Roman" w:hAnsi="Times New Roman"/>
          <w:sz w:val="20"/>
          <w:szCs w:val="20"/>
        </w:rPr>
        <w:t>c</w:t>
      </w:r>
      <w:r>
        <w:rPr>
          <w:rFonts w:ascii="Times New Roman" w:hAnsi="Times New Roman"/>
          <w:sz w:val="20"/>
          <w:szCs w:val="20"/>
        </w:rPr>
        <w:t>ertificate</w:t>
      </w:r>
      <w:r w:rsidR="00F168CA">
        <w:rPr>
          <w:rFonts w:ascii="Times New Roman" w:hAnsi="Times New Roman"/>
          <w:sz w:val="20"/>
          <w:szCs w:val="20"/>
        </w:rPr>
        <w:t xml:space="preserve"> (Bachiller Académico, Bachiller Técnico, etc.)</w:t>
      </w:r>
      <w:r>
        <w:rPr>
          <w:rFonts w:ascii="Times New Roman" w:hAnsi="Times New Roman"/>
          <w:sz w:val="20"/>
          <w:szCs w:val="20"/>
        </w:rPr>
        <w:t xml:space="preserve"> or post-secondary qualification (Fig. S7).</w:t>
      </w:r>
      <w:r w:rsidR="00D36308">
        <w:rPr>
          <w:rFonts w:ascii="Times New Roman" w:hAnsi="Times New Roman"/>
          <w:sz w:val="20"/>
          <w:szCs w:val="20"/>
        </w:rPr>
        <w:t xml:space="preserve">  </w:t>
      </w:r>
      <w:r w:rsidR="00A96E0C">
        <w:rPr>
          <w:rFonts w:ascii="Times New Roman" w:hAnsi="Times New Roman"/>
          <w:sz w:val="20"/>
          <w:szCs w:val="20"/>
        </w:rPr>
        <w:t xml:space="preserve">Prior completion of upper secondary education is a pre-requisite for enrolment in post-secondary </w:t>
      </w:r>
      <w:r w:rsidR="00A37C21">
        <w:rPr>
          <w:rFonts w:ascii="Times New Roman" w:hAnsi="Times New Roman"/>
          <w:sz w:val="20"/>
          <w:szCs w:val="20"/>
        </w:rPr>
        <w:t>education</w:t>
      </w:r>
      <w:r w:rsidR="00A96E0C">
        <w:rPr>
          <w:rFonts w:ascii="Times New Roman" w:hAnsi="Times New Roman"/>
          <w:sz w:val="20"/>
          <w:szCs w:val="20"/>
        </w:rPr>
        <w:t>, so</w:t>
      </w:r>
      <w:r w:rsidR="00EF43B8">
        <w:rPr>
          <w:rFonts w:ascii="Times New Roman" w:hAnsi="Times New Roman"/>
          <w:sz w:val="20"/>
          <w:szCs w:val="20"/>
        </w:rPr>
        <w:t xml:space="preserve"> all</w:t>
      </w:r>
      <w:r w:rsidR="00A96E0C">
        <w:rPr>
          <w:rFonts w:ascii="Times New Roman" w:hAnsi="Times New Roman"/>
          <w:sz w:val="20"/>
          <w:szCs w:val="20"/>
        </w:rPr>
        <w:t xml:space="preserve"> adults completing post-secondary education </w:t>
      </w:r>
      <w:r w:rsidR="004664A4">
        <w:rPr>
          <w:rFonts w:ascii="Times New Roman" w:hAnsi="Times New Roman"/>
          <w:sz w:val="20"/>
          <w:szCs w:val="20"/>
        </w:rPr>
        <w:t xml:space="preserve">are assumed to </w:t>
      </w:r>
      <w:r w:rsidR="00A96E0C">
        <w:rPr>
          <w:rFonts w:ascii="Times New Roman" w:hAnsi="Times New Roman"/>
          <w:sz w:val="20"/>
          <w:szCs w:val="20"/>
        </w:rPr>
        <w:t xml:space="preserve">hold a secondary school graduation certificate; </w:t>
      </w:r>
      <w:r w:rsidR="003F6FA5">
        <w:rPr>
          <w:rFonts w:ascii="Times New Roman" w:hAnsi="Times New Roman"/>
          <w:sz w:val="20"/>
          <w:szCs w:val="20"/>
        </w:rPr>
        <w:t xml:space="preserve">the </w:t>
      </w:r>
      <w:r w:rsidR="002B3E55">
        <w:rPr>
          <w:rFonts w:ascii="Times New Roman" w:hAnsi="Times New Roman"/>
          <w:sz w:val="20"/>
          <w:szCs w:val="20"/>
        </w:rPr>
        <w:t>out</w:t>
      </w:r>
      <w:r w:rsidR="003F6FA5">
        <w:rPr>
          <w:rFonts w:ascii="Times New Roman" w:hAnsi="Times New Roman"/>
          <w:sz w:val="20"/>
          <w:szCs w:val="20"/>
        </w:rPr>
        <w:t xml:space="preserve">flow labelled ‘Completing post-secondary education 18+’ in Fig. S7 removes adults </w:t>
      </w:r>
      <w:r w:rsidR="0089496F">
        <w:rPr>
          <w:rFonts w:ascii="Times New Roman" w:hAnsi="Times New Roman"/>
          <w:sz w:val="20"/>
          <w:szCs w:val="20"/>
        </w:rPr>
        <w:t xml:space="preserve">currently </w:t>
      </w:r>
      <w:r w:rsidR="00EF43B8">
        <w:rPr>
          <w:rFonts w:ascii="Times New Roman" w:hAnsi="Times New Roman"/>
          <w:sz w:val="20"/>
          <w:szCs w:val="20"/>
        </w:rPr>
        <w:t>enrolled in</w:t>
      </w:r>
      <w:r w:rsidR="003F6FA5">
        <w:rPr>
          <w:rFonts w:ascii="Times New Roman" w:hAnsi="Times New Roman"/>
          <w:sz w:val="20"/>
          <w:szCs w:val="20"/>
        </w:rPr>
        <w:t xml:space="preserve"> post-secondary </w:t>
      </w:r>
      <w:r w:rsidR="0089496F">
        <w:rPr>
          <w:rFonts w:ascii="Times New Roman" w:hAnsi="Times New Roman"/>
          <w:sz w:val="20"/>
          <w:szCs w:val="20"/>
        </w:rPr>
        <w:t>education</w:t>
      </w:r>
      <w:r w:rsidR="003F6FA5">
        <w:rPr>
          <w:rFonts w:ascii="Times New Roman" w:hAnsi="Times New Roman"/>
          <w:sz w:val="20"/>
          <w:szCs w:val="20"/>
        </w:rPr>
        <w:t xml:space="preserve"> from the stock of </w:t>
      </w:r>
      <w:r w:rsidR="00BB2395">
        <w:rPr>
          <w:rFonts w:ascii="Times New Roman" w:hAnsi="Times New Roman"/>
          <w:sz w:val="20"/>
          <w:szCs w:val="20"/>
        </w:rPr>
        <w:t>upper secondary school graduates</w:t>
      </w:r>
      <w:r w:rsidR="00EF43B8">
        <w:rPr>
          <w:rFonts w:ascii="Times New Roman" w:hAnsi="Times New Roman"/>
          <w:sz w:val="20"/>
          <w:szCs w:val="20"/>
        </w:rPr>
        <w:t xml:space="preserve"> as they </w:t>
      </w:r>
      <w:r w:rsidR="004664A4">
        <w:rPr>
          <w:rFonts w:ascii="Times New Roman" w:hAnsi="Times New Roman"/>
          <w:sz w:val="20"/>
          <w:szCs w:val="20"/>
        </w:rPr>
        <w:t xml:space="preserve">complete their (post-secondary) </w:t>
      </w:r>
      <w:r w:rsidR="004D2074">
        <w:rPr>
          <w:rFonts w:ascii="Times New Roman" w:hAnsi="Times New Roman"/>
          <w:sz w:val="20"/>
          <w:szCs w:val="20"/>
        </w:rPr>
        <w:t>qualification</w:t>
      </w:r>
      <w:r w:rsidR="00C9447C">
        <w:rPr>
          <w:rFonts w:ascii="Times New Roman" w:hAnsi="Times New Roman"/>
          <w:sz w:val="20"/>
          <w:szCs w:val="20"/>
        </w:rPr>
        <w:t>, so tha</w:t>
      </w:r>
      <w:r w:rsidR="005F3B00">
        <w:rPr>
          <w:rFonts w:ascii="Times New Roman" w:hAnsi="Times New Roman"/>
          <w:sz w:val="20"/>
          <w:szCs w:val="20"/>
        </w:rPr>
        <w:t>t</w:t>
      </w:r>
      <w:r w:rsidR="000649B7">
        <w:rPr>
          <w:rFonts w:ascii="Times New Roman" w:hAnsi="Times New Roman"/>
          <w:sz w:val="20"/>
          <w:szCs w:val="20"/>
        </w:rPr>
        <w:t xml:space="preserve"> the stock ‘SSGC 18+’ corresponds to the number of adults </w:t>
      </w:r>
      <w:r w:rsidR="00420327">
        <w:rPr>
          <w:rFonts w:ascii="Times New Roman" w:hAnsi="Times New Roman"/>
          <w:sz w:val="20"/>
          <w:szCs w:val="20"/>
        </w:rPr>
        <w:t>holding</w:t>
      </w:r>
      <w:r w:rsidR="000649B7">
        <w:rPr>
          <w:rFonts w:ascii="Times New Roman" w:hAnsi="Times New Roman"/>
          <w:sz w:val="20"/>
          <w:szCs w:val="20"/>
        </w:rPr>
        <w:t xml:space="preserve"> a secondary school graduation certificate </w:t>
      </w:r>
      <w:r w:rsidR="00420327">
        <w:rPr>
          <w:rFonts w:ascii="Times New Roman" w:hAnsi="Times New Roman"/>
          <w:sz w:val="20"/>
          <w:szCs w:val="20"/>
        </w:rPr>
        <w:t>only</w:t>
      </w:r>
      <w:r w:rsidR="0059342D">
        <w:rPr>
          <w:rFonts w:ascii="Times New Roman" w:hAnsi="Times New Roman"/>
          <w:sz w:val="20"/>
          <w:szCs w:val="20"/>
        </w:rPr>
        <w:t>.</w:t>
      </w:r>
      <w:r w:rsidR="006165CF">
        <w:rPr>
          <w:rFonts w:ascii="Times New Roman" w:hAnsi="Times New Roman"/>
          <w:sz w:val="20"/>
          <w:szCs w:val="20"/>
        </w:rPr>
        <w:t xml:space="preserve">  </w:t>
      </w:r>
      <w:r w:rsidR="0059342D">
        <w:rPr>
          <w:rFonts w:ascii="Times New Roman" w:hAnsi="Times New Roman"/>
          <w:sz w:val="20"/>
          <w:szCs w:val="20"/>
        </w:rPr>
        <w:t xml:space="preserve">Numbers of people </w:t>
      </w:r>
      <w:r w:rsidR="00104230">
        <w:rPr>
          <w:rFonts w:ascii="Times New Roman" w:hAnsi="Times New Roman"/>
          <w:sz w:val="20"/>
          <w:szCs w:val="20"/>
        </w:rPr>
        <w:t>holding</w:t>
      </w:r>
      <w:r w:rsidR="0059342D">
        <w:rPr>
          <w:rFonts w:ascii="Times New Roman" w:hAnsi="Times New Roman"/>
          <w:sz w:val="20"/>
          <w:szCs w:val="20"/>
        </w:rPr>
        <w:t xml:space="preserve"> a secondary school graduation certificate</w:t>
      </w:r>
      <w:r w:rsidR="00DE4E7D">
        <w:rPr>
          <w:rFonts w:ascii="Times New Roman" w:hAnsi="Times New Roman"/>
          <w:sz w:val="20"/>
          <w:szCs w:val="20"/>
        </w:rPr>
        <w:t>/</w:t>
      </w:r>
      <w:r w:rsidR="0059342D">
        <w:rPr>
          <w:rFonts w:ascii="Times New Roman" w:hAnsi="Times New Roman"/>
          <w:sz w:val="20"/>
          <w:szCs w:val="20"/>
        </w:rPr>
        <w:t xml:space="preserve">post-secondary qualification increase (or decrease) due to net migration at rates equal to </w:t>
      </w:r>
      <m:oMath>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i</m:t>
            </m:r>
          </m:sub>
        </m:sSub>
        <m:sSub>
          <m:sSubPr>
            <m:ctrlPr>
              <w:rPr>
                <w:rFonts w:ascii="Cambria Math" w:hAnsi="Cambria Math"/>
                <w:i/>
                <w:sz w:val="20"/>
                <w:szCs w:val="20"/>
              </w:rPr>
            </m:ctrlPr>
          </m:sSubPr>
          <m:e>
            <m:r>
              <w:rPr>
                <w:rFonts w:ascii="Cambria Math" w:hAnsi="Cambria Math"/>
                <w:sz w:val="20"/>
                <w:szCs w:val="20"/>
              </w:rPr>
              <m:t>I</m:t>
            </m:r>
          </m:e>
          <m:sub>
            <m:r>
              <w:rPr>
                <w:rFonts w:ascii="Cambria Math" w:hAnsi="Cambria Math"/>
                <w:sz w:val="20"/>
                <w:szCs w:val="20"/>
              </w:rPr>
              <m:t>i</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q</m:t>
            </m:r>
          </m:e>
          <m:sub>
            <m:r>
              <w:rPr>
                <w:rFonts w:ascii="Cambria Math" w:hAnsi="Cambria Math"/>
                <w:sz w:val="20"/>
                <w:szCs w:val="20"/>
              </w:rPr>
              <m:t>i</m:t>
            </m:r>
          </m:sub>
        </m:sSub>
        <m:sSub>
          <m:sSubPr>
            <m:ctrlPr>
              <w:rPr>
                <w:rFonts w:ascii="Cambria Math" w:hAnsi="Cambria Math"/>
                <w:i/>
                <w:sz w:val="20"/>
                <w:szCs w:val="20"/>
              </w:rPr>
            </m:ctrlPr>
          </m:sSubPr>
          <m:e>
            <m:r>
              <w:rPr>
                <w:rFonts w:ascii="Cambria Math" w:hAnsi="Cambria Math"/>
                <w:sz w:val="20"/>
                <w:szCs w:val="20"/>
              </w:rPr>
              <m:t>e</m:t>
            </m:r>
          </m:e>
          <m:sub>
            <m:r>
              <w:rPr>
                <w:rFonts w:ascii="Cambria Math" w:hAnsi="Cambria Math"/>
                <w:sz w:val="20"/>
                <w:szCs w:val="20"/>
              </w:rPr>
              <m:t>i</m:t>
            </m:r>
          </m:sub>
        </m:sSub>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i</m:t>
            </m:r>
          </m:sub>
        </m:sSub>
      </m:oMath>
      <w:r w:rsidR="0059342D">
        <w:rPr>
          <w:rFonts w:ascii="Times New Roman" w:hAnsi="Times New Roman"/>
          <w:sz w:val="20"/>
          <w:szCs w:val="20"/>
        </w:rPr>
        <w:t xml:space="preserve">, where </w:t>
      </w:r>
      <m:oMath>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i</m:t>
            </m:r>
          </m:sub>
        </m:sSub>
      </m:oMath>
      <w:r w:rsidR="0059342D">
        <w:rPr>
          <w:rFonts w:ascii="Times New Roman" w:hAnsi="Times New Roman"/>
          <w:sz w:val="20"/>
          <w:szCs w:val="20"/>
        </w:rPr>
        <w:t xml:space="preserve"> and </w:t>
      </w:r>
      <m:oMath>
        <m:sSub>
          <m:sSubPr>
            <m:ctrlPr>
              <w:rPr>
                <w:rFonts w:ascii="Cambria Math" w:hAnsi="Cambria Math"/>
                <w:i/>
                <w:sz w:val="20"/>
                <w:szCs w:val="20"/>
              </w:rPr>
            </m:ctrlPr>
          </m:sSubPr>
          <m:e>
            <m:r>
              <w:rPr>
                <w:rFonts w:ascii="Cambria Math" w:hAnsi="Cambria Math"/>
                <w:sz w:val="20"/>
                <w:szCs w:val="20"/>
              </w:rPr>
              <m:t>q</m:t>
            </m:r>
          </m:e>
          <m:sub>
            <m:r>
              <w:rPr>
                <w:rFonts w:ascii="Cambria Math" w:hAnsi="Cambria Math"/>
                <w:sz w:val="20"/>
                <w:szCs w:val="20"/>
              </w:rPr>
              <m:t>i</m:t>
            </m:r>
          </m:sub>
        </m:sSub>
      </m:oMath>
      <w:r w:rsidR="0059342D">
        <w:rPr>
          <w:rFonts w:ascii="Times New Roman" w:hAnsi="Times New Roman"/>
          <w:sz w:val="20"/>
          <w:szCs w:val="20"/>
        </w:rPr>
        <w:t xml:space="preserve"> are the age-specific proportions of people </w:t>
      </w:r>
      <w:r w:rsidR="00882D17">
        <w:rPr>
          <w:rFonts w:ascii="Times New Roman" w:hAnsi="Times New Roman"/>
          <w:sz w:val="20"/>
          <w:szCs w:val="20"/>
        </w:rPr>
        <w:t>who have completed upper secondary school</w:t>
      </w:r>
      <w:r w:rsidR="00DE4E7D">
        <w:rPr>
          <w:rFonts w:ascii="Times New Roman" w:hAnsi="Times New Roman"/>
          <w:sz w:val="20"/>
          <w:szCs w:val="20"/>
        </w:rPr>
        <w:t>/</w:t>
      </w:r>
      <w:r w:rsidR="0059342D">
        <w:rPr>
          <w:rFonts w:ascii="Times New Roman" w:hAnsi="Times New Roman"/>
          <w:sz w:val="20"/>
          <w:szCs w:val="20"/>
        </w:rPr>
        <w:t xml:space="preserve">post-secondary </w:t>
      </w:r>
      <w:r w:rsidR="00DE4E7D">
        <w:rPr>
          <w:rFonts w:ascii="Times New Roman" w:hAnsi="Times New Roman"/>
          <w:sz w:val="20"/>
          <w:szCs w:val="20"/>
        </w:rPr>
        <w:t>education</w:t>
      </w:r>
      <w:r w:rsidR="00104230">
        <w:rPr>
          <w:rFonts w:ascii="Times New Roman" w:hAnsi="Times New Roman"/>
          <w:sz w:val="20"/>
          <w:szCs w:val="20"/>
        </w:rPr>
        <w:t xml:space="preserve"> </w:t>
      </w:r>
      <w:r w:rsidR="0059342D">
        <w:rPr>
          <w:rFonts w:ascii="Times New Roman" w:hAnsi="Times New Roman"/>
          <w:sz w:val="20"/>
          <w:szCs w:val="20"/>
        </w:rPr>
        <w:t xml:space="preserve">among immigrants and Bogotá residents, respectively, </w:t>
      </w:r>
      <m:oMath>
        <m:sSub>
          <m:sSubPr>
            <m:ctrlPr>
              <w:rPr>
                <w:rFonts w:ascii="Cambria Math" w:hAnsi="Cambria Math"/>
                <w:i/>
                <w:sz w:val="20"/>
                <w:szCs w:val="20"/>
              </w:rPr>
            </m:ctrlPr>
          </m:sSubPr>
          <m:e>
            <m:r>
              <w:rPr>
                <w:rFonts w:ascii="Cambria Math" w:hAnsi="Cambria Math"/>
                <w:sz w:val="20"/>
                <w:szCs w:val="20"/>
              </w:rPr>
              <m:t>I</m:t>
            </m:r>
          </m:e>
          <m:sub>
            <m:r>
              <w:rPr>
                <w:rFonts w:ascii="Cambria Math" w:hAnsi="Cambria Math"/>
                <w:sz w:val="20"/>
                <w:szCs w:val="20"/>
              </w:rPr>
              <m:t>i</m:t>
            </m:r>
          </m:sub>
        </m:sSub>
      </m:oMath>
      <w:r w:rsidR="0059342D">
        <w:rPr>
          <w:rFonts w:ascii="Times New Roman" w:hAnsi="Times New Roman"/>
          <w:sz w:val="20"/>
          <w:szCs w:val="20"/>
        </w:rPr>
        <w:t xml:space="preserve"> is total age-specific immigration per year, </w:t>
      </w:r>
      <m:oMath>
        <m:sSub>
          <m:sSubPr>
            <m:ctrlPr>
              <w:rPr>
                <w:rFonts w:ascii="Cambria Math" w:hAnsi="Cambria Math"/>
                <w:i/>
                <w:sz w:val="20"/>
                <w:szCs w:val="20"/>
              </w:rPr>
            </m:ctrlPr>
          </m:sSubPr>
          <m:e>
            <m:r>
              <w:rPr>
                <w:rFonts w:ascii="Cambria Math" w:hAnsi="Cambria Math"/>
                <w:sz w:val="20"/>
                <w:szCs w:val="20"/>
              </w:rPr>
              <m:t>e</m:t>
            </m:r>
          </m:e>
          <m:sub>
            <m:r>
              <w:rPr>
                <w:rFonts w:ascii="Cambria Math" w:hAnsi="Cambria Math"/>
                <w:sz w:val="20"/>
                <w:szCs w:val="20"/>
              </w:rPr>
              <m:t>i</m:t>
            </m:r>
          </m:sub>
        </m:sSub>
      </m:oMath>
      <w:r w:rsidR="0059342D">
        <w:rPr>
          <w:rFonts w:ascii="Times New Roman" w:hAnsi="Times New Roman"/>
          <w:sz w:val="20"/>
          <w:szCs w:val="20"/>
        </w:rPr>
        <w:t xml:space="preserve"> is the age-specific per capita emigration rate per year, and </w:t>
      </w:r>
      <m:oMath>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i</m:t>
            </m:r>
          </m:sub>
        </m:sSub>
      </m:oMath>
      <w:r w:rsidR="0059342D">
        <w:rPr>
          <w:rFonts w:ascii="Times New Roman" w:hAnsi="Times New Roman"/>
          <w:sz w:val="20"/>
          <w:szCs w:val="20"/>
        </w:rPr>
        <w:t xml:space="preserve"> is the number of people in age group </w:t>
      </w:r>
      <m:oMath>
        <m:r>
          <w:rPr>
            <w:rFonts w:ascii="Cambria Math" w:hAnsi="Cambria Math"/>
            <w:sz w:val="20"/>
            <w:szCs w:val="20"/>
          </w:rPr>
          <m:t>i</m:t>
        </m:r>
      </m:oMath>
      <w:r w:rsidR="0059342D">
        <w:rPr>
          <w:rFonts w:ascii="Times New Roman" w:hAnsi="Times New Roman"/>
          <w:sz w:val="20"/>
          <w:szCs w:val="20"/>
        </w:rPr>
        <w:t xml:space="preserve"> </w:t>
      </w:r>
      <w:r w:rsidR="00A412DF">
        <w:rPr>
          <w:rFonts w:ascii="Times New Roman" w:hAnsi="Times New Roman"/>
          <w:sz w:val="20"/>
          <w:szCs w:val="20"/>
        </w:rPr>
        <w:t xml:space="preserve">who currently </w:t>
      </w:r>
      <w:r w:rsidR="00DE4E7D">
        <w:rPr>
          <w:rFonts w:ascii="Times New Roman" w:hAnsi="Times New Roman"/>
          <w:sz w:val="20"/>
          <w:szCs w:val="20"/>
        </w:rPr>
        <w:t>resid</w:t>
      </w:r>
      <w:r w:rsidR="00A412DF">
        <w:rPr>
          <w:rFonts w:ascii="Times New Roman" w:hAnsi="Times New Roman"/>
          <w:sz w:val="20"/>
          <w:szCs w:val="20"/>
        </w:rPr>
        <w:t>e</w:t>
      </w:r>
      <w:r w:rsidR="00DE4E7D">
        <w:rPr>
          <w:rFonts w:ascii="Times New Roman" w:hAnsi="Times New Roman"/>
          <w:sz w:val="20"/>
          <w:szCs w:val="20"/>
        </w:rPr>
        <w:t xml:space="preserve"> </w:t>
      </w:r>
      <w:r w:rsidR="0059342D">
        <w:rPr>
          <w:rFonts w:ascii="Times New Roman" w:hAnsi="Times New Roman"/>
          <w:sz w:val="20"/>
          <w:szCs w:val="20"/>
        </w:rPr>
        <w:t>in Bogotá.</w:t>
      </w:r>
      <w:r w:rsidR="00882D17">
        <w:rPr>
          <w:rFonts w:ascii="Times New Roman" w:hAnsi="Times New Roman"/>
          <w:sz w:val="20"/>
          <w:szCs w:val="20"/>
        </w:rPr>
        <w:t xml:space="preserve">  </w:t>
      </w:r>
      <w:r w:rsidR="0059342D">
        <w:rPr>
          <w:rFonts w:ascii="Times New Roman" w:hAnsi="Times New Roman"/>
          <w:sz w:val="20"/>
          <w:szCs w:val="20"/>
        </w:rPr>
        <w:t xml:space="preserve">Per capita mortality rates for people </w:t>
      </w:r>
      <w:r w:rsidR="00A412DF">
        <w:rPr>
          <w:rFonts w:ascii="Times New Roman" w:hAnsi="Times New Roman"/>
          <w:sz w:val="20"/>
          <w:szCs w:val="20"/>
        </w:rPr>
        <w:t xml:space="preserve">who have </w:t>
      </w:r>
      <w:r w:rsidR="0059342D">
        <w:rPr>
          <w:rFonts w:ascii="Times New Roman" w:hAnsi="Times New Roman"/>
          <w:sz w:val="20"/>
          <w:szCs w:val="20"/>
        </w:rPr>
        <w:t xml:space="preserve">a post-secondary qualification are assumed to be 0.74 times those for people without a </w:t>
      </w:r>
      <w:r w:rsidR="00882D17">
        <w:rPr>
          <w:rFonts w:ascii="Times New Roman" w:hAnsi="Times New Roman"/>
          <w:sz w:val="20"/>
          <w:szCs w:val="20"/>
        </w:rPr>
        <w:t xml:space="preserve">post-secondary </w:t>
      </w:r>
      <w:r w:rsidR="0059342D">
        <w:rPr>
          <w:rFonts w:ascii="Times New Roman" w:hAnsi="Times New Roman"/>
          <w:sz w:val="20"/>
          <w:szCs w:val="20"/>
        </w:rPr>
        <w:t>qualification</w:t>
      </w:r>
      <w:r w:rsidR="00A412DF">
        <w:rPr>
          <w:rFonts w:ascii="Times New Roman" w:hAnsi="Times New Roman"/>
          <w:sz w:val="20"/>
          <w:szCs w:val="20"/>
        </w:rPr>
        <w:t xml:space="preserve">, </w:t>
      </w:r>
      <w:r w:rsidR="00C946F8">
        <w:rPr>
          <w:rFonts w:ascii="Times New Roman" w:hAnsi="Times New Roman"/>
          <w:sz w:val="20"/>
          <w:szCs w:val="20"/>
        </w:rPr>
        <w:t xml:space="preserve">including </w:t>
      </w:r>
      <w:r w:rsidR="00A412DF">
        <w:rPr>
          <w:rFonts w:ascii="Times New Roman" w:hAnsi="Times New Roman"/>
          <w:sz w:val="20"/>
          <w:szCs w:val="20"/>
        </w:rPr>
        <w:t>people with</w:t>
      </w:r>
      <w:r w:rsidR="00DE4E7D">
        <w:rPr>
          <w:rFonts w:ascii="Times New Roman" w:hAnsi="Times New Roman"/>
          <w:sz w:val="20"/>
          <w:szCs w:val="20"/>
        </w:rPr>
        <w:t xml:space="preserve"> a secondary school graduation certificate </w:t>
      </w:r>
      <w:r w:rsidR="00A412DF">
        <w:rPr>
          <w:rFonts w:ascii="Times New Roman" w:hAnsi="Times New Roman"/>
          <w:sz w:val="20"/>
          <w:szCs w:val="20"/>
        </w:rPr>
        <w:t xml:space="preserve">(see </w:t>
      </w:r>
      <w:r w:rsidR="0059342D">
        <w:rPr>
          <w:rFonts w:ascii="Times New Roman" w:hAnsi="Times New Roman"/>
          <w:sz w:val="20"/>
          <w:szCs w:val="20"/>
        </w:rPr>
        <w:t xml:space="preserve">Backlund et al., 1999).  </w:t>
      </w:r>
      <w:r w:rsidR="00A412DF">
        <w:rPr>
          <w:rFonts w:ascii="Times New Roman" w:hAnsi="Times New Roman"/>
          <w:sz w:val="20"/>
          <w:szCs w:val="20"/>
        </w:rPr>
        <w:t>M</w:t>
      </w:r>
      <w:r w:rsidR="0059342D">
        <w:rPr>
          <w:rFonts w:ascii="Times New Roman" w:hAnsi="Times New Roman"/>
          <w:sz w:val="20"/>
          <w:szCs w:val="20"/>
        </w:rPr>
        <w:t xml:space="preserve">odel-based estimates of the </w:t>
      </w:r>
      <w:r w:rsidR="00882D17">
        <w:rPr>
          <w:rFonts w:ascii="Times New Roman" w:hAnsi="Times New Roman"/>
          <w:sz w:val="20"/>
          <w:szCs w:val="20"/>
        </w:rPr>
        <w:t xml:space="preserve">proportion of people </w:t>
      </w:r>
      <w:r w:rsidR="00A412DF">
        <w:rPr>
          <w:rFonts w:ascii="Times New Roman" w:hAnsi="Times New Roman"/>
          <w:sz w:val="20"/>
          <w:szCs w:val="20"/>
        </w:rPr>
        <w:t xml:space="preserve">with </w:t>
      </w:r>
      <w:r w:rsidR="00882D17">
        <w:rPr>
          <w:rFonts w:ascii="Times New Roman" w:hAnsi="Times New Roman"/>
          <w:sz w:val="20"/>
          <w:szCs w:val="20"/>
        </w:rPr>
        <w:t>a secondary school graduation certificate</w:t>
      </w:r>
      <w:r w:rsidR="00C946F8">
        <w:rPr>
          <w:rFonts w:ascii="Times New Roman" w:hAnsi="Times New Roman"/>
          <w:sz w:val="20"/>
          <w:szCs w:val="20"/>
        </w:rPr>
        <w:t xml:space="preserve"> and the proportion</w:t>
      </w:r>
      <w:r w:rsidR="00882D17">
        <w:rPr>
          <w:rFonts w:ascii="Times New Roman" w:hAnsi="Times New Roman"/>
          <w:sz w:val="20"/>
          <w:szCs w:val="20"/>
        </w:rPr>
        <w:t xml:space="preserve"> </w:t>
      </w:r>
      <w:r w:rsidR="00C946F8">
        <w:rPr>
          <w:rFonts w:ascii="Times New Roman" w:hAnsi="Times New Roman"/>
          <w:sz w:val="20"/>
          <w:szCs w:val="20"/>
        </w:rPr>
        <w:t xml:space="preserve">of people </w:t>
      </w:r>
      <w:r w:rsidR="00A412DF">
        <w:rPr>
          <w:rFonts w:ascii="Times New Roman" w:hAnsi="Times New Roman"/>
          <w:sz w:val="20"/>
          <w:szCs w:val="20"/>
        </w:rPr>
        <w:t>with</w:t>
      </w:r>
      <w:r w:rsidR="00882D17">
        <w:rPr>
          <w:rFonts w:ascii="Times New Roman" w:hAnsi="Times New Roman"/>
          <w:sz w:val="20"/>
          <w:szCs w:val="20"/>
        </w:rPr>
        <w:t xml:space="preserve"> </w:t>
      </w:r>
      <w:r w:rsidR="00C946F8">
        <w:rPr>
          <w:rFonts w:ascii="Times New Roman" w:hAnsi="Times New Roman"/>
          <w:sz w:val="20"/>
          <w:szCs w:val="20"/>
        </w:rPr>
        <w:t xml:space="preserve">a </w:t>
      </w:r>
      <w:r w:rsidR="00882D17">
        <w:rPr>
          <w:rFonts w:ascii="Times New Roman" w:hAnsi="Times New Roman"/>
          <w:sz w:val="20"/>
          <w:szCs w:val="20"/>
        </w:rPr>
        <w:t>post-secondary qualification</w:t>
      </w:r>
      <w:r w:rsidR="00C946F8">
        <w:rPr>
          <w:rFonts w:ascii="Times New Roman" w:hAnsi="Times New Roman"/>
          <w:sz w:val="20"/>
          <w:szCs w:val="20"/>
        </w:rPr>
        <w:t xml:space="preserve"> </w:t>
      </w:r>
      <w:r w:rsidR="00A412DF">
        <w:rPr>
          <w:rFonts w:ascii="Times New Roman" w:hAnsi="Times New Roman"/>
          <w:sz w:val="20"/>
          <w:szCs w:val="20"/>
        </w:rPr>
        <w:t xml:space="preserve">are presented </w:t>
      </w:r>
      <w:r w:rsidR="00C946F8">
        <w:rPr>
          <w:rFonts w:ascii="Times New Roman" w:hAnsi="Times New Roman"/>
          <w:sz w:val="20"/>
          <w:szCs w:val="20"/>
        </w:rPr>
        <w:t xml:space="preserve">together with </w:t>
      </w:r>
      <w:r w:rsidR="00A412DF">
        <w:rPr>
          <w:rFonts w:ascii="Times New Roman" w:hAnsi="Times New Roman"/>
          <w:sz w:val="20"/>
          <w:szCs w:val="20"/>
        </w:rPr>
        <w:t xml:space="preserve">corresponding </w:t>
      </w:r>
      <w:r w:rsidR="00C946F8">
        <w:rPr>
          <w:rFonts w:ascii="Times New Roman" w:hAnsi="Times New Roman"/>
          <w:sz w:val="20"/>
          <w:szCs w:val="20"/>
        </w:rPr>
        <w:t xml:space="preserve">estimates </w:t>
      </w:r>
      <w:r w:rsidR="00A412DF">
        <w:rPr>
          <w:rFonts w:ascii="Times New Roman" w:hAnsi="Times New Roman"/>
          <w:sz w:val="20"/>
          <w:szCs w:val="20"/>
        </w:rPr>
        <w:t xml:space="preserve">derived </w:t>
      </w:r>
      <w:r w:rsidR="00C946F8">
        <w:rPr>
          <w:rFonts w:ascii="Times New Roman" w:hAnsi="Times New Roman"/>
          <w:sz w:val="20"/>
          <w:szCs w:val="20"/>
        </w:rPr>
        <w:t>from the Large Integrated Household Survey</w:t>
      </w:r>
      <w:r w:rsidR="00A412DF">
        <w:rPr>
          <w:rFonts w:ascii="Times New Roman" w:hAnsi="Times New Roman"/>
          <w:sz w:val="20"/>
          <w:szCs w:val="20"/>
        </w:rPr>
        <w:t xml:space="preserve"> </w:t>
      </w:r>
      <w:r w:rsidR="00106CA5">
        <w:rPr>
          <w:rFonts w:ascii="Times New Roman" w:hAnsi="Times New Roman"/>
          <w:sz w:val="20"/>
          <w:szCs w:val="20"/>
        </w:rPr>
        <w:t xml:space="preserve">in </w:t>
      </w:r>
      <w:r w:rsidR="00A412DF">
        <w:rPr>
          <w:rFonts w:ascii="Times New Roman" w:hAnsi="Times New Roman"/>
          <w:sz w:val="20"/>
          <w:szCs w:val="20"/>
        </w:rPr>
        <w:t>Fig. S8.</w:t>
      </w:r>
    </w:p>
    <w:p w14:paraId="3DECBEFE" w14:textId="77777777" w:rsidR="00AA29E6" w:rsidRDefault="00AA29E6" w:rsidP="00FE09B6">
      <w:pPr>
        <w:spacing w:line="480" w:lineRule="auto"/>
        <w:rPr>
          <w:rFonts w:ascii="Times New Roman" w:hAnsi="Times New Roman"/>
          <w:sz w:val="20"/>
          <w:szCs w:val="20"/>
        </w:rPr>
      </w:pPr>
    </w:p>
    <w:p w14:paraId="4ECFC2CE" w14:textId="2A9358EF" w:rsidR="00106CA5" w:rsidRPr="001121F7" w:rsidRDefault="00106CA5" w:rsidP="00FE09B6">
      <w:pPr>
        <w:spacing w:line="480" w:lineRule="auto"/>
        <w:rPr>
          <w:rFonts w:ascii="Times New Roman" w:hAnsi="Times New Roman"/>
          <w:i/>
          <w:iCs/>
          <w:sz w:val="20"/>
          <w:szCs w:val="20"/>
        </w:rPr>
      </w:pPr>
      <w:r w:rsidRPr="001121F7">
        <w:rPr>
          <w:rFonts w:ascii="Times New Roman" w:hAnsi="Times New Roman"/>
          <w:i/>
          <w:iCs/>
          <w:sz w:val="20"/>
          <w:szCs w:val="20"/>
        </w:rPr>
        <w:t>1.6.  Unemployment and poverty sector</w:t>
      </w:r>
    </w:p>
    <w:p w14:paraId="49973128" w14:textId="2B4BB84F" w:rsidR="00C91066" w:rsidRDefault="00334173" w:rsidP="00FE09B6">
      <w:pPr>
        <w:spacing w:line="480" w:lineRule="auto"/>
        <w:rPr>
          <w:rFonts w:ascii="Times New Roman" w:hAnsi="Times New Roman"/>
          <w:sz w:val="20"/>
          <w:szCs w:val="20"/>
        </w:rPr>
      </w:pPr>
      <w:r>
        <w:rPr>
          <w:rFonts w:ascii="Times New Roman" w:hAnsi="Times New Roman"/>
          <w:sz w:val="20"/>
          <w:szCs w:val="20"/>
        </w:rPr>
        <w:t>Fig. S9 presents t</w:t>
      </w:r>
      <w:r w:rsidR="005E199F">
        <w:rPr>
          <w:rFonts w:ascii="Times New Roman" w:hAnsi="Times New Roman"/>
          <w:sz w:val="20"/>
          <w:szCs w:val="20"/>
        </w:rPr>
        <w:t>he structure of the unemployment and poverty sector, which</w:t>
      </w:r>
      <w:r>
        <w:rPr>
          <w:rFonts w:ascii="Times New Roman" w:hAnsi="Times New Roman"/>
          <w:sz w:val="20"/>
          <w:szCs w:val="20"/>
        </w:rPr>
        <w:t xml:space="preserve"> models </w:t>
      </w:r>
      <w:r w:rsidR="00626D48">
        <w:rPr>
          <w:rFonts w:ascii="Times New Roman" w:hAnsi="Times New Roman"/>
          <w:sz w:val="20"/>
          <w:szCs w:val="20"/>
        </w:rPr>
        <w:t>economic participation, unemployment</w:t>
      </w:r>
      <w:r>
        <w:rPr>
          <w:rFonts w:ascii="Times New Roman" w:hAnsi="Times New Roman"/>
          <w:sz w:val="20"/>
          <w:szCs w:val="20"/>
        </w:rPr>
        <w:t xml:space="preserve">, </w:t>
      </w:r>
      <w:r w:rsidR="00626D48">
        <w:rPr>
          <w:rFonts w:ascii="Times New Roman" w:hAnsi="Times New Roman"/>
          <w:sz w:val="20"/>
          <w:szCs w:val="20"/>
        </w:rPr>
        <w:t xml:space="preserve">and </w:t>
      </w:r>
      <w:r>
        <w:rPr>
          <w:rFonts w:ascii="Times New Roman" w:hAnsi="Times New Roman"/>
          <w:sz w:val="20"/>
          <w:szCs w:val="20"/>
        </w:rPr>
        <w:t>informal employment and poverty</w:t>
      </w:r>
      <w:r w:rsidR="00EF0861">
        <w:rPr>
          <w:rFonts w:ascii="Times New Roman" w:hAnsi="Times New Roman"/>
          <w:sz w:val="20"/>
          <w:szCs w:val="20"/>
        </w:rPr>
        <w:t>.</w:t>
      </w:r>
      <w:r w:rsidR="00C91066">
        <w:rPr>
          <w:rFonts w:ascii="Times New Roman" w:hAnsi="Times New Roman"/>
          <w:sz w:val="20"/>
          <w:szCs w:val="20"/>
        </w:rPr>
        <w:t xml:space="preserve">  The total labour force is represented as four stocks, corresponding to </w:t>
      </w:r>
      <w:r w:rsidR="00F27448">
        <w:rPr>
          <w:rFonts w:ascii="Times New Roman" w:hAnsi="Times New Roman"/>
          <w:sz w:val="20"/>
          <w:szCs w:val="20"/>
        </w:rPr>
        <w:t xml:space="preserve">the </w:t>
      </w:r>
      <w:r w:rsidR="00C91066">
        <w:rPr>
          <w:rFonts w:ascii="Times New Roman" w:hAnsi="Times New Roman"/>
          <w:sz w:val="20"/>
          <w:szCs w:val="20"/>
        </w:rPr>
        <w:t xml:space="preserve">numbers of employed (including informally employed) and unemployed people aged 12−17 years and 18 years and above.  Adolescents </w:t>
      </w:r>
      <w:r w:rsidR="00AD2D2F">
        <w:rPr>
          <w:rFonts w:ascii="Times New Roman" w:hAnsi="Times New Roman"/>
          <w:sz w:val="20"/>
          <w:szCs w:val="20"/>
        </w:rPr>
        <w:t>turning 12 years</w:t>
      </w:r>
      <w:r w:rsidR="00EE5067">
        <w:rPr>
          <w:rFonts w:ascii="Times New Roman" w:hAnsi="Times New Roman"/>
          <w:sz w:val="20"/>
          <w:szCs w:val="20"/>
        </w:rPr>
        <w:t xml:space="preserve"> </w:t>
      </w:r>
      <w:r w:rsidR="00AD2D2F">
        <w:rPr>
          <w:rFonts w:ascii="Times New Roman" w:hAnsi="Times New Roman"/>
          <w:sz w:val="20"/>
          <w:szCs w:val="20"/>
        </w:rPr>
        <w:t>are assumed to enter the population of those not in the labour force, i.e., people who are neither employed nor seeking employment (1</w:t>
      </w:r>
      <w:r w:rsidR="00EE5067">
        <w:rPr>
          <w:rFonts w:ascii="Times New Roman" w:hAnsi="Times New Roman"/>
          <w:sz w:val="20"/>
          <w:szCs w:val="20"/>
        </w:rPr>
        <w:t>2</w:t>
      </w:r>
      <w:r w:rsidR="00AD2D2F">
        <w:rPr>
          <w:rFonts w:ascii="Times New Roman" w:hAnsi="Times New Roman"/>
          <w:sz w:val="20"/>
          <w:szCs w:val="20"/>
        </w:rPr>
        <w:t xml:space="preserve">-year-olds are required to attend school full-time in </w:t>
      </w:r>
      <w:r w:rsidR="00EE5067">
        <w:rPr>
          <w:rFonts w:ascii="Times New Roman" w:hAnsi="Times New Roman"/>
          <w:sz w:val="20"/>
          <w:szCs w:val="20"/>
        </w:rPr>
        <w:t>Colombia</w:t>
      </w:r>
      <w:r w:rsidR="00AD2D2F">
        <w:rPr>
          <w:rFonts w:ascii="Times New Roman" w:hAnsi="Times New Roman"/>
          <w:sz w:val="20"/>
          <w:szCs w:val="20"/>
        </w:rPr>
        <w:t>, and the vast majority will not be in the labour force).  People not in the labour force may decide to seek employment, at which point they enter the stocks of unemployed people, while those seeking employment (i.e., the unemployed) may leave the labour force</w:t>
      </w:r>
      <w:r w:rsidR="00EE5067">
        <w:rPr>
          <w:rFonts w:ascii="Times New Roman" w:hAnsi="Times New Roman"/>
          <w:sz w:val="20"/>
          <w:szCs w:val="20"/>
        </w:rPr>
        <w:t>.</w:t>
      </w:r>
      <w:r w:rsidR="00763CDE">
        <w:rPr>
          <w:rFonts w:ascii="Times New Roman" w:hAnsi="Times New Roman"/>
          <w:sz w:val="20"/>
          <w:szCs w:val="20"/>
        </w:rPr>
        <w:t xml:space="preserve">  Age-specific net flows from the unemployed population to the population of people not in the labour force are calculated as </w:t>
      </w:r>
      <m:oMath>
        <m:r>
          <w:rPr>
            <w:rFonts w:ascii="Cambria Math" w:hAnsi="Cambria Math"/>
            <w:sz w:val="20"/>
            <w:szCs w:val="20"/>
          </w:rPr>
          <w:lastRenderedPageBreak/>
          <m:t>frU-gsN</m:t>
        </m:r>
      </m:oMath>
      <w:r w:rsidR="00763CDE">
        <w:rPr>
          <w:rFonts w:ascii="Times New Roman" w:hAnsi="Times New Roman"/>
          <w:sz w:val="20"/>
          <w:szCs w:val="20"/>
        </w:rPr>
        <w:t xml:space="preserve">, where </w:t>
      </w:r>
      <m:oMath>
        <m:r>
          <w:rPr>
            <w:rFonts w:ascii="Cambria Math" w:hAnsi="Cambria Math"/>
            <w:sz w:val="20"/>
            <w:szCs w:val="20"/>
          </w:rPr>
          <m:t>U</m:t>
        </m:r>
      </m:oMath>
      <w:r w:rsidR="00763CDE">
        <w:rPr>
          <w:rFonts w:ascii="Times New Roman" w:hAnsi="Times New Roman"/>
          <w:sz w:val="20"/>
          <w:szCs w:val="20"/>
        </w:rPr>
        <w:t xml:space="preserve"> and </w:t>
      </w:r>
      <m:oMath>
        <m:r>
          <w:rPr>
            <w:rFonts w:ascii="Cambria Math" w:hAnsi="Cambria Math"/>
            <w:sz w:val="20"/>
            <w:szCs w:val="20"/>
          </w:rPr>
          <m:t>N</m:t>
        </m:r>
      </m:oMath>
      <w:r w:rsidR="00763CDE">
        <w:rPr>
          <w:rFonts w:ascii="Times New Roman" w:hAnsi="Times New Roman"/>
          <w:sz w:val="20"/>
          <w:szCs w:val="20"/>
        </w:rPr>
        <w:t xml:space="preserve"> are, respectively, the numbers of unemployed</w:t>
      </w:r>
      <w:r w:rsidR="008412D6">
        <w:rPr>
          <w:rFonts w:ascii="Times New Roman" w:hAnsi="Times New Roman"/>
          <w:sz w:val="20"/>
          <w:szCs w:val="20"/>
        </w:rPr>
        <w:t xml:space="preserve"> people</w:t>
      </w:r>
      <w:r w:rsidR="00763CDE">
        <w:rPr>
          <w:rFonts w:ascii="Times New Roman" w:hAnsi="Times New Roman"/>
          <w:sz w:val="20"/>
          <w:szCs w:val="20"/>
        </w:rPr>
        <w:t xml:space="preserve"> and people not in the labour force, </w:t>
      </w:r>
      <m:oMath>
        <m:r>
          <w:rPr>
            <w:rFonts w:ascii="Cambria Math" w:hAnsi="Cambria Math"/>
            <w:sz w:val="20"/>
            <w:szCs w:val="20"/>
          </w:rPr>
          <m:t>r</m:t>
        </m:r>
      </m:oMath>
      <w:r w:rsidR="00763CDE">
        <w:rPr>
          <w:rFonts w:ascii="Times New Roman" w:hAnsi="Times New Roman"/>
          <w:sz w:val="20"/>
          <w:szCs w:val="20"/>
        </w:rPr>
        <w:t xml:space="preserve"> is the</w:t>
      </w:r>
      <w:r w:rsidR="008412D6">
        <w:rPr>
          <w:rFonts w:ascii="Times New Roman" w:hAnsi="Times New Roman"/>
          <w:sz w:val="20"/>
          <w:szCs w:val="20"/>
        </w:rPr>
        <w:t xml:space="preserve"> </w:t>
      </w:r>
      <w:r w:rsidR="0076715D">
        <w:rPr>
          <w:rFonts w:ascii="Times New Roman" w:hAnsi="Times New Roman"/>
          <w:sz w:val="20"/>
          <w:szCs w:val="20"/>
        </w:rPr>
        <w:t>reference (</w:t>
      </w:r>
      <w:r w:rsidR="00A065A4">
        <w:rPr>
          <w:rFonts w:ascii="Times New Roman" w:hAnsi="Times New Roman"/>
          <w:sz w:val="20"/>
          <w:szCs w:val="20"/>
        </w:rPr>
        <w:t>or</w:t>
      </w:r>
      <w:r w:rsidR="00E62D0D">
        <w:rPr>
          <w:rFonts w:ascii="Times New Roman" w:hAnsi="Times New Roman"/>
          <w:sz w:val="20"/>
          <w:szCs w:val="20"/>
        </w:rPr>
        <w:t xml:space="preserve"> </w:t>
      </w:r>
      <w:r w:rsidR="0076715D">
        <w:rPr>
          <w:rFonts w:ascii="Times New Roman" w:hAnsi="Times New Roman"/>
          <w:sz w:val="20"/>
          <w:szCs w:val="20"/>
        </w:rPr>
        <w:t xml:space="preserve">base) </w:t>
      </w:r>
      <w:r w:rsidR="00763CDE">
        <w:rPr>
          <w:rFonts w:ascii="Times New Roman" w:hAnsi="Times New Roman"/>
          <w:sz w:val="20"/>
          <w:szCs w:val="20"/>
        </w:rPr>
        <w:t xml:space="preserve">per capita rate </w:t>
      </w:r>
      <w:r w:rsidR="00A065A4">
        <w:rPr>
          <w:rFonts w:ascii="Times New Roman" w:hAnsi="Times New Roman"/>
          <w:sz w:val="20"/>
          <w:szCs w:val="20"/>
        </w:rPr>
        <w:t xml:space="preserve">at which </w:t>
      </w:r>
      <w:r w:rsidR="00763CDE">
        <w:rPr>
          <w:rFonts w:ascii="Times New Roman" w:hAnsi="Times New Roman"/>
          <w:sz w:val="20"/>
          <w:szCs w:val="20"/>
        </w:rPr>
        <w:t xml:space="preserve">unemployed people </w:t>
      </w:r>
      <w:r w:rsidR="008412D6">
        <w:rPr>
          <w:rFonts w:ascii="Times New Roman" w:hAnsi="Times New Roman"/>
          <w:sz w:val="20"/>
          <w:szCs w:val="20"/>
        </w:rPr>
        <w:t>leave</w:t>
      </w:r>
      <w:r w:rsidR="00763CDE">
        <w:rPr>
          <w:rFonts w:ascii="Times New Roman" w:hAnsi="Times New Roman"/>
          <w:sz w:val="20"/>
          <w:szCs w:val="20"/>
        </w:rPr>
        <w:t xml:space="preserve"> the labour force per year, </w:t>
      </w:r>
      <m:oMath>
        <m:r>
          <w:rPr>
            <w:rFonts w:ascii="Cambria Math" w:hAnsi="Cambria Math"/>
            <w:sz w:val="20"/>
            <w:szCs w:val="20"/>
          </w:rPr>
          <m:t>f</m:t>
        </m:r>
      </m:oMath>
      <w:r w:rsidR="00763CDE">
        <w:rPr>
          <w:rFonts w:ascii="Times New Roman" w:hAnsi="Times New Roman"/>
          <w:sz w:val="20"/>
          <w:szCs w:val="20"/>
        </w:rPr>
        <w:t xml:space="preserve"> is the product of the effects of</w:t>
      </w:r>
      <w:r w:rsidR="0040454A">
        <w:rPr>
          <w:rFonts w:ascii="Times New Roman" w:hAnsi="Times New Roman"/>
          <w:sz w:val="20"/>
          <w:szCs w:val="20"/>
        </w:rPr>
        <w:t xml:space="preserve"> </w:t>
      </w:r>
      <w:r w:rsidR="00763CDE">
        <w:rPr>
          <w:rFonts w:ascii="Times New Roman" w:hAnsi="Times New Roman"/>
          <w:sz w:val="20"/>
          <w:szCs w:val="20"/>
        </w:rPr>
        <w:t xml:space="preserve">mental health problems (Frijters et al., 2014) and the unemployment rate on labour force participation </w:t>
      </w:r>
      <w:r w:rsidR="00D721A8">
        <w:rPr>
          <w:rFonts w:ascii="Times New Roman" w:hAnsi="Times New Roman"/>
          <w:sz w:val="20"/>
          <w:szCs w:val="20"/>
        </w:rPr>
        <w:t>(</w:t>
      </w:r>
      <m:oMath>
        <m:r>
          <w:rPr>
            <w:rFonts w:ascii="Cambria Math" w:hAnsi="Cambria Math"/>
            <w:sz w:val="20"/>
            <w:szCs w:val="20"/>
          </w:rPr>
          <m:t>f</m:t>
        </m:r>
      </m:oMath>
      <w:r w:rsidR="002D58E4">
        <w:rPr>
          <w:rFonts w:ascii="Times New Roman" w:hAnsi="Times New Roman"/>
          <w:sz w:val="20"/>
          <w:szCs w:val="20"/>
        </w:rPr>
        <w:t xml:space="preserve"> is an increasing function of the unemployment rate</w:t>
      </w:r>
      <w:r w:rsidR="00763CDE">
        <w:rPr>
          <w:rFonts w:ascii="Times New Roman" w:hAnsi="Times New Roman"/>
          <w:sz w:val="20"/>
          <w:szCs w:val="20"/>
        </w:rPr>
        <w:t>, so</w:t>
      </w:r>
      <w:r w:rsidR="00B11AAB">
        <w:rPr>
          <w:rFonts w:ascii="Times New Roman" w:hAnsi="Times New Roman"/>
          <w:sz w:val="20"/>
          <w:szCs w:val="20"/>
        </w:rPr>
        <w:t xml:space="preserve"> </w:t>
      </w:r>
      <w:r w:rsidR="006A1CCD">
        <w:rPr>
          <w:rFonts w:ascii="Times New Roman" w:hAnsi="Times New Roman"/>
          <w:sz w:val="20"/>
          <w:szCs w:val="20"/>
        </w:rPr>
        <w:t xml:space="preserve">that </w:t>
      </w:r>
      <w:r w:rsidR="00763CDE">
        <w:rPr>
          <w:rFonts w:ascii="Times New Roman" w:hAnsi="Times New Roman"/>
          <w:sz w:val="20"/>
          <w:szCs w:val="20"/>
        </w:rPr>
        <w:t>participation declines as unemployment</w:t>
      </w:r>
      <w:r w:rsidR="0076715D">
        <w:rPr>
          <w:rFonts w:ascii="Times New Roman" w:hAnsi="Times New Roman"/>
          <w:sz w:val="20"/>
          <w:szCs w:val="20"/>
        </w:rPr>
        <w:t xml:space="preserve"> </w:t>
      </w:r>
      <w:r w:rsidR="00763CDE">
        <w:rPr>
          <w:rFonts w:ascii="Times New Roman" w:hAnsi="Times New Roman"/>
          <w:sz w:val="20"/>
          <w:szCs w:val="20"/>
        </w:rPr>
        <w:t>increases;</w:t>
      </w:r>
      <w:r w:rsidR="004B09CE">
        <w:rPr>
          <w:rFonts w:ascii="Times New Roman" w:hAnsi="Times New Roman"/>
          <w:sz w:val="20"/>
          <w:szCs w:val="20"/>
        </w:rPr>
        <w:t xml:space="preserve"> </w:t>
      </w:r>
      <w:r w:rsidR="00763CDE">
        <w:rPr>
          <w:rFonts w:ascii="Times New Roman" w:hAnsi="Times New Roman"/>
          <w:sz w:val="20"/>
          <w:szCs w:val="20"/>
        </w:rPr>
        <w:t xml:space="preserve">Mitchell et al., 2019), </w:t>
      </w:r>
      <m:oMath>
        <m:r>
          <w:rPr>
            <w:rFonts w:ascii="Cambria Math" w:hAnsi="Cambria Math"/>
            <w:sz w:val="20"/>
            <w:szCs w:val="20"/>
          </w:rPr>
          <m:t>s</m:t>
        </m:r>
      </m:oMath>
      <w:r w:rsidR="00763CDE">
        <w:rPr>
          <w:rFonts w:ascii="Times New Roman" w:hAnsi="Times New Roman"/>
          <w:sz w:val="20"/>
          <w:szCs w:val="20"/>
        </w:rPr>
        <w:t xml:space="preserve"> is the</w:t>
      </w:r>
      <w:r w:rsidR="00B11AAB">
        <w:rPr>
          <w:rFonts w:ascii="Times New Roman" w:hAnsi="Times New Roman"/>
          <w:sz w:val="20"/>
          <w:szCs w:val="20"/>
        </w:rPr>
        <w:t xml:space="preserve"> base</w:t>
      </w:r>
      <w:r w:rsidR="00763CDE">
        <w:rPr>
          <w:rFonts w:ascii="Times New Roman" w:hAnsi="Times New Roman"/>
          <w:sz w:val="20"/>
          <w:szCs w:val="20"/>
        </w:rPr>
        <w:t xml:space="preserve"> per capita rate </w:t>
      </w:r>
      <w:r w:rsidR="00A065A4">
        <w:rPr>
          <w:rFonts w:ascii="Times New Roman" w:hAnsi="Times New Roman"/>
          <w:sz w:val="20"/>
          <w:szCs w:val="20"/>
        </w:rPr>
        <w:t>at which</w:t>
      </w:r>
      <w:r w:rsidR="00763CDE">
        <w:rPr>
          <w:rFonts w:ascii="Times New Roman" w:hAnsi="Times New Roman"/>
          <w:sz w:val="20"/>
          <w:szCs w:val="20"/>
        </w:rPr>
        <w:t xml:space="preserve"> people enter the labour force per year, and </w:t>
      </w:r>
      <m:oMath>
        <m:r>
          <w:rPr>
            <w:rFonts w:ascii="Cambria Math" w:hAnsi="Cambria Math"/>
            <w:sz w:val="20"/>
            <w:szCs w:val="20"/>
          </w:rPr>
          <m:t>g</m:t>
        </m:r>
      </m:oMath>
      <w:r w:rsidR="00763CDE">
        <w:rPr>
          <w:rFonts w:ascii="Times New Roman" w:hAnsi="Times New Roman"/>
          <w:sz w:val="20"/>
          <w:szCs w:val="20"/>
        </w:rPr>
        <w:t xml:space="preserve"> is the </w:t>
      </w:r>
      <w:r w:rsidR="004B09CE">
        <w:rPr>
          <w:rFonts w:ascii="Times New Roman" w:hAnsi="Times New Roman"/>
          <w:sz w:val="20"/>
          <w:szCs w:val="20"/>
        </w:rPr>
        <w:t xml:space="preserve">product of the </w:t>
      </w:r>
      <w:r w:rsidR="00763CDE">
        <w:rPr>
          <w:rFonts w:ascii="Times New Roman" w:hAnsi="Times New Roman"/>
          <w:sz w:val="20"/>
          <w:szCs w:val="20"/>
        </w:rPr>
        <w:t>effect</w:t>
      </w:r>
      <w:r w:rsidR="004B09CE">
        <w:rPr>
          <w:rFonts w:ascii="Times New Roman" w:hAnsi="Times New Roman"/>
          <w:sz w:val="20"/>
          <w:szCs w:val="20"/>
        </w:rPr>
        <w:t>s</w:t>
      </w:r>
      <w:r w:rsidR="00763CDE">
        <w:rPr>
          <w:rFonts w:ascii="Times New Roman" w:hAnsi="Times New Roman"/>
          <w:sz w:val="20"/>
          <w:szCs w:val="20"/>
        </w:rPr>
        <w:t xml:space="preserve"> of </w:t>
      </w:r>
      <w:r w:rsidR="00BB3D01">
        <w:rPr>
          <w:rFonts w:ascii="Times New Roman" w:hAnsi="Times New Roman"/>
          <w:sz w:val="20"/>
          <w:szCs w:val="20"/>
        </w:rPr>
        <w:t xml:space="preserve">upper secondary </w:t>
      </w:r>
      <w:r w:rsidR="004B09CE">
        <w:rPr>
          <w:rFonts w:ascii="Times New Roman" w:hAnsi="Times New Roman"/>
          <w:sz w:val="20"/>
          <w:szCs w:val="20"/>
        </w:rPr>
        <w:t xml:space="preserve">education </w:t>
      </w:r>
      <w:r w:rsidR="00BB3D01">
        <w:rPr>
          <w:rFonts w:ascii="Times New Roman" w:hAnsi="Times New Roman"/>
          <w:sz w:val="20"/>
          <w:szCs w:val="20"/>
        </w:rPr>
        <w:t>and post-secondary education</w:t>
      </w:r>
      <w:r w:rsidR="00763CDE">
        <w:rPr>
          <w:rFonts w:ascii="Times New Roman" w:hAnsi="Times New Roman"/>
          <w:sz w:val="20"/>
          <w:szCs w:val="20"/>
        </w:rPr>
        <w:t xml:space="preserve"> on the labour force entry rate.</w:t>
      </w:r>
    </w:p>
    <w:p w14:paraId="666DD5C1" w14:textId="77777777" w:rsidR="00C91066" w:rsidRDefault="00C91066" w:rsidP="00FE09B6">
      <w:pPr>
        <w:spacing w:line="480" w:lineRule="auto"/>
        <w:rPr>
          <w:rFonts w:ascii="Times New Roman" w:hAnsi="Times New Roman"/>
          <w:sz w:val="20"/>
          <w:szCs w:val="20"/>
        </w:rPr>
      </w:pPr>
    </w:p>
    <w:p w14:paraId="7C3909DB" w14:textId="42573F0A" w:rsidR="00277884" w:rsidRDefault="00277884" w:rsidP="00FE09B6">
      <w:pPr>
        <w:spacing w:line="480" w:lineRule="auto"/>
        <w:rPr>
          <w:rFonts w:ascii="Times New Roman" w:hAnsi="Times New Roman"/>
          <w:sz w:val="20"/>
          <w:szCs w:val="20"/>
        </w:rPr>
      </w:pPr>
      <w:r>
        <w:rPr>
          <w:rFonts w:ascii="Times New Roman" w:hAnsi="Times New Roman"/>
          <w:noProof/>
          <w:sz w:val="20"/>
          <w:szCs w:val="20"/>
        </w:rPr>
        <w:drawing>
          <wp:inline distT="0" distB="0" distL="0" distR="0" wp14:anchorId="281A2AB7" wp14:editId="71AD1036">
            <wp:extent cx="5731086" cy="2456180"/>
            <wp:effectExtent l="0" t="0" r="3175"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5"/>
                    <a:stretch>
                      <a:fillRect/>
                    </a:stretch>
                  </pic:blipFill>
                  <pic:spPr>
                    <a:xfrm>
                      <a:off x="0" y="0"/>
                      <a:ext cx="5731086" cy="2456180"/>
                    </a:xfrm>
                    <a:prstGeom prst="rect">
                      <a:avLst/>
                    </a:prstGeom>
                  </pic:spPr>
                </pic:pic>
              </a:graphicData>
            </a:graphic>
          </wp:inline>
        </w:drawing>
      </w:r>
    </w:p>
    <w:p w14:paraId="7B5E4645" w14:textId="5EDE4D95" w:rsidR="00277884" w:rsidRDefault="00277884" w:rsidP="00FE09B6">
      <w:pPr>
        <w:spacing w:line="480" w:lineRule="auto"/>
        <w:rPr>
          <w:rFonts w:ascii="Times New Roman" w:hAnsi="Times New Roman"/>
          <w:sz w:val="20"/>
          <w:szCs w:val="20"/>
        </w:rPr>
      </w:pPr>
      <w:r>
        <w:rPr>
          <w:rFonts w:ascii="Times New Roman" w:hAnsi="Times New Roman"/>
          <w:sz w:val="20"/>
          <w:szCs w:val="20"/>
        </w:rPr>
        <w:t xml:space="preserve">Fig. S8.  Estimated proportions of </w:t>
      </w:r>
      <w:r w:rsidR="00AC52BE">
        <w:rPr>
          <w:rFonts w:ascii="Times New Roman" w:hAnsi="Times New Roman"/>
          <w:sz w:val="20"/>
          <w:szCs w:val="20"/>
        </w:rPr>
        <w:t>people</w:t>
      </w:r>
      <w:r>
        <w:rPr>
          <w:rFonts w:ascii="Times New Roman" w:hAnsi="Times New Roman"/>
          <w:sz w:val="20"/>
          <w:szCs w:val="20"/>
        </w:rPr>
        <w:t xml:space="preserve"> aged 12 years and above who have completed upper secondary (</w:t>
      </w:r>
      <w:r w:rsidRPr="00933BCF">
        <w:rPr>
          <w:rFonts w:ascii="Times New Roman" w:hAnsi="Times New Roman"/>
          <w:sz w:val="20"/>
          <w:szCs w:val="20"/>
        </w:rPr>
        <w:t>grades 10</w:t>
      </w:r>
      <w:r>
        <w:rPr>
          <w:rFonts w:ascii="Times New Roman" w:hAnsi="Times New Roman"/>
          <w:sz w:val="20"/>
          <w:szCs w:val="20"/>
        </w:rPr>
        <w:t>−</w:t>
      </w:r>
      <w:r w:rsidRPr="00933BCF">
        <w:rPr>
          <w:rFonts w:ascii="Times New Roman" w:hAnsi="Times New Roman"/>
          <w:sz w:val="20"/>
          <w:szCs w:val="20"/>
        </w:rPr>
        <w:t>11</w:t>
      </w:r>
      <w:r>
        <w:rPr>
          <w:rFonts w:ascii="Times New Roman" w:hAnsi="Times New Roman"/>
          <w:sz w:val="20"/>
          <w:szCs w:val="20"/>
        </w:rPr>
        <w:t xml:space="preserve">) and post-secondary education derived from the system dynamics model and the Large Integrated Household Survey (GEIH; available at: </w:t>
      </w:r>
      <w:r w:rsidRPr="008E7A2F">
        <w:rPr>
          <w:rFonts w:ascii="Times New Roman" w:hAnsi="Times New Roman"/>
          <w:sz w:val="20"/>
          <w:szCs w:val="20"/>
        </w:rPr>
        <w:t>https://www.dane.gov.co/</w:t>
      </w:r>
      <w:r>
        <w:rPr>
          <w:rFonts w:ascii="Times New Roman" w:hAnsi="Times New Roman"/>
          <w:sz w:val="20"/>
          <w:szCs w:val="20"/>
        </w:rPr>
        <w:t>).</w:t>
      </w:r>
      <w:r w:rsidR="00AC52BE">
        <w:rPr>
          <w:rFonts w:ascii="Times New Roman" w:hAnsi="Times New Roman"/>
          <w:sz w:val="20"/>
          <w:szCs w:val="20"/>
        </w:rPr>
        <w:t xml:space="preserve">  Note that people who have completed post-secondary education were excluded in estimating the proportion of people who have completed upper secondary education (i.e., </w:t>
      </w:r>
      <w:r w:rsidR="00146C2A">
        <w:rPr>
          <w:rFonts w:ascii="Times New Roman" w:hAnsi="Times New Roman"/>
          <w:sz w:val="20"/>
          <w:szCs w:val="20"/>
        </w:rPr>
        <w:t xml:space="preserve">the proportions are for </w:t>
      </w:r>
      <w:r w:rsidR="00AC52BE">
        <w:rPr>
          <w:rFonts w:ascii="Times New Roman" w:hAnsi="Times New Roman"/>
          <w:sz w:val="20"/>
          <w:szCs w:val="20"/>
        </w:rPr>
        <w:t>highest educational attainment).</w:t>
      </w:r>
    </w:p>
    <w:p w14:paraId="1B5BDF07" w14:textId="77777777" w:rsidR="008D3658" w:rsidRDefault="008D3658" w:rsidP="00FE09B6">
      <w:pPr>
        <w:spacing w:line="480" w:lineRule="auto"/>
        <w:rPr>
          <w:rFonts w:ascii="Times New Roman" w:hAnsi="Times New Roman"/>
          <w:sz w:val="20"/>
          <w:szCs w:val="20"/>
        </w:rPr>
      </w:pPr>
    </w:p>
    <w:p w14:paraId="3520BC4D" w14:textId="77777777" w:rsidR="00BD1D6A" w:rsidRDefault="00BD3CFA" w:rsidP="00FE09B6">
      <w:pPr>
        <w:spacing w:line="480" w:lineRule="auto"/>
        <w:rPr>
          <w:rFonts w:ascii="Times New Roman" w:hAnsi="Times New Roman"/>
          <w:sz w:val="20"/>
          <w:szCs w:val="20"/>
        </w:rPr>
        <w:sectPr w:rsidR="00BD1D6A" w:rsidSect="00E966E4">
          <w:footnotePr>
            <w:numFmt w:val="chicago"/>
            <w:numStart w:val="2"/>
          </w:footnotePr>
          <w:pgSz w:w="11906" w:h="16838" w:code="9"/>
          <w:pgMar w:top="1440" w:right="1440" w:bottom="1440" w:left="1440" w:header="284" w:footer="680" w:gutter="0"/>
          <w:cols w:space="708"/>
          <w:docGrid w:linePitch="360"/>
        </w:sectPr>
      </w:pPr>
      <w:r>
        <w:rPr>
          <w:rFonts w:ascii="Times New Roman" w:hAnsi="Times New Roman"/>
          <w:sz w:val="20"/>
          <w:szCs w:val="20"/>
        </w:rPr>
        <w:t xml:space="preserve">Employed people become unemployed at age-specific rates equal to </w:t>
      </w:r>
      <m:oMath>
        <m:r>
          <w:rPr>
            <w:rFonts w:ascii="Cambria Math" w:hAnsi="Cambria Math"/>
            <w:sz w:val="20"/>
            <w:szCs w:val="20"/>
          </w:rPr>
          <m:t>vE</m:t>
        </m:r>
      </m:oMath>
      <w:r>
        <w:rPr>
          <w:rFonts w:ascii="Times New Roman" w:hAnsi="Times New Roman"/>
          <w:sz w:val="20"/>
          <w:szCs w:val="20"/>
        </w:rPr>
        <w:t xml:space="preserve">, where </w:t>
      </w:r>
      <m:oMath>
        <m:r>
          <w:rPr>
            <w:rFonts w:ascii="Cambria Math" w:hAnsi="Cambria Math"/>
            <w:sz w:val="20"/>
            <w:szCs w:val="20"/>
          </w:rPr>
          <m:t>E</m:t>
        </m:r>
      </m:oMath>
      <w:r>
        <w:rPr>
          <w:rFonts w:ascii="Times New Roman" w:hAnsi="Times New Roman"/>
          <w:sz w:val="20"/>
          <w:szCs w:val="20"/>
        </w:rPr>
        <w:t xml:space="preserve"> is the employed population and </w:t>
      </w:r>
      <m:oMath>
        <m:r>
          <w:rPr>
            <w:rFonts w:ascii="Cambria Math" w:hAnsi="Cambria Math"/>
            <w:sz w:val="20"/>
            <w:szCs w:val="20"/>
          </w:rPr>
          <m:t>v</m:t>
        </m:r>
      </m:oMath>
      <w:r>
        <w:rPr>
          <w:rFonts w:ascii="Times New Roman" w:hAnsi="Times New Roman"/>
          <w:sz w:val="20"/>
          <w:szCs w:val="20"/>
        </w:rPr>
        <w:t xml:space="preserve"> is the per capita rate of job loss per year, while unemployed people secure employment at age-specific rates </w:t>
      </w:r>
      <m:oMath>
        <m:r>
          <w:rPr>
            <w:rFonts w:ascii="Cambria Math" w:hAnsi="Cambria Math"/>
            <w:sz w:val="20"/>
            <w:szCs w:val="20"/>
          </w:rPr>
          <m:t>hwU</m:t>
        </m:r>
      </m:oMath>
      <w:r>
        <w:rPr>
          <w:rFonts w:ascii="Times New Roman" w:hAnsi="Times New Roman"/>
          <w:sz w:val="20"/>
          <w:szCs w:val="20"/>
        </w:rPr>
        <w:t xml:space="preserve">, where </w:t>
      </w:r>
      <m:oMath>
        <m:r>
          <w:rPr>
            <w:rFonts w:ascii="Cambria Math" w:hAnsi="Cambria Math"/>
            <w:sz w:val="20"/>
            <w:szCs w:val="20"/>
          </w:rPr>
          <m:t>U</m:t>
        </m:r>
      </m:oMath>
      <w:r>
        <w:rPr>
          <w:rFonts w:ascii="Times New Roman" w:hAnsi="Times New Roman"/>
          <w:sz w:val="20"/>
          <w:szCs w:val="20"/>
        </w:rPr>
        <w:t xml:space="preserve"> is the unemployed population, </w:t>
      </w:r>
      <m:oMath>
        <m:r>
          <w:rPr>
            <w:rFonts w:ascii="Cambria Math" w:hAnsi="Cambria Math"/>
            <w:sz w:val="20"/>
            <w:szCs w:val="20"/>
          </w:rPr>
          <m:t>w</m:t>
        </m:r>
      </m:oMath>
      <w:r>
        <w:rPr>
          <w:rFonts w:ascii="Times New Roman" w:hAnsi="Times New Roman"/>
          <w:sz w:val="20"/>
          <w:szCs w:val="20"/>
        </w:rPr>
        <w:t xml:space="preserve"> is the </w:t>
      </w:r>
      <w:r w:rsidR="006E5304">
        <w:rPr>
          <w:rFonts w:ascii="Times New Roman" w:hAnsi="Times New Roman"/>
          <w:sz w:val="20"/>
          <w:szCs w:val="20"/>
        </w:rPr>
        <w:t xml:space="preserve">reference </w:t>
      </w:r>
      <w:r>
        <w:rPr>
          <w:rFonts w:ascii="Times New Roman" w:hAnsi="Times New Roman"/>
          <w:sz w:val="20"/>
          <w:szCs w:val="20"/>
        </w:rPr>
        <w:t xml:space="preserve">per capita rate of employment initiation per year, and </w:t>
      </w:r>
      <m:oMath>
        <m:r>
          <w:rPr>
            <w:rFonts w:ascii="Cambria Math" w:hAnsi="Cambria Math"/>
            <w:sz w:val="20"/>
            <w:szCs w:val="20"/>
          </w:rPr>
          <m:t>h</m:t>
        </m:r>
      </m:oMath>
      <w:r>
        <w:rPr>
          <w:rFonts w:ascii="Times New Roman" w:hAnsi="Times New Roman"/>
          <w:sz w:val="20"/>
          <w:szCs w:val="20"/>
        </w:rPr>
        <w:t xml:space="preserve"> is the product of the effects of mental health problems (Frijters et al., 2014),</w:t>
      </w:r>
      <w:r w:rsidR="00EB49A3">
        <w:rPr>
          <w:rFonts w:ascii="Times New Roman" w:hAnsi="Times New Roman"/>
          <w:sz w:val="20"/>
          <w:szCs w:val="20"/>
        </w:rPr>
        <w:t xml:space="preserve"> </w:t>
      </w:r>
      <w:r>
        <w:rPr>
          <w:rFonts w:ascii="Times New Roman" w:hAnsi="Times New Roman"/>
          <w:sz w:val="20"/>
          <w:szCs w:val="20"/>
        </w:rPr>
        <w:t>substance use problems (Zabkiewicz and Schmidt, 2007)</w:t>
      </w:r>
      <w:r w:rsidR="00EB49A3">
        <w:rPr>
          <w:rFonts w:ascii="Times New Roman" w:hAnsi="Times New Roman"/>
          <w:sz w:val="20"/>
          <w:szCs w:val="20"/>
        </w:rPr>
        <w:t>, upper secondary education, and post-secondary education,</w:t>
      </w:r>
      <w:r>
        <w:rPr>
          <w:rFonts w:ascii="Times New Roman" w:hAnsi="Times New Roman"/>
          <w:sz w:val="20"/>
          <w:szCs w:val="20"/>
        </w:rPr>
        <w:t xml:space="preserve"> on the employment initiation rate; the net yearly flow from employment to unemployment is therefore</w:t>
      </w:r>
      <w:r w:rsidR="00EB49A3">
        <w:rPr>
          <w:rFonts w:ascii="Times New Roman" w:hAnsi="Times New Roman"/>
          <w:sz w:val="20"/>
          <w:szCs w:val="20"/>
        </w:rPr>
        <w:t xml:space="preserve"> </w:t>
      </w:r>
      <m:oMath>
        <m:r>
          <w:rPr>
            <w:rFonts w:ascii="Cambria Math" w:hAnsi="Cambria Math"/>
            <w:sz w:val="20"/>
            <w:szCs w:val="20"/>
          </w:rPr>
          <m:t>vE-hwU</m:t>
        </m:r>
      </m:oMath>
      <w:r>
        <w:rPr>
          <w:rFonts w:ascii="Times New Roman" w:hAnsi="Times New Roman"/>
          <w:sz w:val="20"/>
          <w:szCs w:val="20"/>
        </w:rPr>
        <w:t>.  People in employment leave the labour force (e.g., due to retirement</w:t>
      </w:r>
      <w:r w:rsidR="00D46C29">
        <w:rPr>
          <w:rFonts w:ascii="Times New Roman" w:hAnsi="Times New Roman"/>
          <w:sz w:val="20"/>
          <w:szCs w:val="20"/>
        </w:rPr>
        <w:t>,</w:t>
      </w:r>
      <w:r>
        <w:rPr>
          <w:rFonts w:ascii="Times New Roman" w:hAnsi="Times New Roman"/>
          <w:sz w:val="20"/>
          <w:szCs w:val="20"/>
        </w:rPr>
        <w:t xml:space="preserve"> parenting responsibilities</w:t>
      </w:r>
      <w:r w:rsidR="00D46C29">
        <w:rPr>
          <w:rFonts w:ascii="Times New Roman" w:hAnsi="Times New Roman"/>
          <w:sz w:val="20"/>
          <w:szCs w:val="20"/>
        </w:rPr>
        <w:t>, or disability</w:t>
      </w:r>
      <w:r>
        <w:rPr>
          <w:rFonts w:ascii="Times New Roman" w:hAnsi="Times New Roman"/>
          <w:sz w:val="20"/>
          <w:szCs w:val="20"/>
        </w:rPr>
        <w:t xml:space="preserve">) at </w:t>
      </w:r>
    </w:p>
    <w:p w14:paraId="34065518" w14:textId="53D7EC85" w:rsidR="00BD1D6A" w:rsidRDefault="00BD1D6A" w:rsidP="00FE09B6">
      <w:pPr>
        <w:spacing w:line="480" w:lineRule="auto"/>
        <w:rPr>
          <w:rFonts w:ascii="Times New Roman" w:hAnsi="Times New Roman"/>
          <w:sz w:val="20"/>
          <w:szCs w:val="20"/>
        </w:rPr>
      </w:pPr>
      <w:r>
        <w:rPr>
          <w:rFonts w:ascii="Times New Roman" w:hAnsi="Times New Roman"/>
          <w:noProof/>
          <w:sz w:val="20"/>
          <w:szCs w:val="20"/>
        </w:rPr>
        <w:lastRenderedPageBreak/>
        <w:drawing>
          <wp:inline distT="0" distB="0" distL="0" distR="0" wp14:anchorId="1D998189" wp14:editId="32F51949">
            <wp:extent cx="8863330" cy="4651375"/>
            <wp:effectExtent l="0" t="0" r="0" b="0"/>
            <wp:docPr id="381901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90107" name="Picture 38190107"/>
                    <pic:cNvPicPr/>
                  </pic:nvPicPr>
                  <pic:blipFill>
                    <a:blip r:embed="rId16"/>
                    <a:stretch>
                      <a:fillRect/>
                    </a:stretch>
                  </pic:blipFill>
                  <pic:spPr>
                    <a:xfrm>
                      <a:off x="0" y="0"/>
                      <a:ext cx="8863330" cy="4651375"/>
                    </a:xfrm>
                    <a:prstGeom prst="rect">
                      <a:avLst/>
                    </a:prstGeom>
                  </pic:spPr>
                </pic:pic>
              </a:graphicData>
            </a:graphic>
          </wp:inline>
        </w:drawing>
      </w:r>
    </w:p>
    <w:p w14:paraId="4F79E0E0" w14:textId="313737EA" w:rsidR="00BD1D6A" w:rsidRDefault="00BD1D6A" w:rsidP="00FE09B6">
      <w:pPr>
        <w:spacing w:line="480" w:lineRule="auto"/>
        <w:rPr>
          <w:rFonts w:ascii="Times New Roman" w:hAnsi="Times New Roman"/>
          <w:sz w:val="20"/>
          <w:szCs w:val="20"/>
        </w:rPr>
      </w:pPr>
      <w:r>
        <w:rPr>
          <w:rFonts w:ascii="Times New Roman" w:hAnsi="Times New Roman"/>
          <w:sz w:val="20"/>
          <w:szCs w:val="20"/>
        </w:rPr>
        <w:t>Fig. S9.  Structure of the unemployment and poverty sector.</w:t>
      </w:r>
      <w:r w:rsidRPr="001F2087">
        <w:rPr>
          <w:rFonts w:ascii="Times New Roman" w:hAnsi="Times New Roman"/>
          <w:sz w:val="20"/>
          <w:szCs w:val="20"/>
        </w:rPr>
        <w:t xml:space="preserve"> </w:t>
      </w:r>
      <w:r>
        <w:rPr>
          <w:rFonts w:ascii="Times New Roman" w:hAnsi="Times New Roman"/>
          <w:sz w:val="20"/>
          <w:szCs w:val="20"/>
        </w:rPr>
        <w:t xml:space="preserve"> Modelled factors that affect </w:t>
      </w:r>
      <w:r w:rsidR="001E0D9C">
        <w:rPr>
          <w:rFonts w:ascii="Times New Roman" w:hAnsi="Times New Roman"/>
          <w:sz w:val="20"/>
          <w:szCs w:val="20"/>
        </w:rPr>
        <w:t>economic participation, employment initiation, the informal employment rate, and transitions out of poverty</w:t>
      </w:r>
      <w:r>
        <w:rPr>
          <w:rFonts w:ascii="Times New Roman" w:hAnsi="Times New Roman"/>
          <w:sz w:val="20"/>
          <w:szCs w:val="20"/>
        </w:rPr>
        <w:t xml:space="preserve"> are listed in the text boxes</w:t>
      </w:r>
      <w:r w:rsidR="001E0D9C">
        <w:rPr>
          <w:rFonts w:ascii="Times New Roman" w:hAnsi="Times New Roman"/>
          <w:sz w:val="20"/>
          <w:szCs w:val="20"/>
        </w:rPr>
        <w:t xml:space="preserve">.  </w:t>
      </w:r>
      <w:r w:rsidR="007269C3">
        <w:rPr>
          <w:rFonts w:ascii="Times New Roman" w:hAnsi="Times New Roman"/>
          <w:sz w:val="20"/>
          <w:szCs w:val="20"/>
        </w:rPr>
        <w:t xml:space="preserve">NILF = not in the labour force; </w:t>
      </w:r>
      <w:r w:rsidR="001E0D9C">
        <w:rPr>
          <w:rFonts w:ascii="Times New Roman" w:hAnsi="Times New Roman"/>
          <w:sz w:val="20"/>
          <w:szCs w:val="20"/>
        </w:rPr>
        <w:t>SSGC = secondary school graduation certificate</w:t>
      </w:r>
      <w:r>
        <w:rPr>
          <w:rFonts w:ascii="Times New Roman" w:hAnsi="Times New Roman"/>
          <w:sz w:val="20"/>
          <w:szCs w:val="20"/>
        </w:rPr>
        <w:t>.</w:t>
      </w:r>
    </w:p>
    <w:p w14:paraId="1B3DB16E" w14:textId="77777777" w:rsidR="00BD1D6A" w:rsidRDefault="00BD1D6A" w:rsidP="00FE09B6">
      <w:pPr>
        <w:spacing w:line="480" w:lineRule="auto"/>
        <w:rPr>
          <w:rFonts w:ascii="Times New Roman" w:hAnsi="Times New Roman"/>
          <w:sz w:val="20"/>
          <w:szCs w:val="20"/>
        </w:rPr>
      </w:pPr>
    </w:p>
    <w:p w14:paraId="11B4C36D" w14:textId="77777777" w:rsidR="00BD1D6A" w:rsidRDefault="00BD1D6A" w:rsidP="00FE09B6">
      <w:pPr>
        <w:spacing w:line="480" w:lineRule="auto"/>
        <w:rPr>
          <w:rFonts w:ascii="Times New Roman" w:hAnsi="Times New Roman"/>
          <w:sz w:val="20"/>
          <w:szCs w:val="20"/>
        </w:rPr>
        <w:sectPr w:rsidR="00BD1D6A" w:rsidSect="00BD1D6A">
          <w:footnotePr>
            <w:numFmt w:val="chicago"/>
            <w:numStart w:val="2"/>
          </w:footnotePr>
          <w:pgSz w:w="16838" w:h="11906" w:orient="landscape" w:code="9"/>
          <w:pgMar w:top="1440" w:right="1440" w:bottom="1440" w:left="1440" w:header="284" w:footer="680" w:gutter="0"/>
          <w:cols w:space="708"/>
          <w:docGrid w:linePitch="360"/>
        </w:sectPr>
      </w:pPr>
    </w:p>
    <w:p w14:paraId="0DBA086B" w14:textId="12270550" w:rsidR="0079560A" w:rsidRDefault="00BD3CFA" w:rsidP="00FE09B6">
      <w:pPr>
        <w:spacing w:line="480" w:lineRule="auto"/>
        <w:rPr>
          <w:rFonts w:ascii="Times New Roman" w:hAnsi="Times New Roman"/>
          <w:sz w:val="20"/>
          <w:szCs w:val="20"/>
        </w:rPr>
      </w:pPr>
      <w:r>
        <w:rPr>
          <w:rFonts w:ascii="Times New Roman" w:hAnsi="Times New Roman"/>
          <w:sz w:val="20"/>
          <w:szCs w:val="20"/>
        </w:rPr>
        <w:lastRenderedPageBreak/>
        <w:t xml:space="preserve">age-specific rates </w:t>
      </w:r>
      <m:oMath>
        <m:sSub>
          <m:sSubPr>
            <m:ctrlPr>
              <w:rPr>
                <w:rFonts w:ascii="Cambria Math" w:hAnsi="Cambria Math"/>
                <w:i/>
                <w:sz w:val="20"/>
                <w:szCs w:val="20"/>
              </w:rPr>
            </m:ctrlPr>
          </m:sSubPr>
          <m:e>
            <m:r>
              <w:rPr>
                <w:rFonts w:ascii="Cambria Math" w:hAnsi="Cambria Math"/>
                <w:sz w:val="20"/>
                <w:szCs w:val="20"/>
              </w:rPr>
              <m:t>γ</m:t>
            </m:r>
          </m:e>
          <m:sub>
            <m:r>
              <w:rPr>
                <w:rFonts w:ascii="Cambria Math" w:hAnsi="Cambria Math"/>
                <w:sz w:val="20"/>
                <w:szCs w:val="20"/>
              </w:rPr>
              <m:t>i</m:t>
            </m:r>
          </m:sub>
        </m:sSub>
        <m:r>
          <w:rPr>
            <w:rFonts w:ascii="Cambria Math" w:hAnsi="Cambria Math"/>
            <w:sz w:val="20"/>
            <w:szCs w:val="20"/>
          </w:rPr>
          <m:t>z</m:t>
        </m:r>
        <m:sSub>
          <m:sSubPr>
            <m:ctrlPr>
              <w:rPr>
                <w:rFonts w:ascii="Cambria Math" w:hAnsi="Cambria Math"/>
                <w:i/>
                <w:sz w:val="20"/>
                <w:szCs w:val="20"/>
              </w:rPr>
            </m:ctrlPr>
          </m:sSubPr>
          <m:e>
            <m:r>
              <w:rPr>
                <w:rFonts w:ascii="Cambria Math" w:hAnsi="Cambria Math"/>
                <w:sz w:val="20"/>
                <w:szCs w:val="20"/>
              </w:rPr>
              <m:t>E</m:t>
            </m:r>
          </m:e>
          <m:sub>
            <m:r>
              <w:rPr>
                <w:rFonts w:ascii="Cambria Math" w:hAnsi="Cambria Math"/>
                <w:sz w:val="20"/>
                <w:szCs w:val="20"/>
              </w:rPr>
              <m:t>i</m:t>
            </m:r>
          </m:sub>
        </m:sSub>
      </m:oMath>
      <w:r>
        <w:rPr>
          <w:rFonts w:ascii="Times New Roman" w:hAnsi="Times New Roman"/>
          <w:sz w:val="20"/>
          <w:szCs w:val="20"/>
        </w:rPr>
        <w:t xml:space="preserve">, where </w:t>
      </w:r>
      <m:oMath>
        <m:sSub>
          <m:sSubPr>
            <m:ctrlPr>
              <w:rPr>
                <w:rFonts w:ascii="Cambria Math" w:hAnsi="Cambria Math"/>
                <w:i/>
                <w:sz w:val="20"/>
                <w:szCs w:val="20"/>
              </w:rPr>
            </m:ctrlPr>
          </m:sSubPr>
          <m:e>
            <m:r>
              <w:rPr>
                <w:rFonts w:ascii="Cambria Math" w:hAnsi="Cambria Math"/>
                <w:sz w:val="20"/>
                <w:szCs w:val="20"/>
              </w:rPr>
              <m:t>E</m:t>
            </m:r>
          </m:e>
          <m:sub>
            <m:r>
              <w:rPr>
                <w:rFonts w:ascii="Cambria Math" w:hAnsi="Cambria Math"/>
                <w:sz w:val="20"/>
                <w:szCs w:val="20"/>
              </w:rPr>
              <m:t>i</m:t>
            </m:r>
          </m:sub>
        </m:sSub>
      </m:oMath>
      <w:r>
        <w:rPr>
          <w:rFonts w:ascii="Times New Roman" w:hAnsi="Times New Roman"/>
          <w:sz w:val="20"/>
          <w:szCs w:val="20"/>
        </w:rPr>
        <w:t xml:space="preserve"> is the number of </w:t>
      </w:r>
      <w:r w:rsidR="00D46C29">
        <w:rPr>
          <w:rFonts w:ascii="Times New Roman" w:hAnsi="Times New Roman"/>
          <w:sz w:val="20"/>
          <w:szCs w:val="20"/>
        </w:rPr>
        <w:t xml:space="preserve">employed </w:t>
      </w:r>
      <w:r>
        <w:rPr>
          <w:rFonts w:ascii="Times New Roman" w:hAnsi="Times New Roman"/>
          <w:sz w:val="20"/>
          <w:szCs w:val="20"/>
        </w:rPr>
        <w:t xml:space="preserve">people in age group </w:t>
      </w:r>
      <m:oMath>
        <m:r>
          <w:rPr>
            <w:rFonts w:ascii="Cambria Math" w:hAnsi="Cambria Math"/>
            <w:sz w:val="20"/>
            <w:szCs w:val="20"/>
          </w:rPr>
          <m:t>i</m:t>
        </m:r>
      </m:oMath>
      <w:r>
        <w:rPr>
          <w:rFonts w:ascii="Times New Roman" w:hAnsi="Times New Roman"/>
          <w:sz w:val="20"/>
          <w:szCs w:val="20"/>
        </w:rPr>
        <w:t xml:space="preserve">, </w:t>
      </w:r>
      <m:oMath>
        <m:r>
          <w:rPr>
            <w:rFonts w:ascii="Cambria Math" w:hAnsi="Cambria Math"/>
            <w:sz w:val="20"/>
            <w:szCs w:val="20"/>
          </w:rPr>
          <m:t>z</m:t>
        </m:r>
      </m:oMath>
      <w:r>
        <w:rPr>
          <w:rFonts w:ascii="Times New Roman" w:hAnsi="Times New Roman"/>
          <w:sz w:val="20"/>
          <w:szCs w:val="20"/>
        </w:rPr>
        <w:t xml:space="preserve"> is the per capita rate </w:t>
      </w:r>
      <w:r w:rsidR="00EF0995">
        <w:rPr>
          <w:rFonts w:ascii="Times New Roman" w:hAnsi="Times New Roman"/>
          <w:sz w:val="20"/>
          <w:szCs w:val="20"/>
        </w:rPr>
        <w:t>at which</w:t>
      </w:r>
      <w:r>
        <w:rPr>
          <w:rFonts w:ascii="Times New Roman" w:hAnsi="Times New Roman"/>
          <w:sz w:val="20"/>
          <w:szCs w:val="20"/>
        </w:rPr>
        <w:t xml:space="preserve"> employed</w:t>
      </w:r>
      <w:r w:rsidR="00EF0995">
        <w:rPr>
          <w:rFonts w:ascii="Times New Roman" w:hAnsi="Times New Roman"/>
          <w:sz w:val="20"/>
          <w:szCs w:val="20"/>
        </w:rPr>
        <w:t xml:space="preserve"> adults</w:t>
      </w:r>
      <w:r>
        <w:rPr>
          <w:rFonts w:ascii="Times New Roman" w:hAnsi="Times New Roman"/>
          <w:sz w:val="20"/>
          <w:szCs w:val="20"/>
        </w:rPr>
        <w:t xml:space="preserve"> </w:t>
      </w:r>
      <w:r w:rsidR="00EF0995">
        <w:rPr>
          <w:rFonts w:ascii="Times New Roman" w:hAnsi="Times New Roman"/>
          <w:sz w:val="20"/>
          <w:szCs w:val="20"/>
        </w:rPr>
        <w:t xml:space="preserve">aged 18 years and above </w:t>
      </w:r>
      <w:r>
        <w:rPr>
          <w:rFonts w:ascii="Times New Roman" w:hAnsi="Times New Roman"/>
          <w:sz w:val="20"/>
          <w:szCs w:val="20"/>
        </w:rPr>
        <w:t xml:space="preserve">leave the labour force per year, and </w:t>
      </w:r>
      <m:oMath>
        <m:sSub>
          <m:sSubPr>
            <m:ctrlPr>
              <w:rPr>
                <w:rFonts w:ascii="Cambria Math" w:hAnsi="Cambria Math"/>
                <w:i/>
                <w:sz w:val="20"/>
                <w:szCs w:val="20"/>
              </w:rPr>
            </m:ctrlPr>
          </m:sSubPr>
          <m:e>
            <m:r>
              <w:rPr>
                <w:rFonts w:ascii="Cambria Math" w:hAnsi="Cambria Math"/>
                <w:sz w:val="20"/>
                <w:szCs w:val="20"/>
              </w:rPr>
              <m:t>γ</m:t>
            </m:r>
          </m:e>
          <m:sub>
            <m:r>
              <w:rPr>
                <w:rFonts w:ascii="Cambria Math" w:hAnsi="Cambria Math"/>
                <w:sz w:val="20"/>
                <w:szCs w:val="20"/>
              </w:rPr>
              <m:t>i</m:t>
            </m:r>
          </m:sub>
        </m:sSub>
      </m:oMath>
      <w:r>
        <w:rPr>
          <w:rFonts w:ascii="Times New Roman" w:hAnsi="Times New Roman"/>
          <w:sz w:val="20"/>
          <w:szCs w:val="20"/>
        </w:rPr>
        <w:t xml:space="preserve"> is the effect of being in age group </w:t>
      </w:r>
      <m:oMath>
        <m:r>
          <w:rPr>
            <w:rFonts w:ascii="Cambria Math" w:hAnsi="Cambria Math"/>
            <w:sz w:val="20"/>
            <w:szCs w:val="20"/>
          </w:rPr>
          <m:t>i</m:t>
        </m:r>
      </m:oMath>
      <w:r>
        <w:rPr>
          <w:rFonts w:ascii="Times New Roman" w:hAnsi="Times New Roman"/>
          <w:sz w:val="20"/>
          <w:szCs w:val="20"/>
        </w:rPr>
        <w:t xml:space="preserve"> on the labour force exit rate (equal to 1 for </w:t>
      </w:r>
      <w:r w:rsidR="00EF0995">
        <w:rPr>
          <w:rFonts w:ascii="Times New Roman" w:hAnsi="Times New Roman"/>
          <w:sz w:val="20"/>
          <w:szCs w:val="20"/>
        </w:rPr>
        <w:t xml:space="preserve">people aged 18 years </w:t>
      </w:r>
      <w:r w:rsidR="00723DCC">
        <w:rPr>
          <w:rFonts w:ascii="Times New Roman" w:hAnsi="Times New Roman"/>
          <w:sz w:val="20"/>
          <w:szCs w:val="20"/>
        </w:rPr>
        <w:t>and above</w:t>
      </w:r>
      <w:r>
        <w:rPr>
          <w:rFonts w:ascii="Times New Roman" w:hAnsi="Times New Roman"/>
          <w:sz w:val="20"/>
          <w:szCs w:val="20"/>
        </w:rPr>
        <w:t>).</w:t>
      </w:r>
      <w:r w:rsidR="00723DCC">
        <w:rPr>
          <w:rFonts w:ascii="Times New Roman" w:hAnsi="Times New Roman"/>
          <w:sz w:val="20"/>
          <w:szCs w:val="20"/>
        </w:rPr>
        <w:t xml:space="preserve">  </w:t>
      </w:r>
      <w:r w:rsidR="0079560A">
        <w:rPr>
          <w:rFonts w:ascii="Times New Roman" w:hAnsi="Times New Roman"/>
          <w:sz w:val="20"/>
          <w:szCs w:val="20"/>
        </w:rPr>
        <w:t xml:space="preserve">Net migration increases (or depletes) the employed population at </w:t>
      </w:r>
      <w:r w:rsidR="00723DCC">
        <w:rPr>
          <w:rFonts w:ascii="Times New Roman" w:hAnsi="Times New Roman"/>
          <w:sz w:val="20"/>
          <w:szCs w:val="20"/>
        </w:rPr>
        <w:t xml:space="preserve">age-specific </w:t>
      </w:r>
      <w:r w:rsidR="0079560A">
        <w:rPr>
          <w:rFonts w:ascii="Times New Roman" w:hAnsi="Times New Roman"/>
          <w:sz w:val="20"/>
          <w:szCs w:val="20"/>
        </w:rPr>
        <w:t xml:space="preserve">rates equal to </w:t>
      </w:r>
      <m:oMath>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i</m:t>
            </m:r>
          </m:sub>
        </m:sSub>
        <m:sSub>
          <m:sSubPr>
            <m:ctrlPr>
              <w:rPr>
                <w:rFonts w:ascii="Cambria Math" w:hAnsi="Cambria Math"/>
                <w:i/>
                <w:sz w:val="20"/>
                <w:szCs w:val="20"/>
              </w:rPr>
            </m:ctrlPr>
          </m:sSubPr>
          <m:e>
            <m:r>
              <w:rPr>
                <w:rFonts w:ascii="Cambria Math" w:hAnsi="Cambria Math"/>
                <w:sz w:val="20"/>
                <w:szCs w:val="20"/>
              </w:rPr>
              <m:t>I</m:t>
            </m:r>
          </m:e>
          <m:sub>
            <m:r>
              <w:rPr>
                <w:rFonts w:ascii="Cambria Math" w:hAnsi="Cambria Math"/>
                <w:sz w:val="20"/>
                <w:szCs w:val="20"/>
              </w:rPr>
              <m:t>i</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q</m:t>
            </m:r>
          </m:e>
          <m:sub>
            <m:r>
              <w:rPr>
                <w:rFonts w:ascii="Cambria Math" w:hAnsi="Cambria Math"/>
                <w:sz w:val="20"/>
                <w:szCs w:val="20"/>
              </w:rPr>
              <m:t>i</m:t>
            </m:r>
          </m:sub>
        </m:sSub>
        <m:sSub>
          <m:sSubPr>
            <m:ctrlPr>
              <w:rPr>
                <w:rFonts w:ascii="Cambria Math" w:hAnsi="Cambria Math"/>
                <w:i/>
                <w:sz w:val="20"/>
                <w:szCs w:val="20"/>
              </w:rPr>
            </m:ctrlPr>
          </m:sSubPr>
          <m:e>
            <m:r>
              <w:rPr>
                <w:rFonts w:ascii="Cambria Math" w:hAnsi="Cambria Math"/>
                <w:sz w:val="20"/>
                <w:szCs w:val="20"/>
              </w:rPr>
              <m:t>e</m:t>
            </m:r>
          </m:e>
          <m:sub>
            <m:r>
              <w:rPr>
                <w:rFonts w:ascii="Cambria Math" w:hAnsi="Cambria Math"/>
                <w:sz w:val="20"/>
                <w:szCs w:val="20"/>
              </w:rPr>
              <m:t>i</m:t>
            </m:r>
          </m:sub>
        </m:sSub>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i</m:t>
            </m:r>
          </m:sub>
        </m:sSub>
      </m:oMath>
      <w:r w:rsidR="0079560A">
        <w:rPr>
          <w:rFonts w:ascii="Times New Roman" w:hAnsi="Times New Roman"/>
          <w:sz w:val="20"/>
          <w:szCs w:val="20"/>
        </w:rPr>
        <w:t xml:space="preserve">, where </w:t>
      </w:r>
      <m:oMath>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i</m:t>
            </m:r>
          </m:sub>
        </m:sSub>
      </m:oMath>
      <w:r w:rsidR="0079560A">
        <w:rPr>
          <w:rFonts w:ascii="Times New Roman" w:hAnsi="Times New Roman"/>
          <w:sz w:val="20"/>
          <w:szCs w:val="20"/>
        </w:rPr>
        <w:t xml:space="preserve"> and </w:t>
      </w:r>
      <m:oMath>
        <m:sSub>
          <m:sSubPr>
            <m:ctrlPr>
              <w:rPr>
                <w:rFonts w:ascii="Cambria Math" w:hAnsi="Cambria Math"/>
                <w:i/>
                <w:sz w:val="20"/>
                <w:szCs w:val="20"/>
              </w:rPr>
            </m:ctrlPr>
          </m:sSubPr>
          <m:e>
            <m:r>
              <w:rPr>
                <w:rFonts w:ascii="Cambria Math" w:hAnsi="Cambria Math"/>
                <w:sz w:val="20"/>
                <w:szCs w:val="20"/>
              </w:rPr>
              <m:t>q</m:t>
            </m:r>
          </m:e>
          <m:sub>
            <m:r>
              <w:rPr>
                <w:rFonts w:ascii="Cambria Math" w:hAnsi="Cambria Math"/>
                <w:sz w:val="20"/>
                <w:szCs w:val="20"/>
              </w:rPr>
              <m:t>i</m:t>
            </m:r>
          </m:sub>
        </m:sSub>
      </m:oMath>
      <w:r w:rsidR="0079560A">
        <w:rPr>
          <w:rFonts w:ascii="Times New Roman" w:hAnsi="Times New Roman"/>
          <w:sz w:val="20"/>
          <w:szCs w:val="20"/>
        </w:rPr>
        <w:t xml:space="preserve"> are the age-specific </w:t>
      </w:r>
      <w:r w:rsidR="00723DCC">
        <w:rPr>
          <w:rFonts w:ascii="Times New Roman" w:hAnsi="Times New Roman"/>
          <w:sz w:val="20"/>
          <w:szCs w:val="20"/>
        </w:rPr>
        <w:t>proportions of people employed among immigrants and Bogotá residents</w:t>
      </w:r>
      <w:r w:rsidR="0079560A">
        <w:rPr>
          <w:rFonts w:ascii="Times New Roman" w:hAnsi="Times New Roman"/>
          <w:sz w:val="20"/>
          <w:szCs w:val="20"/>
        </w:rPr>
        <w:t xml:space="preserve">, respectively, </w:t>
      </w:r>
      <m:oMath>
        <m:sSub>
          <m:sSubPr>
            <m:ctrlPr>
              <w:rPr>
                <w:rFonts w:ascii="Cambria Math" w:hAnsi="Cambria Math"/>
                <w:i/>
                <w:sz w:val="20"/>
                <w:szCs w:val="20"/>
              </w:rPr>
            </m:ctrlPr>
          </m:sSubPr>
          <m:e>
            <m:r>
              <w:rPr>
                <w:rFonts w:ascii="Cambria Math" w:hAnsi="Cambria Math"/>
                <w:sz w:val="20"/>
                <w:szCs w:val="20"/>
              </w:rPr>
              <m:t>I</m:t>
            </m:r>
          </m:e>
          <m:sub>
            <m:r>
              <w:rPr>
                <w:rFonts w:ascii="Cambria Math" w:hAnsi="Cambria Math"/>
                <w:sz w:val="20"/>
                <w:szCs w:val="20"/>
              </w:rPr>
              <m:t>i</m:t>
            </m:r>
          </m:sub>
        </m:sSub>
      </m:oMath>
      <w:r w:rsidR="0079560A">
        <w:rPr>
          <w:rFonts w:ascii="Times New Roman" w:hAnsi="Times New Roman"/>
          <w:sz w:val="20"/>
          <w:szCs w:val="20"/>
        </w:rPr>
        <w:t xml:space="preserve"> is total age-specific immigration per year, </w:t>
      </w:r>
      <m:oMath>
        <m:sSub>
          <m:sSubPr>
            <m:ctrlPr>
              <w:rPr>
                <w:rFonts w:ascii="Cambria Math" w:hAnsi="Cambria Math"/>
                <w:i/>
                <w:sz w:val="20"/>
                <w:szCs w:val="20"/>
              </w:rPr>
            </m:ctrlPr>
          </m:sSubPr>
          <m:e>
            <m:r>
              <w:rPr>
                <w:rFonts w:ascii="Cambria Math" w:hAnsi="Cambria Math"/>
                <w:sz w:val="20"/>
                <w:szCs w:val="20"/>
              </w:rPr>
              <m:t>e</m:t>
            </m:r>
          </m:e>
          <m:sub>
            <m:r>
              <w:rPr>
                <w:rFonts w:ascii="Cambria Math" w:hAnsi="Cambria Math"/>
                <w:sz w:val="20"/>
                <w:szCs w:val="20"/>
              </w:rPr>
              <m:t>i</m:t>
            </m:r>
          </m:sub>
        </m:sSub>
      </m:oMath>
      <w:r w:rsidR="0079560A">
        <w:rPr>
          <w:rFonts w:ascii="Times New Roman" w:hAnsi="Times New Roman"/>
          <w:sz w:val="20"/>
          <w:szCs w:val="20"/>
        </w:rPr>
        <w:t xml:space="preserve"> is the age-specific per capita emigration rate per year, and </w:t>
      </w:r>
      <m:oMath>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i</m:t>
            </m:r>
          </m:sub>
        </m:sSub>
      </m:oMath>
      <w:r w:rsidR="0079560A">
        <w:rPr>
          <w:rFonts w:ascii="Times New Roman" w:hAnsi="Times New Roman"/>
          <w:sz w:val="20"/>
          <w:szCs w:val="20"/>
        </w:rPr>
        <w:t xml:space="preserve"> is the number of people in age group </w:t>
      </w:r>
      <m:oMath>
        <m:r>
          <w:rPr>
            <w:rFonts w:ascii="Cambria Math" w:hAnsi="Cambria Math"/>
            <w:sz w:val="20"/>
            <w:szCs w:val="20"/>
          </w:rPr>
          <m:t>i</m:t>
        </m:r>
      </m:oMath>
      <w:r w:rsidR="0079560A">
        <w:rPr>
          <w:rFonts w:ascii="Times New Roman" w:hAnsi="Times New Roman"/>
          <w:sz w:val="20"/>
          <w:szCs w:val="20"/>
        </w:rPr>
        <w:t xml:space="preserve"> residing in </w:t>
      </w:r>
      <w:r w:rsidR="00723DCC">
        <w:rPr>
          <w:rFonts w:ascii="Times New Roman" w:hAnsi="Times New Roman"/>
          <w:sz w:val="20"/>
          <w:szCs w:val="20"/>
        </w:rPr>
        <w:t xml:space="preserve">Bogotá </w:t>
      </w:r>
      <w:r w:rsidR="0079560A">
        <w:rPr>
          <w:rFonts w:ascii="Times New Roman" w:hAnsi="Times New Roman"/>
          <w:sz w:val="20"/>
          <w:szCs w:val="20"/>
        </w:rPr>
        <w:t>(</w:t>
      </w:r>
      <w:r w:rsidR="00723DCC">
        <w:rPr>
          <w:rFonts w:ascii="Times New Roman" w:hAnsi="Times New Roman"/>
          <w:sz w:val="20"/>
          <w:szCs w:val="20"/>
        </w:rPr>
        <w:t>the effect</w:t>
      </w:r>
      <w:r w:rsidR="0079560A">
        <w:rPr>
          <w:rFonts w:ascii="Times New Roman" w:hAnsi="Times New Roman"/>
          <w:sz w:val="20"/>
          <w:szCs w:val="20"/>
        </w:rPr>
        <w:t xml:space="preserve"> of</w:t>
      </w:r>
      <w:r w:rsidR="00723DCC">
        <w:rPr>
          <w:rFonts w:ascii="Times New Roman" w:hAnsi="Times New Roman"/>
          <w:sz w:val="20"/>
          <w:szCs w:val="20"/>
        </w:rPr>
        <w:t xml:space="preserve"> net </w:t>
      </w:r>
      <w:r w:rsidR="0079560A">
        <w:rPr>
          <w:rFonts w:ascii="Times New Roman" w:hAnsi="Times New Roman"/>
          <w:sz w:val="20"/>
          <w:szCs w:val="20"/>
        </w:rPr>
        <w:t>migration on the unemployed</w:t>
      </w:r>
      <w:r w:rsidR="00723DCC">
        <w:rPr>
          <w:rFonts w:ascii="Times New Roman" w:hAnsi="Times New Roman"/>
          <w:sz w:val="20"/>
          <w:szCs w:val="20"/>
        </w:rPr>
        <w:t xml:space="preserve"> </w:t>
      </w:r>
      <w:r w:rsidR="002D171B">
        <w:rPr>
          <w:rFonts w:ascii="Times New Roman" w:hAnsi="Times New Roman"/>
          <w:sz w:val="20"/>
          <w:szCs w:val="20"/>
        </w:rPr>
        <w:t xml:space="preserve">population </w:t>
      </w:r>
      <w:r w:rsidR="00723DCC">
        <w:rPr>
          <w:rFonts w:ascii="Times New Roman" w:hAnsi="Times New Roman"/>
          <w:sz w:val="20"/>
          <w:szCs w:val="20"/>
        </w:rPr>
        <w:t>is modelled in the same way</w:t>
      </w:r>
      <w:r w:rsidR="0079560A">
        <w:rPr>
          <w:rFonts w:ascii="Times New Roman" w:hAnsi="Times New Roman"/>
          <w:sz w:val="20"/>
          <w:szCs w:val="20"/>
        </w:rPr>
        <w:t>).  Per capita mortality rates for people seeking employment</w:t>
      </w:r>
      <w:r w:rsidR="00723DCC">
        <w:rPr>
          <w:rFonts w:ascii="Times New Roman" w:hAnsi="Times New Roman"/>
          <w:sz w:val="20"/>
          <w:szCs w:val="20"/>
        </w:rPr>
        <w:t xml:space="preserve"> </w:t>
      </w:r>
      <w:r w:rsidR="002D171B">
        <w:rPr>
          <w:rFonts w:ascii="Times New Roman" w:hAnsi="Times New Roman"/>
          <w:sz w:val="20"/>
          <w:szCs w:val="20"/>
        </w:rPr>
        <w:t xml:space="preserve">(the unemployed) </w:t>
      </w:r>
      <w:r w:rsidR="0079560A">
        <w:rPr>
          <w:rFonts w:ascii="Times New Roman" w:hAnsi="Times New Roman"/>
          <w:sz w:val="20"/>
          <w:szCs w:val="20"/>
        </w:rPr>
        <w:t>are assumed to be 1.22 times those for people who are employed or not in the labour force (Sorlie and Rogot, 1990).</w:t>
      </w:r>
    </w:p>
    <w:p w14:paraId="066684CB" w14:textId="77777777" w:rsidR="001B1B1D" w:rsidRDefault="001B1B1D" w:rsidP="00FE09B6">
      <w:pPr>
        <w:spacing w:line="480" w:lineRule="auto"/>
        <w:rPr>
          <w:rFonts w:ascii="Times New Roman" w:hAnsi="Times New Roman"/>
          <w:sz w:val="20"/>
          <w:szCs w:val="20"/>
        </w:rPr>
      </w:pPr>
    </w:p>
    <w:p w14:paraId="65A92421" w14:textId="2B752F7E" w:rsidR="00DD1FB7" w:rsidRDefault="00A205CB" w:rsidP="00FE09B6">
      <w:pPr>
        <w:spacing w:line="480" w:lineRule="auto"/>
        <w:rPr>
          <w:rFonts w:ascii="Times New Roman" w:hAnsi="Times New Roman"/>
          <w:sz w:val="20"/>
          <w:szCs w:val="20"/>
        </w:rPr>
      </w:pPr>
      <w:r>
        <w:rPr>
          <w:rFonts w:ascii="Times New Roman" w:hAnsi="Times New Roman"/>
          <w:sz w:val="20"/>
          <w:szCs w:val="20"/>
        </w:rPr>
        <w:t xml:space="preserve">Age-specific numbers of people </w:t>
      </w:r>
      <w:r w:rsidR="00D41588">
        <w:rPr>
          <w:rFonts w:ascii="Times New Roman" w:hAnsi="Times New Roman"/>
          <w:sz w:val="20"/>
          <w:szCs w:val="20"/>
        </w:rPr>
        <w:t>employed informally</w:t>
      </w:r>
      <w:r>
        <w:rPr>
          <w:rFonts w:ascii="Times New Roman" w:hAnsi="Times New Roman"/>
          <w:sz w:val="20"/>
          <w:szCs w:val="20"/>
        </w:rPr>
        <w:t xml:space="preserve"> are </w:t>
      </w:r>
      <w:r w:rsidR="00D41588">
        <w:rPr>
          <w:rFonts w:ascii="Times New Roman" w:hAnsi="Times New Roman"/>
          <w:sz w:val="20"/>
          <w:szCs w:val="20"/>
        </w:rPr>
        <w:t xml:space="preserve">equal to </w:t>
      </w:r>
      <m:oMath>
        <m:d>
          <m:dPr>
            <m:ctrlPr>
              <w:rPr>
                <w:rFonts w:ascii="Cambria Math" w:hAnsi="Cambria Math"/>
                <w:i/>
                <w:sz w:val="20"/>
                <w:szCs w:val="20"/>
              </w:rPr>
            </m:ctrlPr>
          </m:dPr>
          <m:e>
            <m:r>
              <w:rPr>
                <w:rFonts w:ascii="Cambria Math" w:hAnsi="Cambria Math"/>
                <w:sz w:val="20"/>
                <w:szCs w:val="20"/>
              </w:rPr>
              <m:t>a+</m:t>
            </m:r>
            <m:sSub>
              <m:sSubPr>
                <m:ctrlPr>
                  <w:rPr>
                    <w:rFonts w:ascii="Cambria Math" w:hAnsi="Cambria Math"/>
                    <w:i/>
                    <w:sz w:val="20"/>
                    <w:szCs w:val="20"/>
                  </w:rPr>
                </m:ctrlPr>
              </m:sSubPr>
              <m:e>
                <m:r>
                  <w:rPr>
                    <w:rFonts w:ascii="Cambria Math" w:hAnsi="Cambria Math"/>
                    <w:sz w:val="20"/>
                    <w:szCs w:val="20"/>
                  </w:rPr>
                  <m:t>b</m:t>
                </m:r>
              </m:e>
              <m:sub>
                <m:r>
                  <w:rPr>
                    <w:rFonts w:ascii="Cambria Math" w:hAnsi="Cambria Math"/>
                    <w:sz w:val="20"/>
                    <w:szCs w:val="20"/>
                  </w:rPr>
                  <m:t>i</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c</m:t>
                </m:r>
              </m:e>
              <m:sub>
                <m:r>
                  <w:rPr>
                    <w:rFonts w:ascii="Cambria Math" w:hAnsi="Cambria Math"/>
                    <w:sz w:val="20"/>
                    <w:szCs w:val="20"/>
                  </w:rPr>
                  <m:t>i</m:t>
                </m:r>
              </m:sub>
            </m:sSub>
          </m:e>
        </m:d>
        <m:sSub>
          <m:sSubPr>
            <m:ctrlPr>
              <w:rPr>
                <w:rFonts w:ascii="Cambria Math" w:hAnsi="Cambria Math"/>
                <w:i/>
                <w:sz w:val="20"/>
                <w:szCs w:val="20"/>
              </w:rPr>
            </m:ctrlPr>
          </m:sSubPr>
          <m:e>
            <m:r>
              <w:rPr>
                <w:rFonts w:ascii="Cambria Math" w:hAnsi="Cambria Math"/>
                <w:sz w:val="20"/>
                <w:szCs w:val="20"/>
              </w:rPr>
              <m:t>E</m:t>
            </m:r>
          </m:e>
          <m:sub>
            <m:r>
              <w:rPr>
                <w:rFonts w:ascii="Cambria Math" w:hAnsi="Cambria Math"/>
                <w:sz w:val="20"/>
                <w:szCs w:val="20"/>
              </w:rPr>
              <m:t>i</m:t>
            </m:r>
          </m:sub>
        </m:sSub>
      </m:oMath>
      <w:r w:rsidR="00D41588">
        <w:rPr>
          <w:rFonts w:ascii="Times New Roman" w:hAnsi="Times New Roman"/>
          <w:sz w:val="20"/>
          <w:szCs w:val="20"/>
        </w:rPr>
        <w:t xml:space="preserve">, where </w:t>
      </w:r>
      <m:oMath>
        <m:sSub>
          <m:sSubPr>
            <m:ctrlPr>
              <w:rPr>
                <w:rFonts w:ascii="Cambria Math" w:hAnsi="Cambria Math"/>
                <w:i/>
                <w:sz w:val="20"/>
                <w:szCs w:val="20"/>
              </w:rPr>
            </m:ctrlPr>
          </m:sSubPr>
          <m:e>
            <m:r>
              <w:rPr>
                <w:rFonts w:ascii="Cambria Math" w:hAnsi="Cambria Math"/>
                <w:sz w:val="20"/>
                <w:szCs w:val="20"/>
              </w:rPr>
              <m:t>E</m:t>
            </m:r>
          </m:e>
          <m:sub>
            <m:r>
              <w:rPr>
                <w:rFonts w:ascii="Cambria Math" w:hAnsi="Cambria Math"/>
                <w:sz w:val="20"/>
                <w:szCs w:val="20"/>
              </w:rPr>
              <m:t>i</m:t>
            </m:r>
          </m:sub>
        </m:sSub>
      </m:oMath>
      <w:r w:rsidR="00D41588">
        <w:rPr>
          <w:rFonts w:ascii="Times New Roman" w:hAnsi="Times New Roman"/>
          <w:sz w:val="20"/>
          <w:szCs w:val="20"/>
        </w:rPr>
        <w:t xml:space="preserve"> is the number of employed people in age group </w:t>
      </w:r>
      <m:oMath>
        <m:r>
          <w:rPr>
            <w:rFonts w:ascii="Cambria Math" w:hAnsi="Cambria Math"/>
            <w:sz w:val="20"/>
            <w:szCs w:val="20"/>
          </w:rPr>
          <m:t>i</m:t>
        </m:r>
      </m:oMath>
      <w:r w:rsidR="00D41588">
        <w:rPr>
          <w:rFonts w:ascii="Times New Roman" w:hAnsi="Times New Roman"/>
          <w:sz w:val="20"/>
          <w:szCs w:val="20"/>
        </w:rPr>
        <w:t xml:space="preserve">, </w:t>
      </w:r>
      <m:oMath>
        <m:r>
          <w:rPr>
            <w:rFonts w:ascii="Cambria Math" w:hAnsi="Cambria Math"/>
            <w:sz w:val="20"/>
            <w:szCs w:val="20"/>
          </w:rPr>
          <m:t>a</m:t>
        </m:r>
      </m:oMath>
      <w:r w:rsidR="00D41588">
        <w:rPr>
          <w:rFonts w:ascii="Times New Roman" w:hAnsi="Times New Roman"/>
          <w:sz w:val="20"/>
          <w:szCs w:val="20"/>
        </w:rPr>
        <w:t xml:space="preserve"> is the reference proportion of </w:t>
      </w:r>
      <w:r w:rsidR="000E34F8">
        <w:rPr>
          <w:rFonts w:ascii="Times New Roman" w:hAnsi="Times New Roman"/>
          <w:sz w:val="20"/>
          <w:szCs w:val="20"/>
        </w:rPr>
        <w:t xml:space="preserve">employed people in informal employment, and </w:t>
      </w:r>
      <m:oMath>
        <m:sSub>
          <m:sSubPr>
            <m:ctrlPr>
              <w:rPr>
                <w:rFonts w:ascii="Cambria Math" w:hAnsi="Cambria Math"/>
                <w:i/>
                <w:sz w:val="20"/>
                <w:szCs w:val="20"/>
              </w:rPr>
            </m:ctrlPr>
          </m:sSubPr>
          <m:e>
            <m:r>
              <w:rPr>
                <w:rFonts w:ascii="Cambria Math" w:hAnsi="Cambria Math"/>
                <w:sz w:val="20"/>
                <w:szCs w:val="20"/>
              </w:rPr>
              <m:t>b</m:t>
            </m:r>
          </m:e>
          <m:sub>
            <m:r>
              <w:rPr>
                <w:rFonts w:ascii="Cambria Math" w:hAnsi="Cambria Math"/>
                <w:sz w:val="20"/>
                <w:szCs w:val="20"/>
              </w:rPr>
              <m:t>i</m:t>
            </m:r>
          </m:sub>
        </m:sSub>
      </m:oMath>
      <w:r w:rsidR="000E34F8">
        <w:rPr>
          <w:rFonts w:ascii="Times New Roman" w:hAnsi="Times New Roman"/>
          <w:sz w:val="20"/>
          <w:szCs w:val="20"/>
        </w:rPr>
        <w:t xml:space="preserve"> and </w:t>
      </w:r>
      <m:oMath>
        <m:sSub>
          <m:sSubPr>
            <m:ctrlPr>
              <w:rPr>
                <w:rFonts w:ascii="Cambria Math" w:hAnsi="Cambria Math"/>
                <w:i/>
                <w:sz w:val="20"/>
                <w:szCs w:val="20"/>
              </w:rPr>
            </m:ctrlPr>
          </m:sSubPr>
          <m:e>
            <m:r>
              <w:rPr>
                <w:rFonts w:ascii="Cambria Math" w:hAnsi="Cambria Math"/>
                <w:sz w:val="20"/>
                <w:szCs w:val="20"/>
              </w:rPr>
              <m:t>c</m:t>
            </m:r>
          </m:e>
          <m:sub>
            <m:r>
              <w:rPr>
                <w:rFonts w:ascii="Cambria Math" w:hAnsi="Cambria Math"/>
                <w:sz w:val="20"/>
                <w:szCs w:val="20"/>
              </w:rPr>
              <m:t>i</m:t>
            </m:r>
          </m:sub>
        </m:sSub>
      </m:oMath>
      <w:r w:rsidR="000E34F8">
        <w:rPr>
          <w:rFonts w:ascii="Times New Roman" w:hAnsi="Times New Roman"/>
          <w:sz w:val="20"/>
          <w:szCs w:val="20"/>
        </w:rPr>
        <w:t xml:space="preserve"> are the </w:t>
      </w:r>
      <w:r w:rsidR="00287DEE">
        <w:rPr>
          <w:rFonts w:ascii="Times New Roman" w:hAnsi="Times New Roman"/>
          <w:sz w:val="20"/>
          <w:szCs w:val="20"/>
        </w:rPr>
        <w:t>a</w:t>
      </w:r>
      <w:r w:rsidR="000E34F8">
        <w:rPr>
          <w:rFonts w:ascii="Times New Roman" w:hAnsi="Times New Roman"/>
          <w:sz w:val="20"/>
          <w:szCs w:val="20"/>
        </w:rPr>
        <w:t xml:space="preserve">ge-specific effects of </w:t>
      </w:r>
      <w:r w:rsidR="00287DEE">
        <w:rPr>
          <w:rFonts w:ascii="Times New Roman" w:hAnsi="Times New Roman"/>
          <w:sz w:val="20"/>
          <w:szCs w:val="20"/>
        </w:rPr>
        <w:t xml:space="preserve">upper secondary education and post-secondary education, respectively, on the </w:t>
      </w:r>
      <w:r w:rsidR="007149A7">
        <w:rPr>
          <w:rFonts w:ascii="Times New Roman" w:hAnsi="Times New Roman"/>
          <w:sz w:val="20"/>
          <w:szCs w:val="20"/>
        </w:rPr>
        <w:t>informal employment rate</w:t>
      </w:r>
      <w:r w:rsidR="00287DEE">
        <w:rPr>
          <w:rFonts w:ascii="Times New Roman" w:hAnsi="Times New Roman"/>
          <w:sz w:val="20"/>
          <w:szCs w:val="20"/>
        </w:rPr>
        <w:t>.</w:t>
      </w:r>
      <w:r w:rsidR="00F43B44">
        <w:rPr>
          <w:rFonts w:ascii="Times New Roman" w:hAnsi="Times New Roman"/>
          <w:noProof/>
          <w:sz w:val="20"/>
          <w:szCs w:val="20"/>
        </w:rPr>
        <w:t xml:space="preserve">  </w:t>
      </w:r>
      <w:r w:rsidR="00DD2380">
        <w:rPr>
          <w:rFonts w:ascii="Times New Roman" w:hAnsi="Times New Roman"/>
          <w:noProof/>
          <w:sz w:val="20"/>
          <w:szCs w:val="20"/>
        </w:rPr>
        <w:t>Multidimensional poverty (</w:t>
      </w:r>
      <w:r w:rsidR="00DD2380" w:rsidRPr="00F43B44">
        <w:rPr>
          <w:rFonts w:ascii="Times New Roman" w:hAnsi="Times New Roman"/>
          <w:sz w:val="20"/>
          <w:szCs w:val="20"/>
        </w:rPr>
        <w:t>https://www.dane.gov.co/index.php/estadisticas-por-tema/pobreza-y-condiciones-de-vida/pobreza-multidimensional/pobreza-multidimensional-2021</w:t>
      </w:r>
      <w:r w:rsidR="00DD2380">
        <w:rPr>
          <w:rFonts w:ascii="Times New Roman" w:hAnsi="Times New Roman"/>
          <w:sz w:val="20"/>
          <w:szCs w:val="20"/>
        </w:rPr>
        <w:t>) is modelled via a stock (arrayed by age group) that increases as people enter poverty at</w:t>
      </w:r>
      <w:r w:rsidR="00982F84">
        <w:rPr>
          <w:rFonts w:ascii="Times New Roman" w:hAnsi="Times New Roman"/>
          <w:sz w:val="20"/>
          <w:szCs w:val="20"/>
        </w:rPr>
        <w:t xml:space="preserve"> a constant per capita rate per year and decreases as people </w:t>
      </w:r>
      <w:r w:rsidR="00D4548C">
        <w:rPr>
          <w:rFonts w:ascii="Times New Roman" w:hAnsi="Times New Roman"/>
          <w:sz w:val="20"/>
          <w:szCs w:val="20"/>
        </w:rPr>
        <w:t>move out of</w:t>
      </w:r>
      <w:r w:rsidR="00982F84">
        <w:rPr>
          <w:rFonts w:ascii="Times New Roman" w:hAnsi="Times New Roman"/>
          <w:sz w:val="20"/>
          <w:szCs w:val="20"/>
        </w:rPr>
        <w:t xml:space="preserve"> poverty at age-specific rates </w:t>
      </w:r>
      <m:oMath>
        <m:r>
          <w:rPr>
            <w:rFonts w:ascii="Cambria Math" w:hAnsi="Cambria Math"/>
            <w:sz w:val="20"/>
            <w:szCs w:val="20"/>
          </w:rPr>
          <m:t>kd</m:t>
        </m:r>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i</m:t>
            </m:r>
          </m:sub>
        </m:sSub>
      </m:oMath>
      <w:r w:rsidR="00070B53">
        <w:rPr>
          <w:rFonts w:ascii="Times New Roman" w:hAnsi="Times New Roman"/>
          <w:sz w:val="20"/>
          <w:szCs w:val="20"/>
        </w:rPr>
        <w:t xml:space="preserve"> per year, where </w:t>
      </w:r>
      <m:oMath>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i</m:t>
            </m:r>
          </m:sub>
        </m:sSub>
      </m:oMath>
      <w:r w:rsidR="00070B53">
        <w:rPr>
          <w:rFonts w:ascii="Times New Roman" w:hAnsi="Times New Roman"/>
          <w:sz w:val="20"/>
          <w:szCs w:val="20"/>
        </w:rPr>
        <w:t xml:space="preserve"> is the number of people in age group </w:t>
      </w:r>
      <m:oMath>
        <m:r>
          <w:rPr>
            <w:rFonts w:ascii="Cambria Math" w:hAnsi="Cambria Math"/>
            <w:sz w:val="20"/>
            <w:szCs w:val="20"/>
          </w:rPr>
          <m:t>i</m:t>
        </m:r>
      </m:oMath>
      <w:r w:rsidR="00D4548C">
        <w:rPr>
          <w:rFonts w:ascii="Times New Roman" w:hAnsi="Times New Roman"/>
          <w:sz w:val="20"/>
          <w:szCs w:val="20"/>
        </w:rPr>
        <w:t xml:space="preserve"> </w:t>
      </w:r>
      <w:r w:rsidR="00070B53">
        <w:rPr>
          <w:rFonts w:ascii="Times New Roman" w:hAnsi="Times New Roman"/>
          <w:sz w:val="20"/>
          <w:szCs w:val="20"/>
        </w:rPr>
        <w:t xml:space="preserve">experiencing poverty, </w:t>
      </w:r>
      <m:oMath>
        <m:r>
          <w:rPr>
            <w:rFonts w:ascii="Cambria Math" w:hAnsi="Cambria Math"/>
            <w:sz w:val="20"/>
            <w:szCs w:val="20"/>
          </w:rPr>
          <m:t>d</m:t>
        </m:r>
      </m:oMath>
      <w:r w:rsidR="00070B53">
        <w:rPr>
          <w:rFonts w:ascii="Times New Roman" w:hAnsi="Times New Roman"/>
          <w:sz w:val="20"/>
          <w:szCs w:val="20"/>
        </w:rPr>
        <w:t xml:space="preserve"> is the </w:t>
      </w:r>
      <w:r w:rsidR="00BA4775">
        <w:rPr>
          <w:rFonts w:ascii="Times New Roman" w:hAnsi="Times New Roman"/>
          <w:sz w:val="20"/>
          <w:szCs w:val="20"/>
        </w:rPr>
        <w:t>base</w:t>
      </w:r>
      <w:r w:rsidR="00070B53">
        <w:rPr>
          <w:rFonts w:ascii="Times New Roman" w:hAnsi="Times New Roman"/>
          <w:sz w:val="20"/>
          <w:szCs w:val="20"/>
        </w:rPr>
        <w:t xml:space="preserve"> per capita rate at which people </w:t>
      </w:r>
      <w:r w:rsidR="00BA4775">
        <w:rPr>
          <w:rFonts w:ascii="Times New Roman" w:hAnsi="Times New Roman"/>
          <w:sz w:val="20"/>
          <w:szCs w:val="20"/>
        </w:rPr>
        <w:t>transition</w:t>
      </w:r>
      <w:r w:rsidR="00070B53">
        <w:rPr>
          <w:rFonts w:ascii="Times New Roman" w:hAnsi="Times New Roman"/>
          <w:sz w:val="20"/>
          <w:szCs w:val="20"/>
        </w:rPr>
        <w:t xml:space="preserve"> out of poverty per year, and </w:t>
      </w:r>
      <m:oMath>
        <m:r>
          <w:rPr>
            <w:rFonts w:ascii="Cambria Math" w:hAnsi="Cambria Math"/>
            <w:sz w:val="20"/>
            <w:szCs w:val="20"/>
          </w:rPr>
          <m:t>k</m:t>
        </m:r>
      </m:oMath>
      <w:r w:rsidR="00070B53">
        <w:rPr>
          <w:rFonts w:ascii="Times New Roman" w:hAnsi="Times New Roman"/>
          <w:sz w:val="20"/>
          <w:szCs w:val="20"/>
        </w:rPr>
        <w:t xml:space="preserve"> is the effect of formal employment on the poverty exit rate</w:t>
      </w:r>
      <w:r w:rsidR="00BA4775">
        <w:rPr>
          <w:rFonts w:ascii="Times New Roman" w:hAnsi="Times New Roman"/>
          <w:sz w:val="20"/>
          <w:szCs w:val="20"/>
        </w:rPr>
        <w:t xml:space="preserve"> (</w:t>
      </w:r>
      <w:r w:rsidR="00D4548C">
        <w:rPr>
          <w:rFonts w:ascii="Times New Roman" w:hAnsi="Times New Roman"/>
          <w:sz w:val="20"/>
          <w:szCs w:val="20"/>
        </w:rPr>
        <w:t>more</w:t>
      </w:r>
      <w:r w:rsidR="00BA4775">
        <w:rPr>
          <w:rFonts w:ascii="Times New Roman" w:hAnsi="Times New Roman"/>
          <w:sz w:val="20"/>
          <w:szCs w:val="20"/>
        </w:rPr>
        <w:t xml:space="preserve"> people </w:t>
      </w:r>
      <w:r w:rsidR="00D4548C">
        <w:rPr>
          <w:rFonts w:ascii="Times New Roman" w:hAnsi="Times New Roman"/>
          <w:sz w:val="20"/>
          <w:szCs w:val="20"/>
        </w:rPr>
        <w:t xml:space="preserve">are assumed to </w:t>
      </w:r>
      <w:r w:rsidR="00BA4775">
        <w:rPr>
          <w:rFonts w:ascii="Times New Roman" w:hAnsi="Times New Roman"/>
          <w:sz w:val="20"/>
          <w:szCs w:val="20"/>
        </w:rPr>
        <w:t>transition out of poverty per year as formal employment increases)</w:t>
      </w:r>
      <w:r w:rsidR="00070B53">
        <w:rPr>
          <w:rFonts w:ascii="Times New Roman" w:hAnsi="Times New Roman"/>
          <w:sz w:val="20"/>
          <w:szCs w:val="20"/>
        </w:rPr>
        <w:t xml:space="preserve">.  </w:t>
      </w:r>
      <w:r w:rsidR="00570AEA">
        <w:rPr>
          <w:rFonts w:ascii="Times New Roman" w:hAnsi="Times New Roman"/>
          <w:sz w:val="20"/>
          <w:szCs w:val="20"/>
        </w:rPr>
        <w:t>The effect of net migration on the</w:t>
      </w:r>
      <w:r w:rsidR="00BA4775">
        <w:rPr>
          <w:rFonts w:ascii="Times New Roman" w:hAnsi="Times New Roman"/>
          <w:sz w:val="20"/>
          <w:szCs w:val="20"/>
        </w:rPr>
        <w:t xml:space="preserve"> </w:t>
      </w:r>
      <w:r w:rsidR="00D4548C">
        <w:rPr>
          <w:rFonts w:ascii="Times New Roman" w:hAnsi="Times New Roman"/>
          <w:sz w:val="20"/>
          <w:szCs w:val="20"/>
        </w:rPr>
        <w:t xml:space="preserve">(age-specific) </w:t>
      </w:r>
      <w:r w:rsidR="00DC2970">
        <w:rPr>
          <w:rFonts w:ascii="Times New Roman" w:hAnsi="Times New Roman"/>
          <w:sz w:val="20"/>
          <w:szCs w:val="20"/>
        </w:rPr>
        <w:t>numbers of people experiencing</w:t>
      </w:r>
      <w:r w:rsidR="00570AEA">
        <w:rPr>
          <w:rFonts w:ascii="Times New Roman" w:hAnsi="Times New Roman"/>
          <w:sz w:val="20"/>
          <w:szCs w:val="20"/>
        </w:rPr>
        <w:t xml:space="preserve"> multidimensional poverty is modelled using the same approach </w:t>
      </w:r>
      <w:r w:rsidR="00D4548C">
        <w:rPr>
          <w:rFonts w:ascii="Times New Roman" w:hAnsi="Times New Roman"/>
          <w:sz w:val="20"/>
          <w:szCs w:val="20"/>
        </w:rPr>
        <w:t>described</w:t>
      </w:r>
      <w:r w:rsidR="00570AEA">
        <w:rPr>
          <w:rFonts w:ascii="Times New Roman" w:hAnsi="Times New Roman"/>
          <w:sz w:val="20"/>
          <w:szCs w:val="20"/>
        </w:rPr>
        <w:t xml:space="preserve"> for </w:t>
      </w:r>
      <w:r w:rsidR="00DC2970">
        <w:rPr>
          <w:rFonts w:ascii="Times New Roman" w:hAnsi="Times New Roman"/>
          <w:sz w:val="20"/>
          <w:szCs w:val="20"/>
        </w:rPr>
        <w:t>the employed population</w:t>
      </w:r>
      <w:r w:rsidR="00570AEA">
        <w:rPr>
          <w:rFonts w:ascii="Times New Roman" w:hAnsi="Times New Roman"/>
          <w:sz w:val="20"/>
          <w:szCs w:val="20"/>
        </w:rPr>
        <w:t xml:space="preserve"> </w:t>
      </w:r>
      <w:r w:rsidR="00D4548C">
        <w:rPr>
          <w:rFonts w:ascii="Times New Roman" w:hAnsi="Times New Roman"/>
          <w:sz w:val="20"/>
          <w:szCs w:val="20"/>
        </w:rPr>
        <w:t xml:space="preserve">above (see </w:t>
      </w:r>
      <w:r w:rsidR="00570AEA">
        <w:rPr>
          <w:rFonts w:ascii="Times New Roman" w:hAnsi="Times New Roman"/>
          <w:sz w:val="20"/>
          <w:szCs w:val="20"/>
        </w:rPr>
        <w:t>previous paragraph</w:t>
      </w:r>
      <w:r w:rsidR="00D4548C">
        <w:rPr>
          <w:rFonts w:ascii="Times New Roman" w:hAnsi="Times New Roman"/>
          <w:sz w:val="20"/>
          <w:szCs w:val="20"/>
        </w:rPr>
        <w:t>)</w:t>
      </w:r>
      <w:r w:rsidR="00BA4775">
        <w:rPr>
          <w:rFonts w:ascii="Times New Roman" w:hAnsi="Times New Roman"/>
          <w:sz w:val="20"/>
          <w:szCs w:val="20"/>
        </w:rPr>
        <w:t>, and we assume that</w:t>
      </w:r>
      <w:r w:rsidR="008343D8">
        <w:rPr>
          <w:rFonts w:ascii="Times New Roman" w:hAnsi="Times New Roman"/>
          <w:sz w:val="20"/>
          <w:szCs w:val="20"/>
        </w:rPr>
        <w:t xml:space="preserve"> </w:t>
      </w:r>
      <w:r w:rsidR="00343893">
        <w:rPr>
          <w:rFonts w:ascii="Times New Roman" w:hAnsi="Times New Roman"/>
          <w:sz w:val="20"/>
          <w:szCs w:val="20"/>
        </w:rPr>
        <w:t xml:space="preserve">transitions into </w:t>
      </w:r>
      <w:r w:rsidR="008343D8">
        <w:rPr>
          <w:rFonts w:ascii="Times New Roman" w:hAnsi="Times New Roman"/>
          <w:sz w:val="20"/>
          <w:szCs w:val="20"/>
        </w:rPr>
        <w:t>povert</w:t>
      </w:r>
      <w:r w:rsidR="00022F01">
        <w:rPr>
          <w:rFonts w:ascii="Times New Roman" w:hAnsi="Times New Roman"/>
          <w:sz w:val="20"/>
          <w:szCs w:val="20"/>
        </w:rPr>
        <w:t xml:space="preserve">y </w:t>
      </w:r>
      <w:r w:rsidR="00343893">
        <w:rPr>
          <w:rFonts w:ascii="Times New Roman" w:hAnsi="Times New Roman"/>
          <w:sz w:val="20"/>
          <w:szCs w:val="20"/>
        </w:rPr>
        <w:t>are</w:t>
      </w:r>
      <w:r w:rsidR="00022F01">
        <w:rPr>
          <w:rFonts w:ascii="Times New Roman" w:hAnsi="Times New Roman"/>
          <w:sz w:val="20"/>
          <w:szCs w:val="20"/>
        </w:rPr>
        <w:t xml:space="preserve"> </w:t>
      </w:r>
      <w:r w:rsidR="00067DB7">
        <w:rPr>
          <w:rFonts w:ascii="Times New Roman" w:hAnsi="Times New Roman"/>
          <w:sz w:val="20"/>
          <w:szCs w:val="20"/>
        </w:rPr>
        <w:t xml:space="preserve">associated with </w:t>
      </w:r>
      <w:r w:rsidR="00280C63">
        <w:rPr>
          <w:rFonts w:ascii="Times New Roman" w:hAnsi="Times New Roman"/>
          <w:sz w:val="20"/>
          <w:szCs w:val="20"/>
        </w:rPr>
        <w:t xml:space="preserve">significantly </w:t>
      </w:r>
      <w:r w:rsidR="00067DB7">
        <w:rPr>
          <w:rFonts w:ascii="Times New Roman" w:hAnsi="Times New Roman"/>
          <w:sz w:val="20"/>
          <w:szCs w:val="20"/>
        </w:rPr>
        <w:t>increased per capita mortality</w:t>
      </w:r>
      <w:r w:rsidR="00F01E0F">
        <w:rPr>
          <w:rFonts w:ascii="Times New Roman" w:hAnsi="Times New Roman"/>
          <w:sz w:val="20"/>
          <w:szCs w:val="20"/>
        </w:rPr>
        <w:t xml:space="preserve"> </w:t>
      </w:r>
      <w:r w:rsidR="008343D8">
        <w:rPr>
          <w:rFonts w:ascii="Times New Roman" w:hAnsi="Times New Roman"/>
          <w:sz w:val="20"/>
          <w:szCs w:val="20"/>
        </w:rPr>
        <w:t>(</w:t>
      </w:r>
      <w:r w:rsidR="004D2878">
        <w:rPr>
          <w:rFonts w:ascii="Times New Roman" w:hAnsi="Times New Roman"/>
          <w:sz w:val="20"/>
          <w:szCs w:val="20"/>
        </w:rPr>
        <w:t xml:space="preserve">mortality </w:t>
      </w:r>
      <w:r w:rsidR="008343D8">
        <w:rPr>
          <w:rFonts w:ascii="Times New Roman" w:hAnsi="Times New Roman"/>
          <w:sz w:val="20"/>
          <w:szCs w:val="20"/>
        </w:rPr>
        <w:t>hazard ratio 1.</w:t>
      </w:r>
      <w:r w:rsidR="00E23007">
        <w:rPr>
          <w:rFonts w:ascii="Times New Roman" w:hAnsi="Times New Roman"/>
          <w:sz w:val="20"/>
          <w:szCs w:val="20"/>
        </w:rPr>
        <w:t>78;</w:t>
      </w:r>
      <w:r w:rsidR="00E23007">
        <w:rPr>
          <w:rFonts w:ascii="Times New Roman" w:hAnsi="Times New Roman"/>
          <w:noProof/>
          <w:sz w:val="20"/>
          <w:szCs w:val="20"/>
        </w:rPr>
        <w:t xml:space="preserve"> </w:t>
      </w:r>
      <w:r w:rsidR="00E23007" w:rsidRPr="00E23007">
        <w:rPr>
          <w:rFonts w:ascii="Times New Roman" w:hAnsi="Times New Roman"/>
          <w:noProof/>
          <w:sz w:val="20"/>
          <w:szCs w:val="20"/>
        </w:rPr>
        <w:t>Waitzman and Smith, 1998</w:t>
      </w:r>
      <w:r w:rsidR="00E23007">
        <w:rPr>
          <w:rFonts w:ascii="Times New Roman" w:hAnsi="Times New Roman"/>
          <w:noProof/>
          <w:sz w:val="20"/>
          <w:szCs w:val="20"/>
        </w:rPr>
        <w:t>)</w:t>
      </w:r>
      <w:r w:rsidR="00F01E0F">
        <w:rPr>
          <w:rFonts w:ascii="Times New Roman" w:hAnsi="Times New Roman"/>
          <w:noProof/>
          <w:sz w:val="20"/>
          <w:szCs w:val="20"/>
        </w:rPr>
        <w:t>.</w:t>
      </w:r>
      <w:r w:rsidR="00022F01">
        <w:rPr>
          <w:rFonts w:ascii="Times New Roman" w:hAnsi="Times New Roman"/>
          <w:sz w:val="20"/>
          <w:szCs w:val="20"/>
        </w:rPr>
        <w:t xml:space="preserve">  </w:t>
      </w:r>
      <w:r w:rsidR="00DD1FB7">
        <w:rPr>
          <w:rFonts w:ascii="Times New Roman" w:hAnsi="Times New Roman"/>
          <w:sz w:val="20"/>
          <w:szCs w:val="20"/>
        </w:rPr>
        <w:t>Unemployment rate estimates and estimates of the proportion of employed people in informal employment and the prevalence of multidimensional poverty derived from the model are presented alongside empirical estimates in Fig. S10.</w:t>
      </w:r>
    </w:p>
    <w:p w14:paraId="51FE0205" w14:textId="77777777" w:rsidR="00D976FA" w:rsidRDefault="00D976FA" w:rsidP="00FE09B6">
      <w:pPr>
        <w:spacing w:line="480" w:lineRule="auto"/>
        <w:rPr>
          <w:rFonts w:ascii="Times New Roman" w:hAnsi="Times New Roman"/>
          <w:sz w:val="20"/>
          <w:szCs w:val="20"/>
        </w:rPr>
      </w:pPr>
    </w:p>
    <w:p w14:paraId="4EAA7970" w14:textId="161EBEA4" w:rsidR="00DD1FB7" w:rsidRPr="00500539" w:rsidRDefault="00A913F0" w:rsidP="00FE09B6">
      <w:pPr>
        <w:spacing w:line="480" w:lineRule="auto"/>
        <w:rPr>
          <w:rFonts w:ascii="Times New Roman" w:hAnsi="Times New Roman"/>
          <w:i/>
          <w:iCs/>
          <w:sz w:val="20"/>
          <w:szCs w:val="20"/>
        </w:rPr>
      </w:pPr>
      <w:r>
        <w:rPr>
          <w:rFonts w:ascii="Times New Roman" w:hAnsi="Times New Roman"/>
          <w:i/>
          <w:iCs/>
          <w:sz w:val="20"/>
          <w:szCs w:val="20"/>
        </w:rPr>
        <w:t xml:space="preserve">1.7.  </w:t>
      </w:r>
      <w:r w:rsidR="00DD1FB7" w:rsidRPr="00DD1FB7">
        <w:rPr>
          <w:rFonts w:ascii="Times New Roman" w:hAnsi="Times New Roman"/>
          <w:i/>
          <w:iCs/>
          <w:sz w:val="20"/>
          <w:szCs w:val="20"/>
        </w:rPr>
        <w:t xml:space="preserve">Substance use </w:t>
      </w:r>
      <w:proofErr w:type="gramStart"/>
      <w:r w:rsidR="00DD1FB7" w:rsidRPr="00DD1FB7">
        <w:rPr>
          <w:rFonts w:ascii="Times New Roman" w:hAnsi="Times New Roman"/>
          <w:i/>
          <w:iCs/>
          <w:sz w:val="20"/>
          <w:szCs w:val="20"/>
        </w:rPr>
        <w:t>sector</w:t>
      </w:r>
      <w:proofErr w:type="gramEnd"/>
    </w:p>
    <w:p w14:paraId="1FE839B7" w14:textId="77777777" w:rsidR="00812A42" w:rsidRDefault="00574A45" w:rsidP="00FE09B6">
      <w:pPr>
        <w:spacing w:line="480" w:lineRule="auto"/>
        <w:rPr>
          <w:rFonts w:ascii="Times New Roman" w:hAnsi="Times New Roman"/>
          <w:sz w:val="20"/>
          <w:szCs w:val="20"/>
        </w:rPr>
      </w:pPr>
      <w:r>
        <w:rPr>
          <w:rFonts w:ascii="Times New Roman" w:hAnsi="Times New Roman"/>
          <w:sz w:val="20"/>
          <w:szCs w:val="20"/>
        </w:rPr>
        <w:t xml:space="preserve">The structure of the substance use sector, </w:t>
      </w:r>
      <w:r w:rsidR="00E5408C">
        <w:rPr>
          <w:rFonts w:ascii="Times New Roman" w:hAnsi="Times New Roman"/>
          <w:sz w:val="20"/>
          <w:szCs w:val="20"/>
        </w:rPr>
        <w:t>which captures</w:t>
      </w:r>
      <w:r>
        <w:rPr>
          <w:rFonts w:ascii="Times New Roman" w:hAnsi="Times New Roman"/>
          <w:sz w:val="20"/>
          <w:szCs w:val="20"/>
        </w:rPr>
        <w:t xml:space="preserve"> changes in the prevalence of substance use problems and numbers of intoxication-related presentations to health services</w:t>
      </w:r>
      <w:r w:rsidR="00E5408C">
        <w:rPr>
          <w:rFonts w:ascii="Times New Roman" w:hAnsi="Times New Roman"/>
          <w:sz w:val="20"/>
          <w:szCs w:val="20"/>
        </w:rPr>
        <w:t>,</w:t>
      </w:r>
      <w:r w:rsidR="00DC789B">
        <w:rPr>
          <w:rFonts w:ascii="Times New Roman" w:hAnsi="Times New Roman"/>
          <w:sz w:val="20"/>
          <w:szCs w:val="20"/>
        </w:rPr>
        <w:t xml:space="preserve"> is </w:t>
      </w:r>
      <w:r w:rsidR="009F5DB4">
        <w:rPr>
          <w:rFonts w:ascii="Times New Roman" w:hAnsi="Times New Roman"/>
          <w:sz w:val="20"/>
          <w:szCs w:val="20"/>
        </w:rPr>
        <w:t>presented</w:t>
      </w:r>
      <w:r w:rsidR="00DC789B">
        <w:rPr>
          <w:rFonts w:ascii="Times New Roman" w:hAnsi="Times New Roman"/>
          <w:sz w:val="20"/>
          <w:szCs w:val="20"/>
        </w:rPr>
        <w:t xml:space="preserve"> in Fig. S11.</w:t>
      </w:r>
      <w:r w:rsidR="00BE69B8">
        <w:rPr>
          <w:rFonts w:ascii="Times New Roman" w:hAnsi="Times New Roman"/>
          <w:sz w:val="20"/>
          <w:szCs w:val="20"/>
        </w:rPr>
        <w:t xml:space="preserve">  Numbers of</w:t>
      </w:r>
      <w:r w:rsidR="00812A42">
        <w:rPr>
          <w:rFonts w:ascii="Times New Roman" w:hAnsi="Times New Roman"/>
          <w:sz w:val="20"/>
          <w:szCs w:val="20"/>
        </w:rPr>
        <w:t xml:space="preserve"> </w:t>
      </w:r>
    </w:p>
    <w:p w14:paraId="4DFF1FDE" w14:textId="77777777" w:rsidR="00812A42" w:rsidRDefault="00812A42" w:rsidP="00812A42">
      <w:pPr>
        <w:spacing w:line="480" w:lineRule="auto"/>
        <w:rPr>
          <w:rFonts w:ascii="Times New Roman" w:hAnsi="Times New Roman"/>
          <w:sz w:val="20"/>
          <w:szCs w:val="20"/>
        </w:rPr>
      </w:pPr>
      <w:r>
        <w:rPr>
          <w:rFonts w:ascii="Times New Roman" w:hAnsi="Times New Roman"/>
          <w:noProof/>
          <w:sz w:val="20"/>
          <w:szCs w:val="20"/>
        </w:rPr>
        <w:lastRenderedPageBreak/>
        <w:drawing>
          <wp:inline distT="0" distB="0" distL="0" distR="0" wp14:anchorId="0D7AF395" wp14:editId="0B2BF8D4">
            <wp:extent cx="5731509" cy="4912722"/>
            <wp:effectExtent l="0" t="0" r="3175" b="2540"/>
            <wp:docPr id="3887178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717805" name="Picture 1"/>
                    <pic:cNvPicPr/>
                  </pic:nvPicPr>
                  <pic:blipFill>
                    <a:blip r:embed="rId17"/>
                    <a:stretch>
                      <a:fillRect/>
                    </a:stretch>
                  </pic:blipFill>
                  <pic:spPr>
                    <a:xfrm>
                      <a:off x="0" y="0"/>
                      <a:ext cx="5731509" cy="4912722"/>
                    </a:xfrm>
                    <a:prstGeom prst="rect">
                      <a:avLst/>
                    </a:prstGeom>
                  </pic:spPr>
                </pic:pic>
              </a:graphicData>
            </a:graphic>
          </wp:inline>
        </w:drawing>
      </w:r>
    </w:p>
    <w:p w14:paraId="4F766E86" w14:textId="77777777" w:rsidR="00812A42" w:rsidRDefault="00812A42" w:rsidP="00812A42">
      <w:pPr>
        <w:spacing w:line="480" w:lineRule="auto"/>
        <w:rPr>
          <w:rFonts w:ascii="Times New Roman" w:hAnsi="Times New Roman"/>
          <w:sz w:val="20"/>
          <w:szCs w:val="20"/>
        </w:rPr>
      </w:pPr>
      <w:r>
        <w:rPr>
          <w:rFonts w:ascii="Times New Roman" w:hAnsi="Times New Roman"/>
          <w:sz w:val="20"/>
          <w:szCs w:val="20"/>
        </w:rPr>
        <w:t xml:space="preserve">Fig. S10.  Unemployment rate estimates (12 years and over and 12−17 years) and estimates of the proportion of employed people in informal employment and the prevalence of multidimensional poverty derived from the model and from the Large Integrated Household Survey (GEIH) and the National Quality of Life Survey (ECV) (the GEIH and ECV data are available at: </w:t>
      </w:r>
      <w:r w:rsidRPr="008E7A2F">
        <w:rPr>
          <w:rFonts w:ascii="Times New Roman" w:hAnsi="Times New Roman"/>
          <w:sz w:val="20"/>
          <w:szCs w:val="20"/>
        </w:rPr>
        <w:t>https://www.dane.gov.co/</w:t>
      </w:r>
      <w:r>
        <w:rPr>
          <w:rFonts w:ascii="Times New Roman" w:hAnsi="Times New Roman"/>
          <w:sz w:val="20"/>
          <w:szCs w:val="20"/>
        </w:rPr>
        <w:t>).</w:t>
      </w:r>
    </w:p>
    <w:p w14:paraId="75AB76F2" w14:textId="77777777" w:rsidR="00812A42" w:rsidRDefault="00812A42" w:rsidP="00FE09B6">
      <w:pPr>
        <w:spacing w:line="480" w:lineRule="auto"/>
        <w:rPr>
          <w:rFonts w:ascii="Times New Roman" w:hAnsi="Times New Roman"/>
          <w:sz w:val="20"/>
          <w:szCs w:val="20"/>
        </w:rPr>
      </w:pPr>
    </w:p>
    <w:p w14:paraId="4485515B" w14:textId="2AFAE18C" w:rsidR="00F25603" w:rsidRDefault="00BE69B8" w:rsidP="00FE09B6">
      <w:pPr>
        <w:spacing w:line="480" w:lineRule="auto"/>
        <w:rPr>
          <w:rFonts w:ascii="Times New Roman" w:hAnsi="Times New Roman"/>
          <w:sz w:val="20"/>
          <w:szCs w:val="20"/>
        </w:rPr>
      </w:pPr>
      <w:r>
        <w:rPr>
          <w:rFonts w:ascii="Times New Roman" w:hAnsi="Times New Roman"/>
          <w:sz w:val="20"/>
          <w:szCs w:val="20"/>
        </w:rPr>
        <w:t xml:space="preserve">people aged 12−17 years and 18 years and above </w:t>
      </w:r>
      <w:r w:rsidR="00E5408C">
        <w:rPr>
          <w:rFonts w:ascii="Times New Roman" w:hAnsi="Times New Roman"/>
          <w:sz w:val="20"/>
          <w:szCs w:val="20"/>
        </w:rPr>
        <w:t>with</w:t>
      </w:r>
      <w:r w:rsidR="005B572A">
        <w:rPr>
          <w:rFonts w:ascii="Times New Roman" w:hAnsi="Times New Roman"/>
          <w:sz w:val="20"/>
          <w:szCs w:val="20"/>
        </w:rPr>
        <w:t xml:space="preserve"> </w:t>
      </w:r>
      <w:r w:rsidR="00E5408C">
        <w:rPr>
          <w:rFonts w:ascii="Times New Roman" w:hAnsi="Times New Roman"/>
          <w:sz w:val="20"/>
          <w:szCs w:val="20"/>
        </w:rPr>
        <w:t xml:space="preserve">significant </w:t>
      </w:r>
      <w:r w:rsidR="00820AAA">
        <w:rPr>
          <w:rFonts w:ascii="Times New Roman" w:hAnsi="Times New Roman"/>
          <w:sz w:val="20"/>
          <w:szCs w:val="20"/>
        </w:rPr>
        <w:t>substance use problems (</w:t>
      </w:r>
      <w:r w:rsidR="006D5E26">
        <w:rPr>
          <w:rFonts w:ascii="Times New Roman" w:hAnsi="Times New Roman"/>
          <w:sz w:val="20"/>
          <w:szCs w:val="20"/>
        </w:rPr>
        <w:t xml:space="preserve">for model calibration, </w:t>
      </w:r>
      <w:r w:rsidR="00E74EB9">
        <w:rPr>
          <w:rFonts w:ascii="Times New Roman" w:hAnsi="Times New Roman"/>
          <w:sz w:val="20"/>
          <w:szCs w:val="20"/>
        </w:rPr>
        <w:t xml:space="preserve">we used </w:t>
      </w:r>
      <w:r w:rsidR="006D5E26">
        <w:rPr>
          <w:rFonts w:ascii="Times New Roman" w:hAnsi="Times New Roman"/>
          <w:sz w:val="20"/>
          <w:szCs w:val="20"/>
        </w:rPr>
        <w:t xml:space="preserve">data on </w:t>
      </w:r>
      <w:r w:rsidR="00820AAA">
        <w:rPr>
          <w:rFonts w:ascii="Times New Roman" w:hAnsi="Times New Roman"/>
          <w:sz w:val="20"/>
          <w:szCs w:val="20"/>
        </w:rPr>
        <w:t>harmful alcohol consumption</w:t>
      </w:r>
      <w:r w:rsidR="006D5E26">
        <w:rPr>
          <w:rFonts w:ascii="Times New Roman" w:hAnsi="Times New Roman"/>
          <w:sz w:val="20"/>
          <w:szCs w:val="20"/>
        </w:rPr>
        <w:t xml:space="preserve"> as a proxy for </w:t>
      </w:r>
      <w:r w:rsidR="006F1D24">
        <w:rPr>
          <w:rFonts w:ascii="Times New Roman" w:hAnsi="Times New Roman"/>
          <w:sz w:val="20"/>
          <w:szCs w:val="20"/>
        </w:rPr>
        <w:t xml:space="preserve">significant </w:t>
      </w:r>
      <w:r w:rsidR="006D5E26">
        <w:rPr>
          <w:rFonts w:ascii="Times New Roman" w:hAnsi="Times New Roman"/>
          <w:sz w:val="20"/>
          <w:szCs w:val="20"/>
        </w:rPr>
        <w:t>substance use problems</w:t>
      </w:r>
      <w:r w:rsidR="00E74EB9">
        <w:rPr>
          <w:rFonts w:ascii="Times New Roman" w:hAnsi="Times New Roman"/>
          <w:sz w:val="20"/>
          <w:szCs w:val="20"/>
        </w:rPr>
        <w:t>;</w:t>
      </w:r>
      <w:r w:rsidR="005B572A">
        <w:rPr>
          <w:rFonts w:ascii="Times New Roman" w:hAnsi="Times New Roman"/>
          <w:sz w:val="20"/>
          <w:szCs w:val="20"/>
        </w:rPr>
        <w:t xml:space="preserve"> </w:t>
      </w:r>
      <w:r w:rsidR="004111E9">
        <w:rPr>
          <w:rFonts w:ascii="Times New Roman" w:hAnsi="Times New Roman"/>
          <w:sz w:val="20"/>
          <w:szCs w:val="20"/>
        </w:rPr>
        <w:t xml:space="preserve">see </w:t>
      </w:r>
      <w:r w:rsidR="005952DB" w:rsidRPr="005952DB">
        <w:rPr>
          <w:rFonts w:ascii="Times New Roman" w:hAnsi="Times New Roman"/>
          <w:sz w:val="20"/>
          <w:szCs w:val="20"/>
        </w:rPr>
        <w:t>Departamento Administrativo Nacional de Estadística</w:t>
      </w:r>
      <w:r w:rsidR="005952DB">
        <w:rPr>
          <w:rFonts w:ascii="Times New Roman" w:hAnsi="Times New Roman"/>
          <w:sz w:val="20"/>
          <w:szCs w:val="20"/>
        </w:rPr>
        <w:t>, 2019</w:t>
      </w:r>
      <w:r w:rsidR="00820AAA">
        <w:rPr>
          <w:rFonts w:ascii="Times New Roman" w:hAnsi="Times New Roman"/>
          <w:sz w:val="20"/>
          <w:szCs w:val="20"/>
        </w:rPr>
        <w:t xml:space="preserve">) are modelled as stocks </w:t>
      </w:r>
      <w:r w:rsidR="009F5DB4">
        <w:rPr>
          <w:rFonts w:ascii="Times New Roman" w:hAnsi="Times New Roman"/>
          <w:sz w:val="20"/>
          <w:szCs w:val="20"/>
        </w:rPr>
        <w:t>with inflows corresponding to t</w:t>
      </w:r>
      <w:r w:rsidR="006F1D24">
        <w:rPr>
          <w:rFonts w:ascii="Times New Roman" w:hAnsi="Times New Roman"/>
          <w:sz w:val="20"/>
          <w:szCs w:val="20"/>
        </w:rPr>
        <w:t xml:space="preserve">he age-specific </w:t>
      </w:r>
      <w:r w:rsidR="009F5DB4">
        <w:rPr>
          <w:rFonts w:ascii="Times New Roman" w:hAnsi="Times New Roman"/>
          <w:sz w:val="20"/>
          <w:szCs w:val="20"/>
        </w:rPr>
        <w:t xml:space="preserve">incidence of substance use problems, </w:t>
      </w:r>
      <w:r w:rsidR="00E5408C">
        <w:rPr>
          <w:rFonts w:ascii="Times New Roman" w:hAnsi="Times New Roman"/>
          <w:sz w:val="20"/>
          <w:szCs w:val="20"/>
        </w:rPr>
        <w:t>equal to</w:t>
      </w:r>
      <w:r w:rsidR="009F5DB4">
        <w:rPr>
          <w:rFonts w:ascii="Times New Roman" w:hAnsi="Times New Roman"/>
          <w:sz w:val="20"/>
          <w:szCs w:val="20"/>
        </w:rPr>
        <w:t xml:space="preserve"> </w:t>
      </w:r>
      <m:oMath>
        <m:r>
          <w:rPr>
            <w:rFonts w:ascii="Cambria Math" w:hAnsi="Cambria Math"/>
            <w:sz w:val="20"/>
            <w:szCs w:val="20"/>
          </w:rPr>
          <m:t>hsG</m:t>
        </m:r>
      </m:oMath>
      <w:r w:rsidR="009F5DB4">
        <w:rPr>
          <w:rFonts w:ascii="Times New Roman" w:hAnsi="Times New Roman"/>
          <w:sz w:val="20"/>
          <w:szCs w:val="20"/>
        </w:rPr>
        <w:t xml:space="preserve">, where </w:t>
      </w:r>
      <m:oMath>
        <m:r>
          <w:rPr>
            <w:rFonts w:ascii="Cambria Math" w:hAnsi="Cambria Math"/>
            <w:sz w:val="20"/>
            <w:szCs w:val="20"/>
          </w:rPr>
          <m:t>s</m:t>
        </m:r>
      </m:oMath>
      <w:r w:rsidR="009F5DB4">
        <w:rPr>
          <w:rFonts w:ascii="Times New Roman" w:hAnsi="Times New Roman"/>
          <w:sz w:val="20"/>
          <w:szCs w:val="20"/>
        </w:rPr>
        <w:t xml:space="preserve"> is the </w:t>
      </w:r>
      <w:r w:rsidR="006F1D24">
        <w:rPr>
          <w:rFonts w:ascii="Times New Roman" w:hAnsi="Times New Roman"/>
          <w:sz w:val="20"/>
          <w:szCs w:val="20"/>
        </w:rPr>
        <w:t xml:space="preserve">age-specific </w:t>
      </w:r>
      <w:r w:rsidR="004111E9">
        <w:rPr>
          <w:rFonts w:ascii="Times New Roman" w:hAnsi="Times New Roman"/>
          <w:sz w:val="20"/>
          <w:szCs w:val="20"/>
        </w:rPr>
        <w:t>reference (</w:t>
      </w:r>
      <w:r w:rsidR="009F5DB4">
        <w:rPr>
          <w:rFonts w:ascii="Times New Roman" w:hAnsi="Times New Roman"/>
          <w:sz w:val="20"/>
          <w:szCs w:val="20"/>
        </w:rPr>
        <w:t>base</w:t>
      </w:r>
      <w:r w:rsidR="004111E9">
        <w:rPr>
          <w:rFonts w:ascii="Times New Roman" w:hAnsi="Times New Roman"/>
          <w:sz w:val="20"/>
          <w:szCs w:val="20"/>
        </w:rPr>
        <w:t>)</w:t>
      </w:r>
      <w:r w:rsidR="009F5DB4">
        <w:rPr>
          <w:rFonts w:ascii="Times New Roman" w:hAnsi="Times New Roman"/>
          <w:sz w:val="20"/>
          <w:szCs w:val="20"/>
        </w:rPr>
        <w:t xml:space="preserve"> per capita incidence of substance use problems per year, </w:t>
      </w:r>
      <m:oMath>
        <m:r>
          <w:rPr>
            <w:rFonts w:ascii="Cambria Math" w:hAnsi="Cambria Math"/>
            <w:sz w:val="20"/>
            <w:szCs w:val="20"/>
          </w:rPr>
          <m:t>h</m:t>
        </m:r>
      </m:oMath>
      <w:r w:rsidR="009F5DB4">
        <w:rPr>
          <w:rFonts w:ascii="Times New Roman" w:hAnsi="Times New Roman"/>
          <w:sz w:val="20"/>
          <w:szCs w:val="20"/>
        </w:rPr>
        <w:t xml:space="preserve"> is the product of the effects of</w:t>
      </w:r>
      <w:r w:rsidR="009F5DB4" w:rsidRPr="006870CA">
        <w:rPr>
          <w:rFonts w:ascii="Times New Roman" w:hAnsi="Times New Roman"/>
          <w:sz w:val="20"/>
          <w:szCs w:val="20"/>
        </w:rPr>
        <w:t xml:space="preserve"> </w:t>
      </w:r>
      <w:r w:rsidR="009F5DB4">
        <w:rPr>
          <w:rFonts w:ascii="Times New Roman" w:hAnsi="Times New Roman"/>
          <w:sz w:val="20"/>
          <w:szCs w:val="20"/>
        </w:rPr>
        <w:t>developmental vulnerability (Crum et al., 2008) and</w:t>
      </w:r>
      <w:r w:rsidR="006F1D24">
        <w:rPr>
          <w:rFonts w:ascii="Times New Roman" w:hAnsi="Times New Roman"/>
          <w:sz w:val="20"/>
          <w:szCs w:val="20"/>
        </w:rPr>
        <w:t xml:space="preserve"> </w:t>
      </w:r>
      <w:r w:rsidR="009F5DB4">
        <w:rPr>
          <w:rFonts w:ascii="Times New Roman" w:hAnsi="Times New Roman"/>
          <w:sz w:val="20"/>
          <w:szCs w:val="20"/>
        </w:rPr>
        <w:t xml:space="preserve">mental health problems (Marmorstein et al., 2010) on problematic substance use, and </w:t>
      </w:r>
      <m:oMath>
        <m:r>
          <w:rPr>
            <w:rFonts w:ascii="Cambria Math" w:hAnsi="Cambria Math"/>
            <w:sz w:val="20"/>
            <w:szCs w:val="20"/>
          </w:rPr>
          <m:t>G</m:t>
        </m:r>
      </m:oMath>
      <w:r w:rsidR="009F5DB4">
        <w:rPr>
          <w:rFonts w:ascii="Times New Roman" w:hAnsi="Times New Roman"/>
          <w:sz w:val="20"/>
          <w:szCs w:val="20"/>
        </w:rPr>
        <w:t xml:space="preserve"> is the number of people </w:t>
      </w:r>
      <w:r w:rsidR="005117D7">
        <w:rPr>
          <w:rFonts w:ascii="Times New Roman" w:hAnsi="Times New Roman"/>
          <w:sz w:val="20"/>
          <w:szCs w:val="20"/>
        </w:rPr>
        <w:t>in the population reporting no</w:t>
      </w:r>
      <w:r w:rsidR="004111E9">
        <w:rPr>
          <w:rFonts w:ascii="Times New Roman" w:hAnsi="Times New Roman"/>
          <w:sz w:val="20"/>
          <w:szCs w:val="20"/>
        </w:rPr>
        <w:t xml:space="preserve"> </w:t>
      </w:r>
      <w:r w:rsidR="009F5DB4">
        <w:rPr>
          <w:rFonts w:ascii="Times New Roman" w:hAnsi="Times New Roman"/>
          <w:sz w:val="20"/>
          <w:szCs w:val="20"/>
        </w:rPr>
        <w:t xml:space="preserve">substance use problems.  Recovery, including </w:t>
      </w:r>
      <w:r w:rsidR="005117D7">
        <w:rPr>
          <w:rFonts w:ascii="Times New Roman" w:hAnsi="Times New Roman"/>
          <w:sz w:val="20"/>
          <w:szCs w:val="20"/>
        </w:rPr>
        <w:t xml:space="preserve">both </w:t>
      </w:r>
      <w:r w:rsidR="009F5DB4">
        <w:rPr>
          <w:rFonts w:ascii="Times New Roman" w:hAnsi="Times New Roman"/>
          <w:sz w:val="20"/>
          <w:szCs w:val="20"/>
        </w:rPr>
        <w:t>spontaneous</w:t>
      </w:r>
      <w:r w:rsidR="004111E9">
        <w:rPr>
          <w:rFonts w:ascii="Times New Roman" w:hAnsi="Times New Roman"/>
          <w:sz w:val="20"/>
          <w:szCs w:val="20"/>
        </w:rPr>
        <w:t xml:space="preserve"> </w:t>
      </w:r>
      <w:r w:rsidR="009F5DB4">
        <w:rPr>
          <w:rFonts w:ascii="Times New Roman" w:hAnsi="Times New Roman"/>
          <w:sz w:val="20"/>
          <w:szCs w:val="20"/>
        </w:rPr>
        <w:t xml:space="preserve">and treatment-dependent recovery, occurs at a constant per capita rate that is </w:t>
      </w:r>
      <w:r w:rsidR="009F5DB4">
        <w:rPr>
          <w:rFonts w:ascii="Times New Roman" w:hAnsi="Times New Roman"/>
          <w:sz w:val="20"/>
          <w:szCs w:val="20"/>
        </w:rPr>
        <w:lastRenderedPageBreak/>
        <w:t xml:space="preserve">assumed to be identical for both age groups (note that we have not modelled access to treatment explicitly, due </w:t>
      </w:r>
      <w:r w:rsidR="005117D7">
        <w:rPr>
          <w:rFonts w:ascii="Times New Roman" w:hAnsi="Times New Roman"/>
          <w:sz w:val="20"/>
          <w:szCs w:val="20"/>
        </w:rPr>
        <w:t xml:space="preserve">principally </w:t>
      </w:r>
      <w:r w:rsidR="009F5DB4">
        <w:rPr>
          <w:rFonts w:ascii="Times New Roman" w:hAnsi="Times New Roman"/>
          <w:sz w:val="20"/>
          <w:szCs w:val="20"/>
        </w:rPr>
        <w:t xml:space="preserve">to data availability constraints); the </w:t>
      </w:r>
      <w:r w:rsidR="00E5408C">
        <w:rPr>
          <w:rFonts w:ascii="Times New Roman" w:hAnsi="Times New Roman"/>
          <w:sz w:val="20"/>
          <w:szCs w:val="20"/>
        </w:rPr>
        <w:t>bi-</w:t>
      </w:r>
      <w:r w:rsidR="009F5DB4">
        <w:rPr>
          <w:rFonts w:ascii="Times New Roman" w:hAnsi="Times New Roman"/>
          <w:sz w:val="20"/>
          <w:szCs w:val="20"/>
        </w:rPr>
        <w:t>flow</w:t>
      </w:r>
      <w:r w:rsidR="004111E9">
        <w:rPr>
          <w:rFonts w:ascii="Times New Roman" w:hAnsi="Times New Roman"/>
          <w:sz w:val="20"/>
          <w:szCs w:val="20"/>
        </w:rPr>
        <w:t xml:space="preserve">s </w:t>
      </w:r>
      <w:r w:rsidR="009F5DB4">
        <w:rPr>
          <w:rFonts w:ascii="Times New Roman" w:hAnsi="Times New Roman"/>
          <w:sz w:val="20"/>
          <w:szCs w:val="20"/>
        </w:rPr>
        <w:t xml:space="preserve">labelled ‘Net substance use incidence’ in Fig. S11 </w:t>
      </w:r>
      <w:r w:rsidR="004111E9">
        <w:rPr>
          <w:rFonts w:ascii="Times New Roman" w:hAnsi="Times New Roman"/>
          <w:sz w:val="20"/>
          <w:szCs w:val="20"/>
        </w:rPr>
        <w:t>are</w:t>
      </w:r>
      <w:r w:rsidR="009F5DB4">
        <w:rPr>
          <w:rFonts w:ascii="Times New Roman" w:hAnsi="Times New Roman"/>
          <w:sz w:val="20"/>
          <w:szCs w:val="20"/>
        </w:rPr>
        <w:t xml:space="preserve"> equal to the number of people developing substance use problems per year minus the number of people recovering</w:t>
      </w:r>
      <w:r w:rsidR="006F1D24">
        <w:rPr>
          <w:rFonts w:ascii="Times New Roman" w:hAnsi="Times New Roman"/>
          <w:sz w:val="20"/>
          <w:szCs w:val="20"/>
        </w:rPr>
        <w:t xml:space="preserve"> per year</w:t>
      </w:r>
      <w:r w:rsidR="009F5DB4">
        <w:rPr>
          <w:rFonts w:ascii="Times New Roman" w:hAnsi="Times New Roman"/>
          <w:sz w:val="20"/>
          <w:szCs w:val="20"/>
        </w:rPr>
        <w:t>.</w:t>
      </w:r>
      <w:r w:rsidR="00A92D68">
        <w:rPr>
          <w:rFonts w:ascii="Times New Roman" w:hAnsi="Times New Roman"/>
          <w:sz w:val="20"/>
          <w:szCs w:val="20"/>
        </w:rPr>
        <w:t xml:space="preserve"> </w:t>
      </w:r>
      <w:r w:rsidR="00D140D9">
        <w:rPr>
          <w:rFonts w:ascii="Times New Roman" w:hAnsi="Times New Roman"/>
          <w:sz w:val="20"/>
          <w:szCs w:val="20"/>
        </w:rPr>
        <w:t xml:space="preserve"> Intoxication-related </w:t>
      </w:r>
      <w:r w:rsidR="004111E9">
        <w:rPr>
          <w:rFonts w:ascii="Times New Roman" w:hAnsi="Times New Roman"/>
          <w:sz w:val="20"/>
          <w:szCs w:val="20"/>
        </w:rPr>
        <w:t xml:space="preserve">services </w:t>
      </w:r>
      <w:r w:rsidR="00D140D9">
        <w:rPr>
          <w:rFonts w:ascii="Times New Roman" w:hAnsi="Times New Roman"/>
          <w:sz w:val="20"/>
          <w:szCs w:val="20"/>
        </w:rPr>
        <w:t xml:space="preserve">presentation rates </w:t>
      </w:r>
      <w:r w:rsidR="00A92D68">
        <w:rPr>
          <w:rFonts w:ascii="Times New Roman" w:hAnsi="Times New Roman"/>
          <w:sz w:val="20"/>
          <w:szCs w:val="20"/>
        </w:rPr>
        <w:t xml:space="preserve">are calculated as </w:t>
      </w:r>
      <m:oMath>
        <m:sSub>
          <m:sSubPr>
            <m:ctrlPr>
              <w:rPr>
                <w:rFonts w:ascii="Cambria Math" w:hAnsi="Cambria Math"/>
                <w:i/>
                <w:sz w:val="20"/>
                <w:szCs w:val="20"/>
              </w:rPr>
            </m:ctrlPr>
          </m:sSubPr>
          <m:e>
            <m:r>
              <w:rPr>
                <w:rFonts w:ascii="Cambria Math" w:hAnsi="Cambria Math"/>
                <w:sz w:val="20"/>
                <w:szCs w:val="20"/>
              </w:rPr>
              <m:t>r</m:t>
            </m:r>
          </m:e>
          <m:sub>
            <m:r>
              <w:rPr>
                <w:rFonts w:ascii="Cambria Math" w:hAnsi="Cambria Math"/>
                <w:sz w:val="20"/>
                <w:szCs w:val="20"/>
              </w:rPr>
              <m:t>i</m:t>
            </m:r>
          </m:sub>
        </m:sSub>
        <m:sSub>
          <m:sSubPr>
            <m:ctrlPr>
              <w:rPr>
                <w:rFonts w:ascii="Cambria Math" w:hAnsi="Cambria Math"/>
                <w:i/>
                <w:sz w:val="20"/>
                <w:szCs w:val="20"/>
              </w:rPr>
            </m:ctrlPr>
          </m:sSubPr>
          <m:e>
            <m:r>
              <w:rPr>
                <w:rFonts w:ascii="Cambria Math" w:hAnsi="Cambria Math"/>
                <w:sz w:val="20"/>
                <w:szCs w:val="20"/>
              </w:rPr>
              <m:t>D</m:t>
            </m:r>
          </m:e>
          <m:sub>
            <m:r>
              <w:rPr>
                <w:rFonts w:ascii="Cambria Math" w:hAnsi="Cambria Math"/>
                <w:sz w:val="20"/>
                <w:szCs w:val="20"/>
              </w:rPr>
              <m:t>i</m:t>
            </m:r>
          </m:sub>
        </m:sSub>
      </m:oMath>
      <w:r w:rsidR="00CA71C6">
        <w:rPr>
          <w:rFonts w:ascii="Times New Roman" w:hAnsi="Times New Roman"/>
          <w:sz w:val="20"/>
          <w:szCs w:val="20"/>
        </w:rPr>
        <w:t xml:space="preserve">, where </w:t>
      </w:r>
      <m:oMath>
        <m:sSub>
          <m:sSubPr>
            <m:ctrlPr>
              <w:rPr>
                <w:rFonts w:ascii="Cambria Math" w:hAnsi="Cambria Math"/>
                <w:i/>
                <w:sz w:val="20"/>
                <w:szCs w:val="20"/>
              </w:rPr>
            </m:ctrlPr>
          </m:sSubPr>
          <m:e>
            <m:r>
              <w:rPr>
                <w:rFonts w:ascii="Cambria Math" w:hAnsi="Cambria Math"/>
                <w:sz w:val="20"/>
                <w:szCs w:val="20"/>
              </w:rPr>
              <m:t>r</m:t>
            </m:r>
          </m:e>
          <m:sub>
            <m:r>
              <w:rPr>
                <w:rFonts w:ascii="Cambria Math" w:hAnsi="Cambria Math"/>
                <w:sz w:val="20"/>
                <w:szCs w:val="20"/>
              </w:rPr>
              <m:t>i</m:t>
            </m:r>
          </m:sub>
        </m:sSub>
      </m:oMath>
      <w:r w:rsidR="00D02E01">
        <w:rPr>
          <w:rFonts w:ascii="Times New Roman" w:hAnsi="Times New Roman"/>
          <w:sz w:val="20"/>
          <w:szCs w:val="20"/>
        </w:rPr>
        <w:t xml:space="preserve"> is the per capita presentation rate per year for age group </w:t>
      </w:r>
      <m:oMath>
        <m:r>
          <w:rPr>
            <w:rFonts w:ascii="Cambria Math" w:hAnsi="Cambria Math"/>
            <w:sz w:val="20"/>
            <w:szCs w:val="20"/>
          </w:rPr>
          <m:t>i</m:t>
        </m:r>
      </m:oMath>
      <w:r w:rsidR="00D140D9">
        <w:rPr>
          <w:rFonts w:ascii="Times New Roman" w:hAnsi="Times New Roman"/>
          <w:sz w:val="20"/>
          <w:szCs w:val="20"/>
        </w:rPr>
        <w:t xml:space="preserve"> and </w:t>
      </w:r>
      <m:oMath>
        <m:sSub>
          <m:sSubPr>
            <m:ctrlPr>
              <w:rPr>
                <w:rFonts w:ascii="Cambria Math" w:hAnsi="Cambria Math"/>
                <w:i/>
                <w:sz w:val="20"/>
                <w:szCs w:val="20"/>
              </w:rPr>
            </m:ctrlPr>
          </m:sSubPr>
          <m:e>
            <m:r>
              <w:rPr>
                <w:rFonts w:ascii="Cambria Math" w:hAnsi="Cambria Math"/>
                <w:sz w:val="20"/>
                <w:szCs w:val="20"/>
              </w:rPr>
              <m:t>D</m:t>
            </m:r>
          </m:e>
          <m:sub>
            <m:r>
              <w:rPr>
                <w:rFonts w:ascii="Cambria Math" w:hAnsi="Cambria Math"/>
                <w:sz w:val="20"/>
                <w:szCs w:val="20"/>
              </w:rPr>
              <m:t>i</m:t>
            </m:r>
          </m:sub>
        </m:sSub>
      </m:oMath>
      <w:r w:rsidR="00D140D9">
        <w:rPr>
          <w:rFonts w:ascii="Times New Roman" w:hAnsi="Times New Roman"/>
          <w:sz w:val="20"/>
          <w:szCs w:val="20"/>
        </w:rPr>
        <w:t xml:space="preserve"> is the number of people in age group </w:t>
      </w:r>
      <m:oMath>
        <m:r>
          <w:rPr>
            <w:rFonts w:ascii="Cambria Math" w:hAnsi="Cambria Math"/>
            <w:sz w:val="20"/>
            <w:szCs w:val="20"/>
          </w:rPr>
          <m:t>i</m:t>
        </m:r>
      </m:oMath>
      <w:r w:rsidR="00D140D9">
        <w:rPr>
          <w:rFonts w:ascii="Times New Roman" w:hAnsi="Times New Roman"/>
          <w:sz w:val="20"/>
          <w:szCs w:val="20"/>
        </w:rPr>
        <w:t xml:space="preserve"> with significant substance use problems.</w:t>
      </w:r>
    </w:p>
    <w:p w14:paraId="67BAEA15" w14:textId="77777777" w:rsidR="00812A42" w:rsidRDefault="00812A42" w:rsidP="00FE09B6">
      <w:pPr>
        <w:spacing w:line="480" w:lineRule="auto"/>
        <w:rPr>
          <w:rFonts w:ascii="Times New Roman" w:hAnsi="Times New Roman"/>
          <w:sz w:val="20"/>
          <w:szCs w:val="20"/>
        </w:rPr>
      </w:pPr>
    </w:p>
    <w:p w14:paraId="253FCC11" w14:textId="77777777" w:rsidR="00812A42" w:rsidRDefault="00812A42" w:rsidP="00812A42">
      <w:pPr>
        <w:spacing w:line="480" w:lineRule="auto"/>
        <w:jc w:val="center"/>
        <w:rPr>
          <w:rFonts w:ascii="Times New Roman" w:hAnsi="Times New Roman"/>
          <w:sz w:val="20"/>
          <w:szCs w:val="20"/>
        </w:rPr>
      </w:pPr>
      <w:r>
        <w:rPr>
          <w:rFonts w:ascii="Times New Roman" w:hAnsi="Times New Roman"/>
          <w:noProof/>
          <w:sz w:val="20"/>
          <w:szCs w:val="20"/>
        </w:rPr>
        <w:drawing>
          <wp:inline distT="0" distB="0" distL="0" distR="0" wp14:anchorId="442C5442" wp14:editId="451E65A2">
            <wp:extent cx="5194700" cy="3852000"/>
            <wp:effectExtent l="0" t="0" r="6350" b="0"/>
            <wp:docPr id="1663903500" name="Picture 4" descr="A computer screen shot of a computer netwo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903500" name="Picture 4" descr="A computer screen shot of a computer network&#10;&#10;Description automatically generated"/>
                    <pic:cNvPicPr/>
                  </pic:nvPicPr>
                  <pic:blipFill>
                    <a:blip r:embed="rId18"/>
                    <a:stretch>
                      <a:fillRect/>
                    </a:stretch>
                  </pic:blipFill>
                  <pic:spPr>
                    <a:xfrm>
                      <a:off x="0" y="0"/>
                      <a:ext cx="5194700" cy="3852000"/>
                    </a:xfrm>
                    <a:prstGeom prst="rect">
                      <a:avLst/>
                    </a:prstGeom>
                  </pic:spPr>
                </pic:pic>
              </a:graphicData>
            </a:graphic>
          </wp:inline>
        </w:drawing>
      </w:r>
    </w:p>
    <w:p w14:paraId="1B847940" w14:textId="03C29E02" w:rsidR="00812A42" w:rsidRDefault="00812A42" w:rsidP="00812A42">
      <w:pPr>
        <w:spacing w:line="480" w:lineRule="auto"/>
        <w:rPr>
          <w:rFonts w:ascii="Times New Roman" w:hAnsi="Times New Roman"/>
          <w:sz w:val="20"/>
          <w:szCs w:val="20"/>
        </w:rPr>
      </w:pPr>
      <w:r>
        <w:rPr>
          <w:rFonts w:ascii="Times New Roman" w:hAnsi="Times New Roman"/>
          <w:sz w:val="20"/>
          <w:szCs w:val="20"/>
        </w:rPr>
        <w:t>Fig. S11.  Structure of the substance use sector.  Modelled factors that affect the incidence of substance use problems are listed in the text box.</w:t>
      </w:r>
    </w:p>
    <w:p w14:paraId="684B8BC3" w14:textId="77777777" w:rsidR="006B5B86" w:rsidRDefault="006B5B86" w:rsidP="00FE09B6">
      <w:pPr>
        <w:spacing w:line="480" w:lineRule="auto"/>
        <w:rPr>
          <w:rFonts w:ascii="Times New Roman" w:hAnsi="Times New Roman"/>
          <w:sz w:val="20"/>
          <w:szCs w:val="20"/>
        </w:rPr>
      </w:pPr>
    </w:p>
    <w:p w14:paraId="4E825D6E" w14:textId="3BF7191A" w:rsidR="004D0B28" w:rsidRDefault="009F5DB4" w:rsidP="00FE09B6">
      <w:pPr>
        <w:spacing w:line="480" w:lineRule="auto"/>
        <w:rPr>
          <w:rFonts w:ascii="Times New Roman" w:hAnsi="Times New Roman"/>
          <w:sz w:val="20"/>
          <w:szCs w:val="20"/>
        </w:rPr>
      </w:pPr>
      <w:r>
        <w:rPr>
          <w:rFonts w:ascii="Times New Roman" w:hAnsi="Times New Roman"/>
          <w:sz w:val="20"/>
          <w:szCs w:val="20"/>
        </w:rPr>
        <w:t>Net migration adds to (or subtracts from) the stocks of people with</w:t>
      </w:r>
      <w:r w:rsidR="0007542D">
        <w:rPr>
          <w:rFonts w:ascii="Times New Roman" w:hAnsi="Times New Roman"/>
          <w:sz w:val="20"/>
          <w:szCs w:val="20"/>
        </w:rPr>
        <w:t xml:space="preserve"> </w:t>
      </w:r>
      <w:r>
        <w:rPr>
          <w:rFonts w:ascii="Times New Roman" w:hAnsi="Times New Roman"/>
          <w:sz w:val="20"/>
          <w:szCs w:val="20"/>
        </w:rPr>
        <w:t xml:space="preserve">substance use problems at age-specific </w:t>
      </w:r>
      <w:r w:rsidR="0007542D">
        <w:rPr>
          <w:rFonts w:ascii="Times New Roman" w:hAnsi="Times New Roman"/>
          <w:sz w:val="20"/>
          <w:szCs w:val="20"/>
        </w:rPr>
        <w:t xml:space="preserve">rates </w:t>
      </w:r>
      <m:oMath>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i</m:t>
            </m:r>
          </m:sub>
        </m:sSub>
        <m:sSub>
          <m:sSubPr>
            <m:ctrlPr>
              <w:rPr>
                <w:rFonts w:ascii="Cambria Math" w:hAnsi="Cambria Math"/>
                <w:i/>
                <w:sz w:val="20"/>
                <w:szCs w:val="20"/>
              </w:rPr>
            </m:ctrlPr>
          </m:sSubPr>
          <m:e>
            <m:r>
              <w:rPr>
                <w:rFonts w:ascii="Cambria Math" w:hAnsi="Cambria Math"/>
                <w:sz w:val="20"/>
                <w:szCs w:val="20"/>
              </w:rPr>
              <m:t>I</m:t>
            </m:r>
          </m:e>
          <m:sub>
            <m:r>
              <w:rPr>
                <w:rFonts w:ascii="Cambria Math" w:hAnsi="Cambria Math"/>
                <w:sz w:val="20"/>
                <w:szCs w:val="20"/>
              </w:rPr>
              <m:t>i</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q</m:t>
            </m:r>
          </m:e>
          <m:sub>
            <m:r>
              <w:rPr>
                <w:rFonts w:ascii="Cambria Math" w:hAnsi="Cambria Math"/>
                <w:sz w:val="20"/>
                <w:szCs w:val="20"/>
              </w:rPr>
              <m:t>i</m:t>
            </m:r>
          </m:sub>
        </m:sSub>
        <m:sSub>
          <m:sSubPr>
            <m:ctrlPr>
              <w:rPr>
                <w:rFonts w:ascii="Cambria Math" w:hAnsi="Cambria Math"/>
                <w:i/>
                <w:sz w:val="20"/>
                <w:szCs w:val="20"/>
              </w:rPr>
            </m:ctrlPr>
          </m:sSubPr>
          <m:e>
            <m:r>
              <w:rPr>
                <w:rFonts w:ascii="Cambria Math" w:hAnsi="Cambria Math"/>
                <w:sz w:val="20"/>
                <w:szCs w:val="20"/>
              </w:rPr>
              <m:t>e</m:t>
            </m:r>
          </m:e>
          <m:sub>
            <m:r>
              <w:rPr>
                <w:rFonts w:ascii="Cambria Math" w:hAnsi="Cambria Math"/>
                <w:sz w:val="20"/>
                <w:szCs w:val="20"/>
              </w:rPr>
              <m:t>i</m:t>
            </m:r>
          </m:sub>
        </m:sSub>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i</m:t>
            </m:r>
          </m:sub>
        </m:sSub>
      </m:oMath>
      <w:r w:rsidR="0007542D">
        <w:rPr>
          <w:rFonts w:ascii="Times New Roman" w:hAnsi="Times New Roman"/>
          <w:sz w:val="20"/>
          <w:szCs w:val="20"/>
        </w:rPr>
        <w:t xml:space="preserve">, where </w:t>
      </w:r>
      <m:oMath>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i</m:t>
            </m:r>
          </m:sub>
        </m:sSub>
      </m:oMath>
      <w:r w:rsidR="0007542D">
        <w:rPr>
          <w:rFonts w:ascii="Times New Roman" w:hAnsi="Times New Roman"/>
          <w:sz w:val="20"/>
          <w:szCs w:val="20"/>
        </w:rPr>
        <w:t xml:space="preserve"> and </w:t>
      </w:r>
      <m:oMath>
        <m:sSub>
          <m:sSubPr>
            <m:ctrlPr>
              <w:rPr>
                <w:rFonts w:ascii="Cambria Math" w:hAnsi="Cambria Math"/>
                <w:i/>
                <w:sz w:val="20"/>
                <w:szCs w:val="20"/>
              </w:rPr>
            </m:ctrlPr>
          </m:sSubPr>
          <m:e>
            <m:r>
              <w:rPr>
                <w:rFonts w:ascii="Cambria Math" w:hAnsi="Cambria Math"/>
                <w:sz w:val="20"/>
                <w:szCs w:val="20"/>
              </w:rPr>
              <m:t>q</m:t>
            </m:r>
          </m:e>
          <m:sub>
            <m:r>
              <w:rPr>
                <w:rFonts w:ascii="Cambria Math" w:hAnsi="Cambria Math"/>
                <w:sz w:val="20"/>
                <w:szCs w:val="20"/>
              </w:rPr>
              <m:t>i</m:t>
            </m:r>
          </m:sub>
        </m:sSub>
      </m:oMath>
      <w:r w:rsidR="0007542D">
        <w:rPr>
          <w:rFonts w:ascii="Times New Roman" w:hAnsi="Times New Roman"/>
          <w:sz w:val="20"/>
          <w:szCs w:val="20"/>
        </w:rPr>
        <w:t xml:space="preserve"> are the age-specific proportions of people with substance use problems among immigrants and Bogotá residents, respectively, </w:t>
      </w:r>
      <m:oMath>
        <m:sSub>
          <m:sSubPr>
            <m:ctrlPr>
              <w:rPr>
                <w:rFonts w:ascii="Cambria Math" w:hAnsi="Cambria Math"/>
                <w:i/>
                <w:sz w:val="20"/>
                <w:szCs w:val="20"/>
              </w:rPr>
            </m:ctrlPr>
          </m:sSubPr>
          <m:e>
            <m:r>
              <w:rPr>
                <w:rFonts w:ascii="Cambria Math" w:hAnsi="Cambria Math"/>
                <w:sz w:val="20"/>
                <w:szCs w:val="20"/>
              </w:rPr>
              <m:t>I</m:t>
            </m:r>
          </m:e>
          <m:sub>
            <m:r>
              <w:rPr>
                <w:rFonts w:ascii="Cambria Math" w:hAnsi="Cambria Math"/>
                <w:sz w:val="20"/>
                <w:szCs w:val="20"/>
              </w:rPr>
              <m:t>i</m:t>
            </m:r>
          </m:sub>
        </m:sSub>
      </m:oMath>
      <w:r w:rsidR="0007542D">
        <w:rPr>
          <w:rFonts w:ascii="Times New Roman" w:hAnsi="Times New Roman"/>
          <w:sz w:val="20"/>
          <w:szCs w:val="20"/>
        </w:rPr>
        <w:t xml:space="preserve"> is total age-specific immigration per year, </w:t>
      </w:r>
      <m:oMath>
        <m:sSub>
          <m:sSubPr>
            <m:ctrlPr>
              <w:rPr>
                <w:rFonts w:ascii="Cambria Math" w:hAnsi="Cambria Math"/>
                <w:i/>
                <w:sz w:val="20"/>
                <w:szCs w:val="20"/>
              </w:rPr>
            </m:ctrlPr>
          </m:sSubPr>
          <m:e>
            <m:r>
              <w:rPr>
                <w:rFonts w:ascii="Cambria Math" w:hAnsi="Cambria Math"/>
                <w:sz w:val="20"/>
                <w:szCs w:val="20"/>
              </w:rPr>
              <m:t>e</m:t>
            </m:r>
          </m:e>
          <m:sub>
            <m:r>
              <w:rPr>
                <w:rFonts w:ascii="Cambria Math" w:hAnsi="Cambria Math"/>
                <w:sz w:val="20"/>
                <w:szCs w:val="20"/>
              </w:rPr>
              <m:t>i</m:t>
            </m:r>
          </m:sub>
        </m:sSub>
      </m:oMath>
      <w:r w:rsidR="0007542D">
        <w:rPr>
          <w:rFonts w:ascii="Times New Roman" w:hAnsi="Times New Roman"/>
          <w:sz w:val="20"/>
          <w:szCs w:val="20"/>
        </w:rPr>
        <w:t xml:space="preserve"> is the age-specific per capita emigration rate per year, and </w:t>
      </w:r>
      <m:oMath>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i</m:t>
            </m:r>
          </m:sub>
        </m:sSub>
      </m:oMath>
      <w:r w:rsidR="0007542D">
        <w:rPr>
          <w:rFonts w:ascii="Times New Roman" w:hAnsi="Times New Roman"/>
          <w:sz w:val="20"/>
          <w:szCs w:val="20"/>
        </w:rPr>
        <w:t xml:space="preserve"> is the number of people in age group </w:t>
      </w:r>
      <m:oMath>
        <m:r>
          <w:rPr>
            <w:rFonts w:ascii="Cambria Math" w:hAnsi="Cambria Math"/>
            <w:sz w:val="20"/>
            <w:szCs w:val="20"/>
          </w:rPr>
          <m:t>i</m:t>
        </m:r>
      </m:oMath>
      <w:r w:rsidR="0007542D">
        <w:rPr>
          <w:rFonts w:ascii="Times New Roman" w:hAnsi="Times New Roman"/>
          <w:sz w:val="20"/>
          <w:szCs w:val="20"/>
        </w:rPr>
        <w:t xml:space="preserve"> residing in Bogotá.  Age-specific per capita mortality rates for people reporting significant substance use problems are assumed to be 1.95 times those for people without substance use problems (</w:t>
      </w:r>
      <w:r w:rsidR="00A913F0">
        <w:rPr>
          <w:rFonts w:ascii="Times New Roman" w:hAnsi="Times New Roman"/>
          <w:sz w:val="20"/>
          <w:szCs w:val="20"/>
        </w:rPr>
        <w:t xml:space="preserve">see </w:t>
      </w:r>
      <w:r w:rsidR="0007542D">
        <w:rPr>
          <w:rFonts w:ascii="Times New Roman" w:hAnsi="Times New Roman"/>
          <w:sz w:val="20"/>
          <w:szCs w:val="20"/>
        </w:rPr>
        <w:t>Roerecke and Rehm, 2013).</w:t>
      </w:r>
      <w:r w:rsidR="00797981">
        <w:rPr>
          <w:rFonts w:ascii="Times New Roman" w:hAnsi="Times New Roman"/>
          <w:sz w:val="20"/>
          <w:szCs w:val="20"/>
        </w:rPr>
        <w:t xml:space="preserve">  Fig. S12 presents model-based estimates of intoxication-related </w:t>
      </w:r>
      <w:r w:rsidR="00860C46">
        <w:rPr>
          <w:rFonts w:ascii="Times New Roman" w:hAnsi="Times New Roman"/>
          <w:sz w:val="20"/>
          <w:szCs w:val="20"/>
        </w:rPr>
        <w:t xml:space="preserve">services presentation rates </w:t>
      </w:r>
      <w:r w:rsidR="00797981">
        <w:rPr>
          <w:rFonts w:ascii="Times New Roman" w:hAnsi="Times New Roman"/>
          <w:sz w:val="20"/>
          <w:szCs w:val="20"/>
        </w:rPr>
        <w:t>for 12−17</w:t>
      </w:r>
      <w:r w:rsidR="00806140">
        <w:rPr>
          <w:rFonts w:ascii="Times New Roman" w:hAnsi="Times New Roman"/>
          <w:sz w:val="20"/>
          <w:szCs w:val="20"/>
        </w:rPr>
        <w:t>-</w:t>
      </w:r>
      <w:r w:rsidR="00797981">
        <w:rPr>
          <w:rFonts w:ascii="Times New Roman" w:hAnsi="Times New Roman"/>
          <w:sz w:val="20"/>
          <w:szCs w:val="20"/>
        </w:rPr>
        <w:t>year</w:t>
      </w:r>
      <w:r w:rsidR="00806140">
        <w:rPr>
          <w:rFonts w:ascii="Times New Roman" w:hAnsi="Times New Roman"/>
          <w:sz w:val="20"/>
          <w:szCs w:val="20"/>
        </w:rPr>
        <w:t>-old</w:t>
      </w:r>
      <w:r w:rsidR="00797981">
        <w:rPr>
          <w:rFonts w:ascii="Times New Roman" w:hAnsi="Times New Roman"/>
          <w:sz w:val="20"/>
          <w:szCs w:val="20"/>
        </w:rPr>
        <w:t xml:space="preserve">s and adults aged 18 </w:t>
      </w:r>
      <w:r w:rsidR="00797981">
        <w:rPr>
          <w:rFonts w:ascii="Times New Roman" w:hAnsi="Times New Roman"/>
          <w:sz w:val="20"/>
          <w:szCs w:val="20"/>
        </w:rPr>
        <w:lastRenderedPageBreak/>
        <w:t xml:space="preserve">years </w:t>
      </w:r>
      <w:r w:rsidR="00860C46">
        <w:rPr>
          <w:rFonts w:ascii="Times New Roman" w:hAnsi="Times New Roman"/>
          <w:sz w:val="20"/>
          <w:szCs w:val="20"/>
        </w:rPr>
        <w:t>and above</w:t>
      </w:r>
      <w:r w:rsidR="00C20421">
        <w:rPr>
          <w:rFonts w:ascii="Times New Roman" w:hAnsi="Times New Roman"/>
          <w:sz w:val="20"/>
          <w:szCs w:val="20"/>
        </w:rPr>
        <w:t>,</w:t>
      </w:r>
      <w:r w:rsidR="00797981">
        <w:rPr>
          <w:rFonts w:ascii="Times New Roman" w:hAnsi="Times New Roman"/>
          <w:sz w:val="20"/>
          <w:szCs w:val="20"/>
        </w:rPr>
        <w:t xml:space="preserve"> together with</w:t>
      </w:r>
      <w:r w:rsidR="00860C46">
        <w:rPr>
          <w:rFonts w:ascii="Times New Roman" w:hAnsi="Times New Roman"/>
          <w:sz w:val="20"/>
          <w:szCs w:val="20"/>
        </w:rPr>
        <w:t xml:space="preserve"> </w:t>
      </w:r>
      <w:r w:rsidR="00C868BA">
        <w:rPr>
          <w:rFonts w:ascii="Times New Roman" w:hAnsi="Times New Roman"/>
          <w:sz w:val="20"/>
          <w:szCs w:val="20"/>
        </w:rPr>
        <w:t xml:space="preserve">corresponding </w:t>
      </w:r>
      <w:r w:rsidR="00797981">
        <w:rPr>
          <w:rFonts w:ascii="Times New Roman" w:hAnsi="Times New Roman"/>
          <w:sz w:val="20"/>
          <w:szCs w:val="20"/>
        </w:rPr>
        <w:t xml:space="preserve">estimates derived </w:t>
      </w:r>
      <w:r w:rsidR="00C868BA">
        <w:rPr>
          <w:rFonts w:ascii="Times New Roman" w:hAnsi="Times New Roman"/>
          <w:sz w:val="20"/>
          <w:szCs w:val="20"/>
        </w:rPr>
        <w:t xml:space="preserve">from </w:t>
      </w:r>
      <w:r w:rsidR="00806140">
        <w:rPr>
          <w:rFonts w:ascii="Times New Roman" w:hAnsi="Times New Roman"/>
          <w:sz w:val="20"/>
          <w:szCs w:val="20"/>
        </w:rPr>
        <w:t xml:space="preserve">the </w:t>
      </w:r>
      <w:r w:rsidR="00806140" w:rsidRPr="00806140">
        <w:rPr>
          <w:rFonts w:ascii="Times New Roman" w:hAnsi="Times New Roman"/>
          <w:sz w:val="20"/>
          <w:szCs w:val="20"/>
        </w:rPr>
        <w:t>National Public Health Surveillance System (SIVIGILA)</w:t>
      </w:r>
      <w:r w:rsidR="00806140">
        <w:rPr>
          <w:rFonts w:ascii="Times New Roman" w:hAnsi="Times New Roman"/>
          <w:sz w:val="20"/>
          <w:szCs w:val="20"/>
        </w:rPr>
        <w:t>.</w:t>
      </w:r>
    </w:p>
    <w:p w14:paraId="0D23C23D" w14:textId="77777777" w:rsidR="007E0DC6" w:rsidRDefault="007E0DC6" w:rsidP="00FE09B6">
      <w:pPr>
        <w:spacing w:line="480" w:lineRule="auto"/>
        <w:rPr>
          <w:rFonts w:ascii="Times New Roman" w:hAnsi="Times New Roman"/>
          <w:sz w:val="20"/>
          <w:szCs w:val="20"/>
        </w:rPr>
      </w:pPr>
    </w:p>
    <w:p w14:paraId="275C9418" w14:textId="0983D119" w:rsidR="007E0DC6" w:rsidRDefault="007E0DC6" w:rsidP="00FE09B6">
      <w:pPr>
        <w:spacing w:line="480" w:lineRule="auto"/>
        <w:rPr>
          <w:rFonts w:ascii="Times New Roman" w:hAnsi="Times New Roman"/>
          <w:sz w:val="20"/>
          <w:szCs w:val="20"/>
        </w:rPr>
      </w:pPr>
      <w:r>
        <w:rPr>
          <w:rFonts w:ascii="Times New Roman" w:hAnsi="Times New Roman"/>
          <w:noProof/>
          <w:sz w:val="20"/>
          <w:szCs w:val="20"/>
        </w:rPr>
        <w:drawing>
          <wp:inline distT="0" distB="0" distL="0" distR="0" wp14:anchorId="20F955AB" wp14:editId="5BDC1ACE">
            <wp:extent cx="5731086" cy="2456179"/>
            <wp:effectExtent l="0" t="0" r="3175" b="1905"/>
            <wp:docPr id="12149280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928000" name="Picture 1"/>
                    <pic:cNvPicPr/>
                  </pic:nvPicPr>
                  <pic:blipFill>
                    <a:blip r:embed="rId19"/>
                    <a:stretch>
                      <a:fillRect/>
                    </a:stretch>
                  </pic:blipFill>
                  <pic:spPr>
                    <a:xfrm>
                      <a:off x="0" y="0"/>
                      <a:ext cx="5731086" cy="2456179"/>
                    </a:xfrm>
                    <a:prstGeom prst="rect">
                      <a:avLst/>
                    </a:prstGeom>
                  </pic:spPr>
                </pic:pic>
              </a:graphicData>
            </a:graphic>
          </wp:inline>
        </w:drawing>
      </w:r>
    </w:p>
    <w:p w14:paraId="246978D3" w14:textId="1477B6E9" w:rsidR="007E0DC6" w:rsidRDefault="007E0DC6" w:rsidP="00FE09B6">
      <w:pPr>
        <w:spacing w:line="480" w:lineRule="auto"/>
        <w:rPr>
          <w:rFonts w:ascii="Times New Roman" w:hAnsi="Times New Roman"/>
          <w:sz w:val="20"/>
          <w:szCs w:val="20"/>
        </w:rPr>
      </w:pPr>
      <w:r>
        <w:rPr>
          <w:rFonts w:ascii="Times New Roman" w:hAnsi="Times New Roman"/>
          <w:sz w:val="20"/>
          <w:szCs w:val="20"/>
        </w:rPr>
        <w:t xml:space="preserve">Fig. S12.  </w:t>
      </w:r>
      <w:r w:rsidR="00A27308">
        <w:rPr>
          <w:rFonts w:ascii="Times New Roman" w:hAnsi="Times New Roman"/>
          <w:sz w:val="20"/>
          <w:szCs w:val="20"/>
        </w:rPr>
        <w:t xml:space="preserve">Intoxication-related </w:t>
      </w:r>
      <w:r w:rsidR="008B2B1A">
        <w:rPr>
          <w:rFonts w:ascii="Times New Roman" w:hAnsi="Times New Roman"/>
          <w:sz w:val="20"/>
          <w:szCs w:val="20"/>
        </w:rPr>
        <w:t xml:space="preserve">health services </w:t>
      </w:r>
      <w:r w:rsidR="00A27308">
        <w:rPr>
          <w:rFonts w:ascii="Times New Roman" w:hAnsi="Times New Roman"/>
          <w:sz w:val="20"/>
          <w:szCs w:val="20"/>
        </w:rPr>
        <w:t xml:space="preserve">presentation rate estimates (12−17 years and 18 years and above) derived from the </w:t>
      </w:r>
      <w:r w:rsidR="00522E7C">
        <w:rPr>
          <w:rFonts w:ascii="Times New Roman" w:hAnsi="Times New Roman"/>
          <w:sz w:val="20"/>
          <w:szCs w:val="20"/>
        </w:rPr>
        <w:t xml:space="preserve">system dynamics </w:t>
      </w:r>
      <w:r w:rsidR="00A27308">
        <w:rPr>
          <w:rFonts w:ascii="Times New Roman" w:hAnsi="Times New Roman"/>
          <w:sz w:val="20"/>
          <w:szCs w:val="20"/>
        </w:rPr>
        <w:t>model and</w:t>
      </w:r>
      <w:r w:rsidR="008B2B1A">
        <w:rPr>
          <w:rFonts w:ascii="Times New Roman" w:hAnsi="Times New Roman"/>
          <w:sz w:val="20"/>
          <w:szCs w:val="20"/>
        </w:rPr>
        <w:t xml:space="preserve"> the </w:t>
      </w:r>
      <w:r w:rsidR="008B2B1A" w:rsidRPr="008B2B1A">
        <w:rPr>
          <w:rFonts w:ascii="Times New Roman" w:hAnsi="Times New Roman"/>
          <w:sz w:val="20"/>
          <w:szCs w:val="20"/>
        </w:rPr>
        <w:t>National Public Health Surveillance System (SIVIGILA)</w:t>
      </w:r>
      <w:r w:rsidR="008B2B1A">
        <w:rPr>
          <w:rFonts w:ascii="Times New Roman" w:hAnsi="Times New Roman"/>
          <w:sz w:val="20"/>
          <w:szCs w:val="20"/>
        </w:rPr>
        <w:t>.</w:t>
      </w:r>
    </w:p>
    <w:p w14:paraId="076C4940" w14:textId="77777777" w:rsidR="00B74BEC" w:rsidRDefault="00B74BEC" w:rsidP="00FE09B6">
      <w:pPr>
        <w:spacing w:line="480" w:lineRule="auto"/>
        <w:rPr>
          <w:rFonts w:ascii="Times New Roman" w:hAnsi="Times New Roman"/>
          <w:sz w:val="20"/>
          <w:szCs w:val="20"/>
        </w:rPr>
      </w:pPr>
    </w:p>
    <w:p w14:paraId="4F453F01" w14:textId="388F4FFE" w:rsidR="00DC7528" w:rsidRPr="00A1388E" w:rsidRDefault="00A1388E" w:rsidP="00FE09B6">
      <w:pPr>
        <w:spacing w:line="480" w:lineRule="auto"/>
        <w:rPr>
          <w:rFonts w:ascii="Times New Roman" w:hAnsi="Times New Roman"/>
          <w:i/>
          <w:iCs/>
          <w:sz w:val="20"/>
          <w:szCs w:val="20"/>
        </w:rPr>
      </w:pPr>
      <w:r w:rsidRPr="00A1388E">
        <w:rPr>
          <w:rFonts w:ascii="Times New Roman" w:hAnsi="Times New Roman"/>
          <w:i/>
          <w:iCs/>
          <w:sz w:val="20"/>
          <w:szCs w:val="20"/>
        </w:rPr>
        <w:t>1.8.  Family violence and violent crime sector</w:t>
      </w:r>
    </w:p>
    <w:p w14:paraId="635E3F36" w14:textId="085B8556" w:rsidR="00CA58F1" w:rsidRDefault="00AB0AF1" w:rsidP="00FE09B6">
      <w:pPr>
        <w:spacing w:line="480" w:lineRule="auto"/>
        <w:rPr>
          <w:rFonts w:ascii="Times New Roman" w:hAnsi="Times New Roman"/>
          <w:sz w:val="20"/>
          <w:szCs w:val="20"/>
        </w:rPr>
      </w:pPr>
      <w:r>
        <w:rPr>
          <w:rFonts w:ascii="Times New Roman" w:hAnsi="Times New Roman"/>
          <w:sz w:val="20"/>
          <w:szCs w:val="20"/>
        </w:rPr>
        <w:t xml:space="preserve">Fig. S13 presents the structure of the family violence and violent crime sector, which models exposure to family violence (physical, sexual, economic, and emotional abuse, abandonment, </w:t>
      </w:r>
      <w:r w:rsidR="00BA736B">
        <w:rPr>
          <w:rFonts w:ascii="Times New Roman" w:hAnsi="Times New Roman"/>
          <w:sz w:val="20"/>
          <w:szCs w:val="20"/>
        </w:rPr>
        <w:t xml:space="preserve">and </w:t>
      </w:r>
      <w:r>
        <w:rPr>
          <w:rFonts w:ascii="Times New Roman" w:hAnsi="Times New Roman"/>
          <w:sz w:val="20"/>
          <w:szCs w:val="20"/>
        </w:rPr>
        <w:t>neglect) and violent crime (</w:t>
      </w:r>
      <w:r w:rsidR="002F36A5">
        <w:rPr>
          <w:rFonts w:ascii="Times New Roman" w:hAnsi="Times New Roman"/>
          <w:sz w:val="20"/>
          <w:szCs w:val="20"/>
        </w:rPr>
        <w:t xml:space="preserve">i.e., </w:t>
      </w:r>
      <w:r>
        <w:rPr>
          <w:rFonts w:ascii="Times New Roman" w:hAnsi="Times New Roman"/>
          <w:sz w:val="20"/>
          <w:szCs w:val="20"/>
        </w:rPr>
        <w:t>physical assault).</w:t>
      </w:r>
      <w:r w:rsidR="008350F6">
        <w:rPr>
          <w:rFonts w:ascii="Times New Roman" w:hAnsi="Times New Roman"/>
          <w:sz w:val="20"/>
          <w:szCs w:val="20"/>
        </w:rPr>
        <w:t xml:space="preserve">  </w:t>
      </w:r>
      <w:r w:rsidR="001F30F8">
        <w:rPr>
          <w:rFonts w:ascii="Times New Roman" w:hAnsi="Times New Roman"/>
          <w:sz w:val="20"/>
          <w:szCs w:val="20"/>
        </w:rPr>
        <w:t>Age-specific base</w:t>
      </w:r>
      <w:r w:rsidR="000644FE">
        <w:rPr>
          <w:rFonts w:ascii="Times New Roman" w:hAnsi="Times New Roman"/>
          <w:sz w:val="20"/>
          <w:szCs w:val="20"/>
        </w:rPr>
        <w:t xml:space="preserve"> </w:t>
      </w:r>
      <w:r w:rsidR="001F30F8">
        <w:rPr>
          <w:rFonts w:ascii="Times New Roman" w:hAnsi="Times New Roman"/>
          <w:sz w:val="20"/>
          <w:szCs w:val="20"/>
        </w:rPr>
        <w:t xml:space="preserve">rates of family violence exposure </w:t>
      </w:r>
      <w:r w:rsidR="00BA736B">
        <w:rPr>
          <w:rFonts w:ascii="Times New Roman" w:hAnsi="Times New Roman"/>
          <w:sz w:val="20"/>
          <w:szCs w:val="20"/>
        </w:rPr>
        <w:t>(</w:t>
      </w:r>
      <w:r w:rsidR="00601A77">
        <w:rPr>
          <w:rFonts w:ascii="Times New Roman" w:hAnsi="Times New Roman"/>
          <w:sz w:val="20"/>
          <w:szCs w:val="20"/>
        </w:rPr>
        <w:t xml:space="preserve">reported </w:t>
      </w:r>
      <w:r w:rsidR="00BA736B">
        <w:rPr>
          <w:rFonts w:ascii="Times New Roman" w:hAnsi="Times New Roman"/>
          <w:sz w:val="20"/>
          <w:szCs w:val="20"/>
        </w:rPr>
        <w:t xml:space="preserve">incidents per person per </w:t>
      </w:r>
      <w:r w:rsidR="000644FE">
        <w:rPr>
          <w:rFonts w:ascii="Times New Roman" w:hAnsi="Times New Roman"/>
          <w:sz w:val="20"/>
          <w:szCs w:val="20"/>
        </w:rPr>
        <w:t>year</w:t>
      </w:r>
      <w:r w:rsidR="00BA736B">
        <w:rPr>
          <w:rFonts w:ascii="Times New Roman" w:hAnsi="Times New Roman"/>
          <w:sz w:val="20"/>
          <w:szCs w:val="20"/>
        </w:rPr>
        <w:t xml:space="preserve">) </w:t>
      </w:r>
      <w:r w:rsidR="001F30F8">
        <w:rPr>
          <w:rFonts w:ascii="Times New Roman" w:hAnsi="Times New Roman"/>
          <w:sz w:val="20"/>
          <w:szCs w:val="20"/>
        </w:rPr>
        <w:t xml:space="preserve">are modelled as stocks that </w:t>
      </w:r>
      <w:r w:rsidR="0027799E">
        <w:rPr>
          <w:rFonts w:ascii="Times New Roman" w:hAnsi="Times New Roman"/>
          <w:sz w:val="20"/>
          <w:szCs w:val="20"/>
        </w:rPr>
        <w:t xml:space="preserve">increase (7−11 years) or </w:t>
      </w:r>
      <w:r w:rsidR="001F30F8">
        <w:rPr>
          <w:rFonts w:ascii="Times New Roman" w:hAnsi="Times New Roman"/>
          <w:sz w:val="20"/>
          <w:szCs w:val="20"/>
        </w:rPr>
        <w:t xml:space="preserve">decrease (0−6 years, 12−17 years, </w:t>
      </w:r>
      <w:r w:rsidR="00601A77">
        <w:rPr>
          <w:rFonts w:ascii="Times New Roman" w:hAnsi="Times New Roman"/>
          <w:sz w:val="20"/>
          <w:szCs w:val="20"/>
        </w:rPr>
        <w:t xml:space="preserve">and </w:t>
      </w:r>
      <w:r w:rsidR="001F30F8">
        <w:rPr>
          <w:rFonts w:ascii="Times New Roman" w:hAnsi="Times New Roman"/>
          <w:sz w:val="20"/>
          <w:szCs w:val="20"/>
        </w:rPr>
        <w:t>18+ years) at constant fractional rate</w:t>
      </w:r>
      <w:r w:rsidR="00BA736B">
        <w:rPr>
          <w:rFonts w:ascii="Times New Roman" w:hAnsi="Times New Roman"/>
          <w:sz w:val="20"/>
          <w:szCs w:val="20"/>
        </w:rPr>
        <w:t>s</w:t>
      </w:r>
      <w:r w:rsidR="001F30F8">
        <w:rPr>
          <w:rFonts w:ascii="Times New Roman" w:hAnsi="Times New Roman"/>
          <w:sz w:val="20"/>
          <w:szCs w:val="20"/>
        </w:rPr>
        <w:t xml:space="preserve"> per year (note that the stock labelled ‘Family violence base rate’ in Fig. S13 is arrayed by age</w:t>
      </w:r>
      <w:r w:rsidR="00FD1A49">
        <w:rPr>
          <w:rFonts w:ascii="Times New Roman" w:hAnsi="Times New Roman"/>
          <w:sz w:val="20"/>
          <w:szCs w:val="20"/>
        </w:rPr>
        <w:t xml:space="preserve"> group</w:t>
      </w:r>
      <w:r w:rsidR="001F30F8">
        <w:rPr>
          <w:rFonts w:ascii="Times New Roman" w:hAnsi="Times New Roman"/>
          <w:sz w:val="20"/>
          <w:szCs w:val="20"/>
        </w:rPr>
        <w:t>).</w:t>
      </w:r>
      <w:r w:rsidR="00052BA9">
        <w:rPr>
          <w:rFonts w:ascii="Times New Roman" w:hAnsi="Times New Roman"/>
          <w:sz w:val="20"/>
          <w:szCs w:val="20"/>
        </w:rPr>
        <w:t xml:space="preserve">  </w:t>
      </w:r>
      <w:r w:rsidR="00BA736B">
        <w:rPr>
          <w:rFonts w:ascii="Times New Roman" w:hAnsi="Times New Roman"/>
          <w:sz w:val="20"/>
          <w:szCs w:val="20"/>
        </w:rPr>
        <w:t xml:space="preserve">The incidence of family violence </w:t>
      </w:r>
      <w:r w:rsidR="00601A77">
        <w:rPr>
          <w:rFonts w:ascii="Times New Roman" w:hAnsi="Times New Roman"/>
          <w:sz w:val="20"/>
          <w:szCs w:val="20"/>
        </w:rPr>
        <w:t xml:space="preserve">exposure </w:t>
      </w:r>
      <w:r w:rsidR="00BA736B">
        <w:rPr>
          <w:rFonts w:ascii="Times New Roman" w:hAnsi="Times New Roman"/>
          <w:sz w:val="20"/>
          <w:szCs w:val="20"/>
        </w:rPr>
        <w:t xml:space="preserve">in age group </w:t>
      </w:r>
      <m:oMath>
        <m:r>
          <w:rPr>
            <w:rFonts w:ascii="Cambria Math" w:hAnsi="Cambria Math"/>
            <w:sz w:val="20"/>
            <w:szCs w:val="20"/>
          </w:rPr>
          <m:t>i</m:t>
        </m:r>
      </m:oMath>
      <w:r w:rsidR="00BA736B">
        <w:rPr>
          <w:rFonts w:ascii="Times New Roman" w:hAnsi="Times New Roman"/>
          <w:sz w:val="20"/>
          <w:szCs w:val="20"/>
        </w:rPr>
        <w:t xml:space="preserve"> is equal to </w:t>
      </w:r>
      <m:oMath>
        <m:r>
          <w:rPr>
            <w:rFonts w:ascii="Cambria Math" w:hAnsi="Cambria Math"/>
            <w:sz w:val="20"/>
            <w:szCs w:val="20"/>
          </w:rPr>
          <m:t>f</m:t>
        </m:r>
        <m:sSub>
          <m:sSubPr>
            <m:ctrlPr>
              <w:rPr>
                <w:rFonts w:ascii="Cambria Math" w:hAnsi="Cambria Math"/>
                <w:i/>
                <w:sz w:val="20"/>
                <w:szCs w:val="20"/>
              </w:rPr>
            </m:ctrlPr>
          </m:sSubPr>
          <m:e>
            <m:r>
              <w:rPr>
                <w:rFonts w:ascii="Cambria Math" w:hAnsi="Cambria Math"/>
                <w:sz w:val="20"/>
                <w:szCs w:val="20"/>
              </w:rPr>
              <m:t>v</m:t>
            </m:r>
          </m:e>
          <m:sub>
            <m:r>
              <w:rPr>
                <w:rFonts w:ascii="Cambria Math" w:hAnsi="Cambria Math"/>
                <w:sz w:val="20"/>
                <w:szCs w:val="20"/>
              </w:rPr>
              <m:t>i</m:t>
            </m:r>
          </m:sub>
        </m:sSub>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i</m:t>
            </m:r>
          </m:sub>
        </m:sSub>
      </m:oMath>
      <w:r w:rsidR="00BA736B">
        <w:rPr>
          <w:rFonts w:ascii="Times New Roman" w:hAnsi="Times New Roman"/>
          <w:sz w:val="20"/>
          <w:szCs w:val="20"/>
        </w:rPr>
        <w:t xml:space="preserve">, where </w:t>
      </w:r>
      <m:oMath>
        <m:sSub>
          <m:sSubPr>
            <m:ctrlPr>
              <w:rPr>
                <w:rFonts w:ascii="Cambria Math" w:hAnsi="Cambria Math"/>
                <w:i/>
                <w:sz w:val="20"/>
                <w:szCs w:val="20"/>
              </w:rPr>
            </m:ctrlPr>
          </m:sSubPr>
          <m:e>
            <m:r>
              <w:rPr>
                <w:rFonts w:ascii="Cambria Math" w:hAnsi="Cambria Math"/>
                <w:sz w:val="20"/>
                <w:szCs w:val="20"/>
              </w:rPr>
              <m:t>v</m:t>
            </m:r>
          </m:e>
          <m:sub>
            <m:r>
              <w:rPr>
                <w:rFonts w:ascii="Cambria Math" w:hAnsi="Cambria Math"/>
                <w:sz w:val="20"/>
                <w:szCs w:val="20"/>
              </w:rPr>
              <m:t>i</m:t>
            </m:r>
          </m:sub>
        </m:sSub>
      </m:oMath>
      <w:r w:rsidR="00BA736B">
        <w:rPr>
          <w:rFonts w:ascii="Times New Roman" w:hAnsi="Times New Roman"/>
          <w:sz w:val="20"/>
          <w:szCs w:val="20"/>
        </w:rPr>
        <w:t xml:space="preserve"> is the base exposure rate</w:t>
      </w:r>
      <w:r w:rsidR="00135E94">
        <w:rPr>
          <w:rFonts w:ascii="Times New Roman" w:hAnsi="Times New Roman"/>
          <w:sz w:val="20"/>
          <w:szCs w:val="20"/>
        </w:rPr>
        <w:t xml:space="preserve">, </w:t>
      </w:r>
      <m:oMath>
        <m:r>
          <w:rPr>
            <w:rFonts w:ascii="Cambria Math" w:hAnsi="Cambria Math"/>
            <w:sz w:val="20"/>
            <w:szCs w:val="20"/>
          </w:rPr>
          <m:t>f</m:t>
        </m:r>
      </m:oMath>
      <w:r w:rsidR="00135E94">
        <w:rPr>
          <w:rFonts w:ascii="Times New Roman" w:hAnsi="Times New Roman"/>
          <w:sz w:val="20"/>
          <w:szCs w:val="20"/>
        </w:rPr>
        <w:t xml:space="preserve"> is the product of the effects of substance use </w:t>
      </w:r>
      <w:r w:rsidR="009259A3">
        <w:rPr>
          <w:rFonts w:ascii="Times New Roman" w:hAnsi="Times New Roman"/>
          <w:sz w:val="20"/>
          <w:szCs w:val="20"/>
        </w:rPr>
        <w:t xml:space="preserve">problems </w:t>
      </w:r>
      <w:r w:rsidR="00135E94">
        <w:rPr>
          <w:rFonts w:ascii="Times New Roman" w:hAnsi="Times New Roman"/>
          <w:sz w:val="20"/>
          <w:szCs w:val="20"/>
        </w:rPr>
        <w:t xml:space="preserve">and unemployment on family violence </w:t>
      </w:r>
      <w:r w:rsidR="00B74BEC">
        <w:rPr>
          <w:rFonts w:ascii="Times New Roman" w:hAnsi="Times New Roman"/>
          <w:sz w:val="20"/>
          <w:szCs w:val="20"/>
        </w:rPr>
        <w:t xml:space="preserve">exposure </w:t>
      </w:r>
      <w:r w:rsidR="00135E94">
        <w:rPr>
          <w:rFonts w:ascii="Times New Roman" w:hAnsi="Times New Roman"/>
          <w:sz w:val="20"/>
          <w:szCs w:val="20"/>
        </w:rPr>
        <w:t>(Kyriacou et al., 1999), and</w:t>
      </w:r>
      <w:r w:rsidR="006A0B75">
        <w:rPr>
          <w:rFonts w:ascii="Times New Roman" w:hAnsi="Times New Roman"/>
          <w:sz w:val="20"/>
          <w:szCs w:val="20"/>
        </w:rPr>
        <w:t xml:space="preserve"> </w:t>
      </w:r>
      <m:oMath>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i</m:t>
            </m:r>
          </m:sub>
        </m:sSub>
      </m:oMath>
      <w:r w:rsidR="006A0B75">
        <w:rPr>
          <w:rFonts w:ascii="Times New Roman" w:hAnsi="Times New Roman"/>
          <w:sz w:val="20"/>
          <w:szCs w:val="20"/>
        </w:rPr>
        <w:t xml:space="preserve"> is the number of people in age group </w:t>
      </w:r>
      <m:oMath>
        <m:r>
          <w:rPr>
            <w:rFonts w:ascii="Cambria Math" w:hAnsi="Cambria Math"/>
            <w:sz w:val="20"/>
            <w:szCs w:val="20"/>
          </w:rPr>
          <m:t>i</m:t>
        </m:r>
      </m:oMath>
      <w:r w:rsidR="006A0B75">
        <w:rPr>
          <w:rFonts w:ascii="Times New Roman" w:hAnsi="Times New Roman"/>
          <w:sz w:val="20"/>
          <w:szCs w:val="20"/>
        </w:rPr>
        <w:t xml:space="preserve"> in the</w:t>
      </w:r>
      <w:r w:rsidR="0027799E">
        <w:rPr>
          <w:rFonts w:ascii="Times New Roman" w:hAnsi="Times New Roman"/>
          <w:sz w:val="20"/>
          <w:szCs w:val="20"/>
        </w:rPr>
        <w:t xml:space="preserve"> </w:t>
      </w:r>
      <w:r w:rsidR="009149F7">
        <w:rPr>
          <w:rFonts w:ascii="Times New Roman" w:hAnsi="Times New Roman"/>
          <w:sz w:val="20"/>
          <w:szCs w:val="20"/>
        </w:rPr>
        <w:t xml:space="preserve">total </w:t>
      </w:r>
      <w:r w:rsidR="006A0B75">
        <w:rPr>
          <w:rFonts w:ascii="Times New Roman" w:hAnsi="Times New Roman"/>
          <w:sz w:val="20"/>
          <w:szCs w:val="20"/>
        </w:rPr>
        <w:t>population.</w:t>
      </w:r>
      <w:r w:rsidR="00F5015A">
        <w:rPr>
          <w:rFonts w:ascii="Times New Roman" w:hAnsi="Times New Roman"/>
          <w:sz w:val="20"/>
          <w:szCs w:val="20"/>
        </w:rPr>
        <w:t xml:space="preserve">  </w:t>
      </w:r>
      <w:r w:rsidR="000644FE">
        <w:rPr>
          <w:rFonts w:ascii="Times New Roman" w:hAnsi="Times New Roman"/>
          <w:sz w:val="20"/>
          <w:szCs w:val="20"/>
        </w:rPr>
        <w:t xml:space="preserve">Similarly, the </w:t>
      </w:r>
      <w:r w:rsidR="007F7C8C">
        <w:rPr>
          <w:rFonts w:ascii="Times New Roman" w:hAnsi="Times New Roman"/>
          <w:sz w:val="20"/>
          <w:szCs w:val="20"/>
        </w:rPr>
        <w:t xml:space="preserve">age-specific </w:t>
      </w:r>
      <w:r w:rsidR="000644FE">
        <w:rPr>
          <w:rFonts w:ascii="Times New Roman" w:hAnsi="Times New Roman"/>
          <w:sz w:val="20"/>
          <w:szCs w:val="20"/>
        </w:rPr>
        <w:t>incidence</w:t>
      </w:r>
      <w:r w:rsidR="0027799E">
        <w:rPr>
          <w:rFonts w:ascii="Times New Roman" w:hAnsi="Times New Roman"/>
          <w:sz w:val="20"/>
          <w:szCs w:val="20"/>
        </w:rPr>
        <w:t xml:space="preserve"> </w:t>
      </w:r>
      <w:r w:rsidR="007F7C8C">
        <w:rPr>
          <w:rFonts w:ascii="Times New Roman" w:hAnsi="Times New Roman"/>
          <w:sz w:val="20"/>
          <w:szCs w:val="20"/>
        </w:rPr>
        <w:t xml:space="preserve">of </w:t>
      </w:r>
      <w:r w:rsidR="000644FE">
        <w:rPr>
          <w:rFonts w:ascii="Times New Roman" w:hAnsi="Times New Roman"/>
          <w:sz w:val="20"/>
          <w:szCs w:val="20"/>
        </w:rPr>
        <w:t>violent crime</w:t>
      </w:r>
      <w:r w:rsidR="0027799E">
        <w:rPr>
          <w:rFonts w:ascii="Times New Roman" w:hAnsi="Times New Roman"/>
          <w:sz w:val="20"/>
          <w:szCs w:val="20"/>
        </w:rPr>
        <w:t xml:space="preserve"> exposure i</w:t>
      </w:r>
      <w:r w:rsidR="00095D08">
        <w:rPr>
          <w:rFonts w:ascii="Times New Roman" w:hAnsi="Times New Roman"/>
          <w:sz w:val="20"/>
          <w:szCs w:val="20"/>
        </w:rPr>
        <w:t>s calculated as</w:t>
      </w:r>
      <w:r w:rsidR="000644FE">
        <w:rPr>
          <w:rFonts w:ascii="Times New Roman" w:hAnsi="Times New Roman"/>
          <w:sz w:val="20"/>
          <w:szCs w:val="20"/>
        </w:rPr>
        <w:t xml:space="preserve"> </w:t>
      </w:r>
      <m:oMath>
        <m:r>
          <w:rPr>
            <w:rFonts w:ascii="Cambria Math" w:hAnsi="Cambria Math"/>
            <w:sz w:val="20"/>
            <w:szCs w:val="20"/>
          </w:rPr>
          <m:t>gc</m:t>
        </m:r>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i</m:t>
            </m:r>
          </m:sub>
        </m:sSub>
      </m:oMath>
      <w:r w:rsidR="000644FE">
        <w:rPr>
          <w:rFonts w:ascii="Times New Roman" w:hAnsi="Times New Roman"/>
          <w:sz w:val="20"/>
          <w:szCs w:val="20"/>
        </w:rPr>
        <w:t xml:space="preserve">, where </w:t>
      </w:r>
      <m:oMath>
        <m:r>
          <w:rPr>
            <w:rFonts w:ascii="Cambria Math" w:hAnsi="Cambria Math"/>
            <w:sz w:val="20"/>
            <w:szCs w:val="20"/>
          </w:rPr>
          <m:t>c</m:t>
        </m:r>
      </m:oMath>
      <w:r w:rsidR="000644FE">
        <w:rPr>
          <w:rFonts w:ascii="Times New Roman" w:hAnsi="Times New Roman"/>
          <w:sz w:val="20"/>
          <w:szCs w:val="20"/>
        </w:rPr>
        <w:t xml:space="preserve"> is the</w:t>
      </w:r>
      <w:r w:rsidR="009259A3">
        <w:rPr>
          <w:rFonts w:ascii="Times New Roman" w:hAnsi="Times New Roman"/>
          <w:sz w:val="20"/>
          <w:szCs w:val="20"/>
        </w:rPr>
        <w:t xml:space="preserve"> overall base</w:t>
      </w:r>
      <w:r w:rsidR="0027799E">
        <w:rPr>
          <w:rFonts w:ascii="Times New Roman" w:hAnsi="Times New Roman"/>
          <w:sz w:val="20"/>
          <w:szCs w:val="20"/>
        </w:rPr>
        <w:t xml:space="preserve"> </w:t>
      </w:r>
      <w:r w:rsidR="002F36A5">
        <w:rPr>
          <w:rFonts w:ascii="Times New Roman" w:hAnsi="Times New Roman"/>
          <w:sz w:val="20"/>
          <w:szCs w:val="20"/>
        </w:rPr>
        <w:t>exposure</w:t>
      </w:r>
      <w:r w:rsidR="000644FE">
        <w:rPr>
          <w:rFonts w:ascii="Times New Roman" w:hAnsi="Times New Roman"/>
          <w:sz w:val="20"/>
          <w:szCs w:val="20"/>
        </w:rPr>
        <w:t xml:space="preserve"> rate</w:t>
      </w:r>
      <w:r w:rsidR="002F36A5">
        <w:rPr>
          <w:rFonts w:ascii="Times New Roman" w:hAnsi="Times New Roman"/>
          <w:sz w:val="20"/>
          <w:szCs w:val="20"/>
        </w:rPr>
        <w:t xml:space="preserve"> (</w:t>
      </w:r>
      <w:r w:rsidR="000644FE">
        <w:rPr>
          <w:rFonts w:ascii="Times New Roman" w:hAnsi="Times New Roman"/>
          <w:sz w:val="20"/>
          <w:szCs w:val="20"/>
        </w:rPr>
        <w:t xml:space="preserve">assumed </w:t>
      </w:r>
      <w:r w:rsidR="00B74BEC">
        <w:rPr>
          <w:rFonts w:ascii="Times New Roman" w:hAnsi="Times New Roman"/>
          <w:sz w:val="20"/>
          <w:szCs w:val="20"/>
        </w:rPr>
        <w:t xml:space="preserve">to </w:t>
      </w:r>
      <w:r w:rsidR="000644FE">
        <w:rPr>
          <w:rFonts w:ascii="Times New Roman" w:hAnsi="Times New Roman"/>
          <w:sz w:val="20"/>
          <w:szCs w:val="20"/>
        </w:rPr>
        <w:t>decrease at a constant fractional rate per year</w:t>
      </w:r>
      <w:r w:rsidR="002F36A5">
        <w:rPr>
          <w:rFonts w:ascii="Times New Roman" w:hAnsi="Times New Roman"/>
          <w:sz w:val="20"/>
          <w:szCs w:val="20"/>
        </w:rPr>
        <w:t>)</w:t>
      </w:r>
      <w:r w:rsidR="000644FE">
        <w:rPr>
          <w:rFonts w:ascii="Times New Roman" w:hAnsi="Times New Roman"/>
          <w:sz w:val="20"/>
          <w:szCs w:val="20"/>
        </w:rPr>
        <w:t xml:space="preserve">, </w:t>
      </w:r>
      <m:oMath>
        <m:r>
          <w:rPr>
            <w:rFonts w:ascii="Cambria Math" w:hAnsi="Cambria Math"/>
            <w:sz w:val="20"/>
            <w:szCs w:val="20"/>
          </w:rPr>
          <m:t>g</m:t>
        </m:r>
      </m:oMath>
      <w:r w:rsidR="000644FE">
        <w:rPr>
          <w:rFonts w:ascii="Times New Roman" w:hAnsi="Times New Roman"/>
          <w:sz w:val="20"/>
          <w:szCs w:val="20"/>
        </w:rPr>
        <w:t xml:space="preserve"> is the product of the effects of substance use</w:t>
      </w:r>
      <w:r w:rsidR="00B74BEC">
        <w:rPr>
          <w:rFonts w:ascii="Times New Roman" w:hAnsi="Times New Roman"/>
          <w:sz w:val="20"/>
          <w:szCs w:val="20"/>
        </w:rPr>
        <w:t xml:space="preserve"> </w:t>
      </w:r>
      <w:r w:rsidR="009259A3">
        <w:rPr>
          <w:rFonts w:ascii="Times New Roman" w:hAnsi="Times New Roman"/>
          <w:sz w:val="20"/>
          <w:szCs w:val="20"/>
        </w:rPr>
        <w:t xml:space="preserve">problems </w:t>
      </w:r>
      <w:r w:rsidR="00B74BEC">
        <w:rPr>
          <w:rFonts w:ascii="Times New Roman" w:hAnsi="Times New Roman"/>
          <w:sz w:val="20"/>
          <w:szCs w:val="20"/>
        </w:rPr>
        <w:t>(</w:t>
      </w:r>
      <w:r w:rsidR="006E4DD9" w:rsidRPr="003F2A51">
        <w:rPr>
          <w:rFonts w:ascii="Times New Roman" w:hAnsi="Times New Roman"/>
          <w:sz w:val="20"/>
          <w:szCs w:val="20"/>
        </w:rPr>
        <w:t>Norstr</w:t>
      </w:r>
      <w:r w:rsidR="006E4DD9">
        <w:rPr>
          <w:rFonts w:ascii="Times New Roman" w:hAnsi="Times New Roman"/>
          <w:sz w:val="20"/>
          <w:szCs w:val="20"/>
        </w:rPr>
        <w:t>öm</w:t>
      </w:r>
      <w:r w:rsidR="006E4DD9" w:rsidRPr="003F2A51">
        <w:rPr>
          <w:rFonts w:ascii="Times New Roman" w:hAnsi="Times New Roman"/>
          <w:sz w:val="20"/>
          <w:szCs w:val="20"/>
        </w:rPr>
        <w:t xml:space="preserve"> </w:t>
      </w:r>
      <w:r w:rsidR="003F2A51" w:rsidRPr="003F2A51">
        <w:rPr>
          <w:rFonts w:ascii="Times New Roman" w:hAnsi="Times New Roman"/>
          <w:sz w:val="20"/>
          <w:szCs w:val="20"/>
        </w:rPr>
        <w:t>and Pape, 2010</w:t>
      </w:r>
      <w:r w:rsidR="003F2A51">
        <w:rPr>
          <w:rFonts w:ascii="Times New Roman" w:hAnsi="Times New Roman"/>
          <w:sz w:val="20"/>
          <w:szCs w:val="20"/>
        </w:rPr>
        <w:t xml:space="preserve">) </w:t>
      </w:r>
      <w:r w:rsidR="000644FE">
        <w:rPr>
          <w:rFonts w:ascii="Times New Roman" w:hAnsi="Times New Roman"/>
          <w:sz w:val="20"/>
          <w:szCs w:val="20"/>
        </w:rPr>
        <w:t xml:space="preserve">and unemployment </w:t>
      </w:r>
      <w:r w:rsidR="003F2A51">
        <w:rPr>
          <w:rFonts w:ascii="Times New Roman" w:hAnsi="Times New Roman"/>
          <w:sz w:val="20"/>
          <w:szCs w:val="20"/>
        </w:rPr>
        <w:t>(</w:t>
      </w:r>
      <w:r w:rsidR="003F2A51" w:rsidRPr="003F2A51">
        <w:rPr>
          <w:rFonts w:ascii="Times New Roman" w:hAnsi="Times New Roman"/>
          <w:sz w:val="20"/>
          <w:szCs w:val="20"/>
        </w:rPr>
        <w:t>Ju</w:t>
      </w:r>
      <w:r w:rsidR="00BA2438">
        <w:rPr>
          <w:rFonts w:ascii="Times New Roman" w:hAnsi="Times New Roman"/>
          <w:sz w:val="20"/>
          <w:szCs w:val="20"/>
        </w:rPr>
        <w:t>á</w:t>
      </w:r>
      <w:r w:rsidR="003F2A51" w:rsidRPr="003F2A51">
        <w:rPr>
          <w:rFonts w:ascii="Times New Roman" w:hAnsi="Times New Roman"/>
          <w:sz w:val="20"/>
          <w:szCs w:val="20"/>
        </w:rPr>
        <w:t>rez et al</w:t>
      </w:r>
      <w:r w:rsidR="003F2A51">
        <w:rPr>
          <w:rFonts w:ascii="Times New Roman" w:hAnsi="Times New Roman"/>
          <w:sz w:val="20"/>
          <w:szCs w:val="20"/>
        </w:rPr>
        <w:t>.</w:t>
      </w:r>
      <w:r w:rsidR="003F2A51" w:rsidRPr="003F2A51">
        <w:rPr>
          <w:rFonts w:ascii="Times New Roman" w:hAnsi="Times New Roman"/>
          <w:sz w:val="20"/>
          <w:szCs w:val="20"/>
        </w:rPr>
        <w:t>, 2020</w:t>
      </w:r>
      <w:r w:rsidR="003F2A51">
        <w:rPr>
          <w:rFonts w:ascii="Times New Roman" w:hAnsi="Times New Roman"/>
          <w:sz w:val="20"/>
          <w:szCs w:val="20"/>
        </w:rPr>
        <w:t xml:space="preserve">) </w:t>
      </w:r>
      <w:r w:rsidR="000644FE">
        <w:rPr>
          <w:rFonts w:ascii="Times New Roman" w:hAnsi="Times New Roman"/>
          <w:sz w:val="20"/>
          <w:szCs w:val="20"/>
        </w:rPr>
        <w:t xml:space="preserve">on violent crime </w:t>
      </w:r>
      <w:r w:rsidR="009149F7">
        <w:rPr>
          <w:rFonts w:ascii="Times New Roman" w:hAnsi="Times New Roman"/>
          <w:sz w:val="20"/>
          <w:szCs w:val="20"/>
        </w:rPr>
        <w:t>exposure</w:t>
      </w:r>
      <w:r w:rsidR="000644FE">
        <w:rPr>
          <w:rFonts w:ascii="Times New Roman" w:hAnsi="Times New Roman"/>
          <w:sz w:val="20"/>
          <w:szCs w:val="20"/>
        </w:rPr>
        <w:t xml:space="preserve">, and </w:t>
      </w:r>
      <m:oMath>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i</m:t>
            </m:r>
          </m:sub>
        </m:sSub>
      </m:oMath>
      <w:r w:rsidR="000644FE">
        <w:rPr>
          <w:rFonts w:ascii="Times New Roman" w:hAnsi="Times New Roman"/>
          <w:sz w:val="20"/>
          <w:szCs w:val="20"/>
        </w:rPr>
        <w:t xml:space="preserve"> is the number of people </w:t>
      </w:r>
      <w:r w:rsidR="007F7C8C">
        <w:rPr>
          <w:rFonts w:ascii="Times New Roman" w:hAnsi="Times New Roman"/>
          <w:sz w:val="20"/>
          <w:szCs w:val="20"/>
        </w:rPr>
        <w:t xml:space="preserve">in age group </w:t>
      </w:r>
      <m:oMath>
        <m:r>
          <w:rPr>
            <w:rFonts w:ascii="Cambria Math" w:hAnsi="Cambria Math"/>
            <w:sz w:val="20"/>
            <w:szCs w:val="20"/>
          </w:rPr>
          <m:t>i</m:t>
        </m:r>
      </m:oMath>
      <w:r w:rsidR="007F7C8C">
        <w:rPr>
          <w:rFonts w:ascii="Times New Roman" w:hAnsi="Times New Roman"/>
          <w:sz w:val="20"/>
          <w:szCs w:val="20"/>
        </w:rPr>
        <w:t xml:space="preserve"> </w:t>
      </w:r>
      <w:r w:rsidR="009149F7">
        <w:rPr>
          <w:rFonts w:ascii="Times New Roman" w:hAnsi="Times New Roman"/>
          <w:sz w:val="20"/>
          <w:szCs w:val="20"/>
        </w:rPr>
        <w:t>in the population</w:t>
      </w:r>
      <w:r w:rsidR="000644FE">
        <w:rPr>
          <w:rFonts w:ascii="Times New Roman" w:hAnsi="Times New Roman"/>
          <w:sz w:val="20"/>
          <w:szCs w:val="20"/>
        </w:rPr>
        <w:t>.</w:t>
      </w:r>
      <w:r w:rsidR="00E37E59">
        <w:rPr>
          <w:rFonts w:ascii="Times New Roman" w:hAnsi="Times New Roman"/>
          <w:sz w:val="20"/>
          <w:szCs w:val="20"/>
        </w:rPr>
        <w:t xml:space="preserve">  </w:t>
      </w:r>
      <w:r w:rsidR="007F79CF">
        <w:rPr>
          <w:rFonts w:ascii="Times New Roman" w:hAnsi="Times New Roman"/>
          <w:sz w:val="20"/>
          <w:szCs w:val="20"/>
        </w:rPr>
        <w:t>Fractional r</w:t>
      </w:r>
      <w:r w:rsidR="002F36A5">
        <w:rPr>
          <w:rFonts w:ascii="Times New Roman" w:hAnsi="Times New Roman"/>
          <w:sz w:val="20"/>
          <w:szCs w:val="20"/>
        </w:rPr>
        <w:t xml:space="preserve">ates of </w:t>
      </w:r>
      <w:r w:rsidR="007F79CF">
        <w:rPr>
          <w:rFonts w:ascii="Times New Roman" w:hAnsi="Times New Roman"/>
          <w:sz w:val="20"/>
          <w:szCs w:val="20"/>
        </w:rPr>
        <w:t>increase</w:t>
      </w:r>
      <w:r w:rsidR="002F36A5">
        <w:rPr>
          <w:rFonts w:ascii="Times New Roman" w:hAnsi="Times New Roman"/>
          <w:sz w:val="20"/>
          <w:szCs w:val="20"/>
        </w:rPr>
        <w:t xml:space="preserve"> (or </w:t>
      </w:r>
      <w:r w:rsidR="007F79CF">
        <w:rPr>
          <w:rFonts w:ascii="Times New Roman" w:hAnsi="Times New Roman"/>
          <w:sz w:val="20"/>
          <w:szCs w:val="20"/>
        </w:rPr>
        <w:t>decrease</w:t>
      </w:r>
      <w:r w:rsidR="002F36A5">
        <w:rPr>
          <w:rFonts w:ascii="Times New Roman" w:hAnsi="Times New Roman"/>
          <w:sz w:val="20"/>
          <w:szCs w:val="20"/>
        </w:rPr>
        <w:t xml:space="preserve">) in the base exposure rates </w:t>
      </w:r>
      <m:oMath>
        <m:sSub>
          <m:sSubPr>
            <m:ctrlPr>
              <w:rPr>
                <w:rFonts w:ascii="Cambria Math" w:hAnsi="Cambria Math"/>
                <w:i/>
                <w:sz w:val="20"/>
                <w:szCs w:val="20"/>
              </w:rPr>
            </m:ctrlPr>
          </m:sSubPr>
          <m:e>
            <m:r>
              <w:rPr>
                <w:rFonts w:ascii="Cambria Math" w:hAnsi="Cambria Math"/>
                <w:sz w:val="20"/>
                <w:szCs w:val="20"/>
              </w:rPr>
              <m:t>v</m:t>
            </m:r>
          </m:e>
          <m:sub>
            <m:r>
              <w:rPr>
                <w:rFonts w:ascii="Cambria Math" w:hAnsi="Cambria Math"/>
                <w:sz w:val="20"/>
                <w:szCs w:val="20"/>
              </w:rPr>
              <m:t>i</m:t>
            </m:r>
          </m:sub>
        </m:sSub>
      </m:oMath>
      <w:r w:rsidR="002F36A5">
        <w:rPr>
          <w:rFonts w:ascii="Times New Roman" w:hAnsi="Times New Roman"/>
          <w:sz w:val="20"/>
          <w:szCs w:val="20"/>
        </w:rPr>
        <w:t xml:space="preserve"> and </w:t>
      </w:r>
      <m:oMath>
        <m:r>
          <w:rPr>
            <w:rFonts w:ascii="Cambria Math" w:hAnsi="Cambria Math"/>
            <w:sz w:val="20"/>
            <w:szCs w:val="20"/>
          </w:rPr>
          <m:t>c</m:t>
        </m:r>
      </m:oMath>
      <w:r w:rsidR="002F36A5">
        <w:rPr>
          <w:rFonts w:ascii="Times New Roman" w:hAnsi="Times New Roman"/>
          <w:sz w:val="20"/>
          <w:szCs w:val="20"/>
        </w:rPr>
        <w:t xml:space="preserve"> </w:t>
      </w:r>
      <w:r w:rsidR="004105E8">
        <w:rPr>
          <w:rFonts w:ascii="Times New Roman" w:hAnsi="Times New Roman"/>
          <w:sz w:val="20"/>
          <w:szCs w:val="20"/>
        </w:rPr>
        <w:t>a</w:t>
      </w:r>
      <w:r w:rsidR="002F36A5">
        <w:rPr>
          <w:rFonts w:ascii="Times New Roman" w:hAnsi="Times New Roman"/>
          <w:sz w:val="20"/>
          <w:szCs w:val="20"/>
        </w:rPr>
        <w:t xml:space="preserve">re set so that the incidence of family violence </w:t>
      </w:r>
      <w:r w:rsidR="0042082F">
        <w:rPr>
          <w:rFonts w:ascii="Times New Roman" w:hAnsi="Times New Roman"/>
          <w:sz w:val="20"/>
          <w:szCs w:val="20"/>
        </w:rPr>
        <w:t xml:space="preserve">exposure </w:t>
      </w:r>
      <w:r w:rsidR="00406AB5">
        <w:rPr>
          <w:rFonts w:ascii="Times New Roman" w:hAnsi="Times New Roman"/>
          <w:sz w:val="20"/>
          <w:szCs w:val="20"/>
        </w:rPr>
        <w:t>for</w:t>
      </w:r>
      <w:r w:rsidR="002F36A5">
        <w:rPr>
          <w:rFonts w:ascii="Times New Roman" w:hAnsi="Times New Roman"/>
          <w:sz w:val="20"/>
          <w:szCs w:val="20"/>
        </w:rPr>
        <w:t xml:space="preserve"> each age group and the total incidence of violent crime</w:t>
      </w:r>
      <w:r w:rsidR="009259A3">
        <w:rPr>
          <w:rFonts w:ascii="Times New Roman" w:hAnsi="Times New Roman"/>
          <w:sz w:val="20"/>
          <w:szCs w:val="20"/>
        </w:rPr>
        <w:t xml:space="preserve"> exposure </w:t>
      </w:r>
      <w:r w:rsidR="002F36A5">
        <w:rPr>
          <w:rFonts w:ascii="Times New Roman" w:hAnsi="Times New Roman"/>
          <w:sz w:val="20"/>
          <w:szCs w:val="20"/>
        </w:rPr>
        <w:t xml:space="preserve">align with </w:t>
      </w:r>
      <w:r w:rsidR="009259A3">
        <w:rPr>
          <w:rFonts w:ascii="Times New Roman" w:hAnsi="Times New Roman"/>
          <w:sz w:val="20"/>
          <w:szCs w:val="20"/>
        </w:rPr>
        <w:t xml:space="preserve">empirical </w:t>
      </w:r>
      <w:r w:rsidR="002F36A5">
        <w:rPr>
          <w:rFonts w:ascii="Times New Roman" w:hAnsi="Times New Roman"/>
          <w:sz w:val="20"/>
          <w:szCs w:val="20"/>
        </w:rPr>
        <w:t>estimates derived from</w:t>
      </w:r>
      <w:r w:rsidR="0042082F">
        <w:rPr>
          <w:rFonts w:ascii="Times New Roman" w:hAnsi="Times New Roman"/>
          <w:sz w:val="20"/>
          <w:szCs w:val="20"/>
        </w:rPr>
        <w:t xml:space="preserve"> the </w:t>
      </w:r>
      <w:r w:rsidR="0042082F">
        <w:rPr>
          <w:rFonts w:ascii="Times New Roman" w:hAnsi="Times New Roman"/>
          <w:sz w:val="20"/>
          <w:szCs w:val="20"/>
        </w:rPr>
        <w:lastRenderedPageBreak/>
        <w:t>e</w:t>
      </w:r>
      <w:r w:rsidR="0042082F" w:rsidRPr="0042082F">
        <w:rPr>
          <w:rFonts w:ascii="Times New Roman" w:hAnsi="Times New Roman"/>
          <w:sz w:val="20"/>
          <w:szCs w:val="20"/>
        </w:rPr>
        <w:t xml:space="preserve">pidemiological surveillance system for </w:t>
      </w:r>
      <w:r w:rsidR="0042082F">
        <w:rPr>
          <w:rFonts w:ascii="Times New Roman" w:hAnsi="Times New Roman"/>
          <w:sz w:val="20"/>
          <w:szCs w:val="20"/>
        </w:rPr>
        <w:t>intrafamily</w:t>
      </w:r>
      <w:r w:rsidR="0042082F" w:rsidRPr="0042082F">
        <w:rPr>
          <w:rFonts w:ascii="Times New Roman" w:hAnsi="Times New Roman"/>
          <w:sz w:val="20"/>
          <w:szCs w:val="20"/>
        </w:rPr>
        <w:t xml:space="preserve"> violence, child abuse</w:t>
      </w:r>
      <w:r w:rsidR="0042082F">
        <w:rPr>
          <w:rFonts w:ascii="Times New Roman" w:hAnsi="Times New Roman"/>
          <w:sz w:val="20"/>
          <w:szCs w:val="20"/>
        </w:rPr>
        <w:t>,</w:t>
      </w:r>
      <w:r w:rsidR="0042082F" w:rsidRPr="0042082F">
        <w:rPr>
          <w:rFonts w:ascii="Times New Roman" w:hAnsi="Times New Roman"/>
          <w:sz w:val="20"/>
          <w:szCs w:val="20"/>
        </w:rPr>
        <w:t xml:space="preserve"> and sexual violence</w:t>
      </w:r>
      <w:r w:rsidR="0042082F">
        <w:rPr>
          <w:rFonts w:ascii="Times New Roman" w:hAnsi="Times New Roman"/>
          <w:sz w:val="20"/>
          <w:szCs w:val="20"/>
        </w:rPr>
        <w:t xml:space="preserve"> (SIVIM)</w:t>
      </w:r>
      <w:r w:rsidR="0042082F" w:rsidRPr="0042082F">
        <w:rPr>
          <w:rFonts w:ascii="Times New Roman" w:hAnsi="Times New Roman"/>
          <w:sz w:val="20"/>
          <w:szCs w:val="20"/>
        </w:rPr>
        <w:t xml:space="preserve"> </w:t>
      </w:r>
      <w:r w:rsidR="002D28E4">
        <w:rPr>
          <w:rFonts w:ascii="Times New Roman" w:hAnsi="Times New Roman"/>
          <w:sz w:val="20"/>
          <w:szCs w:val="20"/>
        </w:rPr>
        <w:t xml:space="preserve">and </w:t>
      </w:r>
      <w:r w:rsidR="00CA58F1">
        <w:rPr>
          <w:rFonts w:ascii="Times New Roman" w:hAnsi="Times New Roman"/>
          <w:sz w:val="20"/>
          <w:szCs w:val="20"/>
        </w:rPr>
        <w:t>the Survey of Coexistence and Citizen Security (see Fig. S14).</w:t>
      </w:r>
    </w:p>
    <w:p w14:paraId="05F41044" w14:textId="77777777" w:rsidR="00AB0AF1" w:rsidRDefault="00AB0AF1" w:rsidP="00FE09B6">
      <w:pPr>
        <w:spacing w:line="480" w:lineRule="auto"/>
        <w:rPr>
          <w:rFonts w:ascii="Times New Roman" w:hAnsi="Times New Roman"/>
          <w:sz w:val="20"/>
          <w:szCs w:val="20"/>
        </w:rPr>
      </w:pPr>
    </w:p>
    <w:p w14:paraId="24232098" w14:textId="6A356681" w:rsidR="00AB0AF1" w:rsidRDefault="00AB0AF1" w:rsidP="00480C5A">
      <w:pPr>
        <w:spacing w:line="480" w:lineRule="auto"/>
        <w:jc w:val="center"/>
        <w:rPr>
          <w:rFonts w:ascii="Times New Roman" w:hAnsi="Times New Roman"/>
          <w:sz w:val="20"/>
          <w:szCs w:val="20"/>
        </w:rPr>
      </w:pPr>
      <w:r>
        <w:rPr>
          <w:rFonts w:ascii="Times New Roman" w:hAnsi="Times New Roman"/>
          <w:noProof/>
          <w:sz w:val="20"/>
          <w:szCs w:val="20"/>
        </w:rPr>
        <w:drawing>
          <wp:inline distT="0" distB="0" distL="0" distR="0" wp14:anchorId="1DAA5C79" wp14:editId="3C979B0A">
            <wp:extent cx="4132128" cy="5400000"/>
            <wp:effectExtent l="0" t="0" r="1905" b="0"/>
            <wp:docPr id="16556771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677143" name="Picture 1655677143"/>
                    <pic:cNvPicPr/>
                  </pic:nvPicPr>
                  <pic:blipFill>
                    <a:blip r:embed="rId20"/>
                    <a:stretch>
                      <a:fillRect/>
                    </a:stretch>
                  </pic:blipFill>
                  <pic:spPr>
                    <a:xfrm>
                      <a:off x="0" y="0"/>
                      <a:ext cx="4132128" cy="5400000"/>
                    </a:xfrm>
                    <a:prstGeom prst="rect">
                      <a:avLst/>
                    </a:prstGeom>
                  </pic:spPr>
                </pic:pic>
              </a:graphicData>
            </a:graphic>
          </wp:inline>
        </w:drawing>
      </w:r>
    </w:p>
    <w:p w14:paraId="1433D71E" w14:textId="29C1A7CB" w:rsidR="003F68C0" w:rsidRDefault="00AB0AF1" w:rsidP="00FE09B6">
      <w:pPr>
        <w:spacing w:line="480" w:lineRule="auto"/>
        <w:rPr>
          <w:rFonts w:ascii="Times New Roman" w:hAnsi="Times New Roman"/>
          <w:sz w:val="20"/>
          <w:szCs w:val="20"/>
        </w:rPr>
      </w:pPr>
      <w:r>
        <w:rPr>
          <w:rFonts w:ascii="Times New Roman" w:hAnsi="Times New Roman"/>
          <w:sz w:val="20"/>
          <w:szCs w:val="20"/>
        </w:rPr>
        <w:t>Fig. S13.  Structure of the family violence and violent crime (i.e., physical assault) sector.  Modelled factors that affect the incidence of family violence and physical assault are listed in the text boxes.</w:t>
      </w:r>
    </w:p>
    <w:p w14:paraId="7CB0EB4D" w14:textId="77777777" w:rsidR="00073E27" w:rsidRDefault="00073E27" w:rsidP="00FE09B6">
      <w:pPr>
        <w:spacing w:line="480" w:lineRule="auto"/>
        <w:rPr>
          <w:rFonts w:ascii="Times New Roman" w:hAnsi="Times New Roman"/>
          <w:sz w:val="20"/>
          <w:szCs w:val="20"/>
        </w:rPr>
      </w:pPr>
    </w:p>
    <w:p w14:paraId="22443C1C" w14:textId="622F7616" w:rsidR="00480C5A" w:rsidRPr="00480C5A" w:rsidRDefault="00480C5A" w:rsidP="00FE09B6">
      <w:pPr>
        <w:spacing w:line="480" w:lineRule="auto"/>
        <w:rPr>
          <w:rFonts w:ascii="Times New Roman" w:hAnsi="Times New Roman"/>
          <w:i/>
          <w:iCs/>
          <w:sz w:val="20"/>
          <w:szCs w:val="20"/>
        </w:rPr>
      </w:pPr>
      <w:r w:rsidRPr="00480C5A">
        <w:rPr>
          <w:rFonts w:ascii="Times New Roman" w:hAnsi="Times New Roman"/>
          <w:i/>
          <w:iCs/>
          <w:sz w:val="20"/>
          <w:szCs w:val="20"/>
        </w:rPr>
        <w:t>1.9.  Internal displacement sector</w:t>
      </w:r>
    </w:p>
    <w:p w14:paraId="687344FE" w14:textId="77777777" w:rsidR="003E0F67" w:rsidRDefault="00C55EAD" w:rsidP="00FE09B6">
      <w:pPr>
        <w:spacing w:line="480" w:lineRule="auto"/>
        <w:rPr>
          <w:rFonts w:ascii="Times New Roman" w:hAnsi="Times New Roman"/>
          <w:sz w:val="20"/>
          <w:szCs w:val="20"/>
        </w:rPr>
      </w:pPr>
      <w:r>
        <w:rPr>
          <w:rFonts w:ascii="Times New Roman" w:hAnsi="Times New Roman"/>
          <w:sz w:val="20"/>
          <w:szCs w:val="20"/>
        </w:rPr>
        <w:t xml:space="preserve">Numbers of </w:t>
      </w:r>
      <w:r w:rsidR="00CB0480">
        <w:rPr>
          <w:rFonts w:ascii="Times New Roman" w:hAnsi="Times New Roman"/>
          <w:sz w:val="20"/>
          <w:szCs w:val="20"/>
        </w:rPr>
        <w:t>people</w:t>
      </w:r>
      <w:r w:rsidR="00BE62A7">
        <w:rPr>
          <w:rFonts w:ascii="Times New Roman" w:hAnsi="Times New Roman"/>
          <w:sz w:val="20"/>
          <w:szCs w:val="20"/>
        </w:rPr>
        <w:t xml:space="preserve"> </w:t>
      </w:r>
      <w:r>
        <w:rPr>
          <w:rFonts w:ascii="Times New Roman" w:hAnsi="Times New Roman"/>
          <w:sz w:val="20"/>
          <w:szCs w:val="20"/>
        </w:rPr>
        <w:t xml:space="preserve">aged </w:t>
      </w:r>
      <w:r w:rsidR="00545AC0">
        <w:rPr>
          <w:rFonts w:ascii="Times New Roman" w:hAnsi="Times New Roman"/>
          <w:sz w:val="20"/>
          <w:szCs w:val="20"/>
        </w:rPr>
        <w:t xml:space="preserve">0−6 years, </w:t>
      </w:r>
      <w:r>
        <w:rPr>
          <w:rFonts w:ascii="Times New Roman" w:hAnsi="Times New Roman"/>
          <w:sz w:val="20"/>
          <w:szCs w:val="20"/>
        </w:rPr>
        <w:t>7−11 years, 12−17 years, and 18 years</w:t>
      </w:r>
      <w:r w:rsidR="000103D4">
        <w:rPr>
          <w:rFonts w:ascii="Times New Roman" w:hAnsi="Times New Roman"/>
          <w:sz w:val="20"/>
          <w:szCs w:val="20"/>
        </w:rPr>
        <w:t xml:space="preserve"> or more</w:t>
      </w:r>
      <w:r>
        <w:rPr>
          <w:rFonts w:ascii="Times New Roman" w:hAnsi="Times New Roman"/>
          <w:sz w:val="20"/>
          <w:szCs w:val="20"/>
        </w:rPr>
        <w:t xml:space="preserve"> displaced by </w:t>
      </w:r>
      <w:r w:rsidR="000103D4">
        <w:rPr>
          <w:rFonts w:ascii="Times New Roman" w:hAnsi="Times New Roman"/>
          <w:sz w:val="20"/>
          <w:szCs w:val="20"/>
        </w:rPr>
        <w:t xml:space="preserve">conflict-related violence </w:t>
      </w:r>
      <w:r>
        <w:rPr>
          <w:rFonts w:ascii="Times New Roman" w:hAnsi="Times New Roman"/>
          <w:sz w:val="20"/>
          <w:szCs w:val="20"/>
        </w:rPr>
        <w:t xml:space="preserve">are modelled as </w:t>
      </w:r>
      <w:r w:rsidR="00BB582E">
        <w:rPr>
          <w:rFonts w:ascii="Times New Roman" w:hAnsi="Times New Roman"/>
          <w:sz w:val="20"/>
          <w:szCs w:val="20"/>
        </w:rPr>
        <w:t xml:space="preserve">stocks with inflows corresponding to </w:t>
      </w:r>
      <w:r w:rsidR="009948A8">
        <w:rPr>
          <w:rFonts w:ascii="Times New Roman" w:hAnsi="Times New Roman"/>
          <w:sz w:val="20"/>
          <w:szCs w:val="20"/>
        </w:rPr>
        <w:t>displacement</w:t>
      </w:r>
      <w:r w:rsidR="00D43B82">
        <w:rPr>
          <w:rFonts w:ascii="Times New Roman" w:hAnsi="Times New Roman"/>
          <w:sz w:val="20"/>
          <w:szCs w:val="20"/>
        </w:rPr>
        <w:t>-related immigration</w:t>
      </w:r>
      <w:r w:rsidR="009948A8">
        <w:rPr>
          <w:rFonts w:ascii="Times New Roman" w:hAnsi="Times New Roman"/>
          <w:sz w:val="20"/>
          <w:szCs w:val="20"/>
        </w:rPr>
        <w:t xml:space="preserve"> (i.e., </w:t>
      </w:r>
      <w:r w:rsidR="005511D8">
        <w:rPr>
          <w:rFonts w:ascii="Times New Roman" w:hAnsi="Times New Roman"/>
          <w:sz w:val="20"/>
          <w:szCs w:val="20"/>
        </w:rPr>
        <w:t xml:space="preserve">the </w:t>
      </w:r>
      <w:r w:rsidR="009948A8">
        <w:rPr>
          <w:rFonts w:ascii="Times New Roman" w:hAnsi="Times New Roman"/>
          <w:sz w:val="20"/>
          <w:szCs w:val="20"/>
        </w:rPr>
        <w:t xml:space="preserve">movement of displaced people from regions affected by armed conflict into Bogotá) and </w:t>
      </w:r>
      <w:r w:rsidR="00BB263A">
        <w:rPr>
          <w:rFonts w:ascii="Times New Roman" w:hAnsi="Times New Roman"/>
          <w:sz w:val="20"/>
          <w:szCs w:val="20"/>
        </w:rPr>
        <w:t xml:space="preserve">outflows corresponding to </w:t>
      </w:r>
      <w:r w:rsidR="003816AB">
        <w:rPr>
          <w:rFonts w:ascii="Times New Roman" w:hAnsi="Times New Roman"/>
          <w:sz w:val="20"/>
          <w:szCs w:val="20"/>
        </w:rPr>
        <w:t>repatriation</w:t>
      </w:r>
      <w:r w:rsidR="00BB263A">
        <w:rPr>
          <w:rFonts w:ascii="Times New Roman" w:hAnsi="Times New Roman"/>
          <w:sz w:val="20"/>
          <w:szCs w:val="20"/>
        </w:rPr>
        <w:t xml:space="preserve"> </w:t>
      </w:r>
      <w:r w:rsidR="005511D8">
        <w:rPr>
          <w:rFonts w:ascii="Times New Roman" w:hAnsi="Times New Roman"/>
          <w:sz w:val="20"/>
          <w:szCs w:val="20"/>
        </w:rPr>
        <w:t xml:space="preserve">(people returning to regions from which they were displaced) </w:t>
      </w:r>
      <w:r w:rsidR="00BB263A">
        <w:rPr>
          <w:rFonts w:ascii="Times New Roman" w:hAnsi="Times New Roman"/>
          <w:sz w:val="20"/>
          <w:szCs w:val="20"/>
        </w:rPr>
        <w:t>and mortality (</w:t>
      </w:r>
      <w:r w:rsidR="002401C7">
        <w:rPr>
          <w:rFonts w:ascii="Times New Roman" w:hAnsi="Times New Roman"/>
          <w:sz w:val="20"/>
          <w:szCs w:val="20"/>
        </w:rPr>
        <w:t xml:space="preserve">see </w:t>
      </w:r>
      <w:r w:rsidR="00BB263A">
        <w:rPr>
          <w:rFonts w:ascii="Times New Roman" w:hAnsi="Times New Roman"/>
          <w:sz w:val="20"/>
          <w:szCs w:val="20"/>
        </w:rPr>
        <w:t>Fig. S15; the bi-</w:t>
      </w:r>
    </w:p>
    <w:p w14:paraId="0477709C" w14:textId="77777777" w:rsidR="003E0F67" w:rsidRDefault="003E0F67" w:rsidP="003E0F67">
      <w:pPr>
        <w:spacing w:line="480" w:lineRule="auto"/>
        <w:rPr>
          <w:rFonts w:ascii="Times New Roman" w:hAnsi="Times New Roman"/>
          <w:sz w:val="20"/>
          <w:szCs w:val="20"/>
        </w:rPr>
      </w:pPr>
      <w:r>
        <w:rPr>
          <w:rFonts w:ascii="Times New Roman" w:hAnsi="Times New Roman"/>
          <w:noProof/>
          <w:sz w:val="20"/>
          <w:szCs w:val="20"/>
        </w:rPr>
        <w:lastRenderedPageBreak/>
        <w:drawing>
          <wp:inline distT="0" distB="0" distL="0" distR="0" wp14:anchorId="0F832FAA" wp14:editId="68B5FB12">
            <wp:extent cx="5731086" cy="2456180"/>
            <wp:effectExtent l="0" t="0" r="3175" b="1270"/>
            <wp:docPr id="14258162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816262" name="Picture 2"/>
                    <pic:cNvPicPr/>
                  </pic:nvPicPr>
                  <pic:blipFill>
                    <a:blip r:embed="rId21"/>
                    <a:stretch>
                      <a:fillRect/>
                    </a:stretch>
                  </pic:blipFill>
                  <pic:spPr>
                    <a:xfrm>
                      <a:off x="0" y="0"/>
                      <a:ext cx="5731086" cy="2456180"/>
                    </a:xfrm>
                    <a:prstGeom prst="rect">
                      <a:avLst/>
                    </a:prstGeom>
                  </pic:spPr>
                </pic:pic>
              </a:graphicData>
            </a:graphic>
          </wp:inline>
        </w:drawing>
      </w:r>
    </w:p>
    <w:p w14:paraId="7527B622" w14:textId="77777777" w:rsidR="003E0F67" w:rsidRDefault="003E0F67" w:rsidP="003E0F67">
      <w:pPr>
        <w:spacing w:line="480" w:lineRule="auto"/>
        <w:rPr>
          <w:rFonts w:ascii="Times New Roman" w:hAnsi="Times New Roman"/>
          <w:sz w:val="20"/>
          <w:szCs w:val="20"/>
        </w:rPr>
      </w:pPr>
      <w:r>
        <w:rPr>
          <w:rFonts w:ascii="Times New Roman" w:hAnsi="Times New Roman"/>
          <w:sz w:val="20"/>
          <w:szCs w:val="20"/>
        </w:rPr>
        <w:t>Fig. S14.  Estimates of exposure to</w:t>
      </w:r>
      <w:r w:rsidRPr="003E43B2">
        <w:rPr>
          <w:rFonts w:ascii="Times New Roman" w:hAnsi="Times New Roman"/>
          <w:sz w:val="20"/>
          <w:szCs w:val="20"/>
        </w:rPr>
        <w:t xml:space="preserve"> </w:t>
      </w:r>
      <w:r>
        <w:rPr>
          <w:rFonts w:ascii="Times New Roman" w:hAnsi="Times New Roman"/>
          <w:sz w:val="20"/>
          <w:szCs w:val="20"/>
        </w:rPr>
        <w:t>family violence and violent crime (physical assault) derived from the model and from the e</w:t>
      </w:r>
      <w:r w:rsidRPr="0042082F">
        <w:rPr>
          <w:rFonts w:ascii="Times New Roman" w:hAnsi="Times New Roman"/>
          <w:sz w:val="20"/>
          <w:szCs w:val="20"/>
        </w:rPr>
        <w:t xml:space="preserve">pidemiological surveillance system for </w:t>
      </w:r>
      <w:r>
        <w:rPr>
          <w:rFonts w:ascii="Times New Roman" w:hAnsi="Times New Roman"/>
          <w:sz w:val="20"/>
          <w:szCs w:val="20"/>
        </w:rPr>
        <w:t>intrafamily</w:t>
      </w:r>
      <w:r w:rsidRPr="0042082F">
        <w:rPr>
          <w:rFonts w:ascii="Times New Roman" w:hAnsi="Times New Roman"/>
          <w:sz w:val="20"/>
          <w:szCs w:val="20"/>
        </w:rPr>
        <w:t xml:space="preserve"> violence, child abuse</w:t>
      </w:r>
      <w:r>
        <w:rPr>
          <w:rFonts w:ascii="Times New Roman" w:hAnsi="Times New Roman"/>
          <w:sz w:val="20"/>
          <w:szCs w:val="20"/>
        </w:rPr>
        <w:t>,</w:t>
      </w:r>
      <w:r w:rsidRPr="0042082F">
        <w:rPr>
          <w:rFonts w:ascii="Times New Roman" w:hAnsi="Times New Roman"/>
          <w:sz w:val="20"/>
          <w:szCs w:val="20"/>
        </w:rPr>
        <w:t xml:space="preserve"> and sexual violence</w:t>
      </w:r>
      <w:r>
        <w:rPr>
          <w:rFonts w:ascii="Times New Roman" w:hAnsi="Times New Roman"/>
          <w:sz w:val="20"/>
          <w:szCs w:val="20"/>
        </w:rPr>
        <w:t xml:space="preserve"> (SIVIM)</w:t>
      </w:r>
      <w:r w:rsidRPr="0042082F">
        <w:rPr>
          <w:rFonts w:ascii="Times New Roman" w:hAnsi="Times New Roman"/>
          <w:sz w:val="20"/>
          <w:szCs w:val="20"/>
        </w:rPr>
        <w:t xml:space="preserve"> </w:t>
      </w:r>
      <w:r>
        <w:rPr>
          <w:rFonts w:ascii="Times New Roman" w:hAnsi="Times New Roman"/>
          <w:sz w:val="20"/>
          <w:szCs w:val="20"/>
        </w:rPr>
        <w:t xml:space="preserve">and the Survey of Coexistence and Citizen Security (ECSC; available at: </w:t>
      </w:r>
      <w:r w:rsidRPr="008E7A2F">
        <w:rPr>
          <w:rFonts w:ascii="Times New Roman" w:hAnsi="Times New Roman"/>
          <w:sz w:val="20"/>
          <w:szCs w:val="20"/>
        </w:rPr>
        <w:t>https://www.dane.gov.co/</w:t>
      </w:r>
      <w:r>
        <w:rPr>
          <w:rFonts w:ascii="Times New Roman" w:hAnsi="Times New Roman"/>
          <w:sz w:val="20"/>
          <w:szCs w:val="20"/>
        </w:rPr>
        <w:t>).</w:t>
      </w:r>
    </w:p>
    <w:p w14:paraId="1E0EE9C5" w14:textId="77777777" w:rsidR="003E0F67" w:rsidRDefault="003E0F67" w:rsidP="00FE09B6">
      <w:pPr>
        <w:spacing w:line="480" w:lineRule="auto"/>
        <w:rPr>
          <w:rFonts w:ascii="Times New Roman" w:hAnsi="Times New Roman"/>
          <w:sz w:val="20"/>
          <w:szCs w:val="20"/>
        </w:rPr>
      </w:pPr>
    </w:p>
    <w:p w14:paraId="110D1517" w14:textId="62BA3EFA" w:rsidR="00EF6ED6" w:rsidRDefault="00BB263A" w:rsidP="00FE09B6">
      <w:pPr>
        <w:spacing w:line="480" w:lineRule="auto"/>
        <w:rPr>
          <w:rFonts w:ascii="Times New Roman" w:hAnsi="Times New Roman"/>
          <w:sz w:val="20"/>
          <w:szCs w:val="20"/>
        </w:rPr>
      </w:pPr>
      <w:r>
        <w:rPr>
          <w:rFonts w:ascii="Times New Roman" w:hAnsi="Times New Roman"/>
          <w:sz w:val="20"/>
          <w:szCs w:val="20"/>
        </w:rPr>
        <w:t xml:space="preserve">flows labelled ‘Net displacement’ are </w:t>
      </w:r>
      <w:r w:rsidR="00DF2CC2">
        <w:rPr>
          <w:rFonts w:ascii="Times New Roman" w:hAnsi="Times New Roman"/>
          <w:sz w:val="20"/>
          <w:szCs w:val="20"/>
        </w:rPr>
        <w:t>calculated by subtracting</w:t>
      </w:r>
      <w:r w:rsidR="003816AB">
        <w:rPr>
          <w:rFonts w:ascii="Times New Roman" w:hAnsi="Times New Roman"/>
          <w:sz w:val="20"/>
          <w:szCs w:val="20"/>
        </w:rPr>
        <w:t xml:space="preserve"> </w:t>
      </w:r>
      <w:r w:rsidR="00DF2CC2">
        <w:rPr>
          <w:rFonts w:ascii="Times New Roman" w:hAnsi="Times New Roman"/>
          <w:sz w:val="20"/>
          <w:szCs w:val="20"/>
        </w:rPr>
        <w:t xml:space="preserve">the repatriation rate per year from </w:t>
      </w:r>
      <w:r w:rsidR="003816AB">
        <w:rPr>
          <w:rFonts w:ascii="Times New Roman" w:hAnsi="Times New Roman"/>
          <w:sz w:val="20"/>
          <w:szCs w:val="20"/>
        </w:rPr>
        <w:t>displacement-related immigration</w:t>
      </w:r>
      <w:r w:rsidR="00DF2CC2">
        <w:rPr>
          <w:rFonts w:ascii="Times New Roman" w:hAnsi="Times New Roman"/>
          <w:sz w:val="20"/>
          <w:szCs w:val="20"/>
        </w:rPr>
        <w:t xml:space="preserve"> </w:t>
      </w:r>
      <w:r w:rsidR="003816AB">
        <w:rPr>
          <w:rFonts w:ascii="Times New Roman" w:hAnsi="Times New Roman"/>
          <w:sz w:val="20"/>
          <w:szCs w:val="20"/>
        </w:rPr>
        <w:t>per yea</w:t>
      </w:r>
      <w:r w:rsidR="00DF2CC2">
        <w:rPr>
          <w:rFonts w:ascii="Times New Roman" w:hAnsi="Times New Roman"/>
          <w:sz w:val="20"/>
          <w:szCs w:val="20"/>
        </w:rPr>
        <w:t>r</w:t>
      </w:r>
      <w:r w:rsidR="003816AB">
        <w:rPr>
          <w:rFonts w:ascii="Times New Roman" w:hAnsi="Times New Roman"/>
          <w:sz w:val="20"/>
          <w:szCs w:val="20"/>
        </w:rPr>
        <w:t>).</w:t>
      </w:r>
      <w:r w:rsidR="00D43B82">
        <w:rPr>
          <w:rFonts w:ascii="Times New Roman" w:hAnsi="Times New Roman"/>
          <w:sz w:val="20"/>
          <w:szCs w:val="20"/>
        </w:rPr>
        <w:t xml:space="preserve">  </w:t>
      </w:r>
      <w:r w:rsidR="000D3F62">
        <w:rPr>
          <w:rFonts w:ascii="Times New Roman" w:hAnsi="Times New Roman"/>
          <w:sz w:val="20"/>
          <w:szCs w:val="20"/>
        </w:rPr>
        <w:t xml:space="preserve">Age-specific displacement-related immigration per year is </w:t>
      </w:r>
      <w:r w:rsidR="00DF2CC2">
        <w:rPr>
          <w:rFonts w:ascii="Times New Roman" w:hAnsi="Times New Roman"/>
          <w:sz w:val="20"/>
          <w:szCs w:val="20"/>
        </w:rPr>
        <w:t>equal to</w:t>
      </w:r>
      <w:r w:rsidR="000D3F62">
        <w:rPr>
          <w:rFonts w:ascii="Times New Roman" w:hAnsi="Times New Roman"/>
          <w:sz w:val="20"/>
          <w:szCs w:val="20"/>
        </w:rPr>
        <w:t xml:space="preserve"> </w:t>
      </w:r>
      <m:oMath>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i</m:t>
            </m:r>
          </m:sub>
        </m:sSub>
        <m:r>
          <w:rPr>
            <w:rFonts w:ascii="Cambria Math" w:hAnsi="Cambria Math"/>
            <w:sz w:val="20"/>
            <w:szCs w:val="20"/>
          </w:rPr>
          <m:t>D</m:t>
        </m:r>
      </m:oMath>
      <w:r w:rsidR="000D3F62">
        <w:rPr>
          <w:rFonts w:ascii="Times New Roman" w:hAnsi="Times New Roman"/>
          <w:sz w:val="20"/>
          <w:szCs w:val="20"/>
        </w:rPr>
        <w:t>, where to</w:t>
      </w:r>
      <w:r w:rsidR="00DF2CC2">
        <w:rPr>
          <w:rFonts w:ascii="Times New Roman" w:hAnsi="Times New Roman"/>
          <w:sz w:val="20"/>
          <w:szCs w:val="20"/>
        </w:rPr>
        <w:t>t</w:t>
      </w:r>
      <w:r w:rsidR="000D3F62">
        <w:rPr>
          <w:rFonts w:ascii="Times New Roman" w:hAnsi="Times New Roman"/>
          <w:sz w:val="20"/>
          <w:szCs w:val="20"/>
        </w:rPr>
        <w:t xml:space="preserve">al displacement-related immigration per year, </w:t>
      </w:r>
      <m:oMath>
        <m:r>
          <w:rPr>
            <w:rFonts w:ascii="Cambria Math" w:hAnsi="Cambria Math"/>
            <w:sz w:val="20"/>
            <w:szCs w:val="20"/>
          </w:rPr>
          <m:t>D</m:t>
        </m:r>
      </m:oMath>
      <w:r w:rsidR="000D3F62">
        <w:rPr>
          <w:rFonts w:ascii="Times New Roman" w:hAnsi="Times New Roman"/>
          <w:sz w:val="20"/>
          <w:szCs w:val="20"/>
        </w:rPr>
        <w:t>, is assumed to decrease at a constant fractional rate per year</w:t>
      </w:r>
      <w:r w:rsidR="00DF2CC2">
        <w:rPr>
          <w:rFonts w:ascii="Times New Roman" w:hAnsi="Times New Roman"/>
          <w:sz w:val="20"/>
          <w:szCs w:val="20"/>
        </w:rPr>
        <w:t xml:space="preserve"> (consistent with</w:t>
      </w:r>
      <w:r w:rsidR="002401C7">
        <w:rPr>
          <w:rFonts w:ascii="Times New Roman" w:hAnsi="Times New Roman"/>
          <w:sz w:val="20"/>
          <w:szCs w:val="20"/>
        </w:rPr>
        <w:t xml:space="preserve"> available</w:t>
      </w:r>
      <w:r w:rsidR="00DF2CC2">
        <w:rPr>
          <w:rFonts w:ascii="Times New Roman" w:hAnsi="Times New Roman"/>
          <w:sz w:val="20"/>
          <w:szCs w:val="20"/>
        </w:rPr>
        <w:t xml:space="preserve"> </w:t>
      </w:r>
      <w:r w:rsidR="002401C7">
        <w:rPr>
          <w:rFonts w:ascii="Times New Roman" w:hAnsi="Times New Roman"/>
          <w:sz w:val="20"/>
          <w:szCs w:val="20"/>
        </w:rPr>
        <w:t>data; Fig. S16</w:t>
      </w:r>
      <w:r w:rsidR="00DF2CC2">
        <w:rPr>
          <w:rFonts w:ascii="Times New Roman" w:hAnsi="Times New Roman"/>
          <w:sz w:val="20"/>
          <w:szCs w:val="20"/>
        </w:rPr>
        <w:t>)</w:t>
      </w:r>
      <w:r w:rsidR="000D3F62">
        <w:rPr>
          <w:rFonts w:ascii="Times New Roman" w:hAnsi="Times New Roman"/>
          <w:sz w:val="20"/>
          <w:szCs w:val="20"/>
        </w:rPr>
        <w:t xml:space="preserve">, and </w:t>
      </w:r>
      <m:oMath>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i</m:t>
            </m:r>
          </m:sub>
        </m:sSub>
      </m:oMath>
      <w:r w:rsidR="000D3F62">
        <w:rPr>
          <w:rFonts w:ascii="Times New Roman" w:hAnsi="Times New Roman"/>
          <w:sz w:val="20"/>
          <w:szCs w:val="20"/>
        </w:rPr>
        <w:t xml:space="preserve"> is the proportion of displaced immigrants in age group </w:t>
      </w:r>
      <m:oMath>
        <m:r>
          <w:rPr>
            <w:rFonts w:ascii="Cambria Math" w:hAnsi="Cambria Math"/>
            <w:sz w:val="20"/>
            <w:szCs w:val="20"/>
          </w:rPr>
          <m:t>i</m:t>
        </m:r>
      </m:oMath>
      <w:r w:rsidR="000D3F62">
        <w:rPr>
          <w:rFonts w:ascii="Times New Roman" w:hAnsi="Times New Roman"/>
          <w:sz w:val="20"/>
          <w:szCs w:val="20"/>
        </w:rPr>
        <w:t>.</w:t>
      </w:r>
      <w:r w:rsidR="00EF6ED6">
        <w:rPr>
          <w:rFonts w:ascii="Times New Roman" w:hAnsi="Times New Roman"/>
          <w:sz w:val="20"/>
          <w:szCs w:val="20"/>
        </w:rPr>
        <w:t xml:space="preserve">  </w:t>
      </w:r>
      <w:r w:rsidR="007A6184">
        <w:rPr>
          <w:rFonts w:ascii="Times New Roman" w:hAnsi="Times New Roman"/>
          <w:sz w:val="20"/>
          <w:szCs w:val="20"/>
        </w:rPr>
        <w:t xml:space="preserve">Repatriation occurs at a constant per capita rate that is assumed to be </w:t>
      </w:r>
      <w:r w:rsidR="009D000F">
        <w:rPr>
          <w:rFonts w:ascii="Times New Roman" w:hAnsi="Times New Roman"/>
          <w:sz w:val="20"/>
          <w:szCs w:val="20"/>
        </w:rPr>
        <w:t>identical</w:t>
      </w:r>
      <w:r w:rsidR="007A6184">
        <w:rPr>
          <w:rFonts w:ascii="Times New Roman" w:hAnsi="Times New Roman"/>
          <w:sz w:val="20"/>
          <w:szCs w:val="20"/>
        </w:rPr>
        <w:t xml:space="preserve"> for all age groups, and we assume that </w:t>
      </w:r>
      <w:r w:rsidR="00B11427">
        <w:rPr>
          <w:rFonts w:ascii="Times New Roman" w:hAnsi="Times New Roman"/>
          <w:sz w:val="20"/>
          <w:szCs w:val="20"/>
        </w:rPr>
        <w:t xml:space="preserve">age-specific per capita mortality is </w:t>
      </w:r>
      <w:r w:rsidR="00B11427" w:rsidRPr="00B11427">
        <w:rPr>
          <w:rFonts w:ascii="Times New Roman" w:hAnsi="Times New Roman"/>
          <w:sz w:val="20"/>
          <w:szCs w:val="20"/>
        </w:rPr>
        <w:t xml:space="preserve">2.5 </w:t>
      </w:r>
      <w:r w:rsidR="00B11427">
        <w:rPr>
          <w:rFonts w:ascii="Times New Roman" w:hAnsi="Times New Roman"/>
          <w:sz w:val="20"/>
          <w:szCs w:val="20"/>
        </w:rPr>
        <w:t xml:space="preserve">times higher in the </w:t>
      </w:r>
      <w:r w:rsidR="002401C7">
        <w:rPr>
          <w:rFonts w:ascii="Times New Roman" w:hAnsi="Times New Roman"/>
          <w:sz w:val="20"/>
          <w:szCs w:val="20"/>
        </w:rPr>
        <w:t xml:space="preserve">internally </w:t>
      </w:r>
      <w:r w:rsidR="00B11427">
        <w:rPr>
          <w:rFonts w:ascii="Times New Roman" w:hAnsi="Times New Roman"/>
          <w:sz w:val="20"/>
          <w:szCs w:val="20"/>
        </w:rPr>
        <w:t xml:space="preserve">displaced population than </w:t>
      </w:r>
      <w:r w:rsidR="009D000F">
        <w:rPr>
          <w:rFonts w:ascii="Times New Roman" w:hAnsi="Times New Roman"/>
          <w:sz w:val="20"/>
          <w:szCs w:val="20"/>
        </w:rPr>
        <w:t>in the non-displaced population</w:t>
      </w:r>
      <w:r w:rsidR="00B11427" w:rsidRPr="00B11427">
        <w:rPr>
          <w:rFonts w:ascii="Times New Roman" w:hAnsi="Times New Roman"/>
          <w:sz w:val="20"/>
          <w:szCs w:val="20"/>
        </w:rPr>
        <w:t xml:space="preserve"> </w:t>
      </w:r>
      <w:r w:rsidR="00B11427">
        <w:rPr>
          <w:rFonts w:ascii="Times New Roman" w:hAnsi="Times New Roman"/>
          <w:sz w:val="20"/>
          <w:szCs w:val="20"/>
        </w:rPr>
        <w:t>(</w:t>
      </w:r>
      <w:r w:rsidR="00B11427" w:rsidRPr="00B11427">
        <w:rPr>
          <w:rFonts w:ascii="Times New Roman" w:hAnsi="Times New Roman"/>
          <w:sz w:val="20"/>
          <w:szCs w:val="20"/>
        </w:rPr>
        <w:t>Heudtlass et al., 2016</w:t>
      </w:r>
      <w:r w:rsidR="00B11427">
        <w:rPr>
          <w:rFonts w:ascii="Times New Roman" w:hAnsi="Times New Roman"/>
          <w:sz w:val="20"/>
          <w:szCs w:val="20"/>
        </w:rPr>
        <w:t>).</w:t>
      </w:r>
      <w:r w:rsidR="001D21DF">
        <w:rPr>
          <w:rFonts w:ascii="Times New Roman" w:hAnsi="Times New Roman"/>
          <w:sz w:val="20"/>
          <w:szCs w:val="20"/>
        </w:rPr>
        <w:t xml:space="preserve">  </w:t>
      </w:r>
      <w:r w:rsidR="001D21DF" w:rsidRPr="001D21DF">
        <w:rPr>
          <w:rFonts w:ascii="Times New Roman" w:hAnsi="Times New Roman"/>
          <w:sz w:val="20"/>
          <w:szCs w:val="20"/>
        </w:rPr>
        <w:t>Mental health problems, developmental vulnerability, lower levels of education</w:t>
      </w:r>
      <w:r w:rsidR="001D21DF">
        <w:rPr>
          <w:rFonts w:ascii="Times New Roman" w:hAnsi="Times New Roman"/>
          <w:sz w:val="20"/>
          <w:szCs w:val="20"/>
        </w:rPr>
        <w:t xml:space="preserve"> (no secondary school graduation certificate</w:t>
      </w:r>
      <w:r w:rsidR="002401C7">
        <w:rPr>
          <w:rFonts w:ascii="Times New Roman" w:hAnsi="Times New Roman"/>
          <w:sz w:val="20"/>
          <w:szCs w:val="20"/>
        </w:rPr>
        <w:t xml:space="preserve"> or higher qualification</w:t>
      </w:r>
      <w:r w:rsidR="001D21DF">
        <w:rPr>
          <w:rFonts w:ascii="Times New Roman" w:hAnsi="Times New Roman"/>
          <w:sz w:val="20"/>
          <w:szCs w:val="20"/>
        </w:rPr>
        <w:t>)</w:t>
      </w:r>
      <w:r w:rsidR="001D21DF" w:rsidRPr="001D21DF">
        <w:rPr>
          <w:rFonts w:ascii="Times New Roman" w:hAnsi="Times New Roman"/>
          <w:sz w:val="20"/>
          <w:szCs w:val="20"/>
        </w:rPr>
        <w:t xml:space="preserve">, and unemployment and poverty are assumed to be more prevalent among displaced people than among those not displaced </w:t>
      </w:r>
      <w:r w:rsidR="002401C7">
        <w:rPr>
          <w:rFonts w:ascii="Times New Roman" w:hAnsi="Times New Roman"/>
          <w:sz w:val="20"/>
          <w:szCs w:val="20"/>
        </w:rPr>
        <w:t>by armed conflict</w:t>
      </w:r>
      <w:r w:rsidR="00934C8E">
        <w:rPr>
          <w:rFonts w:ascii="Times New Roman" w:hAnsi="Times New Roman"/>
          <w:sz w:val="20"/>
          <w:szCs w:val="20"/>
        </w:rPr>
        <w:t xml:space="preserve"> </w:t>
      </w:r>
      <w:r w:rsidR="001D21DF">
        <w:rPr>
          <w:rFonts w:ascii="Times New Roman" w:hAnsi="Times New Roman"/>
          <w:sz w:val="20"/>
          <w:szCs w:val="20"/>
        </w:rPr>
        <w:t>(</w:t>
      </w:r>
      <w:r w:rsidR="002401C7">
        <w:rPr>
          <w:rFonts w:ascii="Times New Roman" w:hAnsi="Times New Roman"/>
          <w:sz w:val="20"/>
          <w:szCs w:val="20"/>
        </w:rPr>
        <w:t xml:space="preserve">see </w:t>
      </w:r>
      <w:r w:rsidR="001D21DF" w:rsidRPr="001D21DF">
        <w:rPr>
          <w:rFonts w:ascii="Times New Roman" w:hAnsi="Times New Roman"/>
          <w:sz w:val="20"/>
          <w:szCs w:val="20"/>
        </w:rPr>
        <w:t>Aysa-Lastra, 2005</w:t>
      </w:r>
      <w:r w:rsidR="001D21DF">
        <w:rPr>
          <w:rFonts w:ascii="Times New Roman" w:hAnsi="Times New Roman"/>
          <w:sz w:val="20"/>
          <w:szCs w:val="20"/>
        </w:rPr>
        <w:t xml:space="preserve">; </w:t>
      </w:r>
      <w:r w:rsidR="001D21DF" w:rsidRPr="008530FA">
        <w:rPr>
          <w:rFonts w:ascii="Times New Roman" w:hAnsi="Times New Roman"/>
          <w:sz w:val="20"/>
          <w:szCs w:val="20"/>
        </w:rPr>
        <w:t>Marroqu</w:t>
      </w:r>
      <w:r w:rsidR="001D21DF">
        <w:rPr>
          <w:rFonts w:ascii="Times New Roman" w:hAnsi="Times New Roman"/>
          <w:sz w:val="20"/>
          <w:szCs w:val="20"/>
        </w:rPr>
        <w:t>í</w:t>
      </w:r>
      <w:r w:rsidR="001D21DF" w:rsidRPr="008530FA">
        <w:rPr>
          <w:rFonts w:ascii="Times New Roman" w:hAnsi="Times New Roman"/>
          <w:sz w:val="20"/>
          <w:szCs w:val="20"/>
        </w:rPr>
        <w:t>n Rivera et al., 2020</w:t>
      </w:r>
      <w:r w:rsidR="001D21DF">
        <w:rPr>
          <w:rFonts w:ascii="Times New Roman" w:hAnsi="Times New Roman"/>
          <w:sz w:val="20"/>
          <w:szCs w:val="20"/>
        </w:rPr>
        <w:t>)</w:t>
      </w:r>
      <w:r w:rsidR="001D21DF" w:rsidRPr="001D21DF">
        <w:rPr>
          <w:rFonts w:ascii="Times New Roman" w:hAnsi="Times New Roman"/>
          <w:sz w:val="20"/>
          <w:szCs w:val="20"/>
        </w:rPr>
        <w:t xml:space="preserve">, and therefore tend to increase as </w:t>
      </w:r>
      <w:r w:rsidR="008C0355">
        <w:rPr>
          <w:rFonts w:ascii="Times New Roman" w:hAnsi="Times New Roman"/>
          <w:sz w:val="20"/>
          <w:szCs w:val="20"/>
        </w:rPr>
        <w:t>displacement-related immigration increases</w:t>
      </w:r>
      <w:r w:rsidR="001D21DF" w:rsidRPr="001D21DF">
        <w:rPr>
          <w:rFonts w:ascii="Times New Roman" w:hAnsi="Times New Roman"/>
          <w:sz w:val="20"/>
          <w:szCs w:val="20"/>
        </w:rPr>
        <w:t>.  Internal displacement is also assumed to increase the risk of developmental vulnerability in children</w:t>
      </w:r>
      <w:r w:rsidR="0010565D">
        <w:rPr>
          <w:rFonts w:ascii="Times New Roman" w:hAnsi="Times New Roman"/>
          <w:sz w:val="20"/>
          <w:szCs w:val="20"/>
        </w:rPr>
        <w:t xml:space="preserve"> </w:t>
      </w:r>
      <w:r w:rsidR="002401C7">
        <w:rPr>
          <w:rFonts w:ascii="Times New Roman" w:hAnsi="Times New Roman"/>
          <w:sz w:val="20"/>
          <w:szCs w:val="20"/>
        </w:rPr>
        <w:t>(0</w:t>
      </w:r>
      <w:r w:rsidR="00934B9C">
        <w:rPr>
          <w:rFonts w:ascii="Times New Roman" w:hAnsi="Times New Roman"/>
          <w:sz w:val="20"/>
          <w:szCs w:val="20"/>
        </w:rPr>
        <w:t>−</w:t>
      </w:r>
      <w:r w:rsidR="002401C7">
        <w:rPr>
          <w:rFonts w:ascii="Times New Roman" w:hAnsi="Times New Roman"/>
          <w:sz w:val="20"/>
          <w:szCs w:val="20"/>
        </w:rPr>
        <w:t xml:space="preserve">11-year-olds; see section 1.4 above) </w:t>
      </w:r>
      <w:r w:rsidR="001D21DF" w:rsidRPr="001D21DF">
        <w:rPr>
          <w:rFonts w:ascii="Times New Roman" w:hAnsi="Times New Roman"/>
          <w:sz w:val="20"/>
          <w:szCs w:val="20"/>
        </w:rPr>
        <w:t>and the incidence of mental health problems in children, adolescents, and adults</w:t>
      </w:r>
      <w:r w:rsidR="001D21DF">
        <w:rPr>
          <w:rFonts w:ascii="Times New Roman" w:hAnsi="Times New Roman"/>
          <w:sz w:val="20"/>
          <w:szCs w:val="20"/>
        </w:rPr>
        <w:t xml:space="preserve"> (</w:t>
      </w:r>
      <w:r w:rsidR="0010565D">
        <w:rPr>
          <w:rFonts w:ascii="Times New Roman" w:hAnsi="Times New Roman"/>
          <w:sz w:val="20"/>
          <w:szCs w:val="20"/>
        </w:rPr>
        <w:t>section 1.3</w:t>
      </w:r>
      <w:r w:rsidR="001D21DF">
        <w:rPr>
          <w:rFonts w:ascii="Times New Roman" w:hAnsi="Times New Roman"/>
          <w:sz w:val="20"/>
          <w:szCs w:val="20"/>
        </w:rPr>
        <w:t>).</w:t>
      </w:r>
      <w:r w:rsidR="008C0355">
        <w:rPr>
          <w:rFonts w:ascii="Times New Roman" w:hAnsi="Times New Roman"/>
          <w:sz w:val="20"/>
          <w:szCs w:val="20"/>
        </w:rPr>
        <w:t xml:space="preserve">  </w:t>
      </w:r>
      <w:r w:rsidR="00AE760D">
        <w:rPr>
          <w:rFonts w:ascii="Times New Roman" w:hAnsi="Times New Roman"/>
          <w:sz w:val="20"/>
          <w:szCs w:val="20"/>
        </w:rPr>
        <w:t>Model-based estimates of the</w:t>
      </w:r>
      <w:r w:rsidR="00934C8E">
        <w:rPr>
          <w:rFonts w:ascii="Times New Roman" w:hAnsi="Times New Roman"/>
          <w:sz w:val="20"/>
          <w:szCs w:val="20"/>
        </w:rPr>
        <w:t xml:space="preserve"> </w:t>
      </w:r>
      <w:r w:rsidR="00AE760D">
        <w:rPr>
          <w:rFonts w:ascii="Times New Roman" w:hAnsi="Times New Roman"/>
          <w:sz w:val="20"/>
          <w:szCs w:val="20"/>
        </w:rPr>
        <w:t xml:space="preserve">displaced population and the displacement-related immigration rate are presented alongside estimates derived from the </w:t>
      </w:r>
      <w:r w:rsidR="000B07AF" w:rsidRPr="000B07AF">
        <w:rPr>
          <w:rFonts w:ascii="Times New Roman" w:hAnsi="Times New Roman"/>
          <w:sz w:val="20"/>
          <w:szCs w:val="20"/>
        </w:rPr>
        <w:t>Internal Displacement Monitoring Centre (IDMC)</w:t>
      </w:r>
      <w:r w:rsidR="000B07AF">
        <w:rPr>
          <w:rFonts w:ascii="Times New Roman" w:hAnsi="Times New Roman"/>
          <w:sz w:val="20"/>
          <w:szCs w:val="20"/>
        </w:rPr>
        <w:t xml:space="preserve"> in Fig. S16.</w:t>
      </w:r>
    </w:p>
    <w:p w14:paraId="0FC6E318" w14:textId="77777777" w:rsidR="00EF6ED6" w:rsidRDefault="00EF6ED6" w:rsidP="00FE09B6">
      <w:pPr>
        <w:spacing w:line="480" w:lineRule="auto"/>
        <w:rPr>
          <w:rFonts w:ascii="Times New Roman" w:hAnsi="Times New Roman"/>
          <w:sz w:val="20"/>
          <w:szCs w:val="20"/>
        </w:rPr>
      </w:pPr>
    </w:p>
    <w:p w14:paraId="4E379373" w14:textId="77777777" w:rsidR="003828BC" w:rsidRDefault="003828BC" w:rsidP="00FE09B6">
      <w:pPr>
        <w:spacing w:line="480" w:lineRule="auto"/>
        <w:rPr>
          <w:rFonts w:ascii="Times New Roman" w:hAnsi="Times New Roman"/>
          <w:sz w:val="20"/>
          <w:szCs w:val="20"/>
        </w:rPr>
      </w:pPr>
    </w:p>
    <w:p w14:paraId="564A6321" w14:textId="77777777" w:rsidR="008456D4" w:rsidRDefault="008456D4" w:rsidP="008456D4">
      <w:pPr>
        <w:tabs>
          <w:tab w:val="left" w:pos="3495"/>
        </w:tabs>
        <w:spacing w:line="480" w:lineRule="auto"/>
        <w:rPr>
          <w:rFonts w:ascii="Times New Roman" w:hAnsi="Times New Roman"/>
          <w:sz w:val="20"/>
          <w:szCs w:val="20"/>
        </w:rPr>
      </w:pPr>
      <w:r>
        <w:rPr>
          <w:rFonts w:ascii="Times New Roman" w:hAnsi="Times New Roman"/>
          <w:noProof/>
          <w:sz w:val="20"/>
          <w:szCs w:val="20"/>
        </w:rPr>
        <w:lastRenderedPageBreak/>
        <w:drawing>
          <wp:inline distT="0" distB="0" distL="0" distR="0" wp14:anchorId="1D696F02" wp14:editId="70D469FA">
            <wp:extent cx="5731510" cy="3063875"/>
            <wp:effectExtent l="0" t="0" r="2540" b="3175"/>
            <wp:docPr id="77476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76128" name="Picture 77476128"/>
                    <pic:cNvPicPr/>
                  </pic:nvPicPr>
                  <pic:blipFill>
                    <a:blip r:embed="rId22"/>
                    <a:stretch>
                      <a:fillRect/>
                    </a:stretch>
                  </pic:blipFill>
                  <pic:spPr>
                    <a:xfrm>
                      <a:off x="0" y="0"/>
                      <a:ext cx="5731510" cy="3063875"/>
                    </a:xfrm>
                    <a:prstGeom prst="rect">
                      <a:avLst/>
                    </a:prstGeom>
                  </pic:spPr>
                </pic:pic>
              </a:graphicData>
            </a:graphic>
          </wp:inline>
        </w:drawing>
      </w:r>
    </w:p>
    <w:p w14:paraId="7EC9C3CC" w14:textId="77777777" w:rsidR="008456D4" w:rsidRDefault="008456D4" w:rsidP="008456D4">
      <w:pPr>
        <w:spacing w:line="480" w:lineRule="auto"/>
        <w:rPr>
          <w:rFonts w:ascii="Times New Roman" w:hAnsi="Times New Roman"/>
          <w:sz w:val="20"/>
          <w:szCs w:val="20"/>
        </w:rPr>
      </w:pPr>
      <w:r>
        <w:rPr>
          <w:rFonts w:ascii="Times New Roman" w:hAnsi="Times New Roman"/>
          <w:sz w:val="20"/>
          <w:szCs w:val="20"/>
        </w:rPr>
        <w:t>Fig. S15.  Structure of the internal displacement sector.</w:t>
      </w:r>
    </w:p>
    <w:p w14:paraId="018953E0" w14:textId="77777777" w:rsidR="00FF2035" w:rsidRDefault="00FF2035" w:rsidP="00FE09B6">
      <w:pPr>
        <w:spacing w:line="480" w:lineRule="auto"/>
        <w:rPr>
          <w:rFonts w:ascii="Times New Roman" w:hAnsi="Times New Roman"/>
          <w:sz w:val="20"/>
          <w:szCs w:val="20"/>
        </w:rPr>
      </w:pPr>
    </w:p>
    <w:p w14:paraId="5C27A014" w14:textId="77777777" w:rsidR="003828BC" w:rsidRPr="003828BC" w:rsidRDefault="003828BC" w:rsidP="00FE09B6">
      <w:pPr>
        <w:spacing w:line="480" w:lineRule="auto"/>
        <w:rPr>
          <w:rFonts w:ascii="Times New Roman" w:hAnsi="Times New Roman"/>
          <w:i/>
          <w:iCs/>
          <w:sz w:val="20"/>
          <w:szCs w:val="20"/>
        </w:rPr>
      </w:pPr>
      <w:r w:rsidRPr="003828BC">
        <w:rPr>
          <w:rFonts w:ascii="Times New Roman" w:hAnsi="Times New Roman"/>
          <w:i/>
          <w:iCs/>
          <w:sz w:val="20"/>
          <w:szCs w:val="20"/>
        </w:rPr>
        <w:t>1.10.  Mental health services sector</w:t>
      </w:r>
    </w:p>
    <w:p w14:paraId="3498EBF8" w14:textId="2DF8AFB8" w:rsidR="00F757F5" w:rsidRDefault="0071635F" w:rsidP="00FE09B6">
      <w:pPr>
        <w:spacing w:line="480" w:lineRule="auto"/>
        <w:rPr>
          <w:rFonts w:ascii="Times New Roman" w:hAnsi="Times New Roman"/>
          <w:sz w:val="20"/>
          <w:szCs w:val="20"/>
        </w:rPr>
      </w:pPr>
      <w:r>
        <w:rPr>
          <w:rFonts w:ascii="Times New Roman" w:hAnsi="Times New Roman"/>
          <w:sz w:val="20"/>
          <w:szCs w:val="20"/>
        </w:rPr>
        <w:t xml:space="preserve">Fig. S17 </w:t>
      </w:r>
      <w:r w:rsidR="006775BE">
        <w:rPr>
          <w:rFonts w:ascii="Times New Roman" w:hAnsi="Times New Roman"/>
          <w:sz w:val="20"/>
          <w:szCs w:val="20"/>
        </w:rPr>
        <w:t>shows</w:t>
      </w:r>
      <w:r>
        <w:rPr>
          <w:rFonts w:ascii="Times New Roman" w:hAnsi="Times New Roman"/>
          <w:sz w:val="20"/>
          <w:szCs w:val="20"/>
        </w:rPr>
        <w:t xml:space="preserve"> the structure of the mental health services sector, which captures the flow of patients</w:t>
      </w:r>
      <w:r w:rsidR="006775BE" w:rsidRPr="006775BE">
        <w:rPr>
          <w:rFonts w:ascii="Times New Roman" w:hAnsi="Times New Roman"/>
          <w:sz w:val="20"/>
          <w:szCs w:val="20"/>
        </w:rPr>
        <w:t xml:space="preserve"> </w:t>
      </w:r>
      <w:r w:rsidR="006775BE">
        <w:rPr>
          <w:rFonts w:ascii="Times New Roman" w:hAnsi="Times New Roman"/>
          <w:sz w:val="20"/>
          <w:szCs w:val="20"/>
        </w:rPr>
        <w:t xml:space="preserve">aged 7−11 years, 12−17 years, and 18 years and above </w:t>
      </w:r>
      <w:r>
        <w:rPr>
          <w:rFonts w:ascii="Times New Roman" w:hAnsi="Times New Roman"/>
          <w:sz w:val="20"/>
          <w:szCs w:val="20"/>
        </w:rPr>
        <w:t>through the private and public mental health care systems.</w:t>
      </w:r>
      <w:r w:rsidR="006775BE">
        <w:rPr>
          <w:rFonts w:ascii="Times New Roman" w:hAnsi="Times New Roman"/>
          <w:sz w:val="20"/>
          <w:szCs w:val="20"/>
        </w:rPr>
        <w:t xml:space="preserve">  People in the general population who are not </w:t>
      </w:r>
      <w:r w:rsidR="003B68CA">
        <w:rPr>
          <w:rFonts w:ascii="Times New Roman" w:hAnsi="Times New Roman"/>
          <w:sz w:val="20"/>
          <w:szCs w:val="20"/>
        </w:rPr>
        <w:t xml:space="preserve">currently </w:t>
      </w:r>
      <w:r w:rsidR="006775BE">
        <w:rPr>
          <w:rFonts w:ascii="Times New Roman" w:hAnsi="Times New Roman"/>
          <w:sz w:val="20"/>
          <w:szCs w:val="20"/>
        </w:rPr>
        <w:t xml:space="preserve">considering engaging with mental health </w:t>
      </w:r>
      <w:r w:rsidR="00796DC9">
        <w:rPr>
          <w:rFonts w:ascii="Times New Roman" w:hAnsi="Times New Roman"/>
          <w:sz w:val="20"/>
          <w:szCs w:val="20"/>
        </w:rPr>
        <w:t>treatment</w:t>
      </w:r>
      <w:r w:rsidR="006775BE">
        <w:rPr>
          <w:rFonts w:ascii="Times New Roman" w:hAnsi="Times New Roman"/>
          <w:sz w:val="20"/>
          <w:szCs w:val="20"/>
        </w:rPr>
        <w:t xml:space="preserve"> perceive a need for </w:t>
      </w:r>
      <w:r w:rsidR="00796DC9">
        <w:rPr>
          <w:rFonts w:ascii="Times New Roman" w:hAnsi="Times New Roman"/>
          <w:sz w:val="20"/>
          <w:szCs w:val="20"/>
        </w:rPr>
        <w:t>services</w:t>
      </w:r>
      <w:r w:rsidR="006775BE">
        <w:rPr>
          <w:rFonts w:ascii="Times New Roman" w:hAnsi="Times New Roman"/>
          <w:sz w:val="20"/>
          <w:szCs w:val="20"/>
        </w:rPr>
        <w:t xml:space="preserve"> at </w:t>
      </w:r>
      <w:r w:rsidR="00C53040">
        <w:rPr>
          <w:rFonts w:ascii="Times New Roman" w:hAnsi="Times New Roman"/>
          <w:sz w:val="20"/>
          <w:szCs w:val="20"/>
        </w:rPr>
        <w:t xml:space="preserve">age-specific </w:t>
      </w:r>
      <w:r w:rsidR="006775BE">
        <w:rPr>
          <w:rFonts w:ascii="Times New Roman" w:hAnsi="Times New Roman"/>
          <w:sz w:val="20"/>
          <w:szCs w:val="20"/>
        </w:rPr>
        <w:t>rates equal to</w:t>
      </w:r>
      <w:r w:rsidR="00E43A56">
        <w:rPr>
          <w:rFonts w:ascii="Times New Roman" w:hAnsi="Times New Roman"/>
          <w:sz w:val="20"/>
          <w:szCs w:val="20"/>
        </w:rPr>
        <w:t xml:space="preserve"> </w:t>
      </w:r>
      <m:oMath>
        <m:nary>
          <m:naryPr>
            <m:chr m:val="∑"/>
            <m:limLoc m:val="undOvr"/>
            <m:supHide m:val="1"/>
            <m:ctrlPr>
              <w:rPr>
                <w:rFonts w:ascii="Cambria Math" w:hAnsi="Cambria Math"/>
                <w:i/>
                <w:sz w:val="20"/>
                <w:szCs w:val="20"/>
              </w:rPr>
            </m:ctrlPr>
          </m:naryPr>
          <m:sub>
            <m:r>
              <w:rPr>
                <w:rFonts w:ascii="Cambria Math" w:hAnsi="Cambria Math"/>
                <w:sz w:val="20"/>
                <w:szCs w:val="20"/>
              </w:rPr>
              <m:t>i</m:t>
            </m:r>
          </m:sub>
          <m:sup/>
          <m:e>
            <m:sSub>
              <m:sSubPr>
                <m:ctrlPr>
                  <w:rPr>
                    <w:rFonts w:ascii="Cambria Math" w:hAnsi="Cambria Math"/>
                    <w:i/>
                    <w:sz w:val="20"/>
                    <w:szCs w:val="20"/>
                  </w:rPr>
                </m:ctrlPr>
              </m:sSubPr>
              <m:e>
                <m:r>
                  <w:rPr>
                    <w:rFonts w:ascii="Cambria Math" w:hAnsi="Cambria Math"/>
                    <w:sz w:val="20"/>
                    <w:szCs w:val="20"/>
                  </w:rPr>
                  <m:t>θ</m:t>
                </m:r>
              </m:e>
              <m:sub>
                <m:r>
                  <w:rPr>
                    <w:rFonts w:ascii="Cambria Math" w:hAnsi="Cambria Math"/>
                    <w:sz w:val="20"/>
                    <w:szCs w:val="20"/>
                  </w:rPr>
                  <m:t>i</m:t>
                </m:r>
              </m:sub>
            </m:sSub>
            <m:r>
              <w:rPr>
                <w:rFonts w:ascii="Cambria Math" w:hAnsi="Cambria Math"/>
                <w:sz w:val="20"/>
                <w:szCs w:val="20"/>
              </w:rPr>
              <m:t>p</m:t>
            </m:r>
            <m:sSub>
              <m:sSubPr>
                <m:ctrlPr>
                  <w:rPr>
                    <w:rFonts w:ascii="Cambria Math" w:hAnsi="Cambria Math"/>
                    <w:i/>
                    <w:sz w:val="20"/>
                    <w:szCs w:val="20"/>
                  </w:rPr>
                </m:ctrlPr>
              </m:sSubPr>
              <m:e>
                <m:r>
                  <w:rPr>
                    <w:rFonts w:ascii="Cambria Math" w:hAnsi="Cambria Math"/>
                    <w:sz w:val="20"/>
                    <w:szCs w:val="20"/>
                  </w:rPr>
                  <m:t>D</m:t>
                </m:r>
              </m:e>
              <m:sub>
                <m:r>
                  <w:rPr>
                    <w:rFonts w:ascii="Cambria Math" w:hAnsi="Cambria Math"/>
                    <w:sz w:val="20"/>
                    <w:szCs w:val="20"/>
                  </w:rPr>
                  <m:t>i</m:t>
                </m:r>
              </m:sub>
            </m:sSub>
          </m:e>
        </m:nary>
      </m:oMath>
      <w:r w:rsidR="006775BE">
        <w:rPr>
          <w:rFonts w:ascii="Times New Roman" w:hAnsi="Times New Roman"/>
          <w:sz w:val="20"/>
          <w:szCs w:val="20"/>
        </w:rPr>
        <w:t xml:space="preserve">, where </w:t>
      </w:r>
      <m:oMath>
        <m:sSub>
          <m:sSubPr>
            <m:ctrlPr>
              <w:rPr>
                <w:rFonts w:ascii="Cambria Math" w:hAnsi="Cambria Math"/>
                <w:i/>
                <w:sz w:val="20"/>
                <w:szCs w:val="20"/>
              </w:rPr>
            </m:ctrlPr>
          </m:sSubPr>
          <m:e>
            <m:r>
              <w:rPr>
                <w:rFonts w:ascii="Cambria Math" w:hAnsi="Cambria Math"/>
                <w:sz w:val="20"/>
                <w:szCs w:val="20"/>
              </w:rPr>
              <m:t>D</m:t>
            </m:r>
          </m:e>
          <m:sub>
            <m:r>
              <w:rPr>
                <w:rFonts w:ascii="Cambria Math" w:hAnsi="Cambria Math"/>
                <w:sz w:val="20"/>
                <w:szCs w:val="20"/>
              </w:rPr>
              <m:t>i</m:t>
            </m:r>
          </m:sub>
        </m:sSub>
      </m:oMath>
      <w:r w:rsidR="006775BE">
        <w:rPr>
          <w:rFonts w:ascii="Times New Roman" w:hAnsi="Times New Roman"/>
          <w:sz w:val="20"/>
          <w:szCs w:val="20"/>
        </w:rPr>
        <w:t xml:space="preserve"> is the number of people with </w:t>
      </w:r>
      <w:r w:rsidR="003D68E4">
        <w:rPr>
          <w:rFonts w:ascii="Times New Roman" w:hAnsi="Times New Roman"/>
          <w:sz w:val="20"/>
          <w:szCs w:val="20"/>
        </w:rPr>
        <w:t>symptom</w:t>
      </w:r>
      <w:r w:rsidR="006775BE">
        <w:rPr>
          <w:rFonts w:ascii="Times New Roman" w:hAnsi="Times New Roman"/>
          <w:sz w:val="20"/>
          <w:szCs w:val="20"/>
        </w:rPr>
        <w:t xml:space="preserve"> level </w:t>
      </w:r>
      <m:oMath>
        <m:r>
          <w:rPr>
            <w:rFonts w:ascii="Cambria Math" w:hAnsi="Cambria Math"/>
            <w:sz w:val="20"/>
            <w:szCs w:val="20"/>
          </w:rPr>
          <m:t>i</m:t>
        </m:r>
      </m:oMath>
      <w:r w:rsidR="006775BE">
        <w:rPr>
          <w:rFonts w:ascii="Times New Roman" w:hAnsi="Times New Roman"/>
          <w:sz w:val="20"/>
          <w:szCs w:val="20"/>
        </w:rPr>
        <w:t xml:space="preserve"> </w:t>
      </w:r>
      <w:r w:rsidR="003D68E4">
        <w:rPr>
          <w:rFonts w:ascii="Times New Roman" w:hAnsi="Times New Roman"/>
          <w:sz w:val="20"/>
          <w:szCs w:val="20"/>
        </w:rPr>
        <w:t>(significant mental health problems</w:t>
      </w:r>
      <w:r w:rsidR="00781F81">
        <w:rPr>
          <w:rFonts w:ascii="Times New Roman" w:hAnsi="Times New Roman"/>
          <w:sz w:val="20"/>
          <w:szCs w:val="20"/>
        </w:rPr>
        <w:t xml:space="preserve"> or less severe mental health problems</w:t>
      </w:r>
      <w:r w:rsidR="003D68E4">
        <w:rPr>
          <w:rFonts w:ascii="Times New Roman" w:hAnsi="Times New Roman"/>
          <w:sz w:val="20"/>
          <w:szCs w:val="20"/>
        </w:rPr>
        <w:t xml:space="preserve">) </w:t>
      </w:r>
      <w:r w:rsidR="006775BE">
        <w:rPr>
          <w:rFonts w:ascii="Times New Roman" w:hAnsi="Times New Roman"/>
          <w:sz w:val="20"/>
          <w:szCs w:val="20"/>
        </w:rPr>
        <w:t>not currently considering</w:t>
      </w:r>
      <w:r w:rsidR="00C53040">
        <w:rPr>
          <w:rFonts w:ascii="Times New Roman" w:hAnsi="Times New Roman"/>
          <w:sz w:val="20"/>
          <w:szCs w:val="20"/>
        </w:rPr>
        <w:t xml:space="preserve"> </w:t>
      </w:r>
      <w:r w:rsidR="00DB3F0D">
        <w:rPr>
          <w:rFonts w:ascii="Times New Roman" w:hAnsi="Times New Roman"/>
          <w:sz w:val="20"/>
          <w:szCs w:val="20"/>
        </w:rPr>
        <w:t>care</w:t>
      </w:r>
      <w:r w:rsidR="003F1068">
        <w:rPr>
          <w:rFonts w:ascii="Times New Roman" w:hAnsi="Times New Roman"/>
          <w:sz w:val="20"/>
          <w:szCs w:val="20"/>
        </w:rPr>
        <w:t>,</w:t>
      </w:r>
      <w:r w:rsidR="006775BE">
        <w:rPr>
          <w:rFonts w:ascii="Times New Roman" w:hAnsi="Times New Roman"/>
          <w:sz w:val="20"/>
          <w:szCs w:val="20"/>
        </w:rPr>
        <w:t xml:space="preserve"> </w:t>
      </w:r>
      <m:oMath>
        <m:r>
          <w:rPr>
            <w:rFonts w:ascii="Cambria Math" w:hAnsi="Cambria Math"/>
            <w:sz w:val="20"/>
            <w:szCs w:val="20"/>
          </w:rPr>
          <m:t>p</m:t>
        </m:r>
      </m:oMath>
      <w:r w:rsidR="006775BE">
        <w:rPr>
          <w:rFonts w:ascii="Times New Roman" w:hAnsi="Times New Roman"/>
          <w:sz w:val="20"/>
          <w:szCs w:val="20"/>
        </w:rPr>
        <w:t xml:space="preserve"> is the</w:t>
      </w:r>
      <w:r w:rsidR="00781F81">
        <w:rPr>
          <w:rFonts w:ascii="Times New Roman" w:hAnsi="Times New Roman"/>
          <w:sz w:val="20"/>
          <w:szCs w:val="20"/>
        </w:rPr>
        <w:t xml:space="preserve"> </w:t>
      </w:r>
      <w:r w:rsidR="00DB3F0D">
        <w:rPr>
          <w:rFonts w:ascii="Times New Roman" w:hAnsi="Times New Roman"/>
          <w:sz w:val="20"/>
          <w:szCs w:val="20"/>
        </w:rPr>
        <w:t xml:space="preserve">age-specific </w:t>
      </w:r>
      <w:r w:rsidR="006775BE">
        <w:rPr>
          <w:rFonts w:ascii="Times New Roman" w:hAnsi="Times New Roman"/>
          <w:sz w:val="20"/>
          <w:szCs w:val="20"/>
        </w:rPr>
        <w:t xml:space="preserve">per capita rate </w:t>
      </w:r>
      <w:r w:rsidR="00DB3F0D">
        <w:rPr>
          <w:rFonts w:ascii="Times New Roman" w:hAnsi="Times New Roman"/>
          <w:sz w:val="20"/>
          <w:szCs w:val="20"/>
        </w:rPr>
        <w:t>at which</w:t>
      </w:r>
      <w:r w:rsidR="006775BE">
        <w:rPr>
          <w:rFonts w:ascii="Times New Roman" w:hAnsi="Times New Roman"/>
          <w:sz w:val="20"/>
          <w:szCs w:val="20"/>
        </w:rPr>
        <w:t xml:space="preserve"> people with</w:t>
      </w:r>
      <w:r w:rsidR="003F1068">
        <w:rPr>
          <w:rFonts w:ascii="Times New Roman" w:hAnsi="Times New Roman"/>
          <w:sz w:val="20"/>
          <w:szCs w:val="20"/>
        </w:rPr>
        <w:t xml:space="preserve">out significant mental health problems </w:t>
      </w:r>
      <w:r w:rsidR="006775BE">
        <w:rPr>
          <w:rFonts w:ascii="Times New Roman" w:hAnsi="Times New Roman"/>
          <w:sz w:val="20"/>
          <w:szCs w:val="20"/>
        </w:rPr>
        <w:t xml:space="preserve">perceive a need for </w:t>
      </w:r>
      <w:r w:rsidR="00DB3F0D">
        <w:rPr>
          <w:rFonts w:ascii="Times New Roman" w:hAnsi="Times New Roman"/>
          <w:sz w:val="20"/>
          <w:szCs w:val="20"/>
        </w:rPr>
        <w:t>treatment</w:t>
      </w:r>
      <w:r w:rsidR="006775BE">
        <w:rPr>
          <w:rFonts w:ascii="Times New Roman" w:hAnsi="Times New Roman"/>
          <w:sz w:val="20"/>
          <w:szCs w:val="20"/>
        </w:rPr>
        <w:t xml:space="preserve"> per year</w:t>
      </w:r>
      <w:r w:rsidR="003F1068">
        <w:rPr>
          <w:rFonts w:ascii="Times New Roman" w:hAnsi="Times New Roman"/>
          <w:sz w:val="20"/>
          <w:szCs w:val="20"/>
        </w:rPr>
        <w:t xml:space="preserve">, and the rate ratio </w:t>
      </w:r>
      <m:oMath>
        <m:sSub>
          <m:sSubPr>
            <m:ctrlPr>
              <w:rPr>
                <w:rFonts w:ascii="Cambria Math" w:hAnsi="Cambria Math"/>
                <w:i/>
                <w:sz w:val="20"/>
                <w:szCs w:val="20"/>
              </w:rPr>
            </m:ctrlPr>
          </m:sSubPr>
          <m:e>
            <m:r>
              <w:rPr>
                <w:rFonts w:ascii="Cambria Math" w:hAnsi="Cambria Math"/>
                <w:sz w:val="20"/>
                <w:szCs w:val="20"/>
              </w:rPr>
              <m:t>θ</m:t>
            </m:r>
          </m:e>
          <m:sub>
            <m:r>
              <w:rPr>
                <w:rFonts w:ascii="Cambria Math" w:hAnsi="Cambria Math"/>
                <w:sz w:val="20"/>
                <w:szCs w:val="20"/>
              </w:rPr>
              <m:t>i</m:t>
            </m:r>
          </m:sub>
        </m:sSub>
      </m:oMath>
      <w:r w:rsidR="003F1068">
        <w:rPr>
          <w:rFonts w:ascii="Times New Roman" w:hAnsi="Times New Roman"/>
          <w:sz w:val="20"/>
          <w:szCs w:val="20"/>
        </w:rPr>
        <w:t xml:space="preserve"> is equal to 1 for people without significant mental health problems and substantially more than 1 for people </w:t>
      </w:r>
      <w:r w:rsidR="00844D8F">
        <w:rPr>
          <w:rFonts w:ascii="Times New Roman" w:hAnsi="Times New Roman"/>
          <w:sz w:val="20"/>
          <w:szCs w:val="20"/>
        </w:rPr>
        <w:t>with more severe</w:t>
      </w:r>
      <w:r w:rsidR="003F1068">
        <w:rPr>
          <w:rFonts w:ascii="Times New Roman" w:hAnsi="Times New Roman"/>
          <w:sz w:val="20"/>
          <w:szCs w:val="20"/>
        </w:rPr>
        <w:t xml:space="preserve"> mental health problems (i.e., people </w:t>
      </w:r>
      <w:r w:rsidR="00844D8F">
        <w:rPr>
          <w:rFonts w:ascii="Times New Roman" w:hAnsi="Times New Roman"/>
          <w:sz w:val="20"/>
          <w:szCs w:val="20"/>
        </w:rPr>
        <w:t>with</w:t>
      </w:r>
      <w:r w:rsidR="003F1068">
        <w:rPr>
          <w:rFonts w:ascii="Times New Roman" w:hAnsi="Times New Roman"/>
          <w:sz w:val="20"/>
          <w:szCs w:val="20"/>
        </w:rPr>
        <w:t xml:space="preserve"> significant mental health problems are assumed to perceive a need for care at substantially higher per capita rate</w:t>
      </w:r>
      <w:r w:rsidR="00844D8F">
        <w:rPr>
          <w:rFonts w:ascii="Times New Roman" w:hAnsi="Times New Roman"/>
          <w:sz w:val="20"/>
          <w:szCs w:val="20"/>
        </w:rPr>
        <w:t>s</w:t>
      </w:r>
      <w:r w:rsidR="003F1068">
        <w:rPr>
          <w:rFonts w:ascii="Times New Roman" w:hAnsi="Times New Roman"/>
          <w:sz w:val="20"/>
          <w:szCs w:val="20"/>
        </w:rPr>
        <w:t xml:space="preserve"> than </w:t>
      </w:r>
      <w:r w:rsidR="00160486">
        <w:rPr>
          <w:rFonts w:ascii="Times New Roman" w:hAnsi="Times New Roman"/>
          <w:sz w:val="20"/>
          <w:szCs w:val="20"/>
        </w:rPr>
        <w:t>those</w:t>
      </w:r>
      <w:r w:rsidR="003F1068">
        <w:rPr>
          <w:rFonts w:ascii="Times New Roman" w:hAnsi="Times New Roman"/>
          <w:sz w:val="20"/>
          <w:szCs w:val="20"/>
        </w:rPr>
        <w:t xml:space="preserve"> with less severe mental health problems).</w:t>
      </w:r>
      <w:r w:rsidR="00713B27">
        <w:rPr>
          <w:rFonts w:ascii="Times New Roman" w:hAnsi="Times New Roman"/>
          <w:sz w:val="20"/>
          <w:szCs w:val="20"/>
        </w:rPr>
        <w:t xml:space="preserve">  </w:t>
      </w:r>
      <w:r w:rsidR="00DB3F0D">
        <w:rPr>
          <w:rFonts w:ascii="Times New Roman" w:hAnsi="Times New Roman"/>
          <w:sz w:val="20"/>
          <w:szCs w:val="20"/>
        </w:rPr>
        <w:t xml:space="preserve">The age-specific per capita rates </w:t>
      </w:r>
      <m:oMath>
        <m:r>
          <w:rPr>
            <w:rFonts w:ascii="Cambria Math" w:hAnsi="Cambria Math"/>
            <w:sz w:val="20"/>
            <w:szCs w:val="20"/>
          </w:rPr>
          <m:t>p</m:t>
        </m:r>
      </m:oMath>
      <w:r w:rsidR="00DB3F0D">
        <w:rPr>
          <w:rFonts w:ascii="Times New Roman" w:hAnsi="Times New Roman"/>
          <w:sz w:val="20"/>
          <w:szCs w:val="20"/>
        </w:rPr>
        <w:t xml:space="preserve"> are assumed to increase at a constant </w:t>
      </w:r>
      <w:r w:rsidR="00F757F5">
        <w:rPr>
          <w:rFonts w:ascii="Times New Roman" w:hAnsi="Times New Roman"/>
          <w:sz w:val="20"/>
          <w:szCs w:val="20"/>
        </w:rPr>
        <w:t xml:space="preserve">yearly </w:t>
      </w:r>
      <w:r w:rsidR="00DB3F0D">
        <w:rPr>
          <w:rFonts w:ascii="Times New Roman" w:hAnsi="Times New Roman"/>
          <w:sz w:val="20"/>
          <w:szCs w:val="20"/>
        </w:rPr>
        <w:t xml:space="preserve">rate due to increasing public awareness of mental </w:t>
      </w:r>
      <w:r w:rsidR="00F757F5">
        <w:rPr>
          <w:rFonts w:ascii="Times New Roman" w:hAnsi="Times New Roman"/>
          <w:sz w:val="20"/>
          <w:szCs w:val="20"/>
        </w:rPr>
        <w:t xml:space="preserve">illness </w:t>
      </w:r>
      <w:r w:rsidR="00DB3F0D">
        <w:rPr>
          <w:rFonts w:ascii="Times New Roman" w:hAnsi="Times New Roman"/>
          <w:sz w:val="20"/>
          <w:szCs w:val="20"/>
        </w:rPr>
        <w:t>and available treatment options.</w:t>
      </w:r>
      <w:r w:rsidR="00990088">
        <w:rPr>
          <w:rFonts w:ascii="Times New Roman" w:hAnsi="Times New Roman"/>
          <w:sz w:val="20"/>
          <w:szCs w:val="20"/>
        </w:rPr>
        <w:t xml:space="preserve">  </w:t>
      </w:r>
      <w:r w:rsidR="00FC1EF9">
        <w:rPr>
          <w:rFonts w:ascii="Times New Roman" w:hAnsi="Times New Roman"/>
          <w:sz w:val="20"/>
          <w:szCs w:val="20"/>
        </w:rPr>
        <w:t xml:space="preserve">After perceiving a need for treatment, people engage with </w:t>
      </w:r>
      <w:r w:rsidR="00F757F5">
        <w:rPr>
          <w:rFonts w:ascii="Times New Roman" w:hAnsi="Times New Roman"/>
          <w:sz w:val="20"/>
          <w:szCs w:val="20"/>
        </w:rPr>
        <w:t xml:space="preserve">either </w:t>
      </w:r>
      <w:r w:rsidR="00FC1EF9">
        <w:rPr>
          <w:rFonts w:ascii="Times New Roman" w:hAnsi="Times New Roman"/>
          <w:sz w:val="20"/>
          <w:szCs w:val="20"/>
        </w:rPr>
        <w:t xml:space="preserve">private or public services at per capita rates that depend on their age, symptom severity, and whether they </w:t>
      </w:r>
      <w:r w:rsidR="00EB72AB">
        <w:rPr>
          <w:rFonts w:ascii="Times New Roman" w:hAnsi="Times New Roman"/>
          <w:sz w:val="20"/>
          <w:szCs w:val="20"/>
        </w:rPr>
        <w:t xml:space="preserve">are </w:t>
      </w:r>
      <w:r w:rsidR="00C245E2">
        <w:rPr>
          <w:rFonts w:ascii="Times New Roman" w:hAnsi="Times New Roman"/>
          <w:sz w:val="20"/>
          <w:szCs w:val="20"/>
        </w:rPr>
        <w:t>affiliated with</w:t>
      </w:r>
      <w:r w:rsidR="00EB72AB">
        <w:rPr>
          <w:rFonts w:ascii="Times New Roman" w:hAnsi="Times New Roman"/>
          <w:sz w:val="20"/>
          <w:szCs w:val="20"/>
        </w:rPr>
        <w:t xml:space="preserve"> the contribut</w:t>
      </w:r>
      <w:r w:rsidR="00C245E2">
        <w:rPr>
          <w:rFonts w:ascii="Times New Roman" w:hAnsi="Times New Roman"/>
          <w:sz w:val="20"/>
          <w:szCs w:val="20"/>
        </w:rPr>
        <w:t>ive</w:t>
      </w:r>
      <w:r w:rsidR="00EB72AB">
        <w:rPr>
          <w:rFonts w:ascii="Times New Roman" w:hAnsi="Times New Roman"/>
          <w:sz w:val="20"/>
          <w:szCs w:val="20"/>
        </w:rPr>
        <w:t xml:space="preserve"> </w:t>
      </w:r>
      <w:r w:rsidR="00971EF7">
        <w:rPr>
          <w:rFonts w:ascii="Times New Roman" w:hAnsi="Times New Roman"/>
          <w:sz w:val="20"/>
          <w:szCs w:val="20"/>
        </w:rPr>
        <w:t xml:space="preserve">health care regime </w:t>
      </w:r>
      <w:r w:rsidR="00EB72AB">
        <w:rPr>
          <w:rFonts w:ascii="Times New Roman" w:hAnsi="Times New Roman"/>
          <w:sz w:val="20"/>
          <w:szCs w:val="20"/>
        </w:rPr>
        <w:t>or</w:t>
      </w:r>
      <w:r w:rsidR="00971EF7">
        <w:rPr>
          <w:rFonts w:ascii="Times New Roman" w:hAnsi="Times New Roman"/>
          <w:sz w:val="20"/>
          <w:szCs w:val="20"/>
        </w:rPr>
        <w:t xml:space="preserve"> </w:t>
      </w:r>
      <w:r w:rsidR="00FF2035">
        <w:rPr>
          <w:rFonts w:ascii="Times New Roman" w:hAnsi="Times New Roman"/>
          <w:sz w:val="20"/>
          <w:szCs w:val="20"/>
        </w:rPr>
        <w:t xml:space="preserve">the </w:t>
      </w:r>
      <w:r w:rsidR="00EB72AB">
        <w:rPr>
          <w:rFonts w:ascii="Times New Roman" w:hAnsi="Times New Roman"/>
          <w:sz w:val="20"/>
          <w:szCs w:val="20"/>
        </w:rPr>
        <w:t>subsidised health care regime</w:t>
      </w:r>
      <w:r w:rsidR="00FC1EF9">
        <w:rPr>
          <w:rFonts w:ascii="Times New Roman" w:hAnsi="Times New Roman"/>
          <w:sz w:val="20"/>
          <w:szCs w:val="20"/>
        </w:rPr>
        <w:t xml:space="preserve"> </w:t>
      </w:r>
      <w:r w:rsidR="00B776F9">
        <w:rPr>
          <w:rFonts w:ascii="Times New Roman" w:hAnsi="Times New Roman"/>
          <w:sz w:val="20"/>
          <w:szCs w:val="20"/>
        </w:rPr>
        <w:t>(</w:t>
      </w:r>
      <w:r w:rsidR="00FF2035">
        <w:rPr>
          <w:rFonts w:ascii="Times New Roman" w:hAnsi="Times New Roman"/>
          <w:sz w:val="20"/>
          <w:szCs w:val="20"/>
        </w:rPr>
        <w:t xml:space="preserve">see </w:t>
      </w:r>
      <w:r w:rsidR="00C245E2">
        <w:rPr>
          <w:rFonts w:ascii="Times New Roman" w:hAnsi="Times New Roman"/>
          <w:sz w:val="20"/>
          <w:szCs w:val="20"/>
        </w:rPr>
        <w:t>Gaviria et al., 2006; people affiliated with the cont</w:t>
      </w:r>
      <w:r w:rsidR="00824578">
        <w:rPr>
          <w:rFonts w:ascii="Times New Roman" w:hAnsi="Times New Roman"/>
          <w:sz w:val="20"/>
          <w:szCs w:val="20"/>
        </w:rPr>
        <w:t>r</w:t>
      </w:r>
      <w:r w:rsidR="00C245E2">
        <w:rPr>
          <w:rFonts w:ascii="Times New Roman" w:hAnsi="Times New Roman"/>
          <w:sz w:val="20"/>
          <w:szCs w:val="20"/>
        </w:rPr>
        <w:t>ibutive regime are assumed to access private services, while those affiliated with the subsidised regime</w:t>
      </w:r>
      <w:r w:rsidR="007650A7">
        <w:rPr>
          <w:rFonts w:ascii="Times New Roman" w:hAnsi="Times New Roman"/>
          <w:sz w:val="20"/>
          <w:szCs w:val="20"/>
        </w:rPr>
        <w:t xml:space="preserve"> </w:t>
      </w:r>
      <w:r w:rsidR="00C245E2">
        <w:rPr>
          <w:rFonts w:ascii="Times New Roman" w:hAnsi="Times New Roman"/>
          <w:sz w:val="20"/>
          <w:szCs w:val="20"/>
        </w:rPr>
        <w:t>access public services</w:t>
      </w:r>
      <w:r w:rsidR="00B776F9">
        <w:rPr>
          <w:rFonts w:ascii="Times New Roman" w:hAnsi="Times New Roman"/>
          <w:sz w:val="20"/>
          <w:szCs w:val="20"/>
        </w:rPr>
        <w:t>).</w:t>
      </w:r>
      <w:r w:rsidR="00F45C3D">
        <w:rPr>
          <w:rFonts w:ascii="Times New Roman" w:hAnsi="Times New Roman"/>
          <w:sz w:val="20"/>
          <w:szCs w:val="20"/>
        </w:rPr>
        <w:t xml:space="preserve">  </w:t>
      </w:r>
      <w:r w:rsidR="00F757F5">
        <w:rPr>
          <w:rFonts w:ascii="Times New Roman" w:hAnsi="Times New Roman"/>
          <w:sz w:val="20"/>
          <w:szCs w:val="20"/>
        </w:rPr>
        <w:t xml:space="preserve">The proportion of </w:t>
      </w:r>
      <w:r w:rsidR="007650A7">
        <w:rPr>
          <w:rFonts w:ascii="Times New Roman" w:hAnsi="Times New Roman"/>
          <w:sz w:val="20"/>
          <w:szCs w:val="20"/>
        </w:rPr>
        <w:t>people</w:t>
      </w:r>
      <w:r w:rsidR="00F757F5">
        <w:rPr>
          <w:rFonts w:ascii="Times New Roman" w:hAnsi="Times New Roman"/>
          <w:sz w:val="20"/>
          <w:szCs w:val="20"/>
        </w:rPr>
        <w:t xml:space="preserve"> affiliated with the subsidised health care regime is directly related to the prevalence of </w:t>
      </w:r>
      <w:r w:rsidR="00F757F5">
        <w:rPr>
          <w:rFonts w:ascii="Times New Roman" w:hAnsi="Times New Roman"/>
          <w:sz w:val="20"/>
          <w:szCs w:val="20"/>
        </w:rPr>
        <w:lastRenderedPageBreak/>
        <w:t xml:space="preserve">multidimensional poverty, increasing linearly as </w:t>
      </w:r>
      <w:r w:rsidR="007650A7">
        <w:rPr>
          <w:rFonts w:ascii="Times New Roman" w:hAnsi="Times New Roman"/>
          <w:sz w:val="20"/>
          <w:szCs w:val="20"/>
        </w:rPr>
        <w:t>the proportion of the population experiencing multidimensional poverty</w:t>
      </w:r>
      <w:r w:rsidR="00F757F5">
        <w:rPr>
          <w:rFonts w:ascii="Times New Roman" w:hAnsi="Times New Roman"/>
          <w:sz w:val="20"/>
          <w:szCs w:val="20"/>
        </w:rPr>
        <w:t xml:space="preserve"> increases</w:t>
      </w:r>
      <w:r w:rsidR="007650A7">
        <w:rPr>
          <w:rFonts w:ascii="Times New Roman" w:hAnsi="Times New Roman"/>
          <w:sz w:val="20"/>
          <w:szCs w:val="20"/>
        </w:rPr>
        <w:t xml:space="preserve"> (see section 1.6)</w:t>
      </w:r>
      <w:r w:rsidR="00F757F5">
        <w:rPr>
          <w:rFonts w:ascii="Times New Roman" w:hAnsi="Times New Roman"/>
          <w:sz w:val="20"/>
          <w:szCs w:val="20"/>
        </w:rPr>
        <w:t>.</w:t>
      </w:r>
    </w:p>
    <w:p w14:paraId="6FE02C8A" w14:textId="51CA44F3" w:rsidR="00E67D70" w:rsidRDefault="00E67D70" w:rsidP="00F27AA6">
      <w:pPr>
        <w:tabs>
          <w:tab w:val="left" w:pos="3495"/>
        </w:tabs>
        <w:spacing w:line="480" w:lineRule="auto"/>
        <w:rPr>
          <w:rFonts w:ascii="Times New Roman" w:hAnsi="Times New Roman"/>
          <w:sz w:val="20"/>
          <w:szCs w:val="20"/>
        </w:rPr>
      </w:pPr>
    </w:p>
    <w:p w14:paraId="68FB1103" w14:textId="77777777" w:rsidR="008456D4" w:rsidRDefault="008456D4" w:rsidP="008456D4">
      <w:pPr>
        <w:spacing w:line="480" w:lineRule="auto"/>
        <w:rPr>
          <w:rFonts w:ascii="Times New Roman" w:hAnsi="Times New Roman"/>
          <w:sz w:val="20"/>
          <w:szCs w:val="20"/>
        </w:rPr>
      </w:pPr>
      <w:r>
        <w:rPr>
          <w:rFonts w:ascii="Times New Roman" w:hAnsi="Times New Roman"/>
          <w:noProof/>
          <w:sz w:val="20"/>
          <w:szCs w:val="20"/>
        </w:rPr>
        <w:drawing>
          <wp:inline distT="0" distB="0" distL="0" distR="0" wp14:anchorId="60B548BA" wp14:editId="41A3A3B9">
            <wp:extent cx="5731086" cy="2456180"/>
            <wp:effectExtent l="0" t="0" r="3175" b="1270"/>
            <wp:docPr id="12066215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621566" name="Picture 1"/>
                    <pic:cNvPicPr/>
                  </pic:nvPicPr>
                  <pic:blipFill>
                    <a:blip r:embed="rId23"/>
                    <a:stretch>
                      <a:fillRect/>
                    </a:stretch>
                  </pic:blipFill>
                  <pic:spPr>
                    <a:xfrm>
                      <a:off x="0" y="0"/>
                      <a:ext cx="5731086" cy="2456180"/>
                    </a:xfrm>
                    <a:prstGeom prst="rect">
                      <a:avLst/>
                    </a:prstGeom>
                  </pic:spPr>
                </pic:pic>
              </a:graphicData>
            </a:graphic>
          </wp:inline>
        </w:drawing>
      </w:r>
    </w:p>
    <w:p w14:paraId="02C87ECE" w14:textId="77777777" w:rsidR="008456D4" w:rsidRDefault="008456D4" w:rsidP="008456D4">
      <w:pPr>
        <w:spacing w:line="480" w:lineRule="auto"/>
        <w:rPr>
          <w:rFonts w:ascii="Times New Roman" w:hAnsi="Times New Roman"/>
          <w:sz w:val="20"/>
          <w:szCs w:val="20"/>
        </w:rPr>
      </w:pPr>
      <w:r>
        <w:rPr>
          <w:rFonts w:ascii="Times New Roman" w:hAnsi="Times New Roman"/>
          <w:sz w:val="20"/>
          <w:szCs w:val="20"/>
        </w:rPr>
        <w:t xml:space="preserve">Fig. S16.  Estimates of the total displaced population of Bogotá and the displacement-related immigration rate derived from the system dynamics model and from the </w:t>
      </w:r>
      <w:r w:rsidRPr="000B07AF">
        <w:rPr>
          <w:rFonts w:ascii="Times New Roman" w:hAnsi="Times New Roman"/>
          <w:sz w:val="20"/>
          <w:szCs w:val="20"/>
        </w:rPr>
        <w:t>Internal Displacement Monitoring Centre (IDMC</w:t>
      </w:r>
      <w:r>
        <w:rPr>
          <w:rFonts w:ascii="Times New Roman" w:hAnsi="Times New Roman"/>
          <w:sz w:val="20"/>
          <w:szCs w:val="20"/>
        </w:rPr>
        <w:t xml:space="preserve">; data available at: </w:t>
      </w:r>
      <w:r w:rsidRPr="00C85631">
        <w:rPr>
          <w:rFonts w:ascii="Times New Roman" w:hAnsi="Times New Roman"/>
          <w:sz w:val="20"/>
          <w:szCs w:val="20"/>
        </w:rPr>
        <w:t>https://www.internal-displacement.org/countries/colombia</w:t>
      </w:r>
      <w:r w:rsidRPr="000B07AF">
        <w:rPr>
          <w:rFonts w:ascii="Times New Roman" w:hAnsi="Times New Roman"/>
          <w:sz w:val="20"/>
          <w:szCs w:val="20"/>
        </w:rPr>
        <w:t>)</w:t>
      </w:r>
      <w:r>
        <w:rPr>
          <w:rFonts w:ascii="Times New Roman" w:hAnsi="Times New Roman"/>
          <w:sz w:val="20"/>
          <w:szCs w:val="20"/>
        </w:rPr>
        <w:t>.</w:t>
      </w:r>
    </w:p>
    <w:p w14:paraId="492EA9EE" w14:textId="77777777" w:rsidR="00963DB8" w:rsidRDefault="00963DB8" w:rsidP="008456D4">
      <w:pPr>
        <w:spacing w:line="480" w:lineRule="auto"/>
        <w:rPr>
          <w:rFonts w:ascii="Times New Roman" w:hAnsi="Times New Roman"/>
          <w:sz w:val="20"/>
          <w:szCs w:val="20"/>
        </w:rPr>
      </w:pPr>
    </w:p>
    <w:p w14:paraId="7884E456" w14:textId="77777777" w:rsidR="00E65AED" w:rsidRDefault="007E3DF3" w:rsidP="008456D4">
      <w:pPr>
        <w:spacing w:line="480" w:lineRule="auto"/>
        <w:rPr>
          <w:rFonts w:ascii="Times New Roman" w:hAnsi="Times New Roman"/>
          <w:sz w:val="20"/>
          <w:szCs w:val="20"/>
        </w:rPr>
        <w:sectPr w:rsidR="00E65AED" w:rsidSect="00E966E4">
          <w:footnotePr>
            <w:numFmt w:val="chicago"/>
            <w:numStart w:val="2"/>
          </w:footnotePr>
          <w:pgSz w:w="11906" w:h="16838" w:code="9"/>
          <w:pgMar w:top="1440" w:right="1440" w:bottom="1440" w:left="1440" w:header="284" w:footer="680" w:gutter="0"/>
          <w:cols w:space="708"/>
          <w:docGrid w:linePitch="360"/>
        </w:sectPr>
      </w:pPr>
      <w:r>
        <w:rPr>
          <w:rFonts w:ascii="Times New Roman" w:hAnsi="Times New Roman"/>
          <w:sz w:val="20"/>
          <w:szCs w:val="20"/>
        </w:rPr>
        <w:t>Prior to receiving treatment, p</w:t>
      </w:r>
      <w:r w:rsidR="007E537A">
        <w:rPr>
          <w:rFonts w:ascii="Times New Roman" w:hAnsi="Times New Roman"/>
          <w:sz w:val="20"/>
          <w:szCs w:val="20"/>
        </w:rPr>
        <w:t>eople</w:t>
      </w:r>
      <w:r>
        <w:rPr>
          <w:rFonts w:ascii="Times New Roman" w:hAnsi="Times New Roman"/>
          <w:sz w:val="20"/>
          <w:szCs w:val="20"/>
        </w:rPr>
        <w:t xml:space="preserve"> engaging with private or public mental health services wait for a period of time that depends on services capacity and the number of </w:t>
      </w:r>
      <w:r w:rsidR="007E537A">
        <w:rPr>
          <w:rFonts w:ascii="Times New Roman" w:hAnsi="Times New Roman"/>
          <w:sz w:val="20"/>
          <w:szCs w:val="20"/>
        </w:rPr>
        <w:t xml:space="preserve">people </w:t>
      </w:r>
      <w:r>
        <w:rPr>
          <w:rFonts w:ascii="Times New Roman" w:hAnsi="Times New Roman"/>
          <w:sz w:val="20"/>
          <w:szCs w:val="20"/>
        </w:rPr>
        <w:t>waiting for care.</w:t>
      </w:r>
      <w:r w:rsidR="007A0C47">
        <w:rPr>
          <w:rFonts w:ascii="Times New Roman" w:hAnsi="Times New Roman"/>
          <w:sz w:val="20"/>
          <w:szCs w:val="20"/>
        </w:rPr>
        <w:t xml:space="preserve">  </w:t>
      </w:r>
      <w:r w:rsidR="00375490">
        <w:rPr>
          <w:rFonts w:ascii="Times New Roman" w:hAnsi="Times New Roman"/>
          <w:sz w:val="20"/>
          <w:szCs w:val="20"/>
        </w:rPr>
        <w:t>Total child and adolescent services capacity (i.e., the total number of private and publi</w:t>
      </w:r>
      <w:r w:rsidR="007E537A">
        <w:rPr>
          <w:rFonts w:ascii="Times New Roman" w:hAnsi="Times New Roman"/>
          <w:sz w:val="20"/>
          <w:szCs w:val="20"/>
        </w:rPr>
        <w:t>c</w:t>
      </w:r>
      <w:r w:rsidR="009F31DF">
        <w:rPr>
          <w:rFonts w:ascii="Times New Roman" w:hAnsi="Times New Roman"/>
          <w:sz w:val="20"/>
          <w:szCs w:val="20"/>
        </w:rPr>
        <w:t xml:space="preserve"> </w:t>
      </w:r>
      <w:r w:rsidR="00375490">
        <w:rPr>
          <w:rFonts w:ascii="Times New Roman" w:hAnsi="Times New Roman"/>
          <w:sz w:val="20"/>
          <w:szCs w:val="20"/>
        </w:rPr>
        <w:t>consultations that can be provided to 7−17-year-olds per year) and total adult services capacity (the total</w:t>
      </w:r>
      <w:r w:rsidR="00297E29">
        <w:rPr>
          <w:rFonts w:ascii="Times New Roman" w:hAnsi="Times New Roman"/>
          <w:sz w:val="20"/>
          <w:szCs w:val="20"/>
        </w:rPr>
        <w:t xml:space="preserve"> </w:t>
      </w:r>
      <w:r w:rsidR="007E537A">
        <w:rPr>
          <w:rFonts w:ascii="Times New Roman" w:hAnsi="Times New Roman"/>
          <w:sz w:val="20"/>
          <w:szCs w:val="20"/>
        </w:rPr>
        <w:t xml:space="preserve">yearly </w:t>
      </w:r>
      <w:r w:rsidR="00375490">
        <w:rPr>
          <w:rFonts w:ascii="Times New Roman" w:hAnsi="Times New Roman"/>
          <w:sz w:val="20"/>
          <w:szCs w:val="20"/>
        </w:rPr>
        <w:t>number of consultations that can be provided to patients aged over 17 years) are assumed to increase at constant rate</w:t>
      </w:r>
      <w:r w:rsidR="009F31DF">
        <w:rPr>
          <w:rFonts w:ascii="Times New Roman" w:hAnsi="Times New Roman"/>
          <w:sz w:val="20"/>
          <w:szCs w:val="20"/>
        </w:rPr>
        <w:t>s</w:t>
      </w:r>
      <w:r w:rsidR="00375490">
        <w:rPr>
          <w:rFonts w:ascii="Times New Roman" w:hAnsi="Times New Roman"/>
          <w:sz w:val="20"/>
          <w:szCs w:val="20"/>
        </w:rPr>
        <w:t xml:space="preserve"> per year</w:t>
      </w:r>
      <w:r w:rsidR="00DF02CA">
        <w:rPr>
          <w:rFonts w:ascii="Times New Roman" w:hAnsi="Times New Roman"/>
          <w:sz w:val="20"/>
          <w:szCs w:val="20"/>
        </w:rPr>
        <w:t xml:space="preserve"> (estimated from Individual Registries for Health Services Provision data)</w:t>
      </w:r>
      <w:r w:rsidR="00375490">
        <w:rPr>
          <w:rFonts w:ascii="Times New Roman" w:hAnsi="Times New Roman"/>
          <w:sz w:val="20"/>
          <w:szCs w:val="20"/>
        </w:rPr>
        <w:t>,</w:t>
      </w:r>
      <w:r w:rsidR="009259D3">
        <w:rPr>
          <w:rFonts w:ascii="Times New Roman" w:hAnsi="Times New Roman"/>
          <w:sz w:val="20"/>
          <w:szCs w:val="20"/>
        </w:rPr>
        <w:t xml:space="preserve"> and we assume that the proportion</w:t>
      </w:r>
      <w:r w:rsidR="000473B4">
        <w:rPr>
          <w:rFonts w:ascii="Times New Roman" w:hAnsi="Times New Roman"/>
          <w:sz w:val="20"/>
          <w:szCs w:val="20"/>
        </w:rPr>
        <w:t>s</w:t>
      </w:r>
      <w:r w:rsidR="009259D3">
        <w:rPr>
          <w:rFonts w:ascii="Times New Roman" w:hAnsi="Times New Roman"/>
          <w:sz w:val="20"/>
          <w:szCs w:val="20"/>
        </w:rPr>
        <w:t xml:space="preserve"> of total </w:t>
      </w:r>
      <w:r w:rsidR="000473B4">
        <w:rPr>
          <w:rFonts w:ascii="Times New Roman" w:hAnsi="Times New Roman"/>
          <w:sz w:val="20"/>
          <w:szCs w:val="20"/>
        </w:rPr>
        <w:t xml:space="preserve">child and adolescent </w:t>
      </w:r>
      <w:r w:rsidR="007E537A">
        <w:rPr>
          <w:rFonts w:ascii="Times New Roman" w:hAnsi="Times New Roman"/>
          <w:sz w:val="20"/>
          <w:szCs w:val="20"/>
        </w:rPr>
        <w:t xml:space="preserve">services capacity and total </w:t>
      </w:r>
      <w:r w:rsidR="000473B4">
        <w:rPr>
          <w:rFonts w:ascii="Times New Roman" w:hAnsi="Times New Roman"/>
          <w:sz w:val="20"/>
          <w:szCs w:val="20"/>
        </w:rPr>
        <w:t xml:space="preserve">adult </w:t>
      </w:r>
      <w:r w:rsidR="009259D3">
        <w:rPr>
          <w:rFonts w:ascii="Times New Roman" w:hAnsi="Times New Roman"/>
          <w:sz w:val="20"/>
          <w:szCs w:val="20"/>
        </w:rPr>
        <w:t xml:space="preserve">services capacity available </w:t>
      </w:r>
      <w:r w:rsidR="000473B4">
        <w:rPr>
          <w:rFonts w:ascii="Times New Roman" w:hAnsi="Times New Roman"/>
          <w:sz w:val="20"/>
          <w:szCs w:val="20"/>
        </w:rPr>
        <w:t>to</w:t>
      </w:r>
      <w:r w:rsidR="009259D3">
        <w:rPr>
          <w:rFonts w:ascii="Times New Roman" w:hAnsi="Times New Roman"/>
          <w:sz w:val="20"/>
          <w:szCs w:val="20"/>
        </w:rPr>
        <w:t xml:space="preserve"> </w:t>
      </w:r>
      <w:r w:rsidR="000473B4">
        <w:rPr>
          <w:rFonts w:ascii="Times New Roman" w:hAnsi="Times New Roman"/>
          <w:sz w:val="20"/>
          <w:szCs w:val="20"/>
        </w:rPr>
        <w:t>patients affiliated with the subsidised health care regime (i.e.,</w:t>
      </w:r>
      <w:r w:rsidR="00297E29">
        <w:rPr>
          <w:rFonts w:ascii="Times New Roman" w:hAnsi="Times New Roman"/>
          <w:sz w:val="20"/>
          <w:szCs w:val="20"/>
        </w:rPr>
        <w:t xml:space="preserve"> via</w:t>
      </w:r>
      <w:r w:rsidR="000473B4">
        <w:rPr>
          <w:rFonts w:ascii="Times New Roman" w:hAnsi="Times New Roman"/>
          <w:sz w:val="20"/>
          <w:szCs w:val="20"/>
        </w:rPr>
        <w:t xml:space="preserve"> the public services system) </w:t>
      </w:r>
      <w:r w:rsidR="009259D3">
        <w:rPr>
          <w:rFonts w:ascii="Times New Roman" w:hAnsi="Times New Roman"/>
          <w:sz w:val="20"/>
          <w:szCs w:val="20"/>
        </w:rPr>
        <w:t>remain constant.</w:t>
      </w:r>
      <w:r w:rsidR="00A3018B">
        <w:rPr>
          <w:rFonts w:ascii="Times New Roman" w:hAnsi="Times New Roman"/>
          <w:sz w:val="20"/>
          <w:szCs w:val="20"/>
        </w:rPr>
        <w:t xml:space="preserve">  </w:t>
      </w:r>
      <w:r w:rsidR="00AB0E0B">
        <w:rPr>
          <w:rFonts w:ascii="Times New Roman" w:hAnsi="Times New Roman"/>
          <w:sz w:val="20"/>
          <w:szCs w:val="20"/>
        </w:rPr>
        <w:t>People waiting for mental health treatment disengage from the services system</w:t>
      </w:r>
      <w:r w:rsidR="005D69DB">
        <w:rPr>
          <w:rFonts w:ascii="Times New Roman" w:hAnsi="Times New Roman"/>
          <w:sz w:val="20"/>
          <w:szCs w:val="20"/>
        </w:rPr>
        <w:t>, returning to the population of those with no perceived need for care,</w:t>
      </w:r>
      <w:r w:rsidR="00AB0E0B">
        <w:rPr>
          <w:rFonts w:ascii="Times New Roman" w:hAnsi="Times New Roman"/>
          <w:sz w:val="20"/>
          <w:szCs w:val="20"/>
        </w:rPr>
        <w:t xml:space="preserve"> at age-specific rates equal to </w:t>
      </w:r>
      <m:oMath>
        <m:r>
          <w:rPr>
            <w:rFonts w:ascii="Cambria Math" w:hAnsi="Cambria Math"/>
            <w:sz w:val="20"/>
            <w:szCs w:val="20"/>
          </w:rPr>
          <m:t>qE+aW</m:t>
        </m:r>
      </m:oMath>
      <w:r w:rsidR="005D69DB">
        <w:rPr>
          <w:rFonts w:ascii="Times New Roman" w:hAnsi="Times New Roman"/>
          <w:sz w:val="20"/>
          <w:szCs w:val="20"/>
        </w:rPr>
        <w:t xml:space="preserve">, where </w:t>
      </w:r>
      <m:oMath>
        <m:r>
          <w:rPr>
            <w:rFonts w:ascii="Cambria Math" w:hAnsi="Cambria Math"/>
            <w:sz w:val="20"/>
            <w:szCs w:val="20"/>
          </w:rPr>
          <m:t>E</m:t>
        </m:r>
      </m:oMath>
      <w:r w:rsidR="005D69DB">
        <w:rPr>
          <w:rFonts w:ascii="Times New Roman" w:hAnsi="Times New Roman"/>
          <w:sz w:val="20"/>
          <w:szCs w:val="20"/>
        </w:rPr>
        <w:t xml:space="preserve"> is the number of people engaging with services per year, </w:t>
      </w:r>
      <m:oMath>
        <m:r>
          <w:rPr>
            <w:rFonts w:ascii="Cambria Math" w:hAnsi="Cambria Math"/>
            <w:sz w:val="20"/>
            <w:szCs w:val="20"/>
          </w:rPr>
          <m:t>q</m:t>
        </m:r>
      </m:oMath>
      <w:r w:rsidR="005D69DB">
        <w:rPr>
          <w:rFonts w:ascii="Times New Roman" w:hAnsi="Times New Roman"/>
          <w:sz w:val="20"/>
          <w:szCs w:val="20"/>
        </w:rPr>
        <w:t xml:space="preserve"> is the proportion of people disengaging immediately after engag</w:t>
      </w:r>
      <w:r w:rsidR="00191F92">
        <w:rPr>
          <w:rFonts w:ascii="Times New Roman" w:hAnsi="Times New Roman"/>
          <w:sz w:val="20"/>
          <w:szCs w:val="20"/>
        </w:rPr>
        <w:t>ing</w:t>
      </w:r>
      <w:r w:rsidR="005D69DB">
        <w:rPr>
          <w:rFonts w:ascii="Times New Roman" w:hAnsi="Times New Roman"/>
          <w:sz w:val="20"/>
          <w:szCs w:val="20"/>
        </w:rPr>
        <w:t xml:space="preserve"> due to</w:t>
      </w:r>
      <w:r w:rsidR="000934A3">
        <w:rPr>
          <w:rFonts w:ascii="Times New Roman" w:hAnsi="Times New Roman"/>
          <w:sz w:val="20"/>
          <w:szCs w:val="20"/>
        </w:rPr>
        <w:t xml:space="preserve"> </w:t>
      </w:r>
      <w:r w:rsidR="00191F92">
        <w:rPr>
          <w:rFonts w:ascii="Times New Roman" w:hAnsi="Times New Roman"/>
          <w:sz w:val="20"/>
          <w:szCs w:val="20"/>
        </w:rPr>
        <w:t xml:space="preserve">overly </w:t>
      </w:r>
      <w:r w:rsidR="004A26AA">
        <w:rPr>
          <w:rFonts w:ascii="Times New Roman" w:hAnsi="Times New Roman"/>
          <w:sz w:val="20"/>
          <w:szCs w:val="20"/>
        </w:rPr>
        <w:t xml:space="preserve">long </w:t>
      </w:r>
      <w:r w:rsidR="005D69DB">
        <w:rPr>
          <w:rFonts w:ascii="Times New Roman" w:hAnsi="Times New Roman"/>
          <w:sz w:val="20"/>
          <w:szCs w:val="20"/>
        </w:rPr>
        <w:t>waiting times</w:t>
      </w:r>
      <w:r w:rsidR="00000641">
        <w:rPr>
          <w:rFonts w:ascii="Times New Roman" w:hAnsi="Times New Roman"/>
          <w:sz w:val="20"/>
          <w:szCs w:val="20"/>
        </w:rPr>
        <w:t xml:space="preserve">, </w:t>
      </w:r>
      <m:oMath>
        <m:r>
          <w:rPr>
            <w:rFonts w:ascii="Cambria Math" w:hAnsi="Cambria Math"/>
            <w:sz w:val="20"/>
            <w:szCs w:val="20"/>
          </w:rPr>
          <m:t>W</m:t>
        </m:r>
      </m:oMath>
      <w:r w:rsidR="00000641">
        <w:rPr>
          <w:rFonts w:ascii="Times New Roman" w:hAnsi="Times New Roman"/>
          <w:sz w:val="20"/>
          <w:szCs w:val="20"/>
        </w:rPr>
        <w:t xml:space="preserve"> is the number of people waiting for treatment, and </w:t>
      </w:r>
      <m:oMath>
        <m:r>
          <w:rPr>
            <w:rFonts w:ascii="Cambria Math" w:hAnsi="Cambria Math"/>
            <w:sz w:val="20"/>
            <w:szCs w:val="20"/>
          </w:rPr>
          <m:t>a</m:t>
        </m:r>
      </m:oMath>
      <w:r w:rsidR="00000641">
        <w:rPr>
          <w:rFonts w:ascii="Times New Roman" w:hAnsi="Times New Roman"/>
          <w:sz w:val="20"/>
          <w:szCs w:val="20"/>
        </w:rPr>
        <w:t xml:space="preserve"> is the </w:t>
      </w:r>
      <w:r w:rsidR="000934A3">
        <w:rPr>
          <w:rFonts w:ascii="Times New Roman" w:hAnsi="Times New Roman"/>
          <w:sz w:val="20"/>
          <w:szCs w:val="20"/>
        </w:rPr>
        <w:t xml:space="preserve">yearly </w:t>
      </w:r>
      <w:r w:rsidR="00000641">
        <w:rPr>
          <w:rFonts w:ascii="Times New Roman" w:hAnsi="Times New Roman"/>
          <w:sz w:val="20"/>
          <w:szCs w:val="20"/>
        </w:rPr>
        <w:t>per capita attrition rate</w:t>
      </w:r>
      <w:r w:rsidR="000934A3">
        <w:rPr>
          <w:rFonts w:ascii="Times New Roman" w:hAnsi="Times New Roman"/>
          <w:sz w:val="20"/>
          <w:szCs w:val="20"/>
        </w:rPr>
        <w:t xml:space="preserve">, </w:t>
      </w:r>
      <w:r w:rsidR="00000641">
        <w:rPr>
          <w:rFonts w:ascii="Times New Roman" w:hAnsi="Times New Roman"/>
          <w:sz w:val="20"/>
          <w:szCs w:val="20"/>
        </w:rPr>
        <w:t>assumed to be constant</w:t>
      </w:r>
      <w:r w:rsidR="00F908CD">
        <w:rPr>
          <w:rFonts w:ascii="Times New Roman" w:hAnsi="Times New Roman"/>
          <w:sz w:val="20"/>
          <w:szCs w:val="20"/>
        </w:rPr>
        <w:t xml:space="preserve"> </w:t>
      </w:r>
      <w:r w:rsidR="000934A3">
        <w:rPr>
          <w:rFonts w:ascii="Times New Roman" w:hAnsi="Times New Roman"/>
          <w:sz w:val="20"/>
          <w:szCs w:val="20"/>
        </w:rPr>
        <w:t>(</w:t>
      </w:r>
      <w:r w:rsidR="00921BE4">
        <w:rPr>
          <w:rFonts w:ascii="Times New Roman" w:hAnsi="Times New Roman"/>
          <w:sz w:val="20"/>
          <w:szCs w:val="20"/>
        </w:rPr>
        <w:t>Tyrer et al., 199</w:t>
      </w:r>
      <w:r w:rsidR="005B442E">
        <w:rPr>
          <w:rFonts w:ascii="Times New Roman" w:hAnsi="Times New Roman"/>
          <w:sz w:val="20"/>
          <w:szCs w:val="20"/>
        </w:rPr>
        <w:t>5</w:t>
      </w:r>
      <w:r w:rsidR="00000641">
        <w:rPr>
          <w:rFonts w:ascii="Times New Roman" w:hAnsi="Times New Roman"/>
          <w:sz w:val="20"/>
          <w:szCs w:val="20"/>
        </w:rPr>
        <w:t xml:space="preserve">).  </w:t>
      </w:r>
      <w:r w:rsidR="00DB00C0">
        <w:rPr>
          <w:rFonts w:ascii="Times New Roman" w:hAnsi="Times New Roman"/>
          <w:sz w:val="20"/>
          <w:szCs w:val="20"/>
        </w:rPr>
        <w:t>Whe</w:t>
      </w:r>
      <w:r w:rsidR="000934A3">
        <w:rPr>
          <w:rFonts w:ascii="Times New Roman" w:hAnsi="Times New Roman"/>
          <w:sz w:val="20"/>
          <w:szCs w:val="20"/>
        </w:rPr>
        <w:t>never</w:t>
      </w:r>
      <w:r w:rsidR="00DB00C0">
        <w:rPr>
          <w:rFonts w:ascii="Times New Roman" w:hAnsi="Times New Roman"/>
          <w:sz w:val="20"/>
          <w:szCs w:val="20"/>
        </w:rPr>
        <w:t xml:space="preserve"> demand for mental health </w:t>
      </w:r>
      <w:r w:rsidR="000934A3">
        <w:rPr>
          <w:rFonts w:ascii="Times New Roman" w:hAnsi="Times New Roman"/>
          <w:sz w:val="20"/>
          <w:szCs w:val="20"/>
        </w:rPr>
        <w:t>services</w:t>
      </w:r>
      <w:r w:rsidR="00DB00C0">
        <w:rPr>
          <w:rFonts w:ascii="Times New Roman" w:hAnsi="Times New Roman"/>
          <w:sz w:val="20"/>
          <w:szCs w:val="20"/>
        </w:rPr>
        <w:t xml:space="preserve"> exceeds services capacity (</w:t>
      </w:r>
      <w:r w:rsidR="005028CC">
        <w:rPr>
          <w:rFonts w:ascii="Times New Roman" w:hAnsi="Times New Roman"/>
          <w:sz w:val="20"/>
          <w:szCs w:val="20"/>
        </w:rPr>
        <w:t xml:space="preserve">i.e., </w:t>
      </w:r>
      <w:r w:rsidR="00DB00C0">
        <w:rPr>
          <w:rFonts w:ascii="Times New Roman" w:hAnsi="Times New Roman"/>
          <w:sz w:val="20"/>
          <w:szCs w:val="20"/>
        </w:rPr>
        <w:t>whe</w:t>
      </w:r>
      <w:r w:rsidR="000934A3">
        <w:rPr>
          <w:rFonts w:ascii="Times New Roman" w:hAnsi="Times New Roman"/>
          <w:sz w:val="20"/>
          <w:szCs w:val="20"/>
        </w:rPr>
        <w:t>n</w:t>
      </w:r>
      <w:r w:rsidR="00DB00C0">
        <w:rPr>
          <w:rFonts w:ascii="Times New Roman" w:hAnsi="Times New Roman"/>
          <w:sz w:val="20"/>
          <w:szCs w:val="20"/>
        </w:rPr>
        <w:t xml:space="preserve"> more people are engaging with services than can be treated), the number of people waiting for </w:t>
      </w:r>
      <w:r w:rsidR="000934A3">
        <w:rPr>
          <w:rFonts w:ascii="Times New Roman" w:hAnsi="Times New Roman"/>
          <w:sz w:val="20"/>
          <w:szCs w:val="20"/>
        </w:rPr>
        <w:t>care</w:t>
      </w:r>
      <w:r w:rsidR="00DB00C0">
        <w:rPr>
          <w:rFonts w:ascii="Times New Roman" w:hAnsi="Times New Roman"/>
          <w:sz w:val="20"/>
          <w:szCs w:val="20"/>
        </w:rPr>
        <w:t xml:space="preserve"> increases, </w:t>
      </w:r>
      <w:r w:rsidR="00F908CD">
        <w:rPr>
          <w:rFonts w:ascii="Times New Roman" w:hAnsi="Times New Roman"/>
          <w:sz w:val="20"/>
          <w:szCs w:val="20"/>
        </w:rPr>
        <w:t>increasing</w:t>
      </w:r>
      <w:r w:rsidR="00DB00C0">
        <w:rPr>
          <w:rFonts w:ascii="Times New Roman" w:hAnsi="Times New Roman"/>
          <w:sz w:val="20"/>
          <w:szCs w:val="20"/>
        </w:rPr>
        <w:t xml:space="preserve"> waiting </w:t>
      </w:r>
    </w:p>
    <w:p w14:paraId="2016CDE0" w14:textId="1D79DCC9" w:rsidR="00E65AED" w:rsidRDefault="00507539" w:rsidP="00E65AED">
      <w:pPr>
        <w:spacing w:line="480" w:lineRule="auto"/>
        <w:jc w:val="center"/>
        <w:rPr>
          <w:rFonts w:ascii="Times New Roman" w:hAnsi="Times New Roman"/>
          <w:sz w:val="20"/>
          <w:szCs w:val="20"/>
        </w:rPr>
      </w:pPr>
      <w:r>
        <w:rPr>
          <w:rFonts w:ascii="Times New Roman" w:hAnsi="Times New Roman"/>
          <w:noProof/>
          <w:sz w:val="20"/>
          <w:szCs w:val="20"/>
        </w:rPr>
        <w:lastRenderedPageBreak/>
        <w:drawing>
          <wp:inline distT="0" distB="0" distL="0" distR="0" wp14:anchorId="6717C0BE" wp14:editId="76798CBA">
            <wp:extent cx="8568000" cy="5142766"/>
            <wp:effectExtent l="0" t="0" r="5080" b="1270"/>
            <wp:docPr id="1880668507" name="Picture 2" descr="A computer screen shot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668507" name="Picture 2" descr="A computer screen shot of a diagram&#10;&#10;Description automatically generated"/>
                    <pic:cNvPicPr/>
                  </pic:nvPicPr>
                  <pic:blipFill>
                    <a:blip r:embed="rId24"/>
                    <a:stretch>
                      <a:fillRect/>
                    </a:stretch>
                  </pic:blipFill>
                  <pic:spPr>
                    <a:xfrm>
                      <a:off x="0" y="0"/>
                      <a:ext cx="8568000" cy="5142766"/>
                    </a:xfrm>
                    <a:prstGeom prst="rect">
                      <a:avLst/>
                    </a:prstGeom>
                  </pic:spPr>
                </pic:pic>
              </a:graphicData>
            </a:graphic>
          </wp:inline>
        </w:drawing>
      </w:r>
    </w:p>
    <w:p w14:paraId="61F7C395" w14:textId="09114DBB" w:rsidR="00E65AED" w:rsidRDefault="00E65AED" w:rsidP="008456D4">
      <w:pPr>
        <w:spacing w:line="480" w:lineRule="auto"/>
        <w:rPr>
          <w:rFonts w:ascii="Times New Roman" w:hAnsi="Times New Roman"/>
          <w:sz w:val="20"/>
          <w:szCs w:val="20"/>
        </w:rPr>
      </w:pPr>
      <w:r>
        <w:rPr>
          <w:rFonts w:ascii="Times New Roman" w:hAnsi="Times New Roman"/>
          <w:sz w:val="20"/>
          <w:szCs w:val="20"/>
        </w:rPr>
        <w:t>Fig. S17.  Structure of the mental health services sector.  Modelled factors that affect help-seeking (perceiving a need for care, engagement with services) and disengagement are listed in the text boxes.</w:t>
      </w:r>
    </w:p>
    <w:p w14:paraId="6471E17F" w14:textId="77777777" w:rsidR="00E65AED" w:rsidRDefault="00E65AED" w:rsidP="008456D4">
      <w:pPr>
        <w:spacing w:line="480" w:lineRule="auto"/>
        <w:rPr>
          <w:rFonts w:ascii="Times New Roman" w:hAnsi="Times New Roman"/>
          <w:sz w:val="20"/>
          <w:szCs w:val="20"/>
        </w:rPr>
        <w:sectPr w:rsidR="00E65AED" w:rsidSect="00E65AED">
          <w:footnotePr>
            <w:numFmt w:val="chicago"/>
            <w:numStart w:val="2"/>
          </w:footnotePr>
          <w:pgSz w:w="16838" w:h="11906" w:orient="landscape" w:code="9"/>
          <w:pgMar w:top="1440" w:right="1440" w:bottom="1440" w:left="1440" w:header="284" w:footer="680" w:gutter="0"/>
          <w:cols w:space="708"/>
          <w:docGrid w:linePitch="360"/>
        </w:sectPr>
      </w:pPr>
    </w:p>
    <w:p w14:paraId="5DC1E26D" w14:textId="25E4D036" w:rsidR="006775BE" w:rsidRDefault="00DB00C0" w:rsidP="008456D4">
      <w:pPr>
        <w:spacing w:line="480" w:lineRule="auto"/>
        <w:rPr>
          <w:rFonts w:ascii="Times New Roman" w:hAnsi="Times New Roman"/>
          <w:sz w:val="20"/>
          <w:szCs w:val="20"/>
        </w:rPr>
      </w:pPr>
      <w:r>
        <w:rPr>
          <w:rFonts w:ascii="Times New Roman" w:hAnsi="Times New Roman"/>
          <w:sz w:val="20"/>
          <w:szCs w:val="20"/>
        </w:rPr>
        <w:lastRenderedPageBreak/>
        <w:t xml:space="preserve">times and the values of </w:t>
      </w:r>
      <m:oMath>
        <m:r>
          <w:rPr>
            <w:rFonts w:ascii="Cambria Math" w:hAnsi="Cambria Math"/>
            <w:sz w:val="20"/>
            <w:szCs w:val="20"/>
          </w:rPr>
          <m:t>q</m:t>
        </m:r>
      </m:oMath>
      <w:r>
        <w:rPr>
          <w:rFonts w:ascii="Times New Roman" w:hAnsi="Times New Roman"/>
          <w:sz w:val="20"/>
          <w:szCs w:val="20"/>
        </w:rPr>
        <w:t xml:space="preserve"> and </w:t>
      </w:r>
      <m:oMath>
        <m:r>
          <w:rPr>
            <w:rFonts w:ascii="Cambria Math" w:hAnsi="Cambria Math"/>
            <w:sz w:val="20"/>
            <w:szCs w:val="20"/>
          </w:rPr>
          <m:t>aW</m:t>
        </m:r>
      </m:oMath>
      <w:r w:rsidR="00F908CD">
        <w:rPr>
          <w:rFonts w:ascii="Times New Roman" w:hAnsi="Times New Roman"/>
          <w:sz w:val="20"/>
          <w:szCs w:val="20"/>
        </w:rPr>
        <w:t>, so that insufficient services capacity</w:t>
      </w:r>
      <w:r w:rsidR="006555F8">
        <w:rPr>
          <w:rFonts w:ascii="Times New Roman" w:hAnsi="Times New Roman"/>
          <w:sz w:val="20"/>
          <w:szCs w:val="20"/>
        </w:rPr>
        <w:t xml:space="preserve"> results in</w:t>
      </w:r>
      <w:r w:rsidR="009A1CE4">
        <w:rPr>
          <w:rFonts w:ascii="Times New Roman" w:hAnsi="Times New Roman"/>
          <w:sz w:val="20"/>
          <w:szCs w:val="20"/>
        </w:rPr>
        <w:t xml:space="preserve"> </w:t>
      </w:r>
      <w:r w:rsidR="006555F8">
        <w:rPr>
          <w:rFonts w:ascii="Times New Roman" w:hAnsi="Times New Roman"/>
          <w:sz w:val="20"/>
          <w:szCs w:val="20"/>
        </w:rPr>
        <w:t xml:space="preserve">increased </w:t>
      </w:r>
      <w:r w:rsidR="00F908CD">
        <w:rPr>
          <w:rFonts w:ascii="Times New Roman" w:hAnsi="Times New Roman"/>
          <w:sz w:val="20"/>
          <w:szCs w:val="20"/>
        </w:rPr>
        <w:t>disengagement</w:t>
      </w:r>
      <w:r w:rsidR="006555F8">
        <w:rPr>
          <w:rFonts w:ascii="Times New Roman" w:hAnsi="Times New Roman"/>
          <w:sz w:val="20"/>
          <w:szCs w:val="20"/>
        </w:rPr>
        <w:t xml:space="preserve"> </w:t>
      </w:r>
      <w:r w:rsidR="004A05F1">
        <w:rPr>
          <w:rFonts w:ascii="Times New Roman" w:hAnsi="Times New Roman"/>
          <w:sz w:val="20"/>
          <w:szCs w:val="20"/>
        </w:rPr>
        <w:t xml:space="preserve">and </w:t>
      </w:r>
      <w:r w:rsidR="006555F8">
        <w:rPr>
          <w:rFonts w:ascii="Times New Roman" w:hAnsi="Times New Roman"/>
          <w:sz w:val="20"/>
          <w:szCs w:val="20"/>
        </w:rPr>
        <w:t>a concomitant</w:t>
      </w:r>
      <w:r w:rsidR="004A05F1">
        <w:rPr>
          <w:rFonts w:ascii="Times New Roman" w:hAnsi="Times New Roman"/>
          <w:sz w:val="20"/>
          <w:szCs w:val="20"/>
        </w:rPr>
        <w:t xml:space="preserve"> increase in the number of people engaging with services who receive </w:t>
      </w:r>
      <w:r w:rsidR="006555F8">
        <w:rPr>
          <w:rFonts w:ascii="Times New Roman" w:hAnsi="Times New Roman"/>
          <w:sz w:val="20"/>
          <w:szCs w:val="20"/>
        </w:rPr>
        <w:t xml:space="preserve">either </w:t>
      </w:r>
      <w:r w:rsidR="004A05F1">
        <w:rPr>
          <w:rFonts w:ascii="Times New Roman" w:hAnsi="Times New Roman"/>
          <w:sz w:val="20"/>
          <w:szCs w:val="20"/>
        </w:rPr>
        <w:t xml:space="preserve">inadequate </w:t>
      </w:r>
      <w:r w:rsidR="00247BBB">
        <w:rPr>
          <w:rFonts w:ascii="Times New Roman" w:hAnsi="Times New Roman"/>
          <w:sz w:val="20"/>
          <w:szCs w:val="20"/>
        </w:rPr>
        <w:t xml:space="preserve">care </w:t>
      </w:r>
      <w:r w:rsidR="004A05F1">
        <w:rPr>
          <w:rFonts w:ascii="Times New Roman" w:hAnsi="Times New Roman"/>
          <w:sz w:val="20"/>
          <w:szCs w:val="20"/>
        </w:rPr>
        <w:t>or no care</w:t>
      </w:r>
      <w:r w:rsidR="00207B3C">
        <w:rPr>
          <w:rFonts w:ascii="Times New Roman" w:hAnsi="Times New Roman"/>
          <w:sz w:val="20"/>
          <w:szCs w:val="20"/>
        </w:rPr>
        <w:t xml:space="preserve"> </w:t>
      </w:r>
      <w:r w:rsidR="008B7866">
        <w:rPr>
          <w:rFonts w:ascii="Times New Roman" w:hAnsi="Times New Roman"/>
          <w:sz w:val="20"/>
          <w:szCs w:val="20"/>
        </w:rPr>
        <w:t xml:space="preserve">at all </w:t>
      </w:r>
      <w:r w:rsidR="005028CC">
        <w:rPr>
          <w:rFonts w:ascii="Times New Roman" w:hAnsi="Times New Roman"/>
          <w:sz w:val="20"/>
          <w:szCs w:val="20"/>
        </w:rPr>
        <w:t>(the stocks labelled ‘Waiting for services’ in Fig. S17 include patients who have attended one or more consultations</w:t>
      </w:r>
      <w:r w:rsidR="005D4A90">
        <w:rPr>
          <w:rFonts w:ascii="Times New Roman" w:hAnsi="Times New Roman"/>
          <w:sz w:val="20"/>
          <w:szCs w:val="20"/>
        </w:rPr>
        <w:t xml:space="preserve"> but have not recovered</w:t>
      </w:r>
      <w:r w:rsidR="005028CC">
        <w:rPr>
          <w:rFonts w:ascii="Times New Roman" w:hAnsi="Times New Roman"/>
          <w:sz w:val="20"/>
          <w:szCs w:val="20"/>
        </w:rPr>
        <w:t xml:space="preserve">, as well as people who have </w:t>
      </w:r>
      <w:r w:rsidR="005D4A90">
        <w:rPr>
          <w:rFonts w:ascii="Times New Roman" w:hAnsi="Times New Roman"/>
          <w:sz w:val="20"/>
          <w:szCs w:val="20"/>
        </w:rPr>
        <w:t>engaged with services but are yet to attend a</w:t>
      </w:r>
      <w:r w:rsidR="00247BBB">
        <w:rPr>
          <w:rFonts w:ascii="Times New Roman" w:hAnsi="Times New Roman"/>
          <w:sz w:val="20"/>
          <w:szCs w:val="20"/>
        </w:rPr>
        <w:t>n</w:t>
      </w:r>
      <w:r w:rsidR="005D4A90">
        <w:rPr>
          <w:rFonts w:ascii="Times New Roman" w:hAnsi="Times New Roman"/>
          <w:sz w:val="20"/>
          <w:szCs w:val="20"/>
        </w:rPr>
        <w:t xml:space="preserve"> </w:t>
      </w:r>
      <w:r w:rsidR="008B7866">
        <w:rPr>
          <w:rFonts w:ascii="Times New Roman" w:hAnsi="Times New Roman"/>
          <w:sz w:val="20"/>
          <w:szCs w:val="20"/>
        </w:rPr>
        <w:t xml:space="preserve">initial </w:t>
      </w:r>
      <w:r w:rsidR="005028CC">
        <w:rPr>
          <w:rFonts w:ascii="Times New Roman" w:hAnsi="Times New Roman"/>
          <w:sz w:val="20"/>
          <w:szCs w:val="20"/>
        </w:rPr>
        <w:t>consultation; see below).</w:t>
      </w:r>
    </w:p>
    <w:p w14:paraId="22634E83" w14:textId="77777777" w:rsidR="00E67D70" w:rsidRDefault="00E67D70" w:rsidP="00FE09B6">
      <w:pPr>
        <w:spacing w:line="480" w:lineRule="auto"/>
        <w:rPr>
          <w:rFonts w:ascii="Times New Roman" w:hAnsi="Times New Roman"/>
          <w:sz w:val="20"/>
          <w:szCs w:val="20"/>
        </w:rPr>
      </w:pPr>
    </w:p>
    <w:p w14:paraId="3E60B61A" w14:textId="568160C7" w:rsidR="00F442AA" w:rsidRDefault="008A3FB6" w:rsidP="00FE09B6">
      <w:pPr>
        <w:spacing w:line="480" w:lineRule="auto"/>
        <w:rPr>
          <w:rFonts w:ascii="Times New Roman" w:hAnsi="Times New Roman"/>
          <w:sz w:val="20"/>
          <w:szCs w:val="20"/>
        </w:rPr>
      </w:pPr>
      <w:r>
        <w:rPr>
          <w:rFonts w:ascii="Times New Roman" w:hAnsi="Times New Roman"/>
          <w:sz w:val="20"/>
          <w:szCs w:val="20"/>
        </w:rPr>
        <w:t xml:space="preserve">Age-specific recovery rates </w:t>
      </w:r>
      <w:r w:rsidR="00270328">
        <w:rPr>
          <w:rFonts w:ascii="Times New Roman" w:hAnsi="Times New Roman"/>
          <w:sz w:val="20"/>
          <w:szCs w:val="20"/>
        </w:rPr>
        <w:t xml:space="preserve">among </w:t>
      </w:r>
      <w:r>
        <w:rPr>
          <w:rFonts w:ascii="Times New Roman" w:hAnsi="Times New Roman"/>
          <w:sz w:val="20"/>
          <w:szCs w:val="20"/>
        </w:rPr>
        <w:t xml:space="preserve">patients receiving treatment are equal to </w:t>
      </w:r>
      <m:oMath>
        <m:r>
          <w:rPr>
            <w:rFonts w:ascii="Cambria Math" w:hAnsi="Cambria Math"/>
            <w:sz w:val="20"/>
            <w:szCs w:val="20"/>
          </w:rPr>
          <m:t>r</m:t>
        </m:r>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i</m:t>
            </m:r>
          </m:sub>
        </m:sSub>
      </m:oMath>
      <w:r>
        <w:rPr>
          <w:rFonts w:ascii="Times New Roman" w:hAnsi="Times New Roman"/>
          <w:sz w:val="20"/>
          <w:szCs w:val="20"/>
        </w:rPr>
        <w:t xml:space="preserve">, where </w:t>
      </w:r>
      <m:oMath>
        <m:r>
          <w:rPr>
            <w:rFonts w:ascii="Cambria Math" w:hAnsi="Cambria Math"/>
            <w:sz w:val="20"/>
            <w:szCs w:val="20"/>
          </w:rPr>
          <m:t>r</m:t>
        </m:r>
      </m:oMath>
      <w:r>
        <w:rPr>
          <w:rFonts w:ascii="Times New Roman" w:hAnsi="Times New Roman"/>
          <w:sz w:val="20"/>
          <w:szCs w:val="20"/>
        </w:rPr>
        <w:t xml:space="preserve"> is the per-consultation recovery rate (the proportion of patients recovering </w:t>
      </w:r>
      <w:r w:rsidR="00B90B7C">
        <w:rPr>
          <w:rFonts w:ascii="Times New Roman" w:hAnsi="Times New Roman"/>
          <w:sz w:val="20"/>
          <w:szCs w:val="20"/>
        </w:rPr>
        <w:t>w</w:t>
      </w:r>
      <w:r w:rsidR="005550BF">
        <w:rPr>
          <w:rFonts w:ascii="Times New Roman" w:hAnsi="Times New Roman"/>
          <w:sz w:val="20"/>
          <w:szCs w:val="20"/>
        </w:rPr>
        <w:t>hen treated</w:t>
      </w:r>
      <w:r>
        <w:rPr>
          <w:rFonts w:ascii="Times New Roman" w:hAnsi="Times New Roman"/>
          <w:sz w:val="20"/>
          <w:szCs w:val="20"/>
        </w:rPr>
        <w:t xml:space="preserve"> </w:t>
      </w:r>
      <w:r w:rsidR="00316B7D">
        <w:rPr>
          <w:rFonts w:ascii="Times New Roman" w:hAnsi="Times New Roman"/>
          <w:sz w:val="20"/>
          <w:szCs w:val="20"/>
        </w:rPr>
        <w:t xml:space="preserve">divided </w:t>
      </w:r>
      <w:r>
        <w:rPr>
          <w:rFonts w:ascii="Times New Roman" w:hAnsi="Times New Roman"/>
          <w:sz w:val="20"/>
          <w:szCs w:val="20"/>
        </w:rPr>
        <w:t>by the</w:t>
      </w:r>
      <w:r w:rsidR="005550BF">
        <w:rPr>
          <w:rFonts w:ascii="Times New Roman" w:hAnsi="Times New Roman"/>
          <w:sz w:val="20"/>
          <w:szCs w:val="20"/>
        </w:rPr>
        <w:t xml:space="preserve"> minimally adequate </w:t>
      </w:r>
      <w:r>
        <w:rPr>
          <w:rFonts w:ascii="Times New Roman" w:hAnsi="Times New Roman"/>
          <w:sz w:val="20"/>
          <w:szCs w:val="20"/>
        </w:rPr>
        <w:t xml:space="preserve">number of </w:t>
      </w:r>
      <w:r w:rsidR="00316B7D">
        <w:rPr>
          <w:rFonts w:ascii="Times New Roman" w:hAnsi="Times New Roman"/>
          <w:sz w:val="20"/>
          <w:szCs w:val="20"/>
        </w:rPr>
        <w:t xml:space="preserve">consultations </w:t>
      </w:r>
      <w:r w:rsidR="005550BF">
        <w:rPr>
          <w:rFonts w:ascii="Times New Roman" w:hAnsi="Times New Roman"/>
          <w:sz w:val="20"/>
          <w:szCs w:val="20"/>
        </w:rPr>
        <w:t>per treatment episode</w:t>
      </w:r>
      <w:r w:rsidR="00316B7D">
        <w:rPr>
          <w:rFonts w:ascii="Times New Roman" w:hAnsi="Times New Roman"/>
          <w:sz w:val="20"/>
          <w:szCs w:val="20"/>
        </w:rPr>
        <w:t>;</w:t>
      </w:r>
      <w:r w:rsidR="005550BF">
        <w:rPr>
          <w:rFonts w:ascii="Times New Roman" w:hAnsi="Times New Roman"/>
          <w:sz w:val="20"/>
          <w:szCs w:val="20"/>
        </w:rPr>
        <w:t xml:space="preserve"> </w:t>
      </w:r>
      <w:r w:rsidR="00E40F31">
        <w:rPr>
          <w:rFonts w:ascii="Times New Roman" w:hAnsi="Times New Roman"/>
          <w:sz w:val="20"/>
          <w:szCs w:val="20"/>
        </w:rPr>
        <w:t xml:space="preserve">see </w:t>
      </w:r>
      <w:r w:rsidR="00316B7D">
        <w:rPr>
          <w:rFonts w:ascii="Times New Roman" w:hAnsi="Times New Roman"/>
          <w:sz w:val="20"/>
          <w:szCs w:val="20"/>
        </w:rPr>
        <w:t>Thase et al., 1997; Wang et al., 2007)</w:t>
      </w:r>
      <w:r w:rsidR="00F24F05">
        <w:rPr>
          <w:rFonts w:ascii="Times New Roman" w:hAnsi="Times New Roman"/>
          <w:sz w:val="20"/>
          <w:szCs w:val="20"/>
        </w:rPr>
        <w:t xml:space="preserve"> and </w:t>
      </w:r>
      <m:oMath>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i</m:t>
            </m:r>
          </m:sub>
        </m:sSub>
      </m:oMath>
      <w:r w:rsidR="00F24F05">
        <w:rPr>
          <w:rFonts w:ascii="Times New Roman" w:hAnsi="Times New Roman"/>
          <w:sz w:val="20"/>
          <w:szCs w:val="20"/>
        </w:rPr>
        <w:t xml:space="preserve"> is the number of consultations attended by patients in age group </w:t>
      </w:r>
      <m:oMath>
        <m:r>
          <w:rPr>
            <w:rFonts w:ascii="Cambria Math" w:hAnsi="Cambria Math"/>
            <w:sz w:val="20"/>
            <w:szCs w:val="20"/>
          </w:rPr>
          <m:t>i</m:t>
        </m:r>
      </m:oMath>
      <w:r w:rsidR="00F24F05">
        <w:rPr>
          <w:rFonts w:ascii="Times New Roman" w:hAnsi="Times New Roman"/>
          <w:sz w:val="20"/>
          <w:szCs w:val="20"/>
        </w:rPr>
        <w:t xml:space="preserve"> per year</w:t>
      </w:r>
      <w:r w:rsidR="00983AE7">
        <w:rPr>
          <w:rFonts w:ascii="Times New Roman" w:hAnsi="Times New Roman"/>
          <w:sz w:val="20"/>
          <w:szCs w:val="20"/>
        </w:rPr>
        <w:t xml:space="preserve"> (note that patients</w:t>
      </w:r>
      <w:r w:rsidR="003E3BDA">
        <w:rPr>
          <w:rFonts w:ascii="Times New Roman" w:hAnsi="Times New Roman"/>
          <w:sz w:val="20"/>
          <w:szCs w:val="20"/>
        </w:rPr>
        <w:t xml:space="preserve"> entering the</w:t>
      </w:r>
      <w:r w:rsidR="00983AE7">
        <w:rPr>
          <w:rFonts w:ascii="Times New Roman" w:hAnsi="Times New Roman"/>
          <w:sz w:val="20"/>
          <w:szCs w:val="20"/>
        </w:rPr>
        <w:t xml:space="preserve"> stocks labelled ‘Private services’ and ‘Public services’ in Fig. S17</w:t>
      </w:r>
      <w:r w:rsidR="003E3BDA">
        <w:rPr>
          <w:rFonts w:ascii="Times New Roman" w:hAnsi="Times New Roman"/>
          <w:sz w:val="20"/>
          <w:szCs w:val="20"/>
        </w:rPr>
        <w:t xml:space="preserve"> leave after completing a single consultation</w:t>
      </w:r>
      <w:r w:rsidR="00983AE7">
        <w:rPr>
          <w:rFonts w:ascii="Times New Roman" w:hAnsi="Times New Roman"/>
          <w:sz w:val="20"/>
          <w:szCs w:val="20"/>
        </w:rPr>
        <w:t xml:space="preserve"> and will</w:t>
      </w:r>
      <w:r w:rsidR="003E3BDA">
        <w:rPr>
          <w:rFonts w:ascii="Times New Roman" w:hAnsi="Times New Roman"/>
          <w:sz w:val="20"/>
          <w:szCs w:val="20"/>
        </w:rPr>
        <w:t xml:space="preserve"> </w:t>
      </w:r>
      <w:r w:rsidR="001C3FB1">
        <w:rPr>
          <w:rFonts w:ascii="Times New Roman" w:hAnsi="Times New Roman"/>
          <w:sz w:val="20"/>
          <w:szCs w:val="20"/>
        </w:rPr>
        <w:t xml:space="preserve">usually </w:t>
      </w:r>
      <w:r w:rsidR="00983AE7">
        <w:rPr>
          <w:rFonts w:ascii="Times New Roman" w:hAnsi="Times New Roman"/>
          <w:sz w:val="20"/>
          <w:szCs w:val="20"/>
        </w:rPr>
        <w:t xml:space="preserve">flow through these stocks multiple times </w:t>
      </w:r>
      <w:r w:rsidR="003E3BDA">
        <w:rPr>
          <w:rFonts w:ascii="Times New Roman" w:hAnsi="Times New Roman"/>
          <w:sz w:val="20"/>
          <w:szCs w:val="20"/>
        </w:rPr>
        <w:t>before recovering</w:t>
      </w:r>
      <w:r w:rsidR="00983AE7">
        <w:rPr>
          <w:rFonts w:ascii="Times New Roman" w:hAnsi="Times New Roman"/>
          <w:sz w:val="20"/>
          <w:szCs w:val="20"/>
        </w:rPr>
        <w:t>)</w:t>
      </w:r>
      <w:r w:rsidR="00F24F05">
        <w:rPr>
          <w:rFonts w:ascii="Times New Roman" w:hAnsi="Times New Roman"/>
          <w:sz w:val="20"/>
          <w:szCs w:val="20"/>
        </w:rPr>
        <w:t>.</w:t>
      </w:r>
      <w:r w:rsidR="00983AE7">
        <w:rPr>
          <w:rFonts w:ascii="Times New Roman" w:hAnsi="Times New Roman"/>
          <w:sz w:val="20"/>
          <w:szCs w:val="20"/>
        </w:rPr>
        <w:t xml:space="preserve">  </w:t>
      </w:r>
      <w:r w:rsidR="004402A3">
        <w:rPr>
          <w:rFonts w:ascii="Times New Roman" w:hAnsi="Times New Roman"/>
          <w:sz w:val="20"/>
          <w:szCs w:val="20"/>
        </w:rPr>
        <w:t xml:space="preserve">Patients </w:t>
      </w:r>
      <w:r w:rsidR="00983AE7">
        <w:rPr>
          <w:rFonts w:ascii="Times New Roman" w:hAnsi="Times New Roman"/>
          <w:sz w:val="20"/>
          <w:szCs w:val="20"/>
        </w:rPr>
        <w:t xml:space="preserve">receiving treatment </w:t>
      </w:r>
      <w:r w:rsidR="004402A3">
        <w:rPr>
          <w:rFonts w:ascii="Times New Roman" w:hAnsi="Times New Roman"/>
          <w:sz w:val="20"/>
          <w:szCs w:val="20"/>
        </w:rPr>
        <w:t xml:space="preserve">who recover return to the </w:t>
      </w:r>
      <w:r w:rsidR="00D57BF7">
        <w:rPr>
          <w:rFonts w:ascii="Times New Roman" w:hAnsi="Times New Roman"/>
          <w:sz w:val="20"/>
          <w:szCs w:val="20"/>
        </w:rPr>
        <w:t xml:space="preserve">general </w:t>
      </w:r>
      <w:r w:rsidR="00983AE7">
        <w:rPr>
          <w:rFonts w:ascii="Times New Roman" w:hAnsi="Times New Roman"/>
          <w:sz w:val="20"/>
          <w:szCs w:val="20"/>
        </w:rPr>
        <w:t xml:space="preserve">population of people with no significant mental health problems and no perceived need for </w:t>
      </w:r>
      <w:r w:rsidR="003232F2">
        <w:rPr>
          <w:rFonts w:ascii="Times New Roman" w:hAnsi="Times New Roman"/>
          <w:sz w:val="20"/>
          <w:szCs w:val="20"/>
        </w:rPr>
        <w:t>services</w:t>
      </w:r>
      <w:r w:rsidR="00983AE7">
        <w:rPr>
          <w:rFonts w:ascii="Times New Roman" w:hAnsi="Times New Roman"/>
          <w:sz w:val="20"/>
          <w:szCs w:val="20"/>
        </w:rPr>
        <w:t xml:space="preserve">, while those </w:t>
      </w:r>
      <w:r w:rsidR="00D57BF7">
        <w:rPr>
          <w:rFonts w:ascii="Times New Roman" w:hAnsi="Times New Roman"/>
          <w:sz w:val="20"/>
          <w:szCs w:val="20"/>
        </w:rPr>
        <w:t>who do not recover</w:t>
      </w:r>
      <w:r w:rsidR="00983AE7">
        <w:rPr>
          <w:rFonts w:ascii="Times New Roman" w:hAnsi="Times New Roman"/>
          <w:sz w:val="20"/>
          <w:szCs w:val="20"/>
        </w:rPr>
        <w:t xml:space="preserve"> </w:t>
      </w:r>
      <w:r w:rsidR="001C3FB1">
        <w:rPr>
          <w:rFonts w:ascii="Times New Roman" w:hAnsi="Times New Roman"/>
          <w:sz w:val="20"/>
          <w:szCs w:val="20"/>
        </w:rPr>
        <w:t>flow back into the stock labelled ‘Perceived need for care’ (</w:t>
      </w:r>
      <w:r w:rsidR="000405A0">
        <w:rPr>
          <w:rFonts w:ascii="Times New Roman" w:hAnsi="Times New Roman"/>
          <w:sz w:val="20"/>
          <w:szCs w:val="20"/>
        </w:rPr>
        <w:t xml:space="preserve">see Fig. S17; typically, </w:t>
      </w:r>
      <w:r w:rsidR="001C3FB1">
        <w:rPr>
          <w:rFonts w:ascii="Times New Roman" w:hAnsi="Times New Roman"/>
          <w:sz w:val="20"/>
          <w:szCs w:val="20"/>
        </w:rPr>
        <w:t>these patients will</w:t>
      </w:r>
      <w:r w:rsidR="00270B3D">
        <w:rPr>
          <w:rFonts w:ascii="Times New Roman" w:hAnsi="Times New Roman"/>
          <w:sz w:val="20"/>
          <w:szCs w:val="20"/>
        </w:rPr>
        <w:t xml:space="preserve"> </w:t>
      </w:r>
      <w:r w:rsidR="001C3FB1">
        <w:rPr>
          <w:rFonts w:ascii="Times New Roman" w:hAnsi="Times New Roman"/>
          <w:sz w:val="20"/>
          <w:szCs w:val="20"/>
        </w:rPr>
        <w:t xml:space="preserve">re-enter the </w:t>
      </w:r>
      <w:r w:rsidR="008B2EEF">
        <w:rPr>
          <w:rFonts w:ascii="Times New Roman" w:hAnsi="Times New Roman"/>
          <w:sz w:val="20"/>
          <w:szCs w:val="20"/>
        </w:rPr>
        <w:t>waiting stocks and the</w:t>
      </w:r>
      <w:r w:rsidR="003232F2">
        <w:rPr>
          <w:rFonts w:ascii="Times New Roman" w:hAnsi="Times New Roman"/>
          <w:sz w:val="20"/>
          <w:szCs w:val="20"/>
        </w:rPr>
        <w:t>n</w:t>
      </w:r>
      <w:r w:rsidR="008B2EEF">
        <w:rPr>
          <w:rFonts w:ascii="Times New Roman" w:hAnsi="Times New Roman"/>
          <w:sz w:val="20"/>
          <w:szCs w:val="20"/>
        </w:rPr>
        <w:t xml:space="preserve"> </w:t>
      </w:r>
      <w:r w:rsidR="003232F2">
        <w:rPr>
          <w:rFonts w:ascii="Times New Roman" w:hAnsi="Times New Roman"/>
          <w:sz w:val="20"/>
          <w:szCs w:val="20"/>
        </w:rPr>
        <w:t xml:space="preserve">flow into </w:t>
      </w:r>
      <w:r w:rsidR="008B2EEF">
        <w:rPr>
          <w:rFonts w:ascii="Times New Roman" w:hAnsi="Times New Roman"/>
          <w:sz w:val="20"/>
          <w:szCs w:val="20"/>
        </w:rPr>
        <w:t xml:space="preserve">the services stocks </w:t>
      </w:r>
      <w:r w:rsidR="003232F2">
        <w:rPr>
          <w:rFonts w:ascii="Times New Roman" w:hAnsi="Times New Roman"/>
          <w:sz w:val="20"/>
          <w:szCs w:val="20"/>
        </w:rPr>
        <w:t xml:space="preserve">again </w:t>
      </w:r>
      <w:r w:rsidR="008B2EEF">
        <w:rPr>
          <w:rFonts w:ascii="Times New Roman" w:hAnsi="Times New Roman"/>
          <w:sz w:val="20"/>
          <w:szCs w:val="20"/>
        </w:rPr>
        <w:t>at their next consultation</w:t>
      </w:r>
      <w:r w:rsidR="001C3FB1">
        <w:rPr>
          <w:rFonts w:ascii="Times New Roman" w:hAnsi="Times New Roman"/>
          <w:sz w:val="20"/>
          <w:szCs w:val="20"/>
        </w:rPr>
        <w:t>).</w:t>
      </w:r>
      <w:r w:rsidR="00F442AA">
        <w:rPr>
          <w:rFonts w:ascii="Times New Roman" w:hAnsi="Times New Roman"/>
          <w:sz w:val="20"/>
          <w:szCs w:val="20"/>
        </w:rPr>
        <w:t xml:space="preserve">  </w:t>
      </w:r>
      <w:r w:rsidR="001B57CC">
        <w:rPr>
          <w:rFonts w:ascii="Times New Roman" w:hAnsi="Times New Roman"/>
          <w:sz w:val="20"/>
          <w:szCs w:val="20"/>
        </w:rPr>
        <w:t>Mental</w:t>
      </w:r>
      <w:r w:rsidR="007A050F">
        <w:rPr>
          <w:rFonts w:ascii="Times New Roman" w:hAnsi="Times New Roman"/>
          <w:sz w:val="20"/>
          <w:szCs w:val="20"/>
        </w:rPr>
        <w:t xml:space="preserve"> </w:t>
      </w:r>
      <w:r w:rsidR="001B57CC">
        <w:rPr>
          <w:rFonts w:ascii="Times New Roman" w:hAnsi="Times New Roman"/>
          <w:sz w:val="20"/>
          <w:szCs w:val="20"/>
        </w:rPr>
        <w:t>health</w:t>
      </w:r>
      <w:r w:rsidR="007A050F">
        <w:rPr>
          <w:rFonts w:ascii="Times New Roman" w:hAnsi="Times New Roman"/>
          <w:sz w:val="20"/>
          <w:szCs w:val="20"/>
        </w:rPr>
        <w:t>-</w:t>
      </w:r>
      <w:r w:rsidR="001B57CC">
        <w:rPr>
          <w:rFonts w:ascii="Times New Roman" w:hAnsi="Times New Roman"/>
          <w:sz w:val="20"/>
          <w:szCs w:val="20"/>
        </w:rPr>
        <w:t>related emergency presentation and hospital</w:t>
      </w:r>
      <w:r w:rsidR="00270328">
        <w:rPr>
          <w:rFonts w:ascii="Times New Roman" w:hAnsi="Times New Roman"/>
          <w:sz w:val="20"/>
          <w:szCs w:val="20"/>
        </w:rPr>
        <w:t xml:space="preserve"> admission</w:t>
      </w:r>
      <w:r w:rsidR="001B57CC">
        <w:rPr>
          <w:rFonts w:ascii="Times New Roman" w:hAnsi="Times New Roman"/>
          <w:sz w:val="20"/>
          <w:szCs w:val="20"/>
        </w:rPr>
        <w:t xml:space="preserve"> rates </w:t>
      </w:r>
      <w:r w:rsidR="0055229F">
        <w:rPr>
          <w:rFonts w:ascii="Times New Roman" w:hAnsi="Times New Roman"/>
          <w:sz w:val="20"/>
          <w:szCs w:val="20"/>
        </w:rPr>
        <w:t xml:space="preserve">for each age group </w:t>
      </w:r>
      <w:r w:rsidR="001B57CC">
        <w:rPr>
          <w:rFonts w:ascii="Times New Roman" w:hAnsi="Times New Roman"/>
          <w:sz w:val="20"/>
          <w:szCs w:val="20"/>
        </w:rPr>
        <w:t xml:space="preserve">are calculated as </w:t>
      </w:r>
      <m:oMath>
        <m:sSub>
          <m:sSubPr>
            <m:ctrlPr>
              <w:rPr>
                <w:rFonts w:ascii="Cambria Math" w:hAnsi="Cambria Math"/>
                <w:i/>
                <w:sz w:val="20"/>
                <w:szCs w:val="20"/>
              </w:rPr>
            </m:ctrlPr>
          </m:sSubPr>
          <m:e>
            <m:r>
              <w:rPr>
                <w:rFonts w:ascii="Cambria Math" w:hAnsi="Cambria Math"/>
                <w:sz w:val="20"/>
                <w:szCs w:val="20"/>
              </w:rPr>
              <m:t>e</m:t>
            </m:r>
          </m:e>
          <m:sub>
            <m:r>
              <w:rPr>
                <w:rFonts w:ascii="Cambria Math" w:hAnsi="Cambria Math"/>
                <w:sz w:val="20"/>
                <w:szCs w:val="20"/>
              </w:rPr>
              <m:t>i</m:t>
            </m:r>
          </m:sub>
        </m:sSub>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i</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i</m:t>
                </m:r>
              </m:sub>
            </m:sSub>
          </m:e>
        </m:d>
        <m:r>
          <w:rPr>
            <w:rFonts w:ascii="Cambria Math" w:hAnsi="Cambria Math"/>
            <w:sz w:val="20"/>
            <w:szCs w:val="20"/>
          </w:rPr>
          <m:t>+ϕ</m:t>
        </m:r>
        <m:sSub>
          <m:sSubPr>
            <m:ctrlPr>
              <w:rPr>
                <w:rFonts w:ascii="Cambria Math" w:hAnsi="Cambria Math"/>
                <w:i/>
                <w:sz w:val="20"/>
                <w:szCs w:val="20"/>
              </w:rPr>
            </m:ctrlPr>
          </m:sSubPr>
          <m:e>
            <m:r>
              <w:rPr>
                <w:rFonts w:ascii="Cambria Math" w:hAnsi="Cambria Math"/>
                <w:sz w:val="20"/>
                <w:szCs w:val="20"/>
              </w:rPr>
              <m:t>e</m:t>
            </m:r>
          </m:e>
          <m:sub>
            <m:r>
              <w:rPr>
                <w:rFonts w:ascii="Cambria Math" w:hAnsi="Cambria Math"/>
                <w:sz w:val="20"/>
                <w:szCs w:val="20"/>
              </w:rPr>
              <m:t>i</m:t>
            </m:r>
          </m:sub>
        </m:sSub>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i</m:t>
            </m:r>
          </m:sub>
        </m:sSub>
      </m:oMath>
      <w:r w:rsidR="00CD2791">
        <w:rPr>
          <w:rFonts w:ascii="Times New Roman" w:hAnsi="Times New Roman"/>
          <w:sz w:val="20"/>
          <w:szCs w:val="20"/>
        </w:rPr>
        <w:t xml:space="preserve"> and </w:t>
      </w:r>
      <m:oMath>
        <m:sSub>
          <m:sSubPr>
            <m:ctrlPr>
              <w:rPr>
                <w:rFonts w:ascii="Cambria Math" w:hAnsi="Cambria Math"/>
                <w:i/>
                <w:sz w:val="20"/>
                <w:szCs w:val="20"/>
              </w:rPr>
            </m:ctrlPr>
          </m:sSubPr>
          <m:e>
            <m:r>
              <w:rPr>
                <w:rFonts w:ascii="Cambria Math" w:hAnsi="Cambria Math"/>
                <w:sz w:val="20"/>
                <w:szCs w:val="20"/>
              </w:rPr>
              <m:t>h</m:t>
            </m:r>
          </m:e>
          <m:sub>
            <m:r>
              <w:rPr>
                <w:rFonts w:ascii="Cambria Math" w:hAnsi="Cambria Math"/>
                <w:sz w:val="20"/>
                <w:szCs w:val="20"/>
              </w:rPr>
              <m:t>i</m:t>
            </m:r>
          </m:sub>
        </m:sSub>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i</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i</m:t>
                </m:r>
              </m:sub>
            </m:sSub>
          </m:e>
        </m:d>
        <m:r>
          <w:rPr>
            <w:rFonts w:ascii="Cambria Math" w:hAnsi="Cambria Math"/>
            <w:sz w:val="20"/>
            <w:szCs w:val="20"/>
          </w:rPr>
          <m:t>+ψ</m:t>
        </m:r>
        <m:sSub>
          <m:sSubPr>
            <m:ctrlPr>
              <w:rPr>
                <w:rFonts w:ascii="Cambria Math" w:hAnsi="Cambria Math"/>
                <w:i/>
                <w:sz w:val="20"/>
                <w:szCs w:val="20"/>
              </w:rPr>
            </m:ctrlPr>
          </m:sSubPr>
          <m:e>
            <m:r>
              <w:rPr>
                <w:rFonts w:ascii="Cambria Math" w:hAnsi="Cambria Math"/>
                <w:sz w:val="20"/>
                <w:szCs w:val="20"/>
              </w:rPr>
              <m:t>h</m:t>
            </m:r>
          </m:e>
          <m:sub>
            <m:r>
              <w:rPr>
                <w:rFonts w:ascii="Cambria Math" w:hAnsi="Cambria Math"/>
                <w:sz w:val="20"/>
                <w:szCs w:val="20"/>
              </w:rPr>
              <m:t>i</m:t>
            </m:r>
          </m:sub>
        </m:sSub>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i</m:t>
            </m:r>
          </m:sub>
        </m:sSub>
      </m:oMath>
      <w:r w:rsidR="00CD2791">
        <w:rPr>
          <w:rFonts w:ascii="Times New Roman" w:hAnsi="Times New Roman"/>
          <w:sz w:val="20"/>
          <w:szCs w:val="20"/>
        </w:rPr>
        <w:t>, respectively, where</w:t>
      </w:r>
      <w:r w:rsidR="008963C6">
        <w:rPr>
          <w:rFonts w:ascii="Times New Roman" w:hAnsi="Times New Roman"/>
          <w:sz w:val="20"/>
          <w:szCs w:val="20"/>
        </w:rPr>
        <w:t xml:space="preserve"> </w:t>
      </w:r>
      <m:oMath>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i</m:t>
            </m:r>
          </m:sub>
        </m:sSub>
      </m:oMath>
      <w:r w:rsidR="008963C6">
        <w:rPr>
          <w:rFonts w:ascii="Times New Roman" w:hAnsi="Times New Roman"/>
          <w:sz w:val="20"/>
          <w:szCs w:val="20"/>
        </w:rPr>
        <w:t xml:space="preserve"> is th</w:t>
      </w:r>
      <w:r w:rsidR="00270B3D">
        <w:rPr>
          <w:rFonts w:ascii="Times New Roman" w:hAnsi="Times New Roman"/>
          <w:sz w:val="20"/>
          <w:szCs w:val="20"/>
        </w:rPr>
        <w:t>e</w:t>
      </w:r>
      <w:r w:rsidR="00D57BF7">
        <w:rPr>
          <w:rFonts w:ascii="Times New Roman" w:hAnsi="Times New Roman"/>
          <w:sz w:val="20"/>
          <w:szCs w:val="20"/>
        </w:rPr>
        <w:t xml:space="preserve"> </w:t>
      </w:r>
      <w:r w:rsidR="0055229F">
        <w:rPr>
          <w:rFonts w:ascii="Times New Roman" w:hAnsi="Times New Roman"/>
          <w:sz w:val="20"/>
          <w:szCs w:val="20"/>
        </w:rPr>
        <w:t xml:space="preserve">total </w:t>
      </w:r>
      <w:r w:rsidR="008963C6">
        <w:rPr>
          <w:rFonts w:ascii="Times New Roman" w:hAnsi="Times New Roman"/>
          <w:sz w:val="20"/>
          <w:szCs w:val="20"/>
        </w:rPr>
        <w:t xml:space="preserve">number of people in age group </w:t>
      </w:r>
      <m:oMath>
        <m:r>
          <w:rPr>
            <w:rFonts w:ascii="Cambria Math" w:hAnsi="Cambria Math"/>
            <w:sz w:val="20"/>
            <w:szCs w:val="20"/>
          </w:rPr>
          <m:t>i</m:t>
        </m:r>
      </m:oMath>
      <w:r w:rsidR="008963C6">
        <w:rPr>
          <w:rFonts w:ascii="Times New Roman" w:hAnsi="Times New Roman"/>
          <w:sz w:val="20"/>
          <w:szCs w:val="20"/>
        </w:rPr>
        <w:t xml:space="preserve"> in the population, </w:t>
      </w:r>
      <m:oMath>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i</m:t>
            </m:r>
          </m:sub>
        </m:sSub>
      </m:oMath>
      <w:r w:rsidR="008963C6">
        <w:rPr>
          <w:rFonts w:ascii="Times New Roman" w:hAnsi="Times New Roman"/>
          <w:sz w:val="20"/>
          <w:szCs w:val="20"/>
        </w:rPr>
        <w:t xml:space="preserve"> is the number of people in age group </w:t>
      </w:r>
      <m:oMath>
        <m:r>
          <w:rPr>
            <w:rFonts w:ascii="Cambria Math" w:hAnsi="Cambria Math"/>
            <w:sz w:val="20"/>
            <w:szCs w:val="20"/>
          </w:rPr>
          <m:t>i</m:t>
        </m:r>
      </m:oMath>
      <w:r w:rsidR="008963C6">
        <w:rPr>
          <w:rFonts w:ascii="Times New Roman" w:hAnsi="Times New Roman"/>
          <w:sz w:val="20"/>
          <w:szCs w:val="20"/>
        </w:rPr>
        <w:t xml:space="preserve"> with significant mental health problems, </w:t>
      </w:r>
      <m:oMath>
        <m:sSub>
          <m:sSubPr>
            <m:ctrlPr>
              <w:rPr>
                <w:rFonts w:ascii="Cambria Math" w:hAnsi="Cambria Math"/>
                <w:i/>
                <w:sz w:val="20"/>
                <w:szCs w:val="20"/>
              </w:rPr>
            </m:ctrlPr>
          </m:sSubPr>
          <m:e>
            <m:r>
              <w:rPr>
                <w:rFonts w:ascii="Cambria Math" w:hAnsi="Cambria Math"/>
                <w:sz w:val="20"/>
                <w:szCs w:val="20"/>
              </w:rPr>
              <m:t>e</m:t>
            </m:r>
          </m:e>
          <m:sub>
            <m:r>
              <w:rPr>
                <w:rFonts w:ascii="Cambria Math" w:hAnsi="Cambria Math"/>
                <w:sz w:val="20"/>
                <w:szCs w:val="20"/>
              </w:rPr>
              <m:t>i</m:t>
            </m:r>
          </m:sub>
        </m:sSub>
      </m:oMath>
      <w:r w:rsidR="00A91AEF">
        <w:rPr>
          <w:rFonts w:ascii="Times New Roman" w:hAnsi="Times New Roman"/>
          <w:sz w:val="20"/>
          <w:szCs w:val="20"/>
        </w:rPr>
        <w:t xml:space="preserve"> and </w:t>
      </w:r>
      <m:oMath>
        <m:sSub>
          <m:sSubPr>
            <m:ctrlPr>
              <w:rPr>
                <w:rFonts w:ascii="Cambria Math" w:hAnsi="Cambria Math"/>
                <w:i/>
                <w:sz w:val="20"/>
                <w:szCs w:val="20"/>
              </w:rPr>
            </m:ctrlPr>
          </m:sSubPr>
          <m:e>
            <m:r>
              <w:rPr>
                <w:rFonts w:ascii="Cambria Math" w:hAnsi="Cambria Math"/>
                <w:sz w:val="20"/>
                <w:szCs w:val="20"/>
              </w:rPr>
              <m:t>h</m:t>
            </m:r>
          </m:e>
          <m:sub>
            <m:r>
              <w:rPr>
                <w:rFonts w:ascii="Cambria Math" w:hAnsi="Cambria Math"/>
                <w:sz w:val="20"/>
                <w:szCs w:val="20"/>
              </w:rPr>
              <m:t>i</m:t>
            </m:r>
          </m:sub>
        </m:sSub>
      </m:oMath>
      <w:r w:rsidR="00A91AEF">
        <w:rPr>
          <w:rFonts w:ascii="Times New Roman" w:hAnsi="Times New Roman"/>
          <w:sz w:val="20"/>
          <w:szCs w:val="20"/>
        </w:rPr>
        <w:t xml:space="preserve"> are, respectively, the age-specific per capita emergency presentation rate and the age-specific per capita hospital</w:t>
      </w:r>
      <w:r w:rsidR="00D57BF7">
        <w:rPr>
          <w:rFonts w:ascii="Times New Roman" w:hAnsi="Times New Roman"/>
          <w:sz w:val="20"/>
          <w:szCs w:val="20"/>
        </w:rPr>
        <w:t>isation</w:t>
      </w:r>
      <w:r w:rsidR="00A91AEF">
        <w:rPr>
          <w:rFonts w:ascii="Times New Roman" w:hAnsi="Times New Roman"/>
          <w:sz w:val="20"/>
          <w:szCs w:val="20"/>
        </w:rPr>
        <w:t xml:space="preserve"> rate for people</w:t>
      </w:r>
      <w:r w:rsidR="00270B3D">
        <w:rPr>
          <w:rFonts w:ascii="Times New Roman" w:hAnsi="Times New Roman"/>
          <w:sz w:val="20"/>
          <w:szCs w:val="20"/>
        </w:rPr>
        <w:t xml:space="preserve"> </w:t>
      </w:r>
      <w:r w:rsidR="00D57BF7">
        <w:rPr>
          <w:rFonts w:ascii="Times New Roman" w:hAnsi="Times New Roman"/>
          <w:sz w:val="20"/>
          <w:szCs w:val="20"/>
        </w:rPr>
        <w:t xml:space="preserve">without </w:t>
      </w:r>
      <w:r w:rsidR="00A91AEF">
        <w:rPr>
          <w:rFonts w:ascii="Times New Roman" w:hAnsi="Times New Roman"/>
          <w:sz w:val="20"/>
          <w:szCs w:val="20"/>
        </w:rPr>
        <w:t>significant mental health problems, and the rate ratio</w:t>
      </w:r>
      <w:r w:rsidR="001D44E1">
        <w:rPr>
          <w:rFonts w:ascii="Times New Roman" w:hAnsi="Times New Roman"/>
          <w:sz w:val="20"/>
          <w:szCs w:val="20"/>
        </w:rPr>
        <w:t>s</w:t>
      </w:r>
      <w:r w:rsidR="00A91AEF">
        <w:rPr>
          <w:rFonts w:ascii="Times New Roman" w:hAnsi="Times New Roman"/>
          <w:sz w:val="20"/>
          <w:szCs w:val="20"/>
        </w:rPr>
        <w:t xml:space="preserve"> </w:t>
      </w:r>
      <m:oMath>
        <m:r>
          <w:rPr>
            <w:rFonts w:ascii="Cambria Math" w:hAnsi="Cambria Math"/>
            <w:sz w:val="20"/>
            <w:szCs w:val="20"/>
          </w:rPr>
          <m:t>ϕ</m:t>
        </m:r>
      </m:oMath>
      <w:r w:rsidR="000F4B23">
        <w:rPr>
          <w:rFonts w:ascii="Times New Roman" w:hAnsi="Times New Roman"/>
          <w:sz w:val="20"/>
          <w:szCs w:val="20"/>
        </w:rPr>
        <w:t xml:space="preserve"> </w:t>
      </w:r>
      <w:r w:rsidR="001D44E1">
        <w:rPr>
          <w:rFonts w:ascii="Times New Roman" w:hAnsi="Times New Roman"/>
          <w:sz w:val="20"/>
          <w:szCs w:val="20"/>
        </w:rPr>
        <w:t xml:space="preserve">and </w:t>
      </w:r>
      <m:oMath>
        <m:r>
          <w:rPr>
            <w:rFonts w:ascii="Cambria Math" w:hAnsi="Cambria Math"/>
            <w:sz w:val="20"/>
            <w:szCs w:val="20"/>
          </w:rPr>
          <m:t>ψ</m:t>
        </m:r>
      </m:oMath>
      <w:r w:rsidR="001D44E1">
        <w:rPr>
          <w:rFonts w:ascii="Times New Roman" w:hAnsi="Times New Roman"/>
          <w:sz w:val="20"/>
          <w:szCs w:val="20"/>
        </w:rPr>
        <w:t xml:space="preserve"> are </w:t>
      </w:r>
      <w:r w:rsidR="00A91AEF">
        <w:rPr>
          <w:rFonts w:ascii="Times New Roman" w:hAnsi="Times New Roman"/>
          <w:sz w:val="20"/>
          <w:szCs w:val="20"/>
        </w:rPr>
        <w:t xml:space="preserve">substantially </w:t>
      </w:r>
      <w:r w:rsidR="000405A0">
        <w:rPr>
          <w:rFonts w:ascii="Times New Roman" w:hAnsi="Times New Roman"/>
          <w:sz w:val="20"/>
          <w:szCs w:val="20"/>
        </w:rPr>
        <w:t>greater</w:t>
      </w:r>
      <w:r w:rsidR="00A91AEF">
        <w:rPr>
          <w:rFonts w:ascii="Times New Roman" w:hAnsi="Times New Roman"/>
          <w:sz w:val="20"/>
          <w:szCs w:val="20"/>
        </w:rPr>
        <w:t xml:space="preserve"> than 1 (i.e., people</w:t>
      </w:r>
      <w:r w:rsidR="000405A0">
        <w:rPr>
          <w:rFonts w:ascii="Times New Roman" w:hAnsi="Times New Roman"/>
          <w:sz w:val="20"/>
          <w:szCs w:val="20"/>
        </w:rPr>
        <w:t xml:space="preserve"> with</w:t>
      </w:r>
      <w:r w:rsidR="00A91AEF">
        <w:rPr>
          <w:rFonts w:ascii="Times New Roman" w:hAnsi="Times New Roman"/>
          <w:sz w:val="20"/>
          <w:szCs w:val="20"/>
        </w:rPr>
        <w:t xml:space="preserve"> significant mental health problems</w:t>
      </w:r>
      <w:r w:rsidR="001D44E1">
        <w:rPr>
          <w:rFonts w:ascii="Times New Roman" w:hAnsi="Times New Roman"/>
          <w:sz w:val="20"/>
          <w:szCs w:val="20"/>
        </w:rPr>
        <w:t xml:space="preserve"> </w:t>
      </w:r>
      <w:r w:rsidR="000405A0">
        <w:rPr>
          <w:rFonts w:ascii="Times New Roman" w:hAnsi="Times New Roman"/>
          <w:sz w:val="20"/>
          <w:szCs w:val="20"/>
        </w:rPr>
        <w:t xml:space="preserve">are assumed to </w:t>
      </w:r>
      <w:r w:rsidR="000F4B23">
        <w:rPr>
          <w:rFonts w:ascii="Times New Roman" w:hAnsi="Times New Roman"/>
          <w:sz w:val="20"/>
          <w:szCs w:val="20"/>
        </w:rPr>
        <w:t xml:space="preserve">have substantially </w:t>
      </w:r>
      <w:r w:rsidR="00A91AEF">
        <w:rPr>
          <w:rFonts w:ascii="Times New Roman" w:hAnsi="Times New Roman"/>
          <w:sz w:val="20"/>
          <w:szCs w:val="20"/>
        </w:rPr>
        <w:t>higher per capita</w:t>
      </w:r>
      <w:r w:rsidR="001D44E1">
        <w:rPr>
          <w:rFonts w:ascii="Times New Roman" w:hAnsi="Times New Roman"/>
          <w:sz w:val="20"/>
          <w:szCs w:val="20"/>
        </w:rPr>
        <w:t xml:space="preserve"> </w:t>
      </w:r>
      <w:r w:rsidR="000405A0">
        <w:rPr>
          <w:rFonts w:ascii="Times New Roman" w:hAnsi="Times New Roman"/>
          <w:sz w:val="20"/>
          <w:szCs w:val="20"/>
        </w:rPr>
        <w:t xml:space="preserve">emergency </w:t>
      </w:r>
      <w:r w:rsidR="00A91AEF">
        <w:rPr>
          <w:rFonts w:ascii="Times New Roman" w:hAnsi="Times New Roman"/>
          <w:sz w:val="20"/>
          <w:szCs w:val="20"/>
        </w:rPr>
        <w:t>presentation and hospita</w:t>
      </w:r>
      <w:r w:rsidR="000405A0">
        <w:rPr>
          <w:rFonts w:ascii="Times New Roman" w:hAnsi="Times New Roman"/>
          <w:sz w:val="20"/>
          <w:szCs w:val="20"/>
        </w:rPr>
        <w:t>lisation</w:t>
      </w:r>
      <w:r w:rsidR="00A91AEF">
        <w:rPr>
          <w:rFonts w:ascii="Times New Roman" w:hAnsi="Times New Roman"/>
          <w:sz w:val="20"/>
          <w:szCs w:val="20"/>
        </w:rPr>
        <w:t xml:space="preserve"> rates than people</w:t>
      </w:r>
      <w:r w:rsidR="00822101">
        <w:rPr>
          <w:rFonts w:ascii="Times New Roman" w:hAnsi="Times New Roman"/>
          <w:sz w:val="20"/>
          <w:szCs w:val="20"/>
        </w:rPr>
        <w:t xml:space="preserve"> with no</w:t>
      </w:r>
      <w:r w:rsidR="001D44E1">
        <w:rPr>
          <w:rFonts w:ascii="Times New Roman" w:hAnsi="Times New Roman"/>
          <w:sz w:val="20"/>
          <w:szCs w:val="20"/>
        </w:rPr>
        <w:t xml:space="preserve"> </w:t>
      </w:r>
      <w:r w:rsidR="00A91AEF">
        <w:rPr>
          <w:rFonts w:ascii="Times New Roman" w:hAnsi="Times New Roman"/>
          <w:sz w:val="20"/>
          <w:szCs w:val="20"/>
        </w:rPr>
        <w:t xml:space="preserve">mental health problems).  </w:t>
      </w:r>
      <w:r w:rsidR="000405A0">
        <w:rPr>
          <w:rFonts w:ascii="Times New Roman" w:hAnsi="Times New Roman"/>
          <w:sz w:val="20"/>
          <w:szCs w:val="20"/>
        </w:rPr>
        <w:t>M</w:t>
      </w:r>
      <w:r w:rsidR="00D57BF7">
        <w:rPr>
          <w:rFonts w:ascii="Times New Roman" w:hAnsi="Times New Roman"/>
          <w:sz w:val="20"/>
          <w:szCs w:val="20"/>
        </w:rPr>
        <w:t xml:space="preserve">odel-based estimates of selected health services outcomes </w:t>
      </w:r>
      <w:r w:rsidR="000405A0">
        <w:rPr>
          <w:rFonts w:ascii="Times New Roman" w:hAnsi="Times New Roman"/>
          <w:sz w:val="20"/>
          <w:szCs w:val="20"/>
        </w:rPr>
        <w:t xml:space="preserve">are presented in Fig. S18, together with </w:t>
      </w:r>
      <w:r w:rsidR="00D57BF7">
        <w:rPr>
          <w:rFonts w:ascii="Times New Roman" w:hAnsi="Times New Roman"/>
          <w:sz w:val="20"/>
          <w:szCs w:val="20"/>
        </w:rPr>
        <w:t xml:space="preserve">empirical estimates derived from the </w:t>
      </w:r>
      <w:r w:rsidR="00DC47DC">
        <w:rPr>
          <w:rFonts w:ascii="Times New Roman" w:hAnsi="Times New Roman"/>
          <w:sz w:val="20"/>
          <w:szCs w:val="20"/>
        </w:rPr>
        <w:t>National Quality of Life Survey and Individual Registries for Health Service Provision</w:t>
      </w:r>
      <w:r w:rsidR="000405A0">
        <w:rPr>
          <w:rFonts w:ascii="Times New Roman" w:hAnsi="Times New Roman"/>
          <w:sz w:val="20"/>
          <w:szCs w:val="20"/>
        </w:rPr>
        <w:t xml:space="preserve"> </w:t>
      </w:r>
      <w:r w:rsidR="00F2162D">
        <w:rPr>
          <w:rFonts w:ascii="Times New Roman" w:hAnsi="Times New Roman"/>
          <w:sz w:val="20"/>
          <w:szCs w:val="20"/>
        </w:rPr>
        <w:t>data</w:t>
      </w:r>
      <w:r w:rsidR="00DC47DC">
        <w:rPr>
          <w:rFonts w:ascii="Times New Roman" w:hAnsi="Times New Roman"/>
          <w:sz w:val="20"/>
          <w:szCs w:val="20"/>
        </w:rPr>
        <w:t>.</w:t>
      </w:r>
    </w:p>
    <w:p w14:paraId="50AD0050" w14:textId="77777777" w:rsidR="00587277" w:rsidRDefault="00587277" w:rsidP="00FE09B6">
      <w:pPr>
        <w:spacing w:line="480" w:lineRule="auto"/>
        <w:rPr>
          <w:rFonts w:ascii="Times New Roman" w:hAnsi="Times New Roman"/>
          <w:sz w:val="20"/>
          <w:szCs w:val="20"/>
        </w:rPr>
      </w:pPr>
    </w:p>
    <w:p w14:paraId="3DACA1B6" w14:textId="0C003A0D" w:rsidR="00645530" w:rsidRPr="00645530" w:rsidRDefault="00645530" w:rsidP="00FE09B6">
      <w:pPr>
        <w:spacing w:line="480" w:lineRule="auto"/>
        <w:rPr>
          <w:rFonts w:ascii="Times New Roman" w:hAnsi="Times New Roman"/>
          <w:i/>
          <w:iCs/>
          <w:sz w:val="20"/>
          <w:szCs w:val="20"/>
        </w:rPr>
      </w:pPr>
      <w:r w:rsidRPr="00645530">
        <w:rPr>
          <w:rFonts w:ascii="Times New Roman" w:hAnsi="Times New Roman"/>
          <w:i/>
          <w:iCs/>
          <w:sz w:val="20"/>
          <w:szCs w:val="20"/>
        </w:rPr>
        <w:t>1.11.  Suicidal behaviour sector</w:t>
      </w:r>
    </w:p>
    <w:p w14:paraId="609CBE79" w14:textId="77777777" w:rsidR="00324A9A" w:rsidRDefault="00F52E5C" w:rsidP="00FE09B6">
      <w:pPr>
        <w:spacing w:line="480" w:lineRule="auto"/>
        <w:rPr>
          <w:rFonts w:ascii="Times New Roman" w:hAnsi="Times New Roman"/>
          <w:sz w:val="20"/>
          <w:szCs w:val="20"/>
        </w:rPr>
      </w:pPr>
      <w:r>
        <w:rPr>
          <w:rFonts w:ascii="Times New Roman" w:hAnsi="Times New Roman"/>
          <w:sz w:val="20"/>
          <w:szCs w:val="20"/>
        </w:rPr>
        <w:t>Fig. S19 presents the structure of the suicidal behaviour sector, which models initial and repeat suicide attempts and suicide mortality.</w:t>
      </w:r>
      <w:r w:rsidR="00C67BE8">
        <w:rPr>
          <w:rFonts w:ascii="Times New Roman" w:hAnsi="Times New Roman"/>
          <w:sz w:val="20"/>
          <w:szCs w:val="20"/>
        </w:rPr>
        <w:t xml:space="preserve">  </w:t>
      </w:r>
      <w:r w:rsidR="00C10598">
        <w:rPr>
          <w:rFonts w:ascii="Times New Roman" w:hAnsi="Times New Roman"/>
          <w:sz w:val="20"/>
          <w:szCs w:val="20"/>
        </w:rPr>
        <w:t xml:space="preserve">Age-specific numbers of suicide attempts per year are calculated as </w:t>
      </w:r>
      <m:oMath>
        <m:nary>
          <m:naryPr>
            <m:chr m:val="∑"/>
            <m:limLoc m:val="undOvr"/>
            <m:supHide m:val="1"/>
            <m:ctrlPr>
              <w:rPr>
                <w:rFonts w:ascii="Cambria Math" w:hAnsi="Cambria Math"/>
                <w:i/>
                <w:sz w:val="20"/>
                <w:szCs w:val="20"/>
              </w:rPr>
            </m:ctrlPr>
          </m:naryPr>
          <m:sub>
            <m:r>
              <w:rPr>
                <w:rFonts w:ascii="Cambria Math" w:hAnsi="Cambria Math"/>
                <w:sz w:val="20"/>
                <w:szCs w:val="20"/>
              </w:rPr>
              <m:t>i</m:t>
            </m:r>
          </m:sub>
          <m:sup/>
          <m:e>
            <m:sSub>
              <m:sSubPr>
                <m:ctrlPr>
                  <w:rPr>
                    <w:rFonts w:ascii="Cambria Math" w:hAnsi="Cambria Math"/>
                    <w:i/>
                    <w:sz w:val="20"/>
                    <w:szCs w:val="20"/>
                  </w:rPr>
                </m:ctrlPr>
              </m:sSubPr>
              <m:e>
                <m:r>
                  <w:rPr>
                    <w:rFonts w:ascii="Cambria Math" w:hAnsi="Cambria Math"/>
                    <w:sz w:val="20"/>
                    <w:szCs w:val="20"/>
                  </w:rPr>
                  <m:t>θ</m:t>
                </m:r>
              </m:e>
              <m:sub>
                <m:r>
                  <w:rPr>
                    <w:rFonts w:ascii="Cambria Math" w:hAnsi="Cambria Math"/>
                    <w:sz w:val="20"/>
                    <w:szCs w:val="20"/>
                  </w:rPr>
                  <m:t>i</m:t>
                </m:r>
              </m:sub>
            </m:sSub>
            <m:r>
              <w:rPr>
                <w:rFonts w:ascii="Cambria Math" w:hAnsi="Cambria Math"/>
                <w:sz w:val="20"/>
                <w:szCs w:val="20"/>
              </w:rPr>
              <m:t>s</m:t>
            </m:r>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D</m:t>
                    </m:r>
                  </m:e>
                  <m:sub>
                    <m:r>
                      <w:rPr>
                        <w:rFonts w:ascii="Cambria Math" w:hAnsi="Cambria Math"/>
                        <w:sz w:val="20"/>
                        <w:szCs w:val="20"/>
                      </w:rPr>
                      <m:t>i</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R</m:t>
                    </m:r>
                  </m:e>
                  <m:sub>
                    <m:r>
                      <w:rPr>
                        <w:rFonts w:ascii="Cambria Math" w:hAnsi="Cambria Math"/>
                        <w:sz w:val="20"/>
                        <w:szCs w:val="20"/>
                      </w:rPr>
                      <m:t>i</m:t>
                    </m:r>
                  </m:sub>
                </m:sSub>
              </m:e>
            </m:d>
            <m:r>
              <w:rPr>
                <w:rFonts w:ascii="Cambria Math" w:hAnsi="Cambria Math"/>
                <w:sz w:val="20"/>
                <w:szCs w:val="20"/>
              </w:rPr>
              <m:t>+λ</m:t>
            </m:r>
            <m:nary>
              <m:naryPr>
                <m:chr m:val="∑"/>
                <m:limLoc m:val="undOvr"/>
                <m:supHide m:val="1"/>
                <m:ctrlPr>
                  <w:rPr>
                    <w:rFonts w:ascii="Cambria Math" w:hAnsi="Cambria Math"/>
                    <w:i/>
                    <w:sz w:val="20"/>
                    <w:szCs w:val="20"/>
                  </w:rPr>
                </m:ctrlPr>
              </m:naryPr>
              <m:sub>
                <m:r>
                  <w:rPr>
                    <w:rFonts w:ascii="Cambria Math" w:hAnsi="Cambria Math"/>
                    <w:sz w:val="20"/>
                    <w:szCs w:val="20"/>
                  </w:rPr>
                  <m:t>i</m:t>
                </m:r>
              </m:sub>
              <m:sup/>
              <m:e>
                <m:sSub>
                  <m:sSubPr>
                    <m:ctrlPr>
                      <w:rPr>
                        <w:rFonts w:ascii="Cambria Math" w:hAnsi="Cambria Math"/>
                        <w:i/>
                        <w:sz w:val="20"/>
                        <w:szCs w:val="20"/>
                      </w:rPr>
                    </m:ctrlPr>
                  </m:sSubPr>
                  <m:e>
                    <m:r>
                      <w:rPr>
                        <w:rFonts w:ascii="Cambria Math" w:hAnsi="Cambria Math"/>
                        <w:sz w:val="20"/>
                        <w:szCs w:val="20"/>
                      </w:rPr>
                      <m:t>R</m:t>
                    </m:r>
                  </m:e>
                  <m:sub>
                    <m:r>
                      <w:rPr>
                        <w:rFonts w:ascii="Cambria Math" w:hAnsi="Cambria Math"/>
                        <w:sz w:val="20"/>
                        <w:szCs w:val="20"/>
                      </w:rPr>
                      <m:t>i</m:t>
                    </m:r>
                  </m:sub>
                </m:sSub>
              </m:e>
            </m:nary>
          </m:e>
        </m:nary>
      </m:oMath>
      <w:r w:rsidR="00DA40CF">
        <w:rPr>
          <w:rFonts w:ascii="Times New Roman" w:hAnsi="Times New Roman"/>
          <w:sz w:val="20"/>
          <w:szCs w:val="20"/>
        </w:rPr>
        <w:t xml:space="preserve">, where </w:t>
      </w:r>
      <m:oMath>
        <m:sSub>
          <m:sSubPr>
            <m:ctrlPr>
              <w:rPr>
                <w:rFonts w:ascii="Cambria Math" w:hAnsi="Cambria Math"/>
                <w:i/>
                <w:sz w:val="20"/>
                <w:szCs w:val="20"/>
              </w:rPr>
            </m:ctrlPr>
          </m:sSubPr>
          <m:e>
            <m:r>
              <w:rPr>
                <w:rFonts w:ascii="Cambria Math" w:hAnsi="Cambria Math"/>
                <w:sz w:val="20"/>
                <w:szCs w:val="20"/>
              </w:rPr>
              <m:t>D</m:t>
            </m:r>
          </m:e>
          <m:sub>
            <m:r>
              <w:rPr>
                <w:rFonts w:ascii="Cambria Math" w:hAnsi="Cambria Math"/>
                <w:sz w:val="20"/>
                <w:szCs w:val="20"/>
              </w:rPr>
              <m:t>i</m:t>
            </m:r>
          </m:sub>
        </m:sSub>
      </m:oMath>
      <w:r w:rsidR="000E7E40">
        <w:rPr>
          <w:rFonts w:ascii="Times New Roman" w:hAnsi="Times New Roman"/>
          <w:sz w:val="20"/>
          <w:szCs w:val="20"/>
        </w:rPr>
        <w:t xml:space="preserve"> is the number of people with symptom level </w:t>
      </w:r>
      <m:oMath>
        <m:r>
          <w:rPr>
            <w:rFonts w:ascii="Cambria Math" w:hAnsi="Cambria Math"/>
            <w:sz w:val="20"/>
            <w:szCs w:val="20"/>
          </w:rPr>
          <m:t>i</m:t>
        </m:r>
      </m:oMath>
      <w:r w:rsidR="000E7E40">
        <w:rPr>
          <w:rFonts w:ascii="Times New Roman" w:hAnsi="Times New Roman"/>
          <w:sz w:val="20"/>
          <w:szCs w:val="20"/>
        </w:rPr>
        <w:t xml:space="preserve"> (</w:t>
      </w:r>
      <w:r w:rsidR="00917A71">
        <w:rPr>
          <w:rFonts w:ascii="Times New Roman" w:hAnsi="Times New Roman"/>
          <w:sz w:val="20"/>
          <w:szCs w:val="20"/>
        </w:rPr>
        <w:t xml:space="preserve">either </w:t>
      </w:r>
      <w:r w:rsidR="000E7E40">
        <w:rPr>
          <w:rFonts w:ascii="Times New Roman" w:hAnsi="Times New Roman"/>
          <w:sz w:val="20"/>
          <w:szCs w:val="20"/>
        </w:rPr>
        <w:t xml:space="preserve">significant mental health problems or no </w:t>
      </w:r>
    </w:p>
    <w:p w14:paraId="40C2D439" w14:textId="77777777" w:rsidR="00324A9A" w:rsidRDefault="00324A9A" w:rsidP="00324A9A">
      <w:pPr>
        <w:spacing w:line="480" w:lineRule="auto"/>
        <w:rPr>
          <w:rFonts w:ascii="Times New Roman" w:hAnsi="Times New Roman"/>
          <w:sz w:val="20"/>
          <w:szCs w:val="20"/>
        </w:rPr>
      </w:pPr>
      <w:r>
        <w:rPr>
          <w:rFonts w:ascii="Times New Roman" w:hAnsi="Times New Roman"/>
          <w:noProof/>
          <w:sz w:val="20"/>
          <w:szCs w:val="20"/>
        </w:rPr>
        <w:lastRenderedPageBreak/>
        <w:drawing>
          <wp:inline distT="0" distB="0" distL="0" distR="0" wp14:anchorId="7C6C1B4F" wp14:editId="6C24AA8B">
            <wp:extent cx="5731510" cy="4912722"/>
            <wp:effectExtent l="0" t="0" r="2540" b="2540"/>
            <wp:docPr id="9821602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160242" name="Picture 3"/>
                    <pic:cNvPicPr/>
                  </pic:nvPicPr>
                  <pic:blipFill>
                    <a:blip r:embed="rId25"/>
                    <a:stretch>
                      <a:fillRect/>
                    </a:stretch>
                  </pic:blipFill>
                  <pic:spPr>
                    <a:xfrm>
                      <a:off x="0" y="0"/>
                      <a:ext cx="5731510" cy="4912722"/>
                    </a:xfrm>
                    <a:prstGeom prst="rect">
                      <a:avLst/>
                    </a:prstGeom>
                  </pic:spPr>
                </pic:pic>
              </a:graphicData>
            </a:graphic>
          </wp:inline>
        </w:drawing>
      </w:r>
    </w:p>
    <w:p w14:paraId="0D547729" w14:textId="77777777" w:rsidR="00324A9A" w:rsidRDefault="00324A9A" w:rsidP="00324A9A">
      <w:pPr>
        <w:spacing w:line="480" w:lineRule="auto"/>
        <w:rPr>
          <w:rFonts w:ascii="Times New Roman" w:hAnsi="Times New Roman"/>
          <w:sz w:val="20"/>
          <w:szCs w:val="20"/>
        </w:rPr>
      </w:pPr>
      <w:r>
        <w:rPr>
          <w:rFonts w:ascii="Times New Roman" w:hAnsi="Times New Roman"/>
          <w:sz w:val="20"/>
          <w:szCs w:val="20"/>
        </w:rPr>
        <w:t xml:space="preserve">Fig. S18.  Estimates of selected health services outcomes derived from the system dynamics model and from the National Quality of Life Survey (ECV; available at: </w:t>
      </w:r>
      <w:r w:rsidRPr="008E7A2F">
        <w:rPr>
          <w:rFonts w:ascii="Times New Roman" w:hAnsi="Times New Roman"/>
          <w:sz w:val="20"/>
          <w:szCs w:val="20"/>
        </w:rPr>
        <w:t>https://www.dane.gov.co/</w:t>
      </w:r>
      <w:r>
        <w:rPr>
          <w:rFonts w:ascii="Times New Roman" w:hAnsi="Times New Roman"/>
          <w:sz w:val="20"/>
          <w:szCs w:val="20"/>
        </w:rPr>
        <w:t>) and the Individual Registries for Health Service Provision (RIPS).</w:t>
      </w:r>
    </w:p>
    <w:p w14:paraId="7181AEEB" w14:textId="77777777" w:rsidR="00324A9A" w:rsidRDefault="00324A9A" w:rsidP="00FE09B6">
      <w:pPr>
        <w:spacing w:line="480" w:lineRule="auto"/>
        <w:rPr>
          <w:rFonts w:ascii="Times New Roman" w:hAnsi="Times New Roman"/>
          <w:sz w:val="20"/>
          <w:szCs w:val="20"/>
        </w:rPr>
      </w:pPr>
    </w:p>
    <w:p w14:paraId="7C5209F2" w14:textId="77777777" w:rsidR="00324A9A" w:rsidRDefault="000E7E40" w:rsidP="00FE09B6">
      <w:pPr>
        <w:spacing w:line="480" w:lineRule="auto"/>
        <w:rPr>
          <w:rFonts w:ascii="Times New Roman" w:hAnsi="Times New Roman"/>
          <w:sz w:val="20"/>
          <w:szCs w:val="20"/>
        </w:rPr>
      </w:pPr>
      <w:r>
        <w:rPr>
          <w:rFonts w:ascii="Times New Roman" w:hAnsi="Times New Roman"/>
          <w:sz w:val="20"/>
          <w:szCs w:val="20"/>
        </w:rPr>
        <w:t>significant mental health problems) in the</w:t>
      </w:r>
      <w:r w:rsidR="00587277">
        <w:rPr>
          <w:rFonts w:ascii="Times New Roman" w:hAnsi="Times New Roman"/>
          <w:sz w:val="20"/>
          <w:szCs w:val="20"/>
        </w:rPr>
        <w:t xml:space="preserve"> </w:t>
      </w:r>
      <w:r>
        <w:rPr>
          <w:rFonts w:ascii="Times New Roman" w:hAnsi="Times New Roman"/>
          <w:sz w:val="20"/>
          <w:szCs w:val="20"/>
        </w:rPr>
        <w:t xml:space="preserve">population, </w:t>
      </w:r>
      <m:oMath>
        <m:sSub>
          <m:sSubPr>
            <m:ctrlPr>
              <w:rPr>
                <w:rFonts w:ascii="Cambria Math" w:hAnsi="Cambria Math"/>
                <w:i/>
                <w:sz w:val="20"/>
                <w:szCs w:val="20"/>
              </w:rPr>
            </m:ctrlPr>
          </m:sSubPr>
          <m:e>
            <m:r>
              <w:rPr>
                <w:rFonts w:ascii="Cambria Math" w:hAnsi="Cambria Math"/>
                <w:sz w:val="20"/>
                <w:szCs w:val="20"/>
              </w:rPr>
              <m:t>R</m:t>
            </m:r>
          </m:e>
          <m:sub>
            <m:r>
              <w:rPr>
                <w:rFonts w:ascii="Cambria Math" w:hAnsi="Cambria Math"/>
                <w:sz w:val="20"/>
                <w:szCs w:val="20"/>
              </w:rPr>
              <m:t>i</m:t>
            </m:r>
          </m:sub>
        </m:sSub>
      </m:oMath>
      <w:r>
        <w:rPr>
          <w:rFonts w:ascii="Times New Roman" w:hAnsi="Times New Roman"/>
          <w:sz w:val="20"/>
          <w:szCs w:val="20"/>
        </w:rPr>
        <w:t xml:space="preserve"> is the number of people with symptom level </w:t>
      </w:r>
      <m:oMath>
        <m:r>
          <w:rPr>
            <w:rFonts w:ascii="Cambria Math" w:hAnsi="Cambria Math"/>
            <w:sz w:val="20"/>
            <w:szCs w:val="20"/>
          </w:rPr>
          <m:t>i</m:t>
        </m:r>
      </m:oMath>
      <w:r>
        <w:rPr>
          <w:rFonts w:ascii="Times New Roman" w:hAnsi="Times New Roman"/>
          <w:sz w:val="20"/>
          <w:szCs w:val="20"/>
        </w:rPr>
        <w:t xml:space="preserve"> who have made a recent suicide attempt (within the past year),</w:t>
      </w:r>
      <w:r w:rsidR="001D44E1">
        <w:rPr>
          <w:rFonts w:ascii="Times New Roman" w:hAnsi="Times New Roman"/>
          <w:sz w:val="20"/>
          <w:szCs w:val="20"/>
        </w:rPr>
        <w:t xml:space="preserve"> </w:t>
      </w:r>
      <m:oMath>
        <m:r>
          <w:rPr>
            <w:rFonts w:ascii="Cambria Math" w:hAnsi="Cambria Math"/>
            <w:sz w:val="20"/>
            <w:szCs w:val="20"/>
          </w:rPr>
          <m:t>λ</m:t>
        </m:r>
      </m:oMath>
      <w:r w:rsidR="001D44E1">
        <w:rPr>
          <w:rFonts w:ascii="Times New Roman" w:hAnsi="Times New Roman"/>
          <w:sz w:val="20"/>
          <w:szCs w:val="20"/>
        </w:rPr>
        <w:t xml:space="preserve"> is the per capita repeat suicide attempt rate per year,</w:t>
      </w:r>
      <w:r>
        <w:rPr>
          <w:rFonts w:ascii="Times New Roman" w:hAnsi="Times New Roman"/>
          <w:sz w:val="20"/>
          <w:szCs w:val="20"/>
        </w:rPr>
        <w:t xml:space="preserve"> </w:t>
      </w:r>
      <m:oMath>
        <m:r>
          <w:rPr>
            <w:rFonts w:ascii="Cambria Math" w:hAnsi="Cambria Math"/>
            <w:sz w:val="20"/>
            <w:szCs w:val="20"/>
          </w:rPr>
          <m:t>s</m:t>
        </m:r>
      </m:oMath>
      <w:r w:rsidR="001D44E1">
        <w:rPr>
          <w:rFonts w:ascii="Times New Roman" w:hAnsi="Times New Roman"/>
          <w:sz w:val="20"/>
          <w:szCs w:val="20"/>
        </w:rPr>
        <w:t xml:space="preserve"> is the per capita</w:t>
      </w:r>
      <w:r w:rsidR="004E1B9F">
        <w:rPr>
          <w:rFonts w:ascii="Times New Roman" w:hAnsi="Times New Roman"/>
          <w:sz w:val="20"/>
          <w:szCs w:val="20"/>
        </w:rPr>
        <w:t xml:space="preserve"> </w:t>
      </w:r>
      <w:r w:rsidR="001D44E1">
        <w:rPr>
          <w:rFonts w:ascii="Times New Roman" w:hAnsi="Times New Roman"/>
          <w:sz w:val="20"/>
          <w:szCs w:val="20"/>
        </w:rPr>
        <w:t xml:space="preserve">suicide attempt rate </w:t>
      </w:r>
      <w:r w:rsidR="00917A71">
        <w:rPr>
          <w:rFonts w:ascii="Times New Roman" w:hAnsi="Times New Roman"/>
          <w:sz w:val="20"/>
          <w:szCs w:val="20"/>
        </w:rPr>
        <w:t xml:space="preserve">per year </w:t>
      </w:r>
      <w:r w:rsidR="001D44E1">
        <w:rPr>
          <w:rFonts w:ascii="Times New Roman" w:hAnsi="Times New Roman"/>
          <w:sz w:val="20"/>
          <w:szCs w:val="20"/>
        </w:rPr>
        <w:t xml:space="preserve">for people with no significant mental health problems and no </w:t>
      </w:r>
      <w:r w:rsidR="004E1B9F">
        <w:rPr>
          <w:rFonts w:ascii="Times New Roman" w:hAnsi="Times New Roman"/>
          <w:sz w:val="20"/>
          <w:szCs w:val="20"/>
        </w:rPr>
        <w:t xml:space="preserve">history of </w:t>
      </w:r>
      <w:r w:rsidR="001D44E1">
        <w:rPr>
          <w:rFonts w:ascii="Times New Roman" w:hAnsi="Times New Roman"/>
          <w:sz w:val="20"/>
          <w:szCs w:val="20"/>
        </w:rPr>
        <w:t xml:space="preserve">recent (past-year) suicidal behaviour, and the rate ratio </w:t>
      </w:r>
      <m:oMath>
        <m:sSub>
          <m:sSubPr>
            <m:ctrlPr>
              <w:rPr>
                <w:rFonts w:ascii="Cambria Math" w:hAnsi="Cambria Math"/>
                <w:i/>
                <w:sz w:val="20"/>
                <w:szCs w:val="20"/>
              </w:rPr>
            </m:ctrlPr>
          </m:sSubPr>
          <m:e>
            <m:r>
              <w:rPr>
                <w:rFonts w:ascii="Cambria Math" w:hAnsi="Cambria Math"/>
                <w:sz w:val="20"/>
                <w:szCs w:val="20"/>
              </w:rPr>
              <m:t>θ</m:t>
            </m:r>
          </m:e>
          <m:sub>
            <m:r>
              <w:rPr>
                <w:rFonts w:ascii="Cambria Math" w:hAnsi="Cambria Math"/>
                <w:sz w:val="20"/>
                <w:szCs w:val="20"/>
              </w:rPr>
              <m:t>i</m:t>
            </m:r>
          </m:sub>
        </m:sSub>
      </m:oMath>
      <w:r w:rsidR="001E1928">
        <w:rPr>
          <w:rFonts w:ascii="Times New Roman" w:hAnsi="Times New Roman"/>
          <w:sz w:val="20"/>
          <w:szCs w:val="20"/>
        </w:rPr>
        <w:t xml:space="preserve"> is </w:t>
      </w:r>
      <w:r w:rsidR="00FB6E8D">
        <w:rPr>
          <w:rFonts w:ascii="Times New Roman" w:hAnsi="Times New Roman"/>
          <w:sz w:val="20"/>
          <w:szCs w:val="20"/>
        </w:rPr>
        <w:t xml:space="preserve">equal </w:t>
      </w:r>
      <w:r w:rsidR="001E1928">
        <w:rPr>
          <w:rFonts w:ascii="Times New Roman" w:hAnsi="Times New Roman"/>
          <w:sz w:val="20"/>
          <w:szCs w:val="20"/>
        </w:rPr>
        <w:t>to 1 for people with</w:t>
      </w:r>
      <w:r w:rsidR="00FB6E8D">
        <w:rPr>
          <w:rFonts w:ascii="Times New Roman" w:hAnsi="Times New Roman"/>
          <w:sz w:val="20"/>
          <w:szCs w:val="20"/>
        </w:rPr>
        <w:t xml:space="preserve"> no</w:t>
      </w:r>
      <w:r w:rsidR="001E1928">
        <w:rPr>
          <w:rFonts w:ascii="Times New Roman" w:hAnsi="Times New Roman"/>
          <w:sz w:val="20"/>
          <w:szCs w:val="20"/>
        </w:rPr>
        <w:t xml:space="preserve"> significant mental health problems and substantially more than 1 for people </w:t>
      </w:r>
      <w:r w:rsidR="00FB6E8D">
        <w:rPr>
          <w:rFonts w:ascii="Times New Roman" w:hAnsi="Times New Roman"/>
          <w:sz w:val="20"/>
          <w:szCs w:val="20"/>
        </w:rPr>
        <w:t>experiencing significant</w:t>
      </w:r>
      <w:r w:rsidR="001E1928">
        <w:rPr>
          <w:rFonts w:ascii="Times New Roman" w:hAnsi="Times New Roman"/>
          <w:sz w:val="20"/>
          <w:szCs w:val="20"/>
        </w:rPr>
        <w:t xml:space="preserve"> mental health problems (people </w:t>
      </w:r>
      <w:r w:rsidR="00181D5F">
        <w:rPr>
          <w:rFonts w:ascii="Times New Roman" w:hAnsi="Times New Roman"/>
          <w:sz w:val="20"/>
          <w:szCs w:val="20"/>
        </w:rPr>
        <w:t>with</w:t>
      </w:r>
      <w:r w:rsidR="001E1928">
        <w:rPr>
          <w:rFonts w:ascii="Times New Roman" w:hAnsi="Times New Roman"/>
          <w:sz w:val="20"/>
          <w:szCs w:val="20"/>
        </w:rPr>
        <w:t xml:space="preserve"> significant mental health problems </w:t>
      </w:r>
      <w:r w:rsidR="00181D5F">
        <w:rPr>
          <w:rFonts w:ascii="Times New Roman" w:hAnsi="Times New Roman"/>
          <w:sz w:val="20"/>
          <w:szCs w:val="20"/>
        </w:rPr>
        <w:t xml:space="preserve">are assumed to </w:t>
      </w:r>
      <w:r w:rsidR="001E1928">
        <w:rPr>
          <w:rFonts w:ascii="Times New Roman" w:hAnsi="Times New Roman"/>
          <w:sz w:val="20"/>
          <w:szCs w:val="20"/>
        </w:rPr>
        <w:t xml:space="preserve">have a substantially higher per capita </w:t>
      </w:r>
      <w:r w:rsidR="00181D5F">
        <w:rPr>
          <w:rFonts w:ascii="Times New Roman" w:hAnsi="Times New Roman"/>
          <w:sz w:val="20"/>
          <w:szCs w:val="20"/>
        </w:rPr>
        <w:t xml:space="preserve">initial </w:t>
      </w:r>
      <w:r w:rsidR="001E1928">
        <w:rPr>
          <w:rFonts w:ascii="Times New Roman" w:hAnsi="Times New Roman"/>
          <w:sz w:val="20"/>
          <w:szCs w:val="20"/>
        </w:rPr>
        <w:t xml:space="preserve">attempt rate than those with </w:t>
      </w:r>
      <w:r w:rsidR="00FB6E8D">
        <w:rPr>
          <w:rFonts w:ascii="Times New Roman" w:hAnsi="Times New Roman"/>
          <w:sz w:val="20"/>
          <w:szCs w:val="20"/>
        </w:rPr>
        <w:t>no</w:t>
      </w:r>
      <w:r w:rsidR="001E1928">
        <w:rPr>
          <w:rFonts w:ascii="Times New Roman" w:hAnsi="Times New Roman"/>
          <w:sz w:val="20"/>
          <w:szCs w:val="20"/>
        </w:rPr>
        <w:t xml:space="preserve"> </w:t>
      </w:r>
      <w:r w:rsidR="00181D5F">
        <w:rPr>
          <w:rFonts w:ascii="Times New Roman" w:hAnsi="Times New Roman"/>
          <w:sz w:val="20"/>
          <w:szCs w:val="20"/>
        </w:rPr>
        <w:t xml:space="preserve">significant </w:t>
      </w:r>
      <w:r w:rsidR="001E1928">
        <w:rPr>
          <w:rFonts w:ascii="Times New Roman" w:hAnsi="Times New Roman"/>
          <w:sz w:val="20"/>
          <w:szCs w:val="20"/>
        </w:rPr>
        <w:t>mental health problems</w:t>
      </w:r>
      <w:r w:rsidR="00B7465E">
        <w:rPr>
          <w:rFonts w:ascii="Times New Roman" w:hAnsi="Times New Roman"/>
          <w:sz w:val="20"/>
          <w:szCs w:val="20"/>
        </w:rPr>
        <w:t>; Too et al., 2019</w:t>
      </w:r>
      <w:r w:rsidR="001E1928">
        <w:rPr>
          <w:rFonts w:ascii="Times New Roman" w:hAnsi="Times New Roman"/>
          <w:sz w:val="20"/>
          <w:szCs w:val="20"/>
        </w:rPr>
        <w:t>).</w:t>
      </w:r>
      <w:r w:rsidR="00982305">
        <w:rPr>
          <w:rFonts w:ascii="Times New Roman" w:hAnsi="Times New Roman"/>
          <w:sz w:val="20"/>
          <w:szCs w:val="20"/>
        </w:rPr>
        <w:t xml:space="preserve">  </w:t>
      </w:r>
      <w:r w:rsidR="009820DD">
        <w:rPr>
          <w:rFonts w:ascii="Times New Roman" w:hAnsi="Times New Roman"/>
          <w:sz w:val="20"/>
          <w:szCs w:val="20"/>
        </w:rPr>
        <w:t xml:space="preserve">The number of suicide deaths per year </w:t>
      </w:r>
      <w:r w:rsidR="00181D5F">
        <w:rPr>
          <w:rFonts w:ascii="Times New Roman" w:hAnsi="Times New Roman"/>
          <w:sz w:val="20"/>
          <w:szCs w:val="20"/>
        </w:rPr>
        <w:t xml:space="preserve">in each age group </w:t>
      </w:r>
      <w:r w:rsidR="009820DD">
        <w:rPr>
          <w:rFonts w:ascii="Times New Roman" w:hAnsi="Times New Roman"/>
          <w:sz w:val="20"/>
          <w:szCs w:val="20"/>
        </w:rPr>
        <w:t xml:space="preserve">is </w:t>
      </w:r>
      <w:r w:rsidR="00982305">
        <w:rPr>
          <w:rFonts w:ascii="Times New Roman" w:hAnsi="Times New Roman"/>
          <w:sz w:val="20"/>
          <w:szCs w:val="20"/>
        </w:rPr>
        <w:t>equal to</w:t>
      </w:r>
      <w:r w:rsidR="009820DD">
        <w:rPr>
          <w:rFonts w:ascii="Times New Roman" w:hAnsi="Times New Roman"/>
          <w:sz w:val="20"/>
          <w:szCs w:val="20"/>
        </w:rPr>
        <w:t xml:space="preserve"> </w:t>
      </w:r>
      <m:oMath>
        <m:r>
          <w:rPr>
            <w:rFonts w:ascii="Cambria Math" w:hAnsi="Cambria Math"/>
            <w:sz w:val="20"/>
            <w:szCs w:val="20"/>
          </w:rPr>
          <m:t>γa</m:t>
        </m:r>
      </m:oMath>
      <w:r w:rsidR="009820DD">
        <w:rPr>
          <w:rFonts w:ascii="Times New Roman" w:hAnsi="Times New Roman"/>
          <w:sz w:val="20"/>
          <w:szCs w:val="20"/>
        </w:rPr>
        <w:t xml:space="preserve">, where </w:t>
      </w:r>
      <m:oMath>
        <m:r>
          <w:rPr>
            <w:rFonts w:ascii="Cambria Math" w:hAnsi="Cambria Math"/>
            <w:sz w:val="20"/>
            <w:szCs w:val="20"/>
          </w:rPr>
          <m:t>a</m:t>
        </m:r>
      </m:oMath>
      <w:r w:rsidR="009820DD">
        <w:rPr>
          <w:rFonts w:ascii="Times New Roman" w:hAnsi="Times New Roman"/>
          <w:sz w:val="20"/>
          <w:szCs w:val="20"/>
        </w:rPr>
        <w:t xml:space="preserve"> is the age-specific suicide attempt</w:t>
      </w:r>
      <w:r w:rsidR="00181D5F">
        <w:rPr>
          <w:rFonts w:ascii="Times New Roman" w:hAnsi="Times New Roman"/>
          <w:sz w:val="20"/>
          <w:szCs w:val="20"/>
        </w:rPr>
        <w:t xml:space="preserve"> rate</w:t>
      </w:r>
      <w:r w:rsidR="009820DD">
        <w:rPr>
          <w:rFonts w:ascii="Times New Roman" w:hAnsi="Times New Roman"/>
          <w:sz w:val="20"/>
          <w:szCs w:val="20"/>
        </w:rPr>
        <w:t xml:space="preserve"> per year </w:t>
      </w:r>
      <w:r w:rsidR="00181D5F">
        <w:rPr>
          <w:rFonts w:ascii="Times New Roman" w:hAnsi="Times New Roman"/>
          <w:sz w:val="20"/>
          <w:szCs w:val="20"/>
        </w:rPr>
        <w:t xml:space="preserve">(initial attempts and repeat attempts per year) </w:t>
      </w:r>
      <w:r w:rsidR="009820DD">
        <w:rPr>
          <w:rFonts w:ascii="Times New Roman" w:hAnsi="Times New Roman"/>
          <w:sz w:val="20"/>
          <w:szCs w:val="20"/>
        </w:rPr>
        <w:t xml:space="preserve">and </w:t>
      </w:r>
      <m:oMath>
        <m:r>
          <w:rPr>
            <w:rFonts w:ascii="Cambria Math" w:hAnsi="Cambria Math"/>
            <w:sz w:val="20"/>
            <w:szCs w:val="20"/>
          </w:rPr>
          <m:t>γ</m:t>
        </m:r>
      </m:oMath>
      <w:r w:rsidR="009820DD">
        <w:rPr>
          <w:rFonts w:ascii="Times New Roman" w:hAnsi="Times New Roman"/>
          <w:sz w:val="20"/>
          <w:szCs w:val="20"/>
        </w:rPr>
        <w:t xml:space="preserve"> is age-specific attempt lethality (i.e., the proportion of </w:t>
      </w:r>
    </w:p>
    <w:p w14:paraId="7A53E703" w14:textId="77777777" w:rsidR="00324A9A" w:rsidRDefault="00324A9A" w:rsidP="00324A9A">
      <w:pPr>
        <w:spacing w:line="480" w:lineRule="auto"/>
        <w:rPr>
          <w:rFonts w:ascii="Times New Roman" w:hAnsi="Times New Roman"/>
          <w:sz w:val="20"/>
          <w:szCs w:val="20"/>
        </w:rPr>
      </w:pPr>
      <w:r>
        <w:rPr>
          <w:rFonts w:ascii="Times New Roman" w:hAnsi="Times New Roman"/>
          <w:noProof/>
          <w:sz w:val="20"/>
          <w:szCs w:val="20"/>
        </w:rPr>
        <w:lastRenderedPageBreak/>
        <w:drawing>
          <wp:inline distT="0" distB="0" distL="0" distR="0" wp14:anchorId="45D40545" wp14:editId="71DB019A">
            <wp:extent cx="5731510" cy="2834005"/>
            <wp:effectExtent l="0" t="0" r="2540" b="4445"/>
            <wp:docPr id="1687454958" name="Picture 1" descr="A computer screen shot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454958" name="Picture 1" descr="A computer screen shot of a diagram&#10;&#10;Description automatically generated"/>
                    <pic:cNvPicPr/>
                  </pic:nvPicPr>
                  <pic:blipFill>
                    <a:blip r:embed="rId26"/>
                    <a:stretch>
                      <a:fillRect/>
                    </a:stretch>
                  </pic:blipFill>
                  <pic:spPr>
                    <a:xfrm>
                      <a:off x="0" y="0"/>
                      <a:ext cx="5731510" cy="2834005"/>
                    </a:xfrm>
                    <a:prstGeom prst="rect">
                      <a:avLst/>
                    </a:prstGeom>
                  </pic:spPr>
                </pic:pic>
              </a:graphicData>
            </a:graphic>
          </wp:inline>
        </w:drawing>
      </w:r>
    </w:p>
    <w:p w14:paraId="7FD2675B" w14:textId="77777777" w:rsidR="00324A9A" w:rsidRDefault="00324A9A" w:rsidP="00324A9A">
      <w:pPr>
        <w:spacing w:line="480" w:lineRule="auto"/>
        <w:rPr>
          <w:rFonts w:ascii="Times New Roman" w:hAnsi="Times New Roman"/>
          <w:sz w:val="20"/>
          <w:szCs w:val="20"/>
        </w:rPr>
      </w:pPr>
      <w:r>
        <w:rPr>
          <w:rFonts w:ascii="Times New Roman" w:hAnsi="Times New Roman"/>
          <w:sz w:val="20"/>
          <w:szCs w:val="20"/>
        </w:rPr>
        <w:t>Fig. S19.  Structure of the suicidal behaviour sector.  Modelled factors that influence the index suicide attempt rate are listed in the text box.</w:t>
      </w:r>
    </w:p>
    <w:p w14:paraId="520EF8CF" w14:textId="77777777" w:rsidR="00324A9A" w:rsidRDefault="00324A9A" w:rsidP="00FE09B6">
      <w:pPr>
        <w:spacing w:line="480" w:lineRule="auto"/>
        <w:rPr>
          <w:rFonts w:ascii="Times New Roman" w:hAnsi="Times New Roman"/>
          <w:sz w:val="20"/>
          <w:szCs w:val="20"/>
        </w:rPr>
      </w:pPr>
    </w:p>
    <w:p w14:paraId="7BFBBCA6" w14:textId="5D138CD7" w:rsidR="00D173E2" w:rsidRDefault="009820DD" w:rsidP="00FE09B6">
      <w:pPr>
        <w:spacing w:line="480" w:lineRule="auto"/>
        <w:rPr>
          <w:rFonts w:ascii="Times New Roman" w:hAnsi="Times New Roman"/>
          <w:sz w:val="20"/>
          <w:szCs w:val="20"/>
        </w:rPr>
      </w:pPr>
      <w:r>
        <w:rPr>
          <w:rFonts w:ascii="Times New Roman" w:hAnsi="Times New Roman"/>
          <w:sz w:val="20"/>
          <w:szCs w:val="20"/>
        </w:rPr>
        <w:t xml:space="preserve">suicide attempts that are fatal).  </w:t>
      </w:r>
      <w:r w:rsidR="00A47043">
        <w:rPr>
          <w:rFonts w:ascii="Times New Roman" w:hAnsi="Times New Roman"/>
          <w:sz w:val="20"/>
          <w:szCs w:val="20"/>
        </w:rPr>
        <w:t xml:space="preserve">Suicide </w:t>
      </w:r>
      <w:r w:rsidR="00E3453A">
        <w:rPr>
          <w:rFonts w:ascii="Times New Roman" w:hAnsi="Times New Roman"/>
          <w:sz w:val="20"/>
          <w:szCs w:val="20"/>
        </w:rPr>
        <w:t xml:space="preserve">mortality </w:t>
      </w:r>
      <w:r w:rsidR="00A47043">
        <w:rPr>
          <w:rFonts w:ascii="Times New Roman" w:hAnsi="Times New Roman"/>
          <w:sz w:val="20"/>
          <w:szCs w:val="20"/>
        </w:rPr>
        <w:t>and</w:t>
      </w:r>
      <w:r w:rsidR="00E3453A">
        <w:rPr>
          <w:rFonts w:ascii="Times New Roman" w:hAnsi="Times New Roman"/>
          <w:sz w:val="20"/>
          <w:szCs w:val="20"/>
        </w:rPr>
        <w:t xml:space="preserve"> </w:t>
      </w:r>
      <w:r w:rsidR="00A47043">
        <w:rPr>
          <w:rFonts w:ascii="Times New Roman" w:hAnsi="Times New Roman"/>
          <w:sz w:val="20"/>
          <w:szCs w:val="20"/>
        </w:rPr>
        <w:t>attempt rate estimates derived from the model and from</w:t>
      </w:r>
      <w:r w:rsidR="00E3453A">
        <w:rPr>
          <w:rFonts w:ascii="Times New Roman" w:hAnsi="Times New Roman"/>
          <w:sz w:val="20"/>
          <w:szCs w:val="20"/>
        </w:rPr>
        <w:t xml:space="preserve"> </w:t>
      </w:r>
      <w:r w:rsidR="00A47043" w:rsidRPr="005E242F">
        <w:rPr>
          <w:rFonts w:ascii="Times New Roman" w:hAnsi="Times New Roman"/>
          <w:sz w:val="20"/>
          <w:szCs w:val="20"/>
        </w:rPr>
        <w:t>National Institute of Legal Medicine and Forensic Sciences</w:t>
      </w:r>
      <w:r w:rsidR="00A47043">
        <w:rPr>
          <w:rFonts w:ascii="Times New Roman" w:hAnsi="Times New Roman"/>
          <w:sz w:val="20"/>
          <w:szCs w:val="20"/>
        </w:rPr>
        <w:t xml:space="preserve"> </w:t>
      </w:r>
      <w:r w:rsidR="00E3453A">
        <w:rPr>
          <w:rFonts w:ascii="Times New Roman" w:hAnsi="Times New Roman"/>
          <w:sz w:val="20"/>
          <w:szCs w:val="20"/>
        </w:rPr>
        <w:t xml:space="preserve">data and the Suicidal Behaviour Epidemiological Surveillance Subsystem </w:t>
      </w:r>
      <w:r w:rsidR="00A47043">
        <w:rPr>
          <w:rFonts w:ascii="Times New Roman" w:hAnsi="Times New Roman"/>
          <w:sz w:val="20"/>
          <w:szCs w:val="20"/>
        </w:rPr>
        <w:t>are presented in Fig. S20.</w:t>
      </w:r>
    </w:p>
    <w:p w14:paraId="1462FBB5" w14:textId="77777777" w:rsidR="00D173E2" w:rsidRDefault="00D173E2" w:rsidP="00FE09B6">
      <w:pPr>
        <w:spacing w:line="480" w:lineRule="auto"/>
        <w:rPr>
          <w:rFonts w:ascii="Times New Roman" w:hAnsi="Times New Roman"/>
          <w:sz w:val="20"/>
          <w:szCs w:val="20"/>
        </w:rPr>
      </w:pPr>
    </w:p>
    <w:p w14:paraId="3E9FE3AE" w14:textId="51D78006" w:rsidR="00D173E2" w:rsidRDefault="00D173E2" w:rsidP="00FE09B6">
      <w:pPr>
        <w:spacing w:line="480" w:lineRule="auto"/>
        <w:rPr>
          <w:rFonts w:ascii="Times New Roman" w:hAnsi="Times New Roman"/>
          <w:sz w:val="20"/>
          <w:szCs w:val="20"/>
        </w:rPr>
      </w:pPr>
      <w:r>
        <w:rPr>
          <w:rFonts w:ascii="Times New Roman" w:hAnsi="Times New Roman"/>
          <w:noProof/>
          <w:sz w:val="20"/>
          <w:szCs w:val="20"/>
        </w:rPr>
        <w:drawing>
          <wp:inline distT="0" distB="0" distL="0" distR="0" wp14:anchorId="53574C88" wp14:editId="6C001546">
            <wp:extent cx="5731086" cy="2456180"/>
            <wp:effectExtent l="0" t="0" r="3175" b="1270"/>
            <wp:docPr id="884397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39749" name="Picture 1"/>
                    <pic:cNvPicPr/>
                  </pic:nvPicPr>
                  <pic:blipFill>
                    <a:blip r:embed="rId27"/>
                    <a:stretch>
                      <a:fillRect/>
                    </a:stretch>
                  </pic:blipFill>
                  <pic:spPr>
                    <a:xfrm>
                      <a:off x="0" y="0"/>
                      <a:ext cx="5731086" cy="2456180"/>
                    </a:xfrm>
                    <a:prstGeom prst="rect">
                      <a:avLst/>
                    </a:prstGeom>
                  </pic:spPr>
                </pic:pic>
              </a:graphicData>
            </a:graphic>
          </wp:inline>
        </w:drawing>
      </w:r>
    </w:p>
    <w:p w14:paraId="1DA8B743" w14:textId="241E4CA8" w:rsidR="005E242F" w:rsidRDefault="00D173E2" w:rsidP="00FE09B6">
      <w:pPr>
        <w:spacing w:line="480" w:lineRule="auto"/>
        <w:rPr>
          <w:rFonts w:ascii="Times New Roman" w:hAnsi="Times New Roman"/>
          <w:sz w:val="20"/>
          <w:szCs w:val="20"/>
        </w:rPr>
      </w:pPr>
      <w:r>
        <w:rPr>
          <w:rFonts w:ascii="Times New Roman" w:hAnsi="Times New Roman"/>
          <w:sz w:val="20"/>
          <w:szCs w:val="20"/>
        </w:rPr>
        <w:t xml:space="preserve">Fig. S20.  </w:t>
      </w:r>
      <w:r w:rsidR="005E242F">
        <w:rPr>
          <w:rFonts w:ascii="Times New Roman" w:hAnsi="Times New Roman"/>
          <w:sz w:val="20"/>
          <w:szCs w:val="20"/>
        </w:rPr>
        <w:t>Suicide mortality (per 10</w:t>
      </w:r>
      <w:r w:rsidR="005E242F" w:rsidRPr="005E242F">
        <w:rPr>
          <w:rFonts w:ascii="Times New Roman" w:hAnsi="Times New Roman"/>
          <w:sz w:val="20"/>
          <w:szCs w:val="20"/>
          <w:vertAlign w:val="superscript"/>
        </w:rPr>
        <w:t>5</w:t>
      </w:r>
      <w:r w:rsidR="005E242F">
        <w:rPr>
          <w:rFonts w:ascii="Times New Roman" w:hAnsi="Times New Roman"/>
          <w:sz w:val="20"/>
          <w:szCs w:val="20"/>
        </w:rPr>
        <w:t xml:space="preserve"> population) and suicide attempt rate estimates (all ages) derived from the system dynamics model and from </w:t>
      </w:r>
      <w:r w:rsidR="005E242F" w:rsidRPr="005E242F">
        <w:rPr>
          <w:rFonts w:ascii="Times New Roman" w:hAnsi="Times New Roman"/>
          <w:sz w:val="20"/>
          <w:szCs w:val="20"/>
        </w:rPr>
        <w:t>National Institute of Legal Medicine and Forensic Sciences (INMLCF)</w:t>
      </w:r>
      <w:r w:rsidR="005E242F">
        <w:rPr>
          <w:rFonts w:ascii="Times New Roman" w:hAnsi="Times New Roman"/>
          <w:sz w:val="20"/>
          <w:szCs w:val="20"/>
        </w:rPr>
        <w:t xml:space="preserve"> </w:t>
      </w:r>
      <w:r w:rsidR="00BD3AFD">
        <w:rPr>
          <w:rFonts w:ascii="Times New Roman" w:hAnsi="Times New Roman"/>
          <w:sz w:val="20"/>
          <w:szCs w:val="20"/>
        </w:rPr>
        <w:t xml:space="preserve">data </w:t>
      </w:r>
      <w:r w:rsidR="005E242F">
        <w:rPr>
          <w:rFonts w:ascii="Times New Roman" w:hAnsi="Times New Roman"/>
          <w:sz w:val="20"/>
          <w:szCs w:val="20"/>
        </w:rPr>
        <w:t xml:space="preserve">and </w:t>
      </w:r>
      <w:r w:rsidR="00BD3AFD">
        <w:rPr>
          <w:rFonts w:ascii="Times New Roman" w:hAnsi="Times New Roman"/>
          <w:sz w:val="20"/>
          <w:szCs w:val="20"/>
        </w:rPr>
        <w:t>the Suicidal Behaviour Epidemiological Surveillance Subsystem</w:t>
      </w:r>
      <w:r w:rsidR="00BD3AFD" w:rsidRPr="001E45E1">
        <w:rPr>
          <w:rFonts w:ascii="Times New Roman" w:hAnsi="Times New Roman"/>
          <w:sz w:val="20"/>
          <w:szCs w:val="20"/>
        </w:rPr>
        <w:t xml:space="preserve"> (SISVECOS)</w:t>
      </w:r>
      <w:r w:rsidR="005E242F">
        <w:rPr>
          <w:rFonts w:ascii="Times New Roman" w:hAnsi="Times New Roman"/>
          <w:sz w:val="20"/>
          <w:szCs w:val="20"/>
        </w:rPr>
        <w:t>.</w:t>
      </w:r>
    </w:p>
    <w:p w14:paraId="2ADFE167" w14:textId="77777777" w:rsidR="00E67D70" w:rsidRDefault="00E67D70" w:rsidP="00FE09B6">
      <w:pPr>
        <w:spacing w:line="480" w:lineRule="auto"/>
        <w:rPr>
          <w:rFonts w:ascii="Times New Roman" w:hAnsi="Times New Roman"/>
          <w:sz w:val="20"/>
          <w:szCs w:val="20"/>
        </w:rPr>
      </w:pPr>
    </w:p>
    <w:p w14:paraId="5816F3F1" w14:textId="6A5BAA7B" w:rsidR="00BE174F" w:rsidRPr="00D32489" w:rsidRDefault="00BE174F" w:rsidP="00FE09B6">
      <w:pPr>
        <w:spacing w:line="480" w:lineRule="auto"/>
        <w:rPr>
          <w:rFonts w:ascii="Times New Roman" w:hAnsi="Times New Roman"/>
          <w:sz w:val="24"/>
          <w:szCs w:val="24"/>
        </w:rPr>
      </w:pPr>
      <w:r w:rsidRPr="00D32489">
        <w:rPr>
          <w:rFonts w:ascii="Times New Roman" w:hAnsi="Times New Roman"/>
          <w:sz w:val="24"/>
          <w:szCs w:val="24"/>
        </w:rPr>
        <w:lastRenderedPageBreak/>
        <w:t>References</w:t>
      </w:r>
    </w:p>
    <w:p w14:paraId="3940BEFE" w14:textId="109D31A7" w:rsidR="00253AC4" w:rsidRDefault="00253AC4" w:rsidP="00E32991">
      <w:pPr>
        <w:spacing w:line="480" w:lineRule="auto"/>
        <w:rPr>
          <w:rFonts w:ascii="Times New Roman" w:hAnsi="Times New Roman"/>
          <w:sz w:val="20"/>
          <w:szCs w:val="20"/>
        </w:rPr>
      </w:pPr>
      <w:r w:rsidRPr="001D21DF">
        <w:rPr>
          <w:rFonts w:ascii="Times New Roman" w:hAnsi="Times New Roman"/>
          <w:sz w:val="20"/>
          <w:szCs w:val="20"/>
        </w:rPr>
        <w:t xml:space="preserve">Aysa-Lastra, </w:t>
      </w:r>
      <w:r>
        <w:rPr>
          <w:rFonts w:ascii="Times New Roman" w:hAnsi="Times New Roman"/>
          <w:sz w:val="20"/>
          <w:szCs w:val="20"/>
        </w:rPr>
        <w:t xml:space="preserve">M., </w:t>
      </w:r>
      <w:r w:rsidRPr="001D21DF">
        <w:rPr>
          <w:rFonts w:ascii="Times New Roman" w:hAnsi="Times New Roman"/>
          <w:sz w:val="20"/>
          <w:szCs w:val="20"/>
        </w:rPr>
        <w:t>2005</w:t>
      </w:r>
      <w:r>
        <w:rPr>
          <w:rFonts w:ascii="Times New Roman" w:hAnsi="Times New Roman"/>
          <w:sz w:val="20"/>
          <w:szCs w:val="20"/>
        </w:rPr>
        <w:t xml:space="preserve">.  Selection, </w:t>
      </w:r>
      <w:proofErr w:type="gramStart"/>
      <w:r>
        <w:rPr>
          <w:rFonts w:ascii="Times New Roman" w:hAnsi="Times New Roman"/>
          <w:sz w:val="20"/>
          <w:szCs w:val="20"/>
        </w:rPr>
        <w:t>adaptation</w:t>
      </w:r>
      <w:proofErr w:type="gramEnd"/>
      <w:r>
        <w:rPr>
          <w:rFonts w:ascii="Times New Roman" w:hAnsi="Times New Roman"/>
          <w:sz w:val="20"/>
          <w:szCs w:val="20"/>
        </w:rPr>
        <w:t xml:space="preserve"> and vulnerability of internal forced migrants: a case study in Bogota, Colombia.  Doctoral dissertation, University of Pennsylvania.</w:t>
      </w:r>
    </w:p>
    <w:p w14:paraId="0BEBEB48" w14:textId="77777777" w:rsidR="00253AC4" w:rsidRDefault="00253AC4" w:rsidP="00E32991">
      <w:pPr>
        <w:spacing w:line="480" w:lineRule="auto"/>
        <w:rPr>
          <w:rFonts w:ascii="Times New Roman" w:hAnsi="Times New Roman"/>
          <w:sz w:val="20"/>
          <w:szCs w:val="20"/>
        </w:rPr>
      </w:pPr>
    </w:p>
    <w:p w14:paraId="62521E7D" w14:textId="03EBE63A" w:rsidR="00E32991" w:rsidRDefault="00E32991" w:rsidP="00E32991">
      <w:pPr>
        <w:spacing w:line="480" w:lineRule="auto"/>
        <w:rPr>
          <w:rFonts w:ascii="Times New Roman" w:hAnsi="Times New Roman"/>
          <w:sz w:val="20"/>
          <w:szCs w:val="20"/>
        </w:rPr>
      </w:pPr>
      <w:r>
        <w:rPr>
          <w:rFonts w:ascii="Times New Roman" w:hAnsi="Times New Roman"/>
          <w:sz w:val="20"/>
          <w:szCs w:val="20"/>
        </w:rPr>
        <w:t>Backlund, E., Sorlie, P. D., Johnson, N. J., 1999.  A comparison of the relationships of education and income with mortality: the national longitudinal mortality study.  Soc. Sci. Med. 49, 1373−1384.</w:t>
      </w:r>
    </w:p>
    <w:p w14:paraId="798AF125" w14:textId="77777777" w:rsidR="00E32991" w:rsidRDefault="00E32991" w:rsidP="00FE09B6">
      <w:pPr>
        <w:spacing w:line="480" w:lineRule="auto"/>
        <w:rPr>
          <w:rFonts w:ascii="Times New Roman" w:hAnsi="Times New Roman"/>
          <w:sz w:val="20"/>
          <w:szCs w:val="20"/>
        </w:rPr>
      </w:pPr>
    </w:p>
    <w:p w14:paraId="681C3B87" w14:textId="11DD802D" w:rsidR="00970E9E" w:rsidRDefault="00970E9E" w:rsidP="00FE09B6">
      <w:pPr>
        <w:spacing w:line="480" w:lineRule="auto"/>
        <w:rPr>
          <w:rFonts w:ascii="Times New Roman" w:hAnsi="Times New Roman"/>
          <w:sz w:val="20"/>
          <w:szCs w:val="20"/>
        </w:rPr>
      </w:pPr>
      <w:r>
        <w:rPr>
          <w:rFonts w:ascii="Times New Roman" w:hAnsi="Times New Roman"/>
          <w:sz w:val="20"/>
          <w:szCs w:val="20"/>
        </w:rPr>
        <w:t xml:space="preserve">Benjet, C., Sampson, L., Yu, S., Kessler, R. C., Zaslavsky, A., Evans-Lacko, S., Martins, S. S., Andrade, L. H., </w:t>
      </w:r>
      <w:r w:rsidR="006864AF">
        <w:rPr>
          <w:rFonts w:ascii="Times New Roman" w:hAnsi="Times New Roman"/>
          <w:sz w:val="20"/>
          <w:szCs w:val="20"/>
        </w:rPr>
        <w:t xml:space="preserve">Aguilar-Gaxiola, S., </w:t>
      </w:r>
      <w:r w:rsidR="005D78C1">
        <w:rPr>
          <w:rFonts w:ascii="Times New Roman" w:hAnsi="Times New Roman"/>
          <w:sz w:val="20"/>
          <w:szCs w:val="20"/>
        </w:rPr>
        <w:t xml:space="preserve">Cía, A., Medina-Mora, M. E., Stagnaro, J. C., Torres de Galvez, M. Y., </w:t>
      </w:r>
      <w:r w:rsidR="00590A61">
        <w:rPr>
          <w:rFonts w:ascii="Times New Roman" w:hAnsi="Times New Roman"/>
          <w:sz w:val="20"/>
          <w:szCs w:val="20"/>
        </w:rPr>
        <w:t>Viana, M. C., Galea, S., 2019.  Associations between neighbourhood-level violence and individual mental disorders</w:t>
      </w:r>
      <w:r w:rsidR="00967A4B">
        <w:rPr>
          <w:rFonts w:ascii="Times New Roman" w:hAnsi="Times New Roman"/>
          <w:sz w:val="20"/>
          <w:szCs w:val="20"/>
        </w:rPr>
        <w:t>: results from the World Mental Health surveys in five Latin American cities.  Psychiatry Res. 282, 112607.</w:t>
      </w:r>
    </w:p>
    <w:p w14:paraId="29A69D4D" w14:textId="77777777" w:rsidR="00B30301" w:rsidRDefault="00B30301" w:rsidP="00FE09B6">
      <w:pPr>
        <w:spacing w:line="480" w:lineRule="auto"/>
        <w:rPr>
          <w:rFonts w:ascii="Times New Roman" w:hAnsi="Times New Roman"/>
          <w:sz w:val="20"/>
          <w:szCs w:val="20"/>
        </w:rPr>
      </w:pPr>
    </w:p>
    <w:p w14:paraId="669D2576" w14:textId="1C67F7A9" w:rsidR="00B30301" w:rsidRDefault="00B30301" w:rsidP="00FE09B6">
      <w:pPr>
        <w:spacing w:line="480" w:lineRule="auto"/>
        <w:rPr>
          <w:rFonts w:ascii="Times New Roman" w:hAnsi="Times New Roman"/>
          <w:sz w:val="20"/>
          <w:szCs w:val="20"/>
        </w:rPr>
      </w:pPr>
      <w:r>
        <w:rPr>
          <w:rFonts w:ascii="Times New Roman" w:hAnsi="Times New Roman"/>
          <w:sz w:val="20"/>
          <w:szCs w:val="20"/>
        </w:rPr>
        <w:t xml:space="preserve">Costello, E. J., Compton, S. N., Keeler, G., Angold, A., 2003.  Relationships between poverty and psychopathology: a natural experiment.  J. Am. Med. Assoc. 290, </w:t>
      </w:r>
      <w:r w:rsidR="000C4576">
        <w:rPr>
          <w:rFonts w:ascii="Times New Roman" w:hAnsi="Times New Roman"/>
          <w:sz w:val="20"/>
          <w:szCs w:val="20"/>
        </w:rPr>
        <w:t>2023−2029.</w:t>
      </w:r>
    </w:p>
    <w:p w14:paraId="397C7D51" w14:textId="77777777" w:rsidR="00AD6A4B" w:rsidRDefault="00AD6A4B" w:rsidP="00FE09B6">
      <w:pPr>
        <w:spacing w:line="480" w:lineRule="auto"/>
        <w:rPr>
          <w:rFonts w:ascii="Times New Roman" w:hAnsi="Times New Roman"/>
          <w:sz w:val="20"/>
          <w:szCs w:val="20"/>
        </w:rPr>
      </w:pPr>
    </w:p>
    <w:p w14:paraId="1285F468" w14:textId="77777777" w:rsidR="00AD6A4B" w:rsidRDefault="00AD6A4B" w:rsidP="00AD6A4B">
      <w:pPr>
        <w:spacing w:line="480" w:lineRule="auto"/>
        <w:rPr>
          <w:rFonts w:ascii="Times New Roman" w:hAnsi="Times New Roman"/>
          <w:sz w:val="20"/>
          <w:szCs w:val="20"/>
        </w:rPr>
      </w:pPr>
      <w:r>
        <w:rPr>
          <w:rFonts w:ascii="Times New Roman" w:hAnsi="Times New Roman"/>
          <w:sz w:val="20"/>
          <w:szCs w:val="20"/>
        </w:rPr>
        <w:t xml:space="preserve">Crum, R. M., Storr, C. L., Ialongo, N., Anthony, J. C., 2008.  </w:t>
      </w:r>
      <w:r w:rsidRPr="004719E2">
        <w:rPr>
          <w:rFonts w:ascii="Times New Roman" w:hAnsi="Times New Roman"/>
          <w:sz w:val="20"/>
          <w:szCs w:val="20"/>
        </w:rPr>
        <w:t>Is depressed mood in childhood associated with an</w:t>
      </w:r>
      <w:r>
        <w:rPr>
          <w:rFonts w:ascii="Times New Roman" w:hAnsi="Times New Roman"/>
          <w:sz w:val="20"/>
          <w:szCs w:val="20"/>
        </w:rPr>
        <w:t xml:space="preserve"> </w:t>
      </w:r>
      <w:r w:rsidRPr="004719E2">
        <w:rPr>
          <w:rFonts w:ascii="Times New Roman" w:hAnsi="Times New Roman"/>
          <w:sz w:val="20"/>
          <w:szCs w:val="20"/>
        </w:rPr>
        <w:t>increased risk</w:t>
      </w:r>
      <w:r>
        <w:rPr>
          <w:rFonts w:ascii="Times New Roman" w:hAnsi="Times New Roman"/>
          <w:sz w:val="20"/>
          <w:szCs w:val="20"/>
        </w:rPr>
        <w:t xml:space="preserve"> </w:t>
      </w:r>
      <w:r w:rsidRPr="004719E2">
        <w:rPr>
          <w:rFonts w:ascii="Times New Roman" w:hAnsi="Times New Roman"/>
          <w:sz w:val="20"/>
          <w:szCs w:val="20"/>
        </w:rPr>
        <w:t>for initiation of alcohol use during early adolescence?</w:t>
      </w:r>
      <w:r>
        <w:rPr>
          <w:rFonts w:ascii="Times New Roman" w:hAnsi="Times New Roman"/>
          <w:sz w:val="20"/>
          <w:szCs w:val="20"/>
        </w:rPr>
        <w:t xml:space="preserve">  Addict. Behav. 33, 24−40.</w:t>
      </w:r>
    </w:p>
    <w:p w14:paraId="0DB33468" w14:textId="77777777" w:rsidR="00E63B04" w:rsidRDefault="00E63B04" w:rsidP="00E63B04">
      <w:pPr>
        <w:spacing w:line="480" w:lineRule="auto"/>
        <w:rPr>
          <w:rFonts w:ascii="Times New Roman" w:hAnsi="Times New Roman"/>
          <w:sz w:val="20"/>
          <w:szCs w:val="20"/>
        </w:rPr>
      </w:pPr>
    </w:p>
    <w:p w14:paraId="2EEE40E4" w14:textId="77777777" w:rsidR="00E63B04" w:rsidRDefault="00E63B04" w:rsidP="00E63B04">
      <w:pPr>
        <w:spacing w:line="480" w:lineRule="auto"/>
        <w:rPr>
          <w:rFonts w:ascii="Times New Roman" w:hAnsi="Times New Roman"/>
          <w:sz w:val="20"/>
          <w:szCs w:val="20"/>
        </w:rPr>
      </w:pPr>
      <w:r>
        <w:rPr>
          <w:rFonts w:ascii="Times New Roman" w:hAnsi="Times New Roman"/>
          <w:sz w:val="20"/>
          <w:szCs w:val="20"/>
        </w:rPr>
        <w:t>Dean, K., Green, M. J., Laurens, K. R., Kariuki, M., Tzoumakis, S., Sprague, T., Lenroot, R., Carr, V. J., 2018.  The impact of parental mental illness across the full diagnostic spectrum on externalising and internalising vulnerabilities in young offspring.  Psychol. Med. 48, 2257−2263.</w:t>
      </w:r>
    </w:p>
    <w:p w14:paraId="17CE4501" w14:textId="77777777" w:rsidR="005952DB" w:rsidRDefault="005952DB" w:rsidP="00E63B04">
      <w:pPr>
        <w:spacing w:line="480" w:lineRule="auto"/>
        <w:rPr>
          <w:rFonts w:ascii="Times New Roman" w:hAnsi="Times New Roman"/>
          <w:sz w:val="20"/>
          <w:szCs w:val="20"/>
        </w:rPr>
      </w:pPr>
    </w:p>
    <w:p w14:paraId="4FD2BF29" w14:textId="7B522AC5" w:rsidR="005952DB" w:rsidRDefault="005952DB" w:rsidP="005952DB">
      <w:pPr>
        <w:spacing w:line="480" w:lineRule="auto"/>
        <w:rPr>
          <w:rFonts w:ascii="Times New Roman" w:hAnsi="Times New Roman"/>
          <w:sz w:val="20"/>
          <w:szCs w:val="20"/>
        </w:rPr>
      </w:pPr>
      <w:r w:rsidRPr="005952DB">
        <w:rPr>
          <w:rFonts w:ascii="Times New Roman" w:hAnsi="Times New Roman"/>
          <w:sz w:val="20"/>
          <w:szCs w:val="20"/>
        </w:rPr>
        <w:t>Departamento Administrativo Nacional de Estadística</w:t>
      </w:r>
      <w:r w:rsidR="003752E9">
        <w:rPr>
          <w:rFonts w:ascii="Times New Roman" w:hAnsi="Times New Roman"/>
          <w:sz w:val="20"/>
          <w:szCs w:val="20"/>
        </w:rPr>
        <w:t xml:space="preserve"> (DANE)</w:t>
      </w:r>
      <w:r>
        <w:rPr>
          <w:rFonts w:ascii="Times New Roman" w:hAnsi="Times New Roman"/>
          <w:sz w:val="20"/>
          <w:szCs w:val="20"/>
        </w:rPr>
        <w:t xml:space="preserve">, 2019.  </w:t>
      </w:r>
      <w:r w:rsidR="003752E9" w:rsidRPr="003752E9">
        <w:rPr>
          <w:rFonts w:ascii="Times New Roman" w:hAnsi="Times New Roman"/>
          <w:sz w:val="20"/>
          <w:szCs w:val="20"/>
        </w:rPr>
        <w:t>Boletín Técnico</w:t>
      </w:r>
      <w:r w:rsidR="003752E9">
        <w:rPr>
          <w:rFonts w:ascii="Times New Roman" w:hAnsi="Times New Roman"/>
          <w:sz w:val="20"/>
          <w:szCs w:val="20"/>
        </w:rPr>
        <w:t xml:space="preserve">.  </w:t>
      </w:r>
      <w:r w:rsidRPr="005952DB">
        <w:rPr>
          <w:rFonts w:ascii="Times New Roman" w:hAnsi="Times New Roman"/>
          <w:sz w:val="20"/>
          <w:szCs w:val="20"/>
        </w:rPr>
        <w:t>Encuesta Nacional de Consumo</w:t>
      </w:r>
      <w:r w:rsidR="003752E9">
        <w:rPr>
          <w:rFonts w:ascii="Times New Roman" w:hAnsi="Times New Roman"/>
          <w:sz w:val="20"/>
          <w:szCs w:val="20"/>
        </w:rPr>
        <w:t xml:space="preserve"> </w:t>
      </w:r>
      <w:r w:rsidRPr="005952DB">
        <w:rPr>
          <w:rFonts w:ascii="Times New Roman" w:hAnsi="Times New Roman"/>
          <w:sz w:val="20"/>
          <w:szCs w:val="20"/>
        </w:rPr>
        <w:t>de Sustancias</w:t>
      </w:r>
      <w:r w:rsidR="003752E9">
        <w:rPr>
          <w:rFonts w:ascii="Times New Roman" w:hAnsi="Times New Roman"/>
          <w:sz w:val="20"/>
          <w:szCs w:val="20"/>
        </w:rPr>
        <w:t xml:space="preserve"> </w:t>
      </w:r>
      <w:r w:rsidRPr="005952DB">
        <w:rPr>
          <w:rFonts w:ascii="Times New Roman" w:hAnsi="Times New Roman"/>
          <w:sz w:val="20"/>
          <w:szCs w:val="20"/>
        </w:rPr>
        <w:t>Psicoactivas (ENCSPA)</w:t>
      </w:r>
      <w:r>
        <w:rPr>
          <w:rFonts w:ascii="Times New Roman" w:hAnsi="Times New Roman"/>
          <w:sz w:val="20"/>
          <w:szCs w:val="20"/>
        </w:rPr>
        <w:t xml:space="preserve">.  </w:t>
      </w:r>
      <w:r w:rsidRPr="005952DB">
        <w:rPr>
          <w:rFonts w:ascii="Times New Roman" w:hAnsi="Times New Roman"/>
          <w:sz w:val="20"/>
          <w:szCs w:val="20"/>
        </w:rPr>
        <w:t>Periodo de referencia 2019</w:t>
      </w:r>
      <w:r>
        <w:rPr>
          <w:rFonts w:ascii="Times New Roman" w:hAnsi="Times New Roman"/>
          <w:sz w:val="20"/>
          <w:szCs w:val="20"/>
        </w:rPr>
        <w:t>.</w:t>
      </w:r>
      <w:r w:rsidR="006B330C">
        <w:rPr>
          <w:rFonts w:ascii="Times New Roman" w:hAnsi="Times New Roman"/>
          <w:sz w:val="20"/>
          <w:szCs w:val="20"/>
        </w:rPr>
        <w:t xml:space="preserve">  Available at:</w:t>
      </w:r>
      <w:r w:rsidR="003752E9">
        <w:rPr>
          <w:rFonts w:ascii="Times New Roman" w:hAnsi="Times New Roman"/>
          <w:sz w:val="20"/>
          <w:szCs w:val="20"/>
        </w:rPr>
        <w:t xml:space="preserve"> </w:t>
      </w:r>
      <w:r w:rsidR="00142C73" w:rsidRPr="00142C73">
        <w:rPr>
          <w:rFonts w:ascii="Times New Roman" w:hAnsi="Times New Roman"/>
          <w:sz w:val="20"/>
          <w:szCs w:val="20"/>
        </w:rPr>
        <w:t>https://www.dane.gov.co/files/investigaciones/boletines/encspa/bt-encspa-2019.pdf</w:t>
      </w:r>
      <w:r w:rsidR="00142C73">
        <w:rPr>
          <w:rFonts w:ascii="Times New Roman" w:hAnsi="Times New Roman"/>
          <w:sz w:val="20"/>
          <w:szCs w:val="20"/>
        </w:rPr>
        <w:t>.</w:t>
      </w:r>
    </w:p>
    <w:p w14:paraId="56BD43EC" w14:textId="77777777" w:rsidR="00935FD8" w:rsidRDefault="00935FD8" w:rsidP="00E63B04">
      <w:pPr>
        <w:spacing w:line="480" w:lineRule="auto"/>
        <w:rPr>
          <w:rFonts w:ascii="Times New Roman" w:hAnsi="Times New Roman"/>
          <w:sz w:val="20"/>
          <w:szCs w:val="20"/>
        </w:rPr>
      </w:pPr>
    </w:p>
    <w:p w14:paraId="1D698FC0" w14:textId="77777777" w:rsidR="00935FD8" w:rsidRDefault="00935FD8" w:rsidP="00935FD8">
      <w:pPr>
        <w:spacing w:line="480" w:lineRule="auto"/>
        <w:rPr>
          <w:rFonts w:ascii="Times New Roman" w:hAnsi="Times New Roman"/>
          <w:sz w:val="20"/>
          <w:szCs w:val="20"/>
        </w:rPr>
      </w:pPr>
      <w:r>
        <w:rPr>
          <w:rFonts w:ascii="Times New Roman" w:hAnsi="Times New Roman"/>
          <w:sz w:val="20"/>
          <w:szCs w:val="20"/>
        </w:rPr>
        <w:t>Frijters, P., Johnston, D. W., Shields, M. A., 2014.  The effect of mental health on employment: evidence from Australian panel data.  Health Econ. 23, 1058−1071.</w:t>
      </w:r>
    </w:p>
    <w:p w14:paraId="38219B64" w14:textId="77777777" w:rsidR="00A36D5D" w:rsidRDefault="00A36D5D" w:rsidP="00935FD8">
      <w:pPr>
        <w:spacing w:line="480" w:lineRule="auto"/>
        <w:rPr>
          <w:rFonts w:ascii="Times New Roman" w:hAnsi="Times New Roman"/>
          <w:sz w:val="20"/>
          <w:szCs w:val="20"/>
        </w:rPr>
      </w:pPr>
    </w:p>
    <w:p w14:paraId="1A1F52D1" w14:textId="4065643A" w:rsidR="00A36D5D" w:rsidRDefault="00A36D5D" w:rsidP="00935FD8">
      <w:pPr>
        <w:spacing w:line="480" w:lineRule="auto"/>
        <w:rPr>
          <w:rFonts w:ascii="Times New Roman" w:hAnsi="Times New Roman"/>
          <w:sz w:val="20"/>
          <w:szCs w:val="20"/>
        </w:rPr>
      </w:pPr>
      <w:r>
        <w:rPr>
          <w:rFonts w:ascii="Times New Roman" w:hAnsi="Times New Roman"/>
          <w:sz w:val="20"/>
          <w:szCs w:val="20"/>
        </w:rPr>
        <w:lastRenderedPageBreak/>
        <w:t>Gaviria, A., Medina, C., Mejía, C., 2006.  Assessing health reform in Colombia: from theory to practice.  Economía 7, 29−72.</w:t>
      </w:r>
    </w:p>
    <w:p w14:paraId="7EDACD9C" w14:textId="77777777" w:rsidR="00970E9E" w:rsidRDefault="00970E9E" w:rsidP="00FE09B6">
      <w:pPr>
        <w:spacing w:line="480" w:lineRule="auto"/>
        <w:rPr>
          <w:rFonts w:ascii="Times New Roman" w:hAnsi="Times New Roman"/>
          <w:sz w:val="20"/>
          <w:szCs w:val="20"/>
        </w:rPr>
      </w:pPr>
    </w:p>
    <w:p w14:paraId="71D41003" w14:textId="1E24A501" w:rsidR="00B401B6" w:rsidRDefault="00B401B6" w:rsidP="00FE09B6">
      <w:pPr>
        <w:spacing w:line="480" w:lineRule="auto"/>
        <w:rPr>
          <w:rFonts w:ascii="Times New Roman" w:hAnsi="Times New Roman"/>
          <w:sz w:val="20"/>
          <w:szCs w:val="20"/>
        </w:rPr>
      </w:pPr>
      <w:r>
        <w:rPr>
          <w:rFonts w:ascii="Times New Roman" w:hAnsi="Times New Roman"/>
          <w:sz w:val="20"/>
          <w:szCs w:val="20"/>
        </w:rPr>
        <w:t>Green, M. J., Tzoumakis, S., Laurens, K. R., Dean, K., Kariuki, M., Harris, F., Brinkman, S. A., Carr, V. J., 2019.  Early developmental risk for subsequent childhood mental disorders in an Australian population cohort.  Aust. N. Z. J. Psychiatry 53, 304−315.</w:t>
      </w:r>
    </w:p>
    <w:p w14:paraId="1E9B89C2" w14:textId="77777777" w:rsidR="008518BA" w:rsidRDefault="008518BA" w:rsidP="00FE09B6">
      <w:pPr>
        <w:spacing w:line="480" w:lineRule="auto"/>
        <w:rPr>
          <w:rFonts w:ascii="Times New Roman" w:hAnsi="Times New Roman"/>
          <w:sz w:val="20"/>
          <w:szCs w:val="20"/>
        </w:rPr>
      </w:pPr>
    </w:p>
    <w:p w14:paraId="40AE7B00" w14:textId="0860C17B" w:rsidR="008518BA" w:rsidRDefault="008518BA" w:rsidP="00FE09B6">
      <w:pPr>
        <w:spacing w:line="480" w:lineRule="auto"/>
        <w:rPr>
          <w:rFonts w:ascii="Times New Roman" w:hAnsi="Times New Roman"/>
          <w:sz w:val="20"/>
          <w:szCs w:val="20"/>
        </w:rPr>
      </w:pPr>
      <w:r>
        <w:rPr>
          <w:rFonts w:ascii="Times New Roman" w:hAnsi="Times New Roman"/>
          <w:sz w:val="20"/>
          <w:szCs w:val="20"/>
        </w:rPr>
        <w:t xml:space="preserve">Heudtlass, P., Speybroeck, N., Guha-Sapir, D., 2016.  Excess mortality in refugees, internally displaced </w:t>
      </w:r>
      <w:proofErr w:type="gramStart"/>
      <w:r>
        <w:rPr>
          <w:rFonts w:ascii="Times New Roman" w:hAnsi="Times New Roman"/>
          <w:sz w:val="20"/>
          <w:szCs w:val="20"/>
        </w:rPr>
        <w:t>persons</w:t>
      </w:r>
      <w:proofErr w:type="gramEnd"/>
      <w:r>
        <w:rPr>
          <w:rFonts w:ascii="Times New Roman" w:hAnsi="Times New Roman"/>
          <w:sz w:val="20"/>
          <w:szCs w:val="20"/>
        </w:rPr>
        <w:t xml:space="preserve"> and resident populations in complex humanitarian emergencies (1998−2012) – insights from operational data.  Confl. Health 10, 15.</w:t>
      </w:r>
    </w:p>
    <w:p w14:paraId="1C8B140A" w14:textId="77777777" w:rsidR="00BA2438" w:rsidRDefault="00BA2438" w:rsidP="00FE09B6">
      <w:pPr>
        <w:spacing w:line="480" w:lineRule="auto"/>
        <w:rPr>
          <w:rFonts w:ascii="Times New Roman" w:hAnsi="Times New Roman"/>
          <w:sz w:val="20"/>
          <w:szCs w:val="20"/>
        </w:rPr>
      </w:pPr>
    </w:p>
    <w:p w14:paraId="10F29A1E" w14:textId="36208D37" w:rsidR="00BA2438" w:rsidRDefault="00BA2438" w:rsidP="00FE09B6">
      <w:pPr>
        <w:spacing w:line="480" w:lineRule="auto"/>
        <w:rPr>
          <w:rFonts w:ascii="Times New Roman" w:hAnsi="Times New Roman"/>
          <w:sz w:val="20"/>
          <w:szCs w:val="20"/>
        </w:rPr>
      </w:pPr>
      <w:r w:rsidRPr="003F2A51">
        <w:rPr>
          <w:rFonts w:ascii="Times New Roman" w:hAnsi="Times New Roman"/>
          <w:sz w:val="20"/>
          <w:szCs w:val="20"/>
        </w:rPr>
        <w:t>Ju</w:t>
      </w:r>
      <w:r>
        <w:rPr>
          <w:rFonts w:ascii="Times New Roman" w:hAnsi="Times New Roman"/>
          <w:sz w:val="20"/>
          <w:szCs w:val="20"/>
        </w:rPr>
        <w:t>á</w:t>
      </w:r>
      <w:r w:rsidRPr="003F2A51">
        <w:rPr>
          <w:rFonts w:ascii="Times New Roman" w:hAnsi="Times New Roman"/>
          <w:sz w:val="20"/>
          <w:szCs w:val="20"/>
        </w:rPr>
        <w:t>rez,</w:t>
      </w:r>
      <w:r>
        <w:rPr>
          <w:rFonts w:ascii="Times New Roman" w:hAnsi="Times New Roman"/>
          <w:sz w:val="20"/>
          <w:szCs w:val="20"/>
        </w:rPr>
        <w:t xml:space="preserve"> N. C., Urdal, H., Vadlamannati, K. C.,</w:t>
      </w:r>
      <w:r w:rsidRPr="003F2A51">
        <w:rPr>
          <w:rFonts w:ascii="Times New Roman" w:hAnsi="Times New Roman"/>
          <w:sz w:val="20"/>
          <w:szCs w:val="20"/>
        </w:rPr>
        <w:t xml:space="preserve"> 2020</w:t>
      </w:r>
      <w:r>
        <w:rPr>
          <w:rFonts w:ascii="Times New Roman" w:hAnsi="Times New Roman"/>
          <w:sz w:val="20"/>
          <w:szCs w:val="20"/>
        </w:rPr>
        <w:t>.  The significance of age structure, education, and youth unemployment for explaining subnational variation in violent youth crime in Mexico.  Confl. Manag. Peace Sci. 39, 49−73.</w:t>
      </w:r>
    </w:p>
    <w:p w14:paraId="32888DF8" w14:textId="77777777" w:rsidR="00311D96" w:rsidRDefault="00311D96" w:rsidP="00FE09B6">
      <w:pPr>
        <w:spacing w:line="480" w:lineRule="auto"/>
        <w:rPr>
          <w:rFonts w:ascii="Times New Roman" w:hAnsi="Times New Roman"/>
          <w:sz w:val="20"/>
          <w:szCs w:val="20"/>
        </w:rPr>
      </w:pPr>
    </w:p>
    <w:p w14:paraId="1A0C03C4" w14:textId="2C2851FA" w:rsidR="00311D96" w:rsidRDefault="00311D96" w:rsidP="00FE09B6">
      <w:pPr>
        <w:spacing w:line="480" w:lineRule="auto"/>
        <w:rPr>
          <w:rFonts w:ascii="Times New Roman" w:hAnsi="Times New Roman"/>
          <w:sz w:val="20"/>
          <w:szCs w:val="20"/>
        </w:rPr>
      </w:pPr>
      <w:r>
        <w:rPr>
          <w:rFonts w:ascii="Times New Roman" w:hAnsi="Times New Roman"/>
          <w:sz w:val="20"/>
          <w:szCs w:val="20"/>
        </w:rPr>
        <w:t xml:space="preserve">Kernic, M. A., Wolf, M. E., Holt, V. L., </w:t>
      </w:r>
      <w:r w:rsidR="00212DCF">
        <w:rPr>
          <w:rFonts w:ascii="Times New Roman" w:hAnsi="Times New Roman"/>
          <w:sz w:val="20"/>
          <w:szCs w:val="20"/>
        </w:rPr>
        <w:t>McKnight, B., Huebner, C. E., Rivara, F. P., 2003.  Behavioural problems among children whose mothers are abused by an intimate partner.  Child Abuse Negl. 27, 1231−1246.</w:t>
      </w:r>
    </w:p>
    <w:p w14:paraId="7B63294E" w14:textId="77777777" w:rsidR="005B0349" w:rsidRDefault="005B0349" w:rsidP="00FE09B6">
      <w:pPr>
        <w:spacing w:line="480" w:lineRule="auto"/>
        <w:rPr>
          <w:rFonts w:ascii="Times New Roman" w:hAnsi="Times New Roman"/>
          <w:sz w:val="20"/>
          <w:szCs w:val="20"/>
        </w:rPr>
      </w:pPr>
    </w:p>
    <w:p w14:paraId="13575E1C" w14:textId="77777777" w:rsidR="005B0349" w:rsidRDefault="005B0349" w:rsidP="005B0349">
      <w:pPr>
        <w:spacing w:line="480" w:lineRule="auto"/>
        <w:rPr>
          <w:rFonts w:ascii="Times New Roman" w:hAnsi="Times New Roman"/>
          <w:sz w:val="20"/>
          <w:szCs w:val="20"/>
        </w:rPr>
      </w:pPr>
      <w:r>
        <w:rPr>
          <w:rFonts w:ascii="Times New Roman" w:hAnsi="Times New Roman"/>
          <w:sz w:val="20"/>
          <w:szCs w:val="20"/>
        </w:rPr>
        <w:t>Kyriacou, D. N., Anglin, D., Taliaferro, E., Stone, S., Tubb, T., Linden, J. A., Muelleman, R., Barton, E., Kraus, J. F., 1999.  Risk factors for injury to women from domestic violence.  N. Engl. J. Med. 341, 1892−1898.</w:t>
      </w:r>
    </w:p>
    <w:p w14:paraId="4EFEF01B" w14:textId="77777777" w:rsidR="00CA390D" w:rsidRDefault="00CA390D" w:rsidP="00FE09B6">
      <w:pPr>
        <w:spacing w:line="480" w:lineRule="auto"/>
        <w:rPr>
          <w:rFonts w:ascii="Times New Roman" w:hAnsi="Times New Roman"/>
          <w:sz w:val="20"/>
          <w:szCs w:val="20"/>
        </w:rPr>
      </w:pPr>
    </w:p>
    <w:p w14:paraId="67A24FAF" w14:textId="77777777" w:rsidR="00CA390D" w:rsidRDefault="00CA390D" w:rsidP="00CA390D">
      <w:pPr>
        <w:spacing w:line="480" w:lineRule="auto"/>
        <w:rPr>
          <w:rFonts w:ascii="Times New Roman" w:hAnsi="Times New Roman"/>
          <w:sz w:val="20"/>
          <w:szCs w:val="20"/>
        </w:rPr>
      </w:pPr>
      <w:r>
        <w:rPr>
          <w:rFonts w:ascii="Times New Roman" w:hAnsi="Times New Roman"/>
          <w:sz w:val="20"/>
          <w:szCs w:val="20"/>
        </w:rPr>
        <w:t>Lee, S., Tsang, A., Breslau, J., Aguilar-Gaxiola, S., Angermeyer, M., Borges, G., Bromet, E., Bruffaerts, R., de Girolamo, G., Fayyad, J., Gureje, O., Haro, J. M., Kawakami, N., Levinson, D., Oakley Browne, M. A., Ormel, J., Posada-Villa, J., Williams, D. R., Kessler, R. C., 2009.  Mental disorders and termination of education in high-income and low- and middle-income countries: epidemiological study.  Br. J. Psychiatry 194, 411−417.</w:t>
      </w:r>
    </w:p>
    <w:p w14:paraId="6A0998D6" w14:textId="77777777" w:rsidR="00CC7B6D" w:rsidRDefault="00CC7B6D" w:rsidP="00FE09B6">
      <w:pPr>
        <w:spacing w:line="480" w:lineRule="auto"/>
        <w:rPr>
          <w:rFonts w:ascii="Times New Roman" w:hAnsi="Times New Roman"/>
          <w:sz w:val="20"/>
          <w:szCs w:val="20"/>
        </w:rPr>
      </w:pPr>
    </w:p>
    <w:p w14:paraId="4F3A61A8" w14:textId="3CA05D3A" w:rsidR="00C31AB5" w:rsidRDefault="00C31AB5" w:rsidP="00FE09B6">
      <w:pPr>
        <w:spacing w:line="480" w:lineRule="auto"/>
        <w:rPr>
          <w:rFonts w:ascii="Times New Roman" w:hAnsi="Times New Roman"/>
          <w:sz w:val="20"/>
          <w:szCs w:val="20"/>
        </w:rPr>
      </w:pPr>
      <w:r>
        <w:rPr>
          <w:rFonts w:ascii="Times New Roman" w:hAnsi="Times New Roman"/>
          <w:sz w:val="20"/>
          <w:szCs w:val="20"/>
        </w:rPr>
        <w:t>Lynskey, M. T., Fergusson, D. M., Horwood, L. J., 1994.  The effect of parental alcohol problems on rates of adolescent psychiatric disorders.  Addiction 89, 1277−1286.</w:t>
      </w:r>
    </w:p>
    <w:p w14:paraId="4B83661B" w14:textId="77777777" w:rsidR="00C31AB5" w:rsidRDefault="00C31AB5" w:rsidP="00FE09B6">
      <w:pPr>
        <w:spacing w:line="480" w:lineRule="auto"/>
        <w:rPr>
          <w:rFonts w:ascii="Times New Roman" w:hAnsi="Times New Roman"/>
          <w:sz w:val="20"/>
          <w:szCs w:val="20"/>
        </w:rPr>
      </w:pPr>
    </w:p>
    <w:p w14:paraId="74FA2FCC" w14:textId="77777777" w:rsidR="00CC7B6D" w:rsidRPr="00BB303F" w:rsidRDefault="00CC7B6D" w:rsidP="00CC7B6D">
      <w:pPr>
        <w:spacing w:line="480" w:lineRule="auto"/>
        <w:rPr>
          <w:rFonts w:ascii="Times New Roman" w:hAnsi="Times New Roman"/>
          <w:sz w:val="20"/>
          <w:szCs w:val="20"/>
        </w:rPr>
      </w:pPr>
      <w:r>
        <w:rPr>
          <w:rFonts w:ascii="Times New Roman" w:hAnsi="Times New Roman"/>
          <w:sz w:val="20"/>
          <w:szCs w:val="20"/>
        </w:rPr>
        <w:lastRenderedPageBreak/>
        <w:t xml:space="preserve">Marmorstein, N. R., Iacono, W. G., Malone, S. M., 2010.  </w:t>
      </w:r>
      <w:r w:rsidRPr="00BB303F">
        <w:rPr>
          <w:rFonts w:ascii="Times New Roman" w:hAnsi="Times New Roman"/>
          <w:sz w:val="20"/>
          <w:szCs w:val="20"/>
        </w:rPr>
        <w:t>Longitudinal associations between depression and substance dependence from</w:t>
      </w:r>
      <w:r>
        <w:rPr>
          <w:rFonts w:ascii="Times New Roman" w:hAnsi="Times New Roman"/>
          <w:sz w:val="20"/>
          <w:szCs w:val="20"/>
        </w:rPr>
        <w:t xml:space="preserve"> </w:t>
      </w:r>
      <w:r w:rsidRPr="00BB303F">
        <w:rPr>
          <w:rFonts w:ascii="Times New Roman" w:hAnsi="Times New Roman"/>
          <w:sz w:val="20"/>
          <w:szCs w:val="20"/>
        </w:rPr>
        <w:t>adolescence through early adulthood</w:t>
      </w:r>
      <w:r>
        <w:rPr>
          <w:rFonts w:ascii="Times New Roman" w:hAnsi="Times New Roman"/>
          <w:sz w:val="20"/>
          <w:szCs w:val="20"/>
        </w:rPr>
        <w:t>.  Drug Alcohol Depend. 107, 154−160.</w:t>
      </w:r>
    </w:p>
    <w:p w14:paraId="2A4D8F80" w14:textId="77777777" w:rsidR="00B401B6" w:rsidRDefault="00B401B6" w:rsidP="00FE09B6">
      <w:pPr>
        <w:spacing w:line="480" w:lineRule="auto"/>
        <w:rPr>
          <w:rFonts w:ascii="Times New Roman" w:hAnsi="Times New Roman"/>
          <w:sz w:val="20"/>
          <w:szCs w:val="20"/>
        </w:rPr>
      </w:pPr>
    </w:p>
    <w:p w14:paraId="06031838" w14:textId="6301F113" w:rsidR="008530FA" w:rsidRDefault="008530FA" w:rsidP="00FE09B6">
      <w:pPr>
        <w:spacing w:line="480" w:lineRule="auto"/>
        <w:rPr>
          <w:rFonts w:ascii="Times New Roman" w:hAnsi="Times New Roman"/>
          <w:sz w:val="20"/>
          <w:szCs w:val="20"/>
        </w:rPr>
      </w:pPr>
      <w:r w:rsidRPr="008530FA">
        <w:rPr>
          <w:rFonts w:ascii="Times New Roman" w:hAnsi="Times New Roman"/>
          <w:sz w:val="20"/>
          <w:szCs w:val="20"/>
        </w:rPr>
        <w:t>Marroqu</w:t>
      </w:r>
      <w:r>
        <w:rPr>
          <w:rFonts w:ascii="Times New Roman" w:hAnsi="Times New Roman"/>
          <w:sz w:val="20"/>
          <w:szCs w:val="20"/>
        </w:rPr>
        <w:t>í</w:t>
      </w:r>
      <w:r w:rsidRPr="008530FA">
        <w:rPr>
          <w:rFonts w:ascii="Times New Roman" w:hAnsi="Times New Roman"/>
          <w:sz w:val="20"/>
          <w:szCs w:val="20"/>
        </w:rPr>
        <w:t>n Rivera</w:t>
      </w:r>
      <w:r>
        <w:rPr>
          <w:rFonts w:ascii="Times New Roman" w:hAnsi="Times New Roman"/>
          <w:sz w:val="20"/>
          <w:szCs w:val="20"/>
        </w:rPr>
        <w:t>, A., Rodríguez, C. J. R., Padilla-Muñoz, A., Gómez-Restrepo, C., 2020.  Mental health in adolescents displaced by the armed conflict: findings from the Colombian national mental health survey.  Child Adolesc. Psychiatry Ment. Hea</w:t>
      </w:r>
      <w:r w:rsidR="005B4EEE">
        <w:rPr>
          <w:rFonts w:ascii="Times New Roman" w:hAnsi="Times New Roman"/>
          <w:sz w:val="20"/>
          <w:szCs w:val="20"/>
        </w:rPr>
        <w:t>l</w:t>
      </w:r>
      <w:r>
        <w:rPr>
          <w:rFonts w:ascii="Times New Roman" w:hAnsi="Times New Roman"/>
          <w:sz w:val="20"/>
          <w:szCs w:val="20"/>
        </w:rPr>
        <w:t>t</w:t>
      </w:r>
      <w:r w:rsidR="005B4EEE">
        <w:rPr>
          <w:rFonts w:ascii="Times New Roman" w:hAnsi="Times New Roman"/>
          <w:sz w:val="20"/>
          <w:szCs w:val="20"/>
        </w:rPr>
        <w:t>h</w:t>
      </w:r>
      <w:r>
        <w:rPr>
          <w:rFonts w:ascii="Times New Roman" w:hAnsi="Times New Roman"/>
          <w:sz w:val="20"/>
          <w:szCs w:val="20"/>
        </w:rPr>
        <w:t xml:space="preserve"> 14, 23.</w:t>
      </w:r>
    </w:p>
    <w:p w14:paraId="7E56C696" w14:textId="77777777" w:rsidR="008530FA" w:rsidRDefault="008530FA" w:rsidP="00FE09B6">
      <w:pPr>
        <w:spacing w:line="480" w:lineRule="auto"/>
        <w:rPr>
          <w:rFonts w:ascii="Times New Roman" w:hAnsi="Times New Roman"/>
          <w:sz w:val="20"/>
          <w:szCs w:val="20"/>
        </w:rPr>
      </w:pPr>
    </w:p>
    <w:p w14:paraId="217FC7A2" w14:textId="3FC4DCC8" w:rsidR="00BE174F" w:rsidRDefault="00BE174F" w:rsidP="00FE09B6">
      <w:pPr>
        <w:spacing w:line="480" w:lineRule="auto"/>
        <w:rPr>
          <w:rFonts w:ascii="Times New Roman" w:hAnsi="Times New Roman"/>
          <w:sz w:val="20"/>
          <w:szCs w:val="20"/>
        </w:rPr>
      </w:pPr>
      <w:r w:rsidRPr="00BE174F">
        <w:rPr>
          <w:rFonts w:ascii="Times New Roman" w:hAnsi="Times New Roman"/>
          <w:sz w:val="20"/>
          <w:szCs w:val="20"/>
        </w:rPr>
        <w:t>Ministerio de Salud y Protección Social</w:t>
      </w:r>
      <w:r>
        <w:rPr>
          <w:rFonts w:ascii="Times New Roman" w:hAnsi="Times New Roman"/>
          <w:sz w:val="20"/>
          <w:szCs w:val="20"/>
        </w:rPr>
        <w:t xml:space="preserve">, 2015.  </w:t>
      </w:r>
      <w:r w:rsidRPr="00BE174F">
        <w:rPr>
          <w:rFonts w:ascii="Times New Roman" w:hAnsi="Times New Roman"/>
          <w:sz w:val="20"/>
          <w:szCs w:val="20"/>
        </w:rPr>
        <w:t>Encuesta Nacional de Salud Mental 2015</w:t>
      </w:r>
      <w:r>
        <w:rPr>
          <w:rFonts w:ascii="Times New Roman" w:hAnsi="Times New Roman"/>
          <w:sz w:val="20"/>
          <w:szCs w:val="20"/>
        </w:rPr>
        <w:t>.</w:t>
      </w:r>
      <w:r w:rsidR="00D32489">
        <w:rPr>
          <w:rFonts w:ascii="Times New Roman" w:hAnsi="Times New Roman"/>
          <w:sz w:val="20"/>
          <w:szCs w:val="20"/>
        </w:rPr>
        <w:t xml:space="preserve">  Available at: </w:t>
      </w:r>
      <w:r w:rsidR="00D32489" w:rsidRPr="00E23913">
        <w:rPr>
          <w:rFonts w:ascii="Times New Roman" w:hAnsi="Times New Roman"/>
          <w:noProof/>
          <w:sz w:val="20"/>
          <w:szCs w:val="20"/>
        </w:rPr>
        <w:t>https://www.minsalud.gov.co/salud/publica/epidemiologia/Paginas/Estudios-y-encuestas.aspx</w:t>
      </w:r>
      <w:r w:rsidR="00D32489">
        <w:rPr>
          <w:rFonts w:ascii="Times New Roman" w:hAnsi="Times New Roman"/>
          <w:sz w:val="20"/>
          <w:szCs w:val="20"/>
        </w:rPr>
        <w:t>.</w:t>
      </w:r>
    </w:p>
    <w:p w14:paraId="679FC39D" w14:textId="77777777" w:rsidR="00CC3156" w:rsidRDefault="00CC3156" w:rsidP="00FE09B6">
      <w:pPr>
        <w:spacing w:line="480" w:lineRule="auto"/>
        <w:rPr>
          <w:rFonts w:ascii="Times New Roman" w:hAnsi="Times New Roman"/>
          <w:sz w:val="20"/>
          <w:szCs w:val="20"/>
        </w:rPr>
      </w:pPr>
    </w:p>
    <w:p w14:paraId="06FDB56D" w14:textId="77777777" w:rsidR="00CC3156" w:rsidRDefault="00CC3156" w:rsidP="00CC3156">
      <w:pPr>
        <w:spacing w:line="480" w:lineRule="auto"/>
        <w:rPr>
          <w:rFonts w:ascii="Times New Roman" w:hAnsi="Times New Roman"/>
          <w:sz w:val="20"/>
          <w:szCs w:val="20"/>
        </w:rPr>
      </w:pPr>
      <w:r>
        <w:rPr>
          <w:rFonts w:ascii="Times New Roman" w:hAnsi="Times New Roman"/>
          <w:sz w:val="20"/>
          <w:szCs w:val="20"/>
        </w:rPr>
        <w:t>Mitchell, W., Wray, L. R., Watts, M., 2019.  Macroeconomics.  Red Globe Press, London.</w:t>
      </w:r>
    </w:p>
    <w:p w14:paraId="42F41F65" w14:textId="77777777" w:rsidR="006E4DD9" w:rsidRDefault="006E4DD9" w:rsidP="00CC3156">
      <w:pPr>
        <w:spacing w:line="480" w:lineRule="auto"/>
        <w:rPr>
          <w:rFonts w:ascii="Times New Roman" w:hAnsi="Times New Roman"/>
          <w:sz w:val="20"/>
          <w:szCs w:val="20"/>
        </w:rPr>
      </w:pPr>
    </w:p>
    <w:p w14:paraId="084EC113" w14:textId="4288E31D" w:rsidR="006E4DD9" w:rsidRDefault="006E4DD9" w:rsidP="00CC3156">
      <w:pPr>
        <w:spacing w:line="480" w:lineRule="auto"/>
        <w:rPr>
          <w:rFonts w:ascii="Times New Roman" w:hAnsi="Times New Roman"/>
          <w:sz w:val="20"/>
          <w:szCs w:val="20"/>
        </w:rPr>
      </w:pPr>
      <w:r w:rsidRPr="003F2A51">
        <w:rPr>
          <w:rFonts w:ascii="Times New Roman" w:hAnsi="Times New Roman"/>
          <w:sz w:val="20"/>
          <w:szCs w:val="20"/>
        </w:rPr>
        <w:t>Norstr</w:t>
      </w:r>
      <w:r>
        <w:rPr>
          <w:rFonts w:ascii="Times New Roman" w:hAnsi="Times New Roman"/>
          <w:sz w:val="20"/>
          <w:szCs w:val="20"/>
        </w:rPr>
        <w:t>öm, T.,</w:t>
      </w:r>
      <w:r w:rsidRPr="003F2A51">
        <w:rPr>
          <w:rFonts w:ascii="Times New Roman" w:hAnsi="Times New Roman"/>
          <w:sz w:val="20"/>
          <w:szCs w:val="20"/>
        </w:rPr>
        <w:t xml:space="preserve"> Pape, </w:t>
      </w:r>
      <w:r>
        <w:rPr>
          <w:rFonts w:ascii="Times New Roman" w:hAnsi="Times New Roman"/>
          <w:sz w:val="20"/>
          <w:szCs w:val="20"/>
        </w:rPr>
        <w:t xml:space="preserve">H., </w:t>
      </w:r>
      <w:r w:rsidRPr="003F2A51">
        <w:rPr>
          <w:rFonts w:ascii="Times New Roman" w:hAnsi="Times New Roman"/>
          <w:sz w:val="20"/>
          <w:szCs w:val="20"/>
        </w:rPr>
        <w:t>2010</w:t>
      </w:r>
      <w:r>
        <w:rPr>
          <w:rFonts w:ascii="Times New Roman" w:hAnsi="Times New Roman"/>
          <w:sz w:val="20"/>
          <w:szCs w:val="20"/>
        </w:rPr>
        <w:t xml:space="preserve">.  </w:t>
      </w:r>
      <w:proofErr w:type="gramStart"/>
      <w:r>
        <w:rPr>
          <w:rFonts w:ascii="Times New Roman" w:hAnsi="Times New Roman"/>
          <w:sz w:val="20"/>
          <w:szCs w:val="20"/>
        </w:rPr>
        <w:t>Alcohol,</w:t>
      </w:r>
      <w:proofErr w:type="gramEnd"/>
      <w:r>
        <w:rPr>
          <w:rFonts w:ascii="Times New Roman" w:hAnsi="Times New Roman"/>
          <w:sz w:val="20"/>
          <w:szCs w:val="20"/>
        </w:rPr>
        <w:t xml:space="preserve"> suppressed anger and violence.  Addiction 105, 1580−1586.</w:t>
      </w:r>
    </w:p>
    <w:p w14:paraId="313C8A04" w14:textId="77777777" w:rsidR="00D32489" w:rsidRDefault="00D32489" w:rsidP="00FE09B6">
      <w:pPr>
        <w:spacing w:line="480" w:lineRule="auto"/>
        <w:rPr>
          <w:rFonts w:ascii="Times New Roman" w:hAnsi="Times New Roman"/>
          <w:sz w:val="20"/>
          <w:szCs w:val="20"/>
        </w:rPr>
      </w:pPr>
    </w:p>
    <w:p w14:paraId="5BA37E51" w14:textId="09AA6F1F" w:rsidR="00070A29" w:rsidRDefault="00B401B6" w:rsidP="00B401B6">
      <w:pPr>
        <w:spacing w:line="480" w:lineRule="auto"/>
        <w:rPr>
          <w:rFonts w:ascii="Times New Roman" w:hAnsi="Times New Roman"/>
          <w:sz w:val="20"/>
          <w:szCs w:val="20"/>
        </w:rPr>
      </w:pPr>
      <w:r>
        <w:rPr>
          <w:rFonts w:ascii="Times New Roman" w:hAnsi="Times New Roman"/>
          <w:sz w:val="20"/>
          <w:szCs w:val="20"/>
        </w:rPr>
        <w:t xml:space="preserve">Ouellet-Morin, I., Fisher, H. L., York-Smith, M., Fincham-Campbell, S., Moffitt, T. E., </w:t>
      </w:r>
      <w:r w:rsidRPr="00286B78">
        <w:rPr>
          <w:rFonts w:ascii="Times New Roman" w:hAnsi="Times New Roman"/>
          <w:sz w:val="20"/>
          <w:szCs w:val="20"/>
        </w:rPr>
        <w:t>Arseneault</w:t>
      </w:r>
      <w:r>
        <w:rPr>
          <w:rFonts w:ascii="Times New Roman" w:hAnsi="Times New Roman"/>
          <w:sz w:val="20"/>
          <w:szCs w:val="20"/>
        </w:rPr>
        <w:t>, L., 2015.  Intimate partner violence and new-onset depression: a longitudinal study of women’s childhood and adult histories of abuse.  Depress. Anxiety 32, 316−324.</w:t>
      </w:r>
    </w:p>
    <w:p w14:paraId="635B0D0B" w14:textId="77777777" w:rsidR="006B5B86" w:rsidRDefault="006B5B86" w:rsidP="00070A29">
      <w:pPr>
        <w:spacing w:line="480" w:lineRule="auto"/>
        <w:rPr>
          <w:rFonts w:ascii="Times New Roman" w:hAnsi="Times New Roman"/>
          <w:sz w:val="20"/>
          <w:szCs w:val="20"/>
        </w:rPr>
      </w:pPr>
    </w:p>
    <w:p w14:paraId="44853A02" w14:textId="77777777" w:rsidR="006B5B86" w:rsidRDefault="006B5B86" w:rsidP="006B5B86">
      <w:pPr>
        <w:spacing w:line="480" w:lineRule="auto"/>
        <w:rPr>
          <w:rFonts w:ascii="Times New Roman" w:hAnsi="Times New Roman"/>
          <w:sz w:val="20"/>
          <w:szCs w:val="20"/>
        </w:rPr>
      </w:pPr>
      <w:r>
        <w:rPr>
          <w:rFonts w:ascii="Times New Roman" w:hAnsi="Times New Roman"/>
          <w:sz w:val="20"/>
          <w:szCs w:val="20"/>
        </w:rPr>
        <w:t xml:space="preserve">Roerecke, M., Rehm, J., 2013.  </w:t>
      </w:r>
      <w:r w:rsidRPr="008B07D1">
        <w:rPr>
          <w:rFonts w:ascii="Times New Roman" w:hAnsi="Times New Roman"/>
          <w:sz w:val="20"/>
          <w:szCs w:val="20"/>
        </w:rPr>
        <w:t>Alcohol use disorders and mortality: a systematic</w:t>
      </w:r>
      <w:r>
        <w:rPr>
          <w:rFonts w:ascii="Times New Roman" w:hAnsi="Times New Roman"/>
          <w:sz w:val="20"/>
          <w:szCs w:val="20"/>
        </w:rPr>
        <w:t xml:space="preserve"> </w:t>
      </w:r>
      <w:r w:rsidRPr="008B07D1">
        <w:rPr>
          <w:rFonts w:ascii="Times New Roman" w:hAnsi="Times New Roman"/>
          <w:sz w:val="20"/>
          <w:szCs w:val="20"/>
        </w:rPr>
        <w:t>review and meta-analysis</w:t>
      </w:r>
      <w:r>
        <w:rPr>
          <w:rFonts w:ascii="Times New Roman" w:hAnsi="Times New Roman"/>
          <w:sz w:val="20"/>
          <w:szCs w:val="20"/>
        </w:rPr>
        <w:t>.  Addiction 108, 1562−1578.</w:t>
      </w:r>
    </w:p>
    <w:p w14:paraId="05165345" w14:textId="77777777" w:rsidR="006B5B86" w:rsidRDefault="006B5B86" w:rsidP="00070A29">
      <w:pPr>
        <w:spacing w:line="480" w:lineRule="auto"/>
        <w:rPr>
          <w:rFonts w:ascii="Times New Roman" w:hAnsi="Times New Roman"/>
          <w:sz w:val="20"/>
          <w:szCs w:val="20"/>
        </w:rPr>
      </w:pPr>
    </w:p>
    <w:p w14:paraId="393680E7" w14:textId="37103D8E" w:rsidR="00070A29" w:rsidRDefault="00070A29" w:rsidP="00070A29">
      <w:pPr>
        <w:spacing w:line="480" w:lineRule="auto"/>
        <w:rPr>
          <w:rFonts w:ascii="Times New Roman" w:hAnsi="Times New Roman"/>
          <w:sz w:val="20"/>
          <w:szCs w:val="20"/>
        </w:rPr>
      </w:pPr>
      <w:r>
        <w:rPr>
          <w:rFonts w:ascii="Times New Roman" w:hAnsi="Times New Roman"/>
          <w:sz w:val="20"/>
          <w:szCs w:val="20"/>
        </w:rPr>
        <w:t xml:space="preserve">Russ, T. C., Stamatakis, E., Hamer, M., Starr, J. M., </w:t>
      </w:r>
      <w:r w:rsidRPr="000146DF">
        <w:rPr>
          <w:rFonts w:ascii="Times New Roman" w:hAnsi="Times New Roman"/>
          <w:sz w:val="20"/>
          <w:szCs w:val="20"/>
        </w:rPr>
        <w:t>Kivim</w:t>
      </w:r>
      <w:r>
        <w:rPr>
          <w:rFonts w:ascii="Times New Roman" w:hAnsi="Times New Roman"/>
          <w:sz w:val="20"/>
          <w:szCs w:val="20"/>
        </w:rPr>
        <w:t>ä</w:t>
      </w:r>
      <w:r w:rsidRPr="000146DF">
        <w:rPr>
          <w:rFonts w:ascii="Times New Roman" w:hAnsi="Times New Roman"/>
          <w:sz w:val="20"/>
          <w:szCs w:val="20"/>
        </w:rPr>
        <w:t>ki</w:t>
      </w:r>
      <w:r>
        <w:rPr>
          <w:rFonts w:ascii="Times New Roman" w:hAnsi="Times New Roman"/>
          <w:sz w:val="20"/>
          <w:szCs w:val="20"/>
        </w:rPr>
        <w:t xml:space="preserve">, M., Batty, G. D., 2012.  </w:t>
      </w:r>
      <w:r w:rsidRPr="000146DF">
        <w:rPr>
          <w:rFonts w:ascii="Times New Roman" w:hAnsi="Times New Roman"/>
          <w:sz w:val="20"/>
          <w:szCs w:val="20"/>
        </w:rPr>
        <w:t>Association between</w:t>
      </w:r>
      <w:r>
        <w:rPr>
          <w:rFonts w:ascii="Times New Roman" w:hAnsi="Times New Roman"/>
          <w:sz w:val="20"/>
          <w:szCs w:val="20"/>
        </w:rPr>
        <w:t xml:space="preserve"> </w:t>
      </w:r>
      <w:r w:rsidRPr="000146DF">
        <w:rPr>
          <w:rFonts w:ascii="Times New Roman" w:hAnsi="Times New Roman"/>
          <w:sz w:val="20"/>
          <w:szCs w:val="20"/>
        </w:rPr>
        <w:t>psychological distress and</w:t>
      </w:r>
      <w:r>
        <w:rPr>
          <w:rFonts w:ascii="Times New Roman" w:hAnsi="Times New Roman"/>
          <w:sz w:val="20"/>
          <w:szCs w:val="20"/>
        </w:rPr>
        <w:t xml:space="preserve"> </w:t>
      </w:r>
      <w:r w:rsidRPr="000146DF">
        <w:rPr>
          <w:rFonts w:ascii="Times New Roman" w:hAnsi="Times New Roman"/>
          <w:sz w:val="20"/>
          <w:szCs w:val="20"/>
        </w:rPr>
        <w:t>mortality: individual participant pooled analysis of 10</w:t>
      </w:r>
      <w:r>
        <w:rPr>
          <w:rFonts w:ascii="Times New Roman" w:hAnsi="Times New Roman"/>
          <w:sz w:val="20"/>
          <w:szCs w:val="20"/>
        </w:rPr>
        <w:t xml:space="preserve"> </w:t>
      </w:r>
      <w:r w:rsidRPr="000146DF">
        <w:rPr>
          <w:rFonts w:ascii="Times New Roman" w:hAnsi="Times New Roman"/>
          <w:sz w:val="20"/>
          <w:szCs w:val="20"/>
        </w:rPr>
        <w:t>prospective cohort studies</w:t>
      </w:r>
      <w:r>
        <w:rPr>
          <w:rFonts w:ascii="Times New Roman" w:hAnsi="Times New Roman"/>
          <w:sz w:val="20"/>
          <w:szCs w:val="20"/>
        </w:rPr>
        <w:t>.  Br. Med. J. 345, e4933.</w:t>
      </w:r>
    </w:p>
    <w:p w14:paraId="7DC054DD" w14:textId="77777777" w:rsidR="00F359A6" w:rsidRDefault="00F359A6" w:rsidP="00070A29">
      <w:pPr>
        <w:spacing w:line="480" w:lineRule="auto"/>
        <w:rPr>
          <w:rFonts w:ascii="Times New Roman" w:hAnsi="Times New Roman"/>
          <w:sz w:val="20"/>
          <w:szCs w:val="20"/>
        </w:rPr>
      </w:pPr>
    </w:p>
    <w:p w14:paraId="76258BBC" w14:textId="77777777" w:rsidR="00F359A6" w:rsidRDefault="00F359A6" w:rsidP="00F359A6">
      <w:pPr>
        <w:spacing w:line="480" w:lineRule="auto"/>
        <w:rPr>
          <w:rFonts w:ascii="Times New Roman" w:hAnsi="Times New Roman"/>
          <w:sz w:val="20"/>
          <w:szCs w:val="20"/>
        </w:rPr>
      </w:pPr>
      <w:r>
        <w:rPr>
          <w:rFonts w:ascii="Times New Roman" w:hAnsi="Times New Roman"/>
          <w:sz w:val="20"/>
          <w:szCs w:val="20"/>
        </w:rPr>
        <w:t>Sorlie, P. D., Rogot, E., 1990.  Mortality by employment status in the National Longitudinal Mortality Study.  Am. J. Epidemiol. 132, 983−992.</w:t>
      </w:r>
    </w:p>
    <w:p w14:paraId="637DFEB6" w14:textId="77777777" w:rsidR="002F2D28" w:rsidRDefault="002F2D28" w:rsidP="00F359A6">
      <w:pPr>
        <w:spacing w:line="480" w:lineRule="auto"/>
        <w:rPr>
          <w:rFonts w:ascii="Times New Roman" w:hAnsi="Times New Roman"/>
          <w:sz w:val="20"/>
          <w:szCs w:val="20"/>
        </w:rPr>
      </w:pPr>
    </w:p>
    <w:p w14:paraId="171DFCA3" w14:textId="1AF16255" w:rsidR="002F2D28" w:rsidRDefault="002F2D28" w:rsidP="00F359A6">
      <w:pPr>
        <w:spacing w:line="480" w:lineRule="auto"/>
        <w:rPr>
          <w:rFonts w:ascii="Times New Roman" w:hAnsi="Times New Roman"/>
          <w:sz w:val="20"/>
          <w:szCs w:val="20"/>
        </w:rPr>
      </w:pPr>
      <w:r w:rsidRPr="002F2D28">
        <w:rPr>
          <w:rFonts w:ascii="Times New Roman" w:hAnsi="Times New Roman"/>
          <w:sz w:val="20"/>
          <w:szCs w:val="20"/>
        </w:rPr>
        <w:lastRenderedPageBreak/>
        <w:t>Thase, M. E., Greenhouse, J. B., Frank, E., Reynolds, C. F., Pilkonis, P. A., Hurley, K., Grochocinski, V., Kupfer, D. J., 1997.  Treatment of major depression with psychotherapy or psychotherapy-pharmacotherapy combinations.  Arch. Gen. Psychiatry 54, 1009−1015.</w:t>
      </w:r>
    </w:p>
    <w:p w14:paraId="2DC19E69" w14:textId="77777777" w:rsidR="008A00BD" w:rsidRDefault="008A00BD" w:rsidP="00F359A6">
      <w:pPr>
        <w:spacing w:line="480" w:lineRule="auto"/>
        <w:rPr>
          <w:rFonts w:ascii="Times New Roman" w:hAnsi="Times New Roman"/>
          <w:sz w:val="20"/>
          <w:szCs w:val="20"/>
        </w:rPr>
      </w:pPr>
    </w:p>
    <w:p w14:paraId="738A5236" w14:textId="5EFBCA1B" w:rsidR="008A00BD" w:rsidRDefault="008A00BD" w:rsidP="00F359A6">
      <w:pPr>
        <w:spacing w:line="480" w:lineRule="auto"/>
        <w:rPr>
          <w:rFonts w:ascii="Times New Roman" w:hAnsi="Times New Roman"/>
          <w:sz w:val="20"/>
          <w:szCs w:val="20"/>
        </w:rPr>
      </w:pPr>
      <w:r>
        <w:rPr>
          <w:rFonts w:ascii="Times New Roman" w:hAnsi="Times New Roman"/>
          <w:sz w:val="20"/>
          <w:szCs w:val="20"/>
        </w:rPr>
        <w:t xml:space="preserve">Too, L. S., Spittal, M. J., </w:t>
      </w:r>
      <w:r w:rsidR="004E2F3B">
        <w:rPr>
          <w:rFonts w:ascii="Times New Roman" w:hAnsi="Times New Roman"/>
          <w:sz w:val="20"/>
          <w:szCs w:val="20"/>
        </w:rPr>
        <w:t>Bugeja, L., Reifels, L., Butterworth, P., Pirkis, J., 2019.  The association between mental disorders and suicide: a systematic review and meta-analysis of record linkage studies.  J. Affect. Disord. 259, 302−313.</w:t>
      </w:r>
    </w:p>
    <w:p w14:paraId="0836AB50" w14:textId="77777777" w:rsidR="005B442E" w:rsidRDefault="005B442E" w:rsidP="00F359A6">
      <w:pPr>
        <w:spacing w:line="480" w:lineRule="auto"/>
        <w:rPr>
          <w:rFonts w:ascii="Times New Roman" w:hAnsi="Times New Roman"/>
          <w:sz w:val="20"/>
          <w:szCs w:val="20"/>
        </w:rPr>
      </w:pPr>
    </w:p>
    <w:p w14:paraId="044491B4" w14:textId="123257D1" w:rsidR="005B442E" w:rsidRDefault="005B442E" w:rsidP="00F359A6">
      <w:pPr>
        <w:spacing w:line="480" w:lineRule="auto"/>
        <w:rPr>
          <w:rFonts w:ascii="Times New Roman" w:hAnsi="Times New Roman"/>
          <w:sz w:val="20"/>
          <w:szCs w:val="20"/>
        </w:rPr>
      </w:pPr>
      <w:r>
        <w:rPr>
          <w:rFonts w:ascii="Times New Roman" w:hAnsi="Times New Roman"/>
          <w:sz w:val="20"/>
          <w:szCs w:val="20"/>
        </w:rPr>
        <w:t xml:space="preserve">Tyrer, P., Morgan, J., Van Horn, E., Jayakody, M., Evans, K., Brummell, R., White, T., Baldwin, D., Harrison-Read, P., Johnson, T., 1995.  </w:t>
      </w:r>
      <w:r w:rsidRPr="005D7808">
        <w:rPr>
          <w:rFonts w:ascii="Times New Roman" w:hAnsi="Times New Roman"/>
          <w:sz w:val="20"/>
          <w:szCs w:val="20"/>
        </w:rPr>
        <w:t>A randomised controlled study of close monitoring of vulnerable</w:t>
      </w:r>
      <w:r>
        <w:rPr>
          <w:rFonts w:ascii="Times New Roman" w:hAnsi="Times New Roman"/>
          <w:sz w:val="20"/>
          <w:szCs w:val="20"/>
        </w:rPr>
        <w:t xml:space="preserve"> </w:t>
      </w:r>
      <w:r w:rsidRPr="005D7808">
        <w:rPr>
          <w:rFonts w:ascii="Times New Roman" w:hAnsi="Times New Roman"/>
          <w:sz w:val="20"/>
          <w:szCs w:val="20"/>
        </w:rPr>
        <w:t>psychiatric patients</w:t>
      </w:r>
      <w:r>
        <w:rPr>
          <w:rFonts w:ascii="Times New Roman" w:hAnsi="Times New Roman"/>
          <w:sz w:val="20"/>
          <w:szCs w:val="20"/>
        </w:rPr>
        <w:t>.  Lancet 345, 756−759.</w:t>
      </w:r>
    </w:p>
    <w:p w14:paraId="112E8F07" w14:textId="77777777" w:rsidR="00596D28" w:rsidRDefault="00596D28" w:rsidP="00F359A6">
      <w:pPr>
        <w:spacing w:line="480" w:lineRule="auto"/>
        <w:rPr>
          <w:rFonts w:ascii="Times New Roman" w:hAnsi="Times New Roman"/>
          <w:sz w:val="20"/>
          <w:szCs w:val="20"/>
        </w:rPr>
      </w:pPr>
    </w:p>
    <w:p w14:paraId="097983CD" w14:textId="27E5B0F3" w:rsidR="00596D28" w:rsidRDefault="00596D28" w:rsidP="00F359A6">
      <w:pPr>
        <w:spacing w:line="480" w:lineRule="auto"/>
        <w:rPr>
          <w:rFonts w:ascii="Times New Roman" w:hAnsi="Times New Roman"/>
          <w:sz w:val="20"/>
          <w:szCs w:val="20"/>
        </w:rPr>
      </w:pPr>
      <w:r>
        <w:rPr>
          <w:rFonts w:ascii="Times New Roman" w:hAnsi="Times New Roman"/>
          <w:sz w:val="20"/>
          <w:szCs w:val="20"/>
        </w:rPr>
        <w:t>Waitzman, N. J., Smith, K. R., 1998.  Phantom of the area: poverty-area residence and mortality in the United States.  Am. J. Public Health 88, 973−976.</w:t>
      </w:r>
    </w:p>
    <w:p w14:paraId="48A277C8" w14:textId="77777777" w:rsidR="00FC4C61" w:rsidRDefault="00FC4C61" w:rsidP="00F359A6">
      <w:pPr>
        <w:spacing w:line="480" w:lineRule="auto"/>
        <w:rPr>
          <w:rFonts w:ascii="Times New Roman" w:hAnsi="Times New Roman"/>
          <w:sz w:val="20"/>
          <w:szCs w:val="20"/>
        </w:rPr>
      </w:pPr>
    </w:p>
    <w:p w14:paraId="189203CF" w14:textId="37B92CC3" w:rsidR="00FC4C61" w:rsidRDefault="00FC4C61" w:rsidP="00F359A6">
      <w:pPr>
        <w:spacing w:line="480" w:lineRule="auto"/>
        <w:rPr>
          <w:rFonts w:ascii="Times New Roman" w:hAnsi="Times New Roman"/>
          <w:sz w:val="20"/>
          <w:szCs w:val="20"/>
        </w:rPr>
      </w:pPr>
      <w:r w:rsidRPr="00FC4C61">
        <w:rPr>
          <w:rFonts w:ascii="Times New Roman" w:hAnsi="Times New Roman"/>
          <w:sz w:val="20"/>
          <w:szCs w:val="20"/>
        </w:rPr>
        <w:t>Wang, P. S., Aguilar-Gaxiola, S., Alonso, J., Angermeyer, M. C., Borges, G., Bromet, E. J., Bruffaerts, R., de Girolamo, G., de Graaf, R., Gureje, O., Haro, J. M., Karam, E. G., Kessler, R. C., Kovess, V., Lane, M. C., Lee, S., Levinson, D., Ono, Y., Petukhova, M., Posada-Villa, J., Seedat, S., Wells, J. E., 2007.  Use of mental health services for anxiety, mood, and substance disorders in 17 countries in the WHO world mental health surveys.  Lancet 370, 841−850.</w:t>
      </w:r>
    </w:p>
    <w:p w14:paraId="4F855BD8" w14:textId="77777777" w:rsidR="00D32489" w:rsidRDefault="00D32489" w:rsidP="00FE09B6">
      <w:pPr>
        <w:spacing w:line="480" w:lineRule="auto"/>
        <w:rPr>
          <w:rFonts w:ascii="Times New Roman" w:hAnsi="Times New Roman"/>
          <w:sz w:val="20"/>
          <w:szCs w:val="20"/>
        </w:rPr>
      </w:pPr>
    </w:p>
    <w:p w14:paraId="7B18F21B" w14:textId="3C0FCB91" w:rsidR="00856D06" w:rsidRDefault="00856D06" w:rsidP="00FE09B6">
      <w:pPr>
        <w:spacing w:line="480" w:lineRule="auto"/>
        <w:rPr>
          <w:rFonts w:ascii="Times New Roman" w:hAnsi="Times New Roman"/>
          <w:sz w:val="20"/>
          <w:szCs w:val="20"/>
        </w:rPr>
      </w:pPr>
      <w:r>
        <w:rPr>
          <w:rFonts w:ascii="Times New Roman" w:hAnsi="Times New Roman"/>
          <w:sz w:val="20"/>
          <w:szCs w:val="20"/>
        </w:rPr>
        <w:t xml:space="preserve">Weich, S., Lewis, G., 1998.  Poverty, unemployment, and common mental disorders: </w:t>
      </w:r>
      <w:proofErr w:type="gramStart"/>
      <w:r>
        <w:rPr>
          <w:rFonts w:ascii="Times New Roman" w:hAnsi="Times New Roman"/>
          <w:sz w:val="20"/>
          <w:szCs w:val="20"/>
        </w:rPr>
        <w:t>population based</w:t>
      </w:r>
      <w:proofErr w:type="gramEnd"/>
      <w:r>
        <w:rPr>
          <w:rFonts w:ascii="Times New Roman" w:hAnsi="Times New Roman"/>
          <w:sz w:val="20"/>
          <w:szCs w:val="20"/>
        </w:rPr>
        <w:t xml:space="preserve"> cohort study.  Br. Med. J. 317, 115−119.</w:t>
      </w:r>
    </w:p>
    <w:p w14:paraId="37C085C7" w14:textId="77777777" w:rsidR="005647B1" w:rsidRDefault="005647B1" w:rsidP="005647B1">
      <w:pPr>
        <w:spacing w:line="480" w:lineRule="auto"/>
        <w:rPr>
          <w:rFonts w:ascii="Times New Roman" w:hAnsi="Times New Roman"/>
          <w:sz w:val="20"/>
          <w:szCs w:val="20"/>
        </w:rPr>
      </w:pPr>
    </w:p>
    <w:p w14:paraId="0893A25C" w14:textId="25BD4F7A" w:rsidR="003D6AA8" w:rsidRDefault="005647B1" w:rsidP="005647B1">
      <w:pPr>
        <w:spacing w:line="480" w:lineRule="auto"/>
        <w:rPr>
          <w:rFonts w:ascii="Times New Roman" w:hAnsi="Times New Roman"/>
          <w:sz w:val="20"/>
          <w:szCs w:val="20"/>
        </w:rPr>
      </w:pPr>
      <w:r>
        <w:rPr>
          <w:rFonts w:ascii="Times New Roman" w:hAnsi="Times New Roman"/>
          <w:sz w:val="20"/>
          <w:szCs w:val="20"/>
        </w:rPr>
        <w:t xml:space="preserve">Zabkiewicz, D., Schmidt, L. A., 2007.  Behavioral health problems as barriers to </w:t>
      </w:r>
      <w:proofErr w:type="gramStart"/>
      <w:r>
        <w:rPr>
          <w:rFonts w:ascii="Times New Roman" w:hAnsi="Times New Roman"/>
          <w:sz w:val="20"/>
          <w:szCs w:val="20"/>
        </w:rPr>
        <w:t>work:</w:t>
      </w:r>
      <w:proofErr w:type="gramEnd"/>
      <w:r>
        <w:rPr>
          <w:rFonts w:ascii="Times New Roman" w:hAnsi="Times New Roman"/>
          <w:sz w:val="20"/>
          <w:szCs w:val="20"/>
        </w:rPr>
        <w:t xml:space="preserve"> results from a 6-year panel study of welfare recipients.  J. Behav. Health Serv. Res. 34, 168−185.</w:t>
      </w:r>
    </w:p>
    <w:p w14:paraId="121E196D" w14:textId="77777777" w:rsidR="00FE262D" w:rsidRDefault="00FE262D" w:rsidP="00FE09B6">
      <w:pPr>
        <w:spacing w:line="480" w:lineRule="auto"/>
        <w:rPr>
          <w:rFonts w:ascii="Times New Roman" w:hAnsi="Times New Roman"/>
          <w:sz w:val="20"/>
          <w:szCs w:val="20"/>
        </w:rPr>
        <w:sectPr w:rsidR="00FE262D" w:rsidSect="00E966E4">
          <w:footnotePr>
            <w:numFmt w:val="chicago"/>
            <w:numStart w:val="2"/>
          </w:footnotePr>
          <w:pgSz w:w="11906" w:h="16838" w:code="9"/>
          <w:pgMar w:top="1440" w:right="1440" w:bottom="1440" w:left="1440" w:header="284" w:footer="680" w:gutter="0"/>
          <w:cols w:space="708"/>
          <w:docGrid w:linePitch="360"/>
        </w:sectPr>
      </w:pPr>
    </w:p>
    <w:p w14:paraId="71ECF9CC" w14:textId="77777777" w:rsidR="00FE262D" w:rsidRDefault="00FE262D" w:rsidP="00FE262D">
      <w:pPr>
        <w:spacing w:line="480" w:lineRule="auto"/>
        <w:rPr>
          <w:rFonts w:ascii="Times New Roman" w:hAnsi="Times New Roman"/>
          <w:sz w:val="20"/>
          <w:szCs w:val="20"/>
        </w:rPr>
      </w:pPr>
      <w:r>
        <w:rPr>
          <w:rFonts w:ascii="Times New Roman" w:hAnsi="Times New Roman"/>
          <w:sz w:val="24"/>
          <w:szCs w:val="24"/>
        </w:rPr>
        <w:lastRenderedPageBreak/>
        <w:t>2.  Intervention definitions and parameter assumptions</w:t>
      </w:r>
    </w:p>
    <w:p w14:paraId="6D9CE9C1" w14:textId="2B380CA2" w:rsidR="005647B1" w:rsidRDefault="00FE262D" w:rsidP="00FE262D">
      <w:pPr>
        <w:spacing w:line="480" w:lineRule="auto"/>
        <w:rPr>
          <w:rFonts w:ascii="Times New Roman" w:hAnsi="Times New Roman"/>
          <w:sz w:val="20"/>
          <w:szCs w:val="20"/>
        </w:rPr>
      </w:pPr>
      <w:r>
        <w:rPr>
          <w:rFonts w:ascii="Times New Roman" w:hAnsi="Times New Roman"/>
          <w:sz w:val="20"/>
          <w:szCs w:val="20"/>
        </w:rPr>
        <w:t>Table S1.  Intervention definitions and parameter assumptions.  Parameters determining the direct effects of each intervention can be modified via an interactive model interface, enabling users to assess the impact of parameter assumptions on model outputs.</w:t>
      </w:r>
    </w:p>
    <w:tbl>
      <w:tblPr>
        <w:tblW w:w="13920" w:type="dxa"/>
        <w:tblLook w:val="04A0" w:firstRow="1" w:lastRow="0" w:firstColumn="1" w:lastColumn="0" w:noHBand="0" w:noVBand="1"/>
      </w:tblPr>
      <w:tblGrid>
        <w:gridCol w:w="3420"/>
        <w:gridCol w:w="10500"/>
      </w:tblGrid>
      <w:tr w:rsidR="00E07949" w:rsidRPr="00E07949" w14:paraId="77D3A6D8" w14:textId="77777777" w:rsidTr="00E07949">
        <w:trPr>
          <w:trHeight w:val="300"/>
        </w:trPr>
        <w:tc>
          <w:tcPr>
            <w:tcW w:w="3420" w:type="dxa"/>
            <w:tcBorders>
              <w:top w:val="single" w:sz="4" w:space="0" w:color="auto"/>
              <w:left w:val="nil"/>
              <w:bottom w:val="single" w:sz="4" w:space="0" w:color="auto"/>
              <w:right w:val="nil"/>
            </w:tcBorders>
            <w:shd w:val="clear" w:color="auto" w:fill="auto"/>
            <w:noWrap/>
            <w:vAlign w:val="center"/>
            <w:hideMark/>
          </w:tcPr>
          <w:p w14:paraId="4B4ECBD9" w14:textId="77777777" w:rsidR="00E07949" w:rsidRPr="00E07949" w:rsidRDefault="00E07949" w:rsidP="00E07949">
            <w:pPr>
              <w:spacing w:line="240" w:lineRule="auto"/>
              <w:rPr>
                <w:rFonts w:ascii="Times New Roman" w:eastAsia="Times New Roman" w:hAnsi="Times New Roman"/>
                <w:color w:val="000000"/>
                <w:sz w:val="16"/>
                <w:szCs w:val="16"/>
                <w:lang w:eastAsia="en-AU"/>
              </w:rPr>
            </w:pPr>
            <w:r w:rsidRPr="00E07949">
              <w:rPr>
                <w:rFonts w:ascii="Times New Roman" w:eastAsia="Times New Roman" w:hAnsi="Times New Roman"/>
                <w:color w:val="000000"/>
                <w:sz w:val="16"/>
                <w:szCs w:val="16"/>
                <w:lang w:eastAsia="en-AU"/>
              </w:rPr>
              <w:t>Intervention</w:t>
            </w:r>
          </w:p>
        </w:tc>
        <w:tc>
          <w:tcPr>
            <w:tcW w:w="10500" w:type="dxa"/>
            <w:tcBorders>
              <w:top w:val="single" w:sz="4" w:space="0" w:color="auto"/>
              <w:left w:val="nil"/>
              <w:bottom w:val="single" w:sz="4" w:space="0" w:color="auto"/>
              <w:right w:val="nil"/>
            </w:tcBorders>
            <w:shd w:val="clear" w:color="auto" w:fill="auto"/>
            <w:noWrap/>
            <w:vAlign w:val="center"/>
            <w:hideMark/>
          </w:tcPr>
          <w:p w14:paraId="28EF1A60" w14:textId="77777777" w:rsidR="00E07949" w:rsidRPr="00E07949" w:rsidRDefault="00E07949" w:rsidP="00E07949">
            <w:pPr>
              <w:spacing w:line="240" w:lineRule="auto"/>
              <w:rPr>
                <w:rFonts w:ascii="Times New Roman" w:eastAsia="Times New Roman" w:hAnsi="Times New Roman"/>
                <w:color w:val="000000"/>
                <w:sz w:val="16"/>
                <w:szCs w:val="16"/>
                <w:lang w:eastAsia="en-AU"/>
              </w:rPr>
            </w:pPr>
            <w:r w:rsidRPr="00E07949">
              <w:rPr>
                <w:rFonts w:ascii="Times New Roman" w:eastAsia="Times New Roman" w:hAnsi="Times New Roman"/>
                <w:color w:val="000000"/>
                <w:sz w:val="16"/>
                <w:szCs w:val="16"/>
                <w:lang w:eastAsia="en-AU"/>
              </w:rPr>
              <w:t>Description</w:t>
            </w:r>
          </w:p>
        </w:tc>
      </w:tr>
      <w:tr w:rsidR="00E07949" w:rsidRPr="00E07949" w14:paraId="485997C1" w14:textId="77777777" w:rsidTr="00E07949">
        <w:trPr>
          <w:trHeight w:val="210"/>
        </w:trPr>
        <w:tc>
          <w:tcPr>
            <w:tcW w:w="3420" w:type="dxa"/>
            <w:tcBorders>
              <w:top w:val="nil"/>
              <w:left w:val="nil"/>
              <w:bottom w:val="nil"/>
              <w:right w:val="nil"/>
            </w:tcBorders>
            <w:shd w:val="clear" w:color="auto" w:fill="auto"/>
            <w:noWrap/>
            <w:vAlign w:val="center"/>
            <w:hideMark/>
          </w:tcPr>
          <w:p w14:paraId="0DB4A1BC" w14:textId="77777777" w:rsidR="00E07949" w:rsidRPr="00E07949" w:rsidRDefault="00E07949" w:rsidP="00E07949">
            <w:pPr>
              <w:spacing w:line="240" w:lineRule="auto"/>
              <w:rPr>
                <w:rFonts w:ascii="Times New Roman" w:eastAsia="Times New Roman" w:hAnsi="Times New Roman"/>
                <w:color w:val="000000"/>
                <w:sz w:val="16"/>
                <w:szCs w:val="16"/>
                <w:lang w:eastAsia="en-AU"/>
              </w:rPr>
            </w:pPr>
          </w:p>
        </w:tc>
        <w:tc>
          <w:tcPr>
            <w:tcW w:w="10500" w:type="dxa"/>
            <w:tcBorders>
              <w:top w:val="nil"/>
              <w:left w:val="nil"/>
              <w:bottom w:val="nil"/>
              <w:right w:val="nil"/>
            </w:tcBorders>
            <w:shd w:val="clear" w:color="auto" w:fill="auto"/>
            <w:noWrap/>
            <w:vAlign w:val="center"/>
            <w:hideMark/>
          </w:tcPr>
          <w:p w14:paraId="65AD671C" w14:textId="77777777" w:rsidR="00E07949" w:rsidRPr="00E07949" w:rsidRDefault="00E07949" w:rsidP="00E07949">
            <w:pPr>
              <w:spacing w:line="240" w:lineRule="auto"/>
              <w:rPr>
                <w:rFonts w:ascii="Times New Roman" w:eastAsia="Times New Roman" w:hAnsi="Times New Roman"/>
                <w:color w:val="auto"/>
                <w:sz w:val="20"/>
                <w:szCs w:val="20"/>
                <w:lang w:eastAsia="en-AU"/>
              </w:rPr>
            </w:pPr>
          </w:p>
        </w:tc>
      </w:tr>
      <w:tr w:rsidR="00E07949" w:rsidRPr="00E07949" w14:paraId="01A4CF46" w14:textId="77777777" w:rsidTr="00E07949">
        <w:trPr>
          <w:trHeight w:val="3780"/>
        </w:trPr>
        <w:tc>
          <w:tcPr>
            <w:tcW w:w="3420" w:type="dxa"/>
            <w:tcBorders>
              <w:top w:val="nil"/>
              <w:left w:val="nil"/>
              <w:bottom w:val="nil"/>
              <w:right w:val="nil"/>
            </w:tcBorders>
            <w:shd w:val="clear" w:color="000000" w:fill="F2F2F2"/>
            <w:hideMark/>
          </w:tcPr>
          <w:p w14:paraId="72B9860A" w14:textId="77777777" w:rsidR="00E07949" w:rsidRDefault="00E07949" w:rsidP="00E07949">
            <w:pPr>
              <w:spacing w:line="240" w:lineRule="auto"/>
              <w:rPr>
                <w:rFonts w:ascii="Times New Roman" w:eastAsia="Times New Roman" w:hAnsi="Times New Roman"/>
                <w:color w:val="000000"/>
                <w:sz w:val="16"/>
                <w:szCs w:val="16"/>
                <w:lang w:eastAsia="en-AU"/>
              </w:rPr>
            </w:pPr>
          </w:p>
          <w:p w14:paraId="301FA73F" w14:textId="0055B2D0" w:rsidR="00E07949" w:rsidRPr="00E07949" w:rsidRDefault="00E07949" w:rsidP="00E07949">
            <w:pPr>
              <w:spacing w:line="240" w:lineRule="auto"/>
              <w:rPr>
                <w:rFonts w:ascii="Times New Roman" w:eastAsia="Times New Roman" w:hAnsi="Times New Roman"/>
                <w:color w:val="000000"/>
                <w:sz w:val="16"/>
                <w:szCs w:val="16"/>
                <w:lang w:eastAsia="en-AU"/>
              </w:rPr>
            </w:pPr>
            <w:r w:rsidRPr="00E07949">
              <w:rPr>
                <w:rFonts w:ascii="Times New Roman" w:eastAsia="Times New Roman" w:hAnsi="Times New Roman"/>
                <w:color w:val="000000"/>
                <w:sz w:val="16"/>
                <w:szCs w:val="16"/>
                <w:lang w:eastAsia="en-AU"/>
              </w:rPr>
              <w:t>a.  School-based suicide prevention programs</w:t>
            </w:r>
          </w:p>
        </w:tc>
        <w:tc>
          <w:tcPr>
            <w:tcW w:w="10500" w:type="dxa"/>
            <w:tcBorders>
              <w:top w:val="nil"/>
              <w:left w:val="nil"/>
              <w:bottom w:val="nil"/>
              <w:right w:val="nil"/>
            </w:tcBorders>
            <w:shd w:val="clear" w:color="000000" w:fill="F2F2F2"/>
            <w:hideMark/>
          </w:tcPr>
          <w:p w14:paraId="19230A7D" w14:textId="77777777" w:rsidR="00E07949" w:rsidRDefault="00E07949" w:rsidP="00E07949">
            <w:pPr>
              <w:spacing w:line="240" w:lineRule="auto"/>
              <w:rPr>
                <w:rFonts w:ascii="Times New Roman" w:eastAsia="Times New Roman" w:hAnsi="Times New Roman"/>
                <w:color w:val="000000"/>
                <w:sz w:val="16"/>
                <w:szCs w:val="16"/>
                <w:lang w:eastAsia="en-AU"/>
              </w:rPr>
            </w:pPr>
          </w:p>
          <w:p w14:paraId="495FF773" w14:textId="56415F06" w:rsidR="00E07949" w:rsidRPr="00E07949" w:rsidRDefault="00E07949" w:rsidP="00E07949">
            <w:pPr>
              <w:spacing w:line="240" w:lineRule="auto"/>
              <w:rPr>
                <w:rFonts w:ascii="Times New Roman" w:eastAsia="Times New Roman" w:hAnsi="Times New Roman"/>
                <w:color w:val="000000"/>
                <w:sz w:val="16"/>
                <w:szCs w:val="16"/>
                <w:lang w:eastAsia="en-AU"/>
              </w:rPr>
            </w:pPr>
            <w:r w:rsidRPr="00E07949">
              <w:rPr>
                <w:rFonts w:ascii="Times New Roman" w:eastAsia="Times New Roman" w:hAnsi="Times New Roman"/>
                <w:color w:val="000000"/>
                <w:sz w:val="16"/>
                <w:szCs w:val="16"/>
                <w:lang w:eastAsia="en-AU"/>
              </w:rPr>
              <w:t xml:space="preserve">Based on the </w:t>
            </w:r>
            <w:r w:rsidRPr="00E07949">
              <w:rPr>
                <w:rFonts w:ascii="Times New Roman" w:eastAsia="Times New Roman" w:hAnsi="Times New Roman"/>
                <w:i/>
                <w:iCs/>
                <w:color w:val="000000"/>
                <w:sz w:val="16"/>
                <w:szCs w:val="16"/>
                <w:lang w:eastAsia="en-AU"/>
              </w:rPr>
              <w:t>Signs of Suicide</w:t>
            </w:r>
            <w:r w:rsidRPr="00E07949">
              <w:rPr>
                <w:rFonts w:ascii="Times New Roman" w:eastAsia="Times New Roman" w:hAnsi="Times New Roman"/>
                <w:color w:val="000000"/>
                <w:sz w:val="16"/>
                <w:szCs w:val="16"/>
                <w:lang w:eastAsia="en-AU"/>
              </w:rPr>
              <w:t xml:space="preserve"> (</w:t>
            </w:r>
            <w:r w:rsidRPr="00E07949">
              <w:rPr>
                <w:rFonts w:ascii="Times New Roman" w:eastAsia="Times New Roman" w:hAnsi="Times New Roman"/>
                <w:i/>
                <w:iCs/>
                <w:color w:val="000000"/>
                <w:sz w:val="16"/>
                <w:szCs w:val="16"/>
                <w:lang w:eastAsia="en-AU"/>
              </w:rPr>
              <w:t>SOS</w:t>
            </w:r>
            <w:r w:rsidRPr="00E07949">
              <w:rPr>
                <w:rFonts w:ascii="Times New Roman" w:eastAsia="Times New Roman" w:hAnsi="Times New Roman"/>
                <w:color w:val="000000"/>
                <w:sz w:val="16"/>
                <w:szCs w:val="16"/>
                <w:lang w:eastAsia="en-AU"/>
              </w:rPr>
              <w:t>) program (see Aseltine et al., 2007, BMC Public Health 7, 161), this intervention incorporates curriculum-embedded mental health education aimed at increasing awareness of suicide and brief screening for depression and other risk factors associated with suicidal behaviour.  Parameters that can be modified include:</w:t>
            </w:r>
            <w:r w:rsidRPr="00E07949">
              <w:rPr>
                <w:rFonts w:ascii="Times New Roman" w:eastAsia="Times New Roman" w:hAnsi="Times New Roman"/>
                <w:color w:val="000000"/>
                <w:sz w:val="16"/>
                <w:szCs w:val="16"/>
                <w:lang w:eastAsia="en-AU"/>
              </w:rPr>
              <w:br/>
            </w:r>
            <w:r w:rsidRPr="00E07949">
              <w:rPr>
                <w:rFonts w:ascii="Times New Roman" w:eastAsia="Times New Roman" w:hAnsi="Times New Roman"/>
                <w:color w:val="000000"/>
                <w:sz w:val="16"/>
                <w:szCs w:val="16"/>
                <w:lang w:eastAsia="en-AU"/>
              </w:rPr>
              <w:br/>
              <w:t>Effect on suicidal behaviour — the multiplicative effect of school-based mental health programs on the per capita suicide attempt rate.  The default value (0.625), derived from Aseltine et al. (2007, BMC Public Health 7, 161), implies that school-based mental health programs reduce the incidence of suicidal behaviour by 37.5%.</w:t>
            </w:r>
            <w:r w:rsidRPr="00E07949">
              <w:rPr>
                <w:rFonts w:ascii="Times New Roman" w:eastAsia="Times New Roman" w:hAnsi="Times New Roman"/>
                <w:color w:val="000000"/>
                <w:sz w:val="16"/>
                <w:szCs w:val="16"/>
                <w:lang w:eastAsia="en-AU"/>
              </w:rPr>
              <w:br/>
            </w:r>
            <w:r w:rsidRPr="00E07949">
              <w:rPr>
                <w:rFonts w:ascii="Times New Roman" w:eastAsia="Times New Roman" w:hAnsi="Times New Roman"/>
                <w:color w:val="000000"/>
                <w:sz w:val="16"/>
                <w:szCs w:val="16"/>
                <w:lang w:eastAsia="en-AU"/>
              </w:rPr>
              <w:br/>
              <w:t>Effect on mental health — the multiplicative effect of school-based mental health programs on the per capita rate at which adolescents develop significant mental health problems.  The default value (1), based on Sheffield et al. (2006, J. Consult. Clin. Psychol. 74, 66−79), implies that school-based mental health programs have no impact on the per capita incidence of mental health problems.</w:t>
            </w:r>
            <w:r w:rsidRPr="00E07949">
              <w:rPr>
                <w:rFonts w:ascii="Times New Roman" w:eastAsia="Times New Roman" w:hAnsi="Times New Roman"/>
                <w:color w:val="000000"/>
                <w:sz w:val="16"/>
                <w:szCs w:val="16"/>
                <w:lang w:eastAsia="en-AU"/>
              </w:rPr>
              <w:br/>
            </w:r>
            <w:r w:rsidRPr="00E07949">
              <w:rPr>
                <w:rFonts w:ascii="Times New Roman" w:eastAsia="Times New Roman" w:hAnsi="Times New Roman"/>
                <w:color w:val="000000"/>
                <w:sz w:val="16"/>
                <w:szCs w:val="16"/>
                <w:lang w:eastAsia="en-AU"/>
              </w:rPr>
              <w:br/>
              <w:t>Effect on substance use — the multiplicative effect of school-based mental health programs on the per capita rate at which adolescents develop substance use problems.  The default value (0.79), derived from Newton et al. (2022, J. Am. Acad. Child Adolesc. Psychiatry 61, 520−532), implies that school-based mental health programs reduce the incidence of substance use problems by 21%.</w:t>
            </w:r>
            <w:r w:rsidRPr="00E07949">
              <w:rPr>
                <w:rFonts w:ascii="Times New Roman" w:eastAsia="Times New Roman" w:hAnsi="Times New Roman"/>
                <w:color w:val="000000"/>
                <w:sz w:val="16"/>
                <w:szCs w:val="16"/>
                <w:lang w:eastAsia="en-AU"/>
              </w:rPr>
              <w:br/>
            </w:r>
            <w:r w:rsidRPr="00E07949">
              <w:rPr>
                <w:rFonts w:ascii="Times New Roman" w:eastAsia="Times New Roman" w:hAnsi="Times New Roman"/>
                <w:color w:val="000000"/>
                <w:sz w:val="16"/>
                <w:szCs w:val="16"/>
                <w:lang w:eastAsia="en-AU"/>
              </w:rPr>
              <w:br/>
              <w:t>Effect on services engagement — the multiplicative effect of school-based mental health programs on the per capita rates that adolescents perceive a need for care and engage with mental health services.  The default value (1.81) is derived from Lubman et al. (2020, EClinicalMedicine 18, 100225).</w:t>
            </w:r>
          </w:p>
        </w:tc>
      </w:tr>
      <w:tr w:rsidR="00E07949" w:rsidRPr="00E07949" w14:paraId="403D268A" w14:textId="77777777" w:rsidTr="00E07949">
        <w:trPr>
          <w:trHeight w:val="1050"/>
        </w:trPr>
        <w:tc>
          <w:tcPr>
            <w:tcW w:w="3420" w:type="dxa"/>
            <w:tcBorders>
              <w:top w:val="nil"/>
              <w:left w:val="nil"/>
              <w:bottom w:val="nil"/>
              <w:right w:val="nil"/>
            </w:tcBorders>
            <w:shd w:val="clear" w:color="auto" w:fill="auto"/>
            <w:hideMark/>
          </w:tcPr>
          <w:p w14:paraId="31DDFA1C" w14:textId="77777777" w:rsidR="00E07949" w:rsidRDefault="00E07949" w:rsidP="00E07949">
            <w:pPr>
              <w:spacing w:line="240" w:lineRule="auto"/>
              <w:rPr>
                <w:rFonts w:ascii="Times New Roman" w:eastAsia="Times New Roman" w:hAnsi="Times New Roman"/>
                <w:color w:val="000000"/>
                <w:sz w:val="16"/>
                <w:szCs w:val="16"/>
                <w:lang w:eastAsia="en-AU"/>
              </w:rPr>
            </w:pPr>
          </w:p>
          <w:p w14:paraId="2AB05166" w14:textId="705617DA" w:rsidR="00E07949" w:rsidRPr="00E07949" w:rsidRDefault="00E07949" w:rsidP="00E07949">
            <w:pPr>
              <w:spacing w:line="240" w:lineRule="auto"/>
              <w:rPr>
                <w:rFonts w:ascii="Times New Roman" w:eastAsia="Times New Roman" w:hAnsi="Times New Roman"/>
                <w:color w:val="000000"/>
                <w:sz w:val="16"/>
                <w:szCs w:val="16"/>
                <w:lang w:eastAsia="en-AU"/>
              </w:rPr>
            </w:pPr>
            <w:r w:rsidRPr="00E07949">
              <w:rPr>
                <w:rFonts w:ascii="Times New Roman" w:eastAsia="Times New Roman" w:hAnsi="Times New Roman"/>
                <w:color w:val="000000"/>
                <w:sz w:val="16"/>
                <w:szCs w:val="16"/>
                <w:lang w:eastAsia="en-AU"/>
              </w:rPr>
              <w:t>b.  Anti-bullying programs</w:t>
            </w:r>
          </w:p>
        </w:tc>
        <w:tc>
          <w:tcPr>
            <w:tcW w:w="10500" w:type="dxa"/>
            <w:tcBorders>
              <w:top w:val="nil"/>
              <w:left w:val="nil"/>
              <w:bottom w:val="nil"/>
              <w:right w:val="nil"/>
            </w:tcBorders>
            <w:shd w:val="clear" w:color="auto" w:fill="auto"/>
            <w:hideMark/>
          </w:tcPr>
          <w:p w14:paraId="06E1EAC4" w14:textId="77777777" w:rsidR="00E07949" w:rsidRDefault="00E07949" w:rsidP="00E07949">
            <w:pPr>
              <w:spacing w:line="240" w:lineRule="auto"/>
              <w:rPr>
                <w:rFonts w:ascii="Times New Roman" w:eastAsia="Times New Roman" w:hAnsi="Times New Roman"/>
                <w:color w:val="000000"/>
                <w:sz w:val="16"/>
                <w:szCs w:val="16"/>
                <w:lang w:eastAsia="en-AU"/>
              </w:rPr>
            </w:pPr>
          </w:p>
          <w:p w14:paraId="492F8CE6" w14:textId="2BD0DE03" w:rsidR="00E07949" w:rsidRPr="00E07949" w:rsidRDefault="00E07949" w:rsidP="00E07949">
            <w:pPr>
              <w:spacing w:line="240" w:lineRule="auto"/>
              <w:rPr>
                <w:rFonts w:ascii="Times New Roman" w:eastAsia="Times New Roman" w:hAnsi="Times New Roman"/>
                <w:color w:val="000000"/>
                <w:sz w:val="16"/>
                <w:szCs w:val="16"/>
                <w:lang w:eastAsia="en-AU"/>
              </w:rPr>
            </w:pPr>
            <w:r w:rsidRPr="00E07949">
              <w:rPr>
                <w:rFonts w:ascii="Times New Roman" w:eastAsia="Times New Roman" w:hAnsi="Times New Roman"/>
                <w:color w:val="000000"/>
                <w:sz w:val="16"/>
                <w:szCs w:val="16"/>
                <w:lang w:eastAsia="en-AU"/>
              </w:rPr>
              <w:t>School-based programs aimed at reducing exposure to bullying and cyberbullying.  Parameters that can be modified include:</w:t>
            </w:r>
            <w:r w:rsidRPr="00E07949">
              <w:rPr>
                <w:rFonts w:ascii="Times New Roman" w:eastAsia="Times New Roman" w:hAnsi="Times New Roman"/>
                <w:color w:val="000000"/>
                <w:sz w:val="16"/>
                <w:szCs w:val="16"/>
                <w:lang w:eastAsia="en-AU"/>
              </w:rPr>
              <w:br/>
            </w:r>
            <w:r w:rsidRPr="00E07949">
              <w:rPr>
                <w:rFonts w:ascii="Times New Roman" w:eastAsia="Times New Roman" w:hAnsi="Times New Roman"/>
                <w:color w:val="000000"/>
                <w:sz w:val="16"/>
                <w:szCs w:val="16"/>
                <w:lang w:eastAsia="en-AU"/>
              </w:rPr>
              <w:br/>
              <w:t>Effect on mental health — the multiplicative effect of anti-bullying programs on the per capita rate at which children and adolescents (aged 7−17 years) develop significant mental health problems.  The default value (0.689), derived from Fraguas et al. (2021, JAMA Pediatr. 175, 44−55), implies that school-based anti-bulling programs reduce the per capita incidence of mental health problems by 31.1%.</w:t>
            </w:r>
          </w:p>
        </w:tc>
      </w:tr>
      <w:tr w:rsidR="00E07949" w:rsidRPr="00E07949" w14:paraId="642B2713" w14:textId="77777777" w:rsidTr="00E07949">
        <w:trPr>
          <w:trHeight w:val="2310"/>
        </w:trPr>
        <w:tc>
          <w:tcPr>
            <w:tcW w:w="3420" w:type="dxa"/>
            <w:tcBorders>
              <w:top w:val="nil"/>
              <w:left w:val="nil"/>
              <w:bottom w:val="nil"/>
              <w:right w:val="nil"/>
            </w:tcBorders>
            <w:shd w:val="clear" w:color="000000" w:fill="F2F2F2"/>
            <w:hideMark/>
          </w:tcPr>
          <w:p w14:paraId="7F2CE9A8" w14:textId="77777777" w:rsidR="00E07949" w:rsidRDefault="00E07949" w:rsidP="00E07949">
            <w:pPr>
              <w:spacing w:line="240" w:lineRule="auto"/>
              <w:rPr>
                <w:rFonts w:ascii="Times New Roman" w:eastAsia="Times New Roman" w:hAnsi="Times New Roman"/>
                <w:color w:val="000000"/>
                <w:sz w:val="16"/>
                <w:szCs w:val="16"/>
                <w:lang w:eastAsia="en-AU"/>
              </w:rPr>
            </w:pPr>
          </w:p>
          <w:p w14:paraId="04FC492A" w14:textId="23F8143B" w:rsidR="00E07949" w:rsidRPr="00E07949" w:rsidRDefault="00E07949" w:rsidP="00E07949">
            <w:pPr>
              <w:spacing w:line="240" w:lineRule="auto"/>
              <w:rPr>
                <w:rFonts w:ascii="Times New Roman" w:eastAsia="Times New Roman" w:hAnsi="Times New Roman"/>
                <w:color w:val="000000"/>
                <w:sz w:val="16"/>
                <w:szCs w:val="16"/>
                <w:lang w:eastAsia="en-AU"/>
              </w:rPr>
            </w:pPr>
            <w:r w:rsidRPr="00E07949">
              <w:rPr>
                <w:rFonts w:ascii="Times New Roman" w:eastAsia="Times New Roman" w:hAnsi="Times New Roman"/>
                <w:color w:val="000000"/>
                <w:sz w:val="16"/>
                <w:szCs w:val="16"/>
                <w:lang w:eastAsia="en-AU"/>
              </w:rPr>
              <w:t>c.  Gatekeeper suicide prevention training</w:t>
            </w:r>
          </w:p>
        </w:tc>
        <w:tc>
          <w:tcPr>
            <w:tcW w:w="10500" w:type="dxa"/>
            <w:tcBorders>
              <w:top w:val="nil"/>
              <w:left w:val="nil"/>
              <w:bottom w:val="nil"/>
              <w:right w:val="nil"/>
            </w:tcBorders>
            <w:shd w:val="clear" w:color="000000" w:fill="F2F2F2"/>
            <w:hideMark/>
          </w:tcPr>
          <w:p w14:paraId="79CDB1DB" w14:textId="77777777" w:rsidR="00E07949" w:rsidRDefault="00E07949" w:rsidP="00E07949">
            <w:pPr>
              <w:spacing w:line="240" w:lineRule="auto"/>
              <w:rPr>
                <w:rFonts w:ascii="Times New Roman" w:eastAsia="Times New Roman" w:hAnsi="Times New Roman"/>
                <w:color w:val="000000"/>
                <w:sz w:val="16"/>
                <w:szCs w:val="16"/>
                <w:lang w:eastAsia="en-AU"/>
              </w:rPr>
            </w:pPr>
          </w:p>
          <w:p w14:paraId="6029E245" w14:textId="77777777" w:rsidR="00E07949" w:rsidRDefault="00E07949" w:rsidP="00E07949">
            <w:pPr>
              <w:spacing w:line="240" w:lineRule="auto"/>
              <w:rPr>
                <w:rFonts w:ascii="Times New Roman" w:eastAsia="Times New Roman" w:hAnsi="Times New Roman"/>
                <w:color w:val="000000"/>
                <w:sz w:val="16"/>
                <w:szCs w:val="16"/>
                <w:lang w:eastAsia="en-AU"/>
              </w:rPr>
            </w:pPr>
            <w:r w:rsidRPr="00E07949">
              <w:rPr>
                <w:rFonts w:ascii="Times New Roman" w:eastAsia="Times New Roman" w:hAnsi="Times New Roman"/>
                <w:color w:val="000000"/>
                <w:sz w:val="16"/>
                <w:szCs w:val="16"/>
                <w:lang w:eastAsia="en-AU"/>
              </w:rPr>
              <w:t>Programs providing suicide prevention training to community gatekeepers (educators, community mothers, young leaders, etc.) with the aim of reducing suicidal behaviour among children and adolescents (aged 7−17 years).  Parameters that can be modified include:</w:t>
            </w:r>
            <w:r w:rsidRPr="00E07949">
              <w:rPr>
                <w:rFonts w:ascii="Times New Roman" w:eastAsia="Times New Roman" w:hAnsi="Times New Roman"/>
                <w:color w:val="000000"/>
                <w:sz w:val="16"/>
                <w:szCs w:val="16"/>
                <w:lang w:eastAsia="en-AU"/>
              </w:rPr>
              <w:br/>
            </w:r>
            <w:r w:rsidRPr="00E07949">
              <w:rPr>
                <w:rFonts w:ascii="Times New Roman" w:eastAsia="Times New Roman" w:hAnsi="Times New Roman"/>
                <w:color w:val="000000"/>
                <w:sz w:val="16"/>
                <w:szCs w:val="16"/>
                <w:lang w:eastAsia="en-AU"/>
              </w:rPr>
              <w:br/>
              <w:t>Effect on suicidal behaviour — the multiplicative effect of gatekeeper training on the per capita suicide attempt rate.  The default value (0.806), derived from Hegerl et al. (2006, Psychol. Med. 36, 1225−1233), implies that gatekeeper training reduces the incidence of suicidal behaviour by 19.4%.</w:t>
            </w:r>
            <w:r w:rsidRPr="00E07949">
              <w:rPr>
                <w:rFonts w:ascii="Times New Roman" w:eastAsia="Times New Roman" w:hAnsi="Times New Roman"/>
                <w:color w:val="000000"/>
                <w:sz w:val="16"/>
                <w:szCs w:val="16"/>
                <w:lang w:eastAsia="en-AU"/>
              </w:rPr>
              <w:br/>
            </w:r>
            <w:r w:rsidRPr="00E07949">
              <w:rPr>
                <w:rFonts w:ascii="Times New Roman" w:eastAsia="Times New Roman" w:hAnsi="Times New Roman"/>
                <w:color w:val="000000"/>
                <w:sz w:val="16"/>
                <w:szCs w:val="16"/>
                <w:lang w:eastAsia="en-AU"/>
              </w:rPr>
              <w:br/>
              <w:t>Effect decay rate per year — the fractional rate per year at which the effect on suicidal behaviour declines to a value of 1 (i.e., no effect) after gatekeeper training programs end.  The default value (1) implies that the effect on suicidal behaviour would decrease to a value of 1 in 1 year given the initial rate of decline (i.e., the rate immediately after gatekeeper training programs end).  Note that the rate of decline in the effect of gatekeeper training itself declines as the effect approaches a value of 1, so the actual time required for the effect to decay completely will generally be greater than the inverse of the decay rate specified.</w:t>
            </w:r>
          </w:p>
          <w:p w14:paraId="5D8F793E" w14:textId="790CC425" w:rsidR="002431B3" w:rsidRPr="00E07949" w:rsidRDefault="002431B3" w:rsidP="00E07949">
            <w:pPr>
              <w:spacing w:line="240" w:lineRule="auto"/>
              <w:rPr>
                <w:rFonts w:ascii="Times New Roman" w:eastAsia="Times New Roman" w:hAnsi="Times New Roman"/>
                <w:color w:val="000000"/>
                <w:sz w:val="16"/>
                <w:szCs w:val="16"/>
                <w:lang w:eastAsia="en-AU"/>
              </w:rPr>
            </w:pPr>
          </w:p>
        </w:tc>
      </w:tr>
      <w:tr w:rsidR="00E07949" w:rsidRPr="00E07949" w14:paraId="1609B787" w14:textId="77777777" w:rsidTr="00E07949">
        <w:trPr>
          <w:trHeight w:val="2310"/>
        </w:trPr>
        <w:tc>
          <w:tcPr>
            <w:tcW w:w="3420" w:type="dxa"/>
            <w:tcBorders>
              <w:top w:val="nil"/>
              <w:left w:val="nil"/>
              <w:bottom w:val="nil"/>
              <w:right w:val="nil"/>
            </w:tcBorders>
            <w:shd w:val="clear" w:color="auto" w:fill="auto"/>
            <w:hideMark/>
          </w:tcPr>
          <w:p w14:paraId="515E9A7D" w14:textId="77777777" w:rsidR="00E07949" w:rsidRDefault="00E07949" w:rsidP="00E07949">
            <w:pPr>
              <w:spacing w:line="240" w:lineRule="auto"/>
              <w:rPr>
                <w:rFonts w:ascii="Times New Roman" w:eastAsia="Times New Roman" w:hAnsi="Times New Roman"/>
                <w:color w:val="000000"/>
                <w:sz w:val="16"/>
                <w:szCs w:val="16"/>
                <w:lang w:eastAsia="en-AU"/>
              </w:rPr>
            </w:pPr>
          </w:p>
          <w:p w14:paraId="6686DECA" w14:textId="632D067B" w:rsidR="00E07949" w:rsidRPr="00E07949" w:rsidRDefault="00E07949" w:rsidP="00E07949">
            <w:pPr>
              <w:spacing w:line="240" w:lineRule="auto"/>
              <w:rPr>
                <w:rFonts w:ascii="Times New Roman" w:eastAsia="Times New Roman" w:hAnsi="Times New Roman"/>
                <w:color w:val="000000"/>
                <w:sz w:val="16"/>
                <w:szCs w:val="16"/>
                <w:lang w:eastAsia="en-AU"/>
              </w:rPr>
            </w:pPr>
            <w:r w:rsidRPr="00E07949">
              <w:rPr>
                <w:rFonts w:ascii="Times New Roman" w:eastAsia="Times New Roman" w:hAnsi="Times New Roman"/>
                <w:color w:val="000000"/>
                <w:sz w:val="16"/>
                <w:szCs w:val="16"/>
                <w:lang w:eastAsia="en-AU"/>
              </w:rPr>
              <w:t>d.  Suicide helplines</w:t>
            </w:r>
          </w:p>
        </w:tc>
        <w:tc>
          <w:tcPr>
            <w:tcW w:w="10500" w:type="dxa"/>
            <w:tcBorders>
              <w:top w:val="nil"/>
              <w:left w:val="nil"/>
              <w:bottom w:val="nil"/>
              <w:right w:val="nil"/>
            </w:tcBorders>
            <w:shd w:val="clear" w:color="auto" w:fill="auto"/>
            <w:hideMark/>
          </w:tcPr>
          <w:p w14:paraId="4681159A" w14:textId="77777777" w:rsidR="00E07949" w:rsidRDefault="00E07949" w:rsidP="00E07949">
            <w:pPr>
              <w:spacing w:line="240" w:lineRule="auto"/>
              <w:rPr>
                <w:rFonts w:ascii="Times New Roman" w:eastAsia="Times New Roman" w:hAnsi="Times New Roman"/>
                <w:color w:val="000000"/>
                <w:sz w:val="16"/>
                <w:szCs w:val="16"/>
                <w:lang w:eastAsia="en-AU"/>
              </w:rPr>
            </w:pPr>
          </w:p>
          <w:p w14:paraId="5F1DD1E2" w14:textId="35598647" w:rsidR="00E07949" w:rsidRPr="00E07949" w:rsidRDefault="00E07949" w:rsidP="00E07949">
            <w:pPr>
              <w:spacing w:line="240" w:lineRule="auto"/>
              <w:rPr>
                <w:rFonts w:ascii="Times New Roman" w:eastAsia="Times New Roman" w:hAnsi="Times New Roman"/>
                <w:color w:val="000000"/>
                <w:sz w:val="16"/>
                <w:szCs w:val="16"/>
                <w:lang w:eastAsia="en-AU"/>
              </w:rPr>
            </w:pPr>
            <w:r w:rsidRPr="00E07949">
              <w:rPr>
                <w:rFonts w:ascii="Times New Roman" w:eastAsia="Times New Roman" w:hAnsi="Times New Roman"/>
                <w:color w:val="000000"/>
                <w:sz w:val="16"/>
                <w:szCs w:val="16"/>
                <w:lang w:eastAsia="en-AU"/>
              </w:rPr>
              <w:t>Increased investment in helpline services for people experiencing suicidal crisis.  Parameters that can be modified include:</w:t>
            </w:r>
            <w:r w:rsidRPr="00E07949">
              <w:rPr>
                <w:rFonts w:ascii="Times New Roman" w:eastAsia="Times New Roman" w:hAnsi="Times New Roman"/>
                <w:color w:val="000000"/>
                <w:sz w:val="16"/>
                <w:szCs w:val="16"/>
                <w:lang w:eastAsia="en-AU"/>
              </w:rPr>
              <w:br/>
            </w:r>
            <w:r w:rsidRPr="00E07949">
              <w:rPr>
                <w:rFonts w:ascii="Times New Roman" w:eastAsia="Times New Roman" w:hAnsi="Times New Roman"/>
                <w:color w:val="000000"/>
                <w:sz w:val="16"/>
                <w:szCs w:val="16"/>
                <w:lang w:eastAsia="en-AU"/>
              </w:rPr>
              <w:br/>
              <w:t>Additional callers target — the maximum proportion of people contemplating suicide who could be expected to call a helpline as a direct result of the intervention.  The default value (0.2) assumes that increased investment in helpline services could result in 20% of people at risk of self-harm accessing a service when they would not have otherwise.  Note that people who would have called a helpline given current levels of investment are assumed to still access services at the same rate (i.e., the total proportion of people calling a helpline is equal to 0.2 plus the proportion who would have called without the intervention).</w:t>
            </w:r>
            <w:r w:rsidRPr="00E07949">
              <w:rPr>
                <w:rFonts w:ascii="Times New Roman" w:eastAsia="Times New Roman" w:hAnsi="Times New Roman"/>
                <w:color w:val="000000"/>
                <w:sz w:val="16"/>
                <w:szCs w:val="16"/>
                <w:lang w:eastAsia="en-AU"/>
              </w:rPr>
              <w:br/>
            </w:r>
            <w:r w:rsidRPr="00E07949">
              <w:rPr>
                <w:rFonts w:ascii="Times New Roman" w:eastAsia="Times New Roman" w:hAnsi="Times New Roman"/>
                <w:color w:val="000000"/>
                <w:sz w:val="16"/>
                <w:szCs w:val="16"/>
                <w:lang w:eastAsia="en-AU"/>
              </w:rPr>
              <w:br/>
              <w:t>Effect on suicidal behaviour — the multiplicative effect of accessing suicide helpline services on the risk of suicidal behaviour.  The default value (0.822), derived from Gould et al. (2007, Suicide Life Threat. Behav. 37, 338−352), implies that calling a suicide helpline reduces the risk of a suicide attempt by 17.8%.</w:t>
            </w:r>
          </w:p>
        </w:tc>
      </w:tr>
      <w:tr w:rsidR="00E07949" w:rsidRPr="00E07949" w14:paraId="3DCA6E98" w14:textId="77777777" w:rsidTr="00E07949">
        <w:trPr>
          <w:trHeight w:val="3150"/>
        </w:trPr>
        <w:tc>
          <w:tcPr>
            <w:tcW w:w="3420" w:type="dxa"/>
            <w:tcBorders>
              <w:top w:val="nil"/>
              <w:left w:val="nil"/>
              <w:bottom w:val="nil"/>
              <w:right w:val="nil"/>
            </w:tcBorders>
            <w:shd w:val="clear" w:color="000000" w:fill="F2F2F2"/>
            <w:hideMark/>
          </w:tcPr>
          <w:p w14:paraId="2176CD37" w14:textId="77777777" w:rsidR="00E07949" w:rsidRDefault="00E07949" w:rsidP="00E07949">
            <w:pPr>
              <w:spacing w:line="240" w:lineRule="auto"/>
              <w:rPr>
                <w:rFonts w:ascii="Times New Roman" w:eastAsia="Times New Roman" w:hAnsi="Times New Roman"/>
                <w:color w:val="000000"/>
                <w:sz w:val="16"/>
                <w:szCs w:val="16"/>
                <w:lang w:eastAsia="en-AU"/>
              </w:rPr>
            </w:pPr>
          </w:p>
          <w:p w14:paraId="0DD26327" w14:textId="61269D8B" w:rsidR="00E07949" w:rsidRPr="00E07949" w:rsidRDefault="00E07949" w:rsidP="00E07949">
            <w:pPr>
              <w:spacing w:line="240" w:lineRule="auto"/>
              <w:rPr>
                <w:rFonts w:ascii="Times New Roman" w:eastAsia="Times New Roman" w:hAnsi="Times New Roman"/>
                <w:color w:val="000000"/>
                <w:sz w:val="16"/>
                <w:szCs w:val="16"/>
                <w:lang w:eastAsia="en-AU"/>
              </w:rPr>
            </w:pPr>
            <w:r w:rsidRPr="00E07949">
              <w:rPr>
                <w:rFonts w:ascii="Times New Roman" w:eastAsia="Times New Roman" w:hAnsi="Times New Roman"/>
                <w:color w:val="000000"/>
                <w:sz w:val="16"/>
                <w:szCs w:val="16"/>
                <w:lang w:eastAsia="en-AU"/>
              </w:rPr>
              <w:t>e.  GP mental health training</w:t>
            </w:r>
          </w:p>
        </w:tc>
        <w:tc>
          <w:tcPr>
            <w:tcW w:w="10500" w:type="dxa"/>
            <w:tcBorders>
              <w:top w:val="nil"/>
              <w:left w:val="nil"/>
              <w:bottom w:val="nil"/>
              <w:right w:val="nil"/>
            </w:tcBorders>
            <w:shd w:val="clear" w:color="000000" w:fill="F2F2F2"/>
            <w:hideMark/>
          </w:tcPr>
          <w:p w14:paraId="00DFC57A" w14:textId="77777777" w:rsidR="00E07949" w:rsidRDefault="00E07949" w:rsidP="00E07949">
            <w:pPr>
              <w:spacing w:line="240" w:lineRule="auto"/>
              <w:rPr>
                <w:rFonts w:ascii="Times New Roman" w:eastAsia="Times New Roman" w:hAnsi="Times New Roman"/>
                <w:color w:val="000000"/>
                <w:sz w:val="16"/>
                <w:szCs w:val="16"/>
                <w:lang w:eastAsia="en-AU"/>
              </w:rPr>
            </w:pPr>
          </w:p>
          <w:p w14:paraId="5B328FFB" w14:textId="65AB8A26" w:rsidR="00E07949" w:rsidRPr="00E07949" w:rsidRDefault="00E07949" w:rsidP="00E07949">
            <w:pPr>
              <w:spacing w:line="240" w:lineRule="auto"/>
              <w:rPr>
                <w:rFonts w:ascii="Times New Roman" w:eastAsia="Times New Roman" w:hAnsi="Times New Roman"/>
                <w:color w:val="000000"/>
                <w:sz w:val="16"/>
                <w:szCs w:val="16"/>
                <w:lang w:eastAsia="en-AU"/>
              </w:rPr>
            </w:pPr>
            <w:r w:rsidRPr="00E07949">
              <w:rPr>
                <w:rFonts w:ascii="Times New Roman" w:eastAsia="Times New Roman" w:hAnsi="Times New Roman"/>
                <w:color w:val="000000"/>
                <w:sz w:val="16"/>
                <w:szCs w:val="16"/>
                <w:lang w:eastAsia="en-AU"/>
              </w:rPr>
              <w:t>Programs and policies aimed at enhancing the capability of general practitioners and other health professionals to provide effective clinical support to patients with mental disorders, including: 1) comprehensive mental health training programs for primary care providers; 2) improving the quality of mental health education in undergraduate medical curricula; and 3) providing incentives to encourage specialisation in psychiatry.  Parameters that can be modified include:</w:t>
            </w:r>
            <w:r w:rsidRPr="00E07949">
              <w:rPr>
                <w:rFonts w:ascii="Times New Roman" w:eastAsia="Times New Roman" w:hAnsi="Times New Roman"/>
                <w:color w:val="000000"/>
                <w:sz w:val="16"/>
                <w:szCs w:val="16"/>
                <w:lang w:eastAsia="en-AU"/>
              </w:rPr>
              <w:br/>
            </w:r>
            <w:r w:rsidRPr="00E07949">
              <w:rPr>
                <w:rFonts w:ascii="Times New Roman" w:eastAsia="Times New Roman" w:hAnsi="Times New Roman"/>
                <w:color w:val="000000"/>
                <w:sz w:val="16"/>
                <w:szCs w:val="16"/>
                <w:lang w:eastAsia="en-AU"/>
              </w:rPr>
              <w:br/>
              <w:t>Proportion completing training — the proportion of general practitioners completing mental health training (the default value is 0.2).</w:t>
            </w:r>
            <w:r w:rsidRPr="00E07949">
              <w:rPr>
                <w:rFonts w:ascii="Times New Roman" w:eastAsia="Times New Roman" w:hAnsi="Times New Roman"/>
                <w:color w:val="000000"/>
                <w:sz w:val="16"/>
                <w:szCs w:val="16"/>
                <w:lang w:eastAsia="en-AU"/>
              </w:rPr>
              <w:br/>
            </w:r>
            <w:r w:rsidRPr="00E07949">
              <w:rPr>
                <w:rFonts w:ascii="Times New Roman" w:eastAsia="Times New Roman" w:hAnsi="Times New Roman"/>
                <w:color w:val="000000"/>
                <w:sz w:val="16"/>
                <w:szCs w:val="16"/>
                <w:lang w:eastAsia="en-AU"/>
              </w:rPr>
              <w:br/>
              <w:t>Services provision rate ratio — the mean number of mental health services provided by a general practitioner per year divided by the mean number of services provided by a specialised mental health provider.  The default value (0.543) is derived from data on the provision of government-subsidised mental health services in Australia and implies that a general practitioner will provide approximately half the number of mental health services provided by a specialised mental health professional in any given year.</w:t>
            </w:r>
            <w:r w:rsidRPr="00E07949">
              <w:rPr>
                <w:rFonts w:ascii="Times New Roman" w:eastAsia="Times New Roman" w:hAnsi="Times New Roman"/>
                <w:color w:val="000000"/>
                <w:sz w:val="16"/>
                <w:szCs w:val="16"/>
                <w:lang w:eastAsia="en-AU"/>
              </w:rPr>
              <w:br/>
            </w:r>
            <w:r w:rsidRPr="00E07949">
              <w:rPr>
                <w:rFonts w:ascii="Times New Roman" w:eastAsia="Times New Roman" w:hAnsi="Times New Roman"/>
                <w:color w:val="000000"/>
                <w:sz w:val="16"/>
                <w:szCs w:val="16"/>
                <w:lang w:eastAsia="en-AU"/>
              </w:rPr>
              <w:br/>
              <w:t>Per service recovery rate ratio — the per service recovery rate for patients treated by a general practitioner divided by the per service recovery rate for patients treated by a specialised mental health professional.  The default value (0.463) is derived from Cuijpers et al. (2009, Br. J. Gen. Pract., doi: 10.3399/bjgp09X395139).</w:t>
            </w:r>
          </w:p>
        </w:tc>
      </w:tr>
      <w:tr w:rsidR="00E07949" w:rsidRPr="00E07949" w14:paraId="22171A17" w14:textId="77777777" w:rsidTr="00E07949">
        <w:trPr>
          <w:trHeight w:val="3990"/>
        </w:trPr>
        <w:tc>
          <w:tcPr>
            <w:tcW w:w="3420" w:type="dxa"/>
            <w:tcBorders>
              <w:top w:val="nil"/>
              <w:left w:val="nil"/>
              <w:bottom w:val="nil"/>
              <w:right w:val="nil"/>
            </w:tcBorders>
            <w:shd w:val="clear" w:color="auto" w:fill="auto"/>
            <w:hideMark/>
          </w:tcPr>
          <w:p w14:paraId="1A0191F7" w14:textId="77777777" w:rsidR="00E07949" w:rsidRPr="00E07949" w:rsidRDefault="00E07949" w:rsidP="00E07949">
            <w:pPr>
              <w:spacing w:line="240" w:lineRule="auto"/>
              <w:rPr>
                <w:rFonts w:ascii="Times New Roman" w:eastAsia="Times New Roman" w:hAnsi="Times New Roman"/>
                <w:color w:val="000000"/>
                <w:sz w:val="16"/>
                <w:szCs w:val="16"/>
                <w:lang w:eastAsia="en-AU"/>
              </w:rPr>
            </w:pPr>
            <w:r w:rsidRPr="00E07949">
              <w:rPr>
                <w:rFonts w:ascii="Times New Roman" w:eastAsia="Times New Roman" w:hAnsi="Times New Roman"/>
                <w:color w:val="000000"/>
                <w:sz w:val="16"/>
                <w:szCs w:val="16"/>
                <w:lang w:eastAsia="en-AU"/>
              </w:rPr>
              <w:lastRenderedPageBreak/>
              <w:t>f.  Community connectedness programs</w:t>
            </w:r>
          </w:p>
        </w:tc>
        <w:tc>
          <w:tcPr>
            <w:tcW w:w="10500" w:type="dxa"/>
            <w:tcBorders>
              <w:top w:val="nil"/>
              <w:left w:val="nil"/>
              <w:bottom w:val="nil"/>
              <w:right w:val="nil"/>
            </w:tcBorders>
            <w:shd w:val="clear" w:color="auto" w:fill="auto"/>
            <w:hideMark/>
          </w:tcPr>
          <w:p w14:paraId="494974EA" w14:textId="58EBA656" w:rsidR="00E07949" w:rsidRPr="00E07949" w:rsidRDefault="00E07949" w:rsidP="00E07949">
            <w:pPr>
              <w:spacing w:line="240" w:lineRule="auto"/>
              <w:rPr>
                <w:rFonts w:ascii="Times New Roman" w:eastAsia="Times New Roman" w:hAnsi="Times New Roman"/>
                <w:color w:val="000000"/>
                <w:sz w:val="16"/>
                <w:szCs w:val="16"/>
                <w:lang w:eastAsia="en-AU"/>
              </w:rPr>
            </w:pPr>
            <w:r w:rsidRPr="00E07949">
              <w:rPr>
                <w:rFonts w:ascii="Times New Roman" w:eastAsia="Times New Roman" w:hAnsi="Times New Roman"/>
                <w:color w:val="000000"/>
                <w:sz w:val="16"/>
                <w:szCs w:val="16"/>
                <w:lang w:eastAsia="en-AU"/>
              </w:rPr>
              <w:t>Community programs and services for adolescents (aged 12−17 years) that increase social connectedness, reducing isolation and enhancing resilience in the face of adversity.  Parameters that can be modified include:</w:t>
            </w:r>
            <w:r w:rsidRPr="00E07949">
              <w:rPr>
                <w:rFonts w:ascii="Times New Roman" w:eastAsia="Times New Roman" w:hAnsi="Times New Roman"/>
                <w:color w:val="000000"/>
                <w:sz w:val="16"/>
                <w:szCs w:val="16"/>
                <w:lang w:eastAsia="en-AU"/>
              </w:rPr>
              <w:br/>
            </w:r>
            <w:r w:rsidRPr="00E07949">
              <w:rPr>
                <w:rFonts w:ascii="Times New Roman" w:eastAsia="Times New Roman" w:hAnsi="Times New Roman"/>
                <w:color w:val="000000"/>
                <w:sz w:val="16"/>
                <w:szCs w:val="16"/>
                <w:lang w:eastAsia="en-AU"/>
              </w:rPr>
              <w:br/>
              <w:t xml:space="preserve">Maximum population reach — the maximum proportion of adolescents benefiting from community connectedness programs and services.  The default value (0.2) assumes that when fully implemented, community connectedness programs will reach 20% of the adolescent population.  </w:t>
            </w:r>
            <w:r w:rsidRPr="00E07949">
              <w:rPr>
                <w:rFonts w:ascii="Times New Roman" w:eastAsia="Times New Roman" w:hAnsi="Times New Roman"/>
                <w:color w:val="000000"/>
                <w:sz w:val="16"/>
                <w:szCs w:val="16"/>
                <w:lang w:eastAsia="en-AU"/>
              </w:rPr>
              <w:br/>
            </w:r>
            <w:r w:rsidRPr="00E07949">
              <w:rPr>
                <w:rFonts w:ascii="Times New Roman" w:eastAsia="Times New Roman" w:hAnsi="Times New Roman"/>
                <w:color w:val="000000"/>
                <w:sz w:val="16"/>
                <w:szCs w:val="16"/>
                <w:lang w:eastAsia="en-AU"/>
              </w:rPr>
              <w:br/>
              <w:t>Effect on mental health — the multiplicative effect of community connectedness programs on the per capita rate at which adolescents develop significant mental health problems.  The default value (0.787), derived from Bond et al. (2007, J. Adolesc. Health 40, 357.e9−357.e18), implies that increased community connectedness reduces the per capita incidence of mental health problems by 21.3%.</w:t>
            </w:r>
            <w:r w:rsidRPr="00E07949">
              <w:rPr>
                <w:rFonts w:ascii="Times New Roman" w:eastAsia="Times New Roman" w:hAnsi="Times New Roman"/>
                <w:color w:val="000000"/>
                <w:sz w:val="16"/>
                <w:szCs w:val="16"/>
                <w:lang w:eastAsia="en-AU"/>
              </w:rPr>
              <w:br/>
            </w:r>
            <w:r w:rsidRPr="00E07949">
              <w:rPr>
                <w:rFonts w:ascii="Times New Roman" w:eastAsia="Times New Roman" w:hAnsi="Times New Roman"/>
                <w:color w:val="000000"/>
                <w:sz w:val="16"/>
                <w:szCs w:val="16"/>
                <w:lang w:eastAsia="en-AU"/>
              </w:rPr>
              <w:br/>
              <w:t>Effect on substance use — the multiplicative effect of community connectedness programs on the per capita rate at which adolescents develop substance use problems.  The default value (0.676) is derived from Bond et al. (2007, J. Adolesc. Health 40, 357.e9−357.e18), and implies that increased community connectedness reduces the per capita incidence of substance use problems by 32.4%.</w:t>
            </w:r>
            <w:r w:rsidRPr="00E07949">
              <w:rPr>
                <w:rFonts w:ascii="Times New Roman" w:eastAsia="Times New Roman" w:hAnsi="Times New Roman"/>
                <w:color w:val="000000"/>
                <w:sz w:val="16"/>
                <w:szCs w:val="16"/>
                <w:lang w:eastAsia="en-AU"/>
              </w:rPr>
              <w:br/>
            </w:r>
            <w:r w:rsidRPr="00E07949">
              <w:rPr>
                <w:rFonts w:ascii="Times New Roman" w:eastAsia="Times New Roman" w:hAnsi="Times New Roman"/>
                <w:color w:val="000000"/>
                <w:sz w:val="16"/>
                <w:szCs w:val="16"/>
                <w:lang w:eastAsia="en-AU"/>
              </w:rPr>
              <w:br/>
              <w:t>Effect decay rate per year — the fractional rate per year at which the effects of increased connectedness decline to a value of 1 (i.e., no effect) after community connectedness programs end.  The default value (1) implies that the effects of increased connectedness would decrease to a value of 1 in 1 year given the initial rate of decline (i.e., the rate immediately after community connectedness programs end).  Note that the rate of decline in the effects of community connectedness programs decline as the effects approach a value of 1, so the actual time required for the effects to decay completely will generally be greater than the inverse of the decay rate specified.</w:t>
            </w:r>
          </w:p>
        </w:tc>
      </w:tr>
      <w:tr w:rsidR="00E07949" w:rsidRPr="00E07949" w14:paraId="5BCC0C54" w14:textId="77777777" w:rsidTr="00E07949">
        <w:trPr>
          <w:trHeight w:val="210"/>
        </w:trPr>
        <w:tc>
          <w:tcPr>
            <w:tcW w:w="3420" w:type="dxa"/>
            <w:tcBorders>
              <w:top w:val="nil"/>
              <w:left w:val="nil"/>
              <w:bottom w:val="single" w:sz="4" w:space="0" w:color="auto"/>
              <w:right w:val="nil"/>
            </w:tcBorders>
            <w:shd w:val="clear" w:color="auto" w:fill="auto"/>
            <w:noWrap/>
            <w:vAlign w:val="bottom"/>
            <w:hideMark/>
          </w:tcPr>
          <w:p w14:paraId="6B50991A" w14:textId="77777777" w:rsidR="00E07949" w:rsidRPr="00E07949" w:rsidRDefault="00E07949" w:rsidP="00E07949">
            <w:pPr>
              <w:spacing w:line="240" w:lineRule="auto"/>
              <w:rPr>
                <w:rFonts w:ascii="Times New Roman" w:eastAsia="Times New Roman" w:hAnsi="Times New Roman"/>
                <w:color w:val="000000"/>
                <w:sz w:val="16"/>
                <w:szCs w:val="16"/>
                <w:lang w:eastAsia="en-AU"/>
              </w:rPr>
            </w:pPr>
            <w:r w:rsidRPr="00E07949">
              <w:rPr>
                <w:rFonts w:ascii="Times New Roman" w:eastAsia="Times New Roman" w:hAnsi="Times New Roman"/>
                <w:color w:val="000000"/>
                <w:sz w:val="16"/>
                <w:szCs w:val="16"/>
                <w:lang w:eastAsia="en-AU"/>
              </w:rPr>
              <w:t> </w:t>
            </w:r>
          </w:p>
        </w:tc>
        <w:tc>
          <w:tcPr>
            <w:tcW w:w="10500" w:type="dxa"/>
            <w:tcBorders>
              <w:top w:val="nil"/>
              <w:left w:val="nil"/>
              <w:bottom w:val="single" w:sz="4" w:space="0" w:color="auto"/>
              <w:right w:val="nil"/>
            </w:tcBorders>
            <w:shd w:val="clear" w:color="auto" w:fill="auto"/>
            <w:noWrap/>
            <w:vAlign w:val="bottom"/>
            <w:hideMark/>
          </w:tcPr>
          <w:p w14:paraId="0E0E75DB" w14:textId="77777777" w:rsidR="00E07949" w:rsidRPr="00E07949" w:rsidRDefault="00E07949" w:rsidP="00E07949">
            <w:pPr>
              <w:spacing w:line="240" w:lineRule="auto"/>
              <w:rPr>
                <w:rFonts w:ascii="Times New Roman" w:eastAsia="Times New Roman" w:hAnsi="Times New Roman"/>
                <w:color w:val="000000"/>
                <w:sz w:val="16"/>
                <w:szCs w:val="16"/>
                <w:lang w:eastAsia="en-AU"/>
              </w:rPr>
            </w:pPr>
            <w:r w:rsidRPr="00E07949">
              <w:rPr>
                <w:rFonts w:ascii="Times New Roman" w:eastAsia="Times New Roman" w:hAnsi="Times New Roman"/>
                <w:color w:val="000000"/>
                <w:sz w:val="16"/>
                <w:szCs w:val="16"/>
                <w:lang w:eastAsia="en-AU"/>
              </w:rPr>
              <w:t> </w:t>
            </w:r>
          </w:p>
        </w:tc>
      </w:tr>
    </w:tbl>
    <w:p w14:paraId="5A697533" w14:textId="77777777" w:rsidR="00773FED" w:rsidRDefault="00773FED" w:rsidP="00FE262D">
      <w:pPr>
        <w:spacing w:line="480" w:lineRule="auto"/>
        <w:rPr>
          <w:rFonts w:ascii="Times New Roman" w:hAnsi="Times New Roman"/>
          <w:sz w:val="20"/>
          <w:szCs w:val="20"/>
        </w:rPr>
      </w:pPr>
    </w:p>
    <w:p w14:paraId="6640421F" w14:textId="77777777" w:rsidR="00523F44" w:rsidRDefault="00523F44" w:rsidP="00FE262D">
      <w:pPr>
        <w:spacing w:line="480" w:lineRule="auto"/>
        <w:rPr>
          <w:rFonts w:ascii="Times New Roman" w:hAnsi="Times New Roman"/>
          <w:sz w:val="20"/>
          <w:szCs w:val="20"/>
        </w:rPr>
        <w:sectPr w:rsidR="00523F44" w:rsidSect="00523F44">
          <w:footnotePr>
            <w:numFmt w:val="chicago"/>
            <w:numStart w:val="2"/>
          </w:footnotePr>
          <w:pgSz w:w="16838" w:h="11906" w:orient="landscape" w:code="9"/>
          <w:pgMar w:top="1440" w:right="1440" w:bottom="1440" w:left="1440" w:header="284" w:footer="680" w:gutter="0"/>
          <w:cols w:space="708"/>
          <w:docGrid w:linePitch="360"/>
        </w:sectPr>
      </w:pPr>
    </w:p>
    <w:p w14:paraId="2A4AB085" w14:textId="77777777" w:rsidR="00523F44" w:rsidRPr="00E634BD" w:rsidRDefault="00523F44" w:rsidP="00523F44">
      <w:pPr>
        <w:spacing w:after="160" w:line="259" w:lineRule="auto"/>
        <w:rPr>
          <w:rFonts w:ascii="Times New Roman" w:hAnsi="Times New Roman"/>
          <w:sz w:val="24"/>
          <w:szCs w:val="24"/>
        </w:rPr>
      </w:pPr>
      <w:r w:rsidRPr="00D44941">
        <w:rPr>
          <w:rFonts w:ascii="Times New Roman" w:hAnsi="Times New Roman"/>
          <w:sz w:val="24"/>
          <w:szCs w:val="24"/>
        </w:rPr>
        <w:lastRenderedPageBreak/>
        <w:t>3.  Numerical inputs and data sources</w:t>
      </w:r>
    </w:p>
    <w:p w14:paraId="45B77A44" w14:textId="77777777" w:rsidR="00BB14B5" w:rsidRDefault="00523F44" w:rsidP="00BB14B5">
      <w:pPr>
        <w:spacing w:line="480" w:lineRule="auto"/>
        <w:rPr>
          <w:rFonts w:ascii="Times New Roman" w:hAnsi="Times New Roman"/>
          <w:sz w:val="20"/>
          <w:szCs w:val="20"/>
        </w:rPr>
      </w:pPr>
      <w:r>
        <w:rPr>
          <w:rFonts w:ascii="Times New Roman" w:hAnsi="Times New Roman"/>
          <w:sz w:val="20"/>
          <w:szCs w:val="20"/>
        </w:rPr>
        <w:t>Table S2.  Numerical inputs and data sources.</w:t>
      </w:r>
      <w:r w:rsidR="00260749">
        <w:rPr>
          <w:rFonts w:ascii="Times New Roman" w:hAnsi="Times New Roman"/>
          <w:sz w:val="20"/>
          <w:szCs w:val="20"/>
        </w:rPr>
        <w:t xml:space="preserve">  See sections 1.2−1.11 above for descriptions of all model sectors.</w:t>
      </w:r>
    </w:p>
    <w:tbl>
      <w:tblPr>
        <w:tblW w:w="13860" w:type="dxa"/>
        <w:tblLook w:val="04A0" w:firstRow="1" w:lastRow="0" w:firstColumn="1" w:lastColumn="0" w:noHBand="0" w:noVBand="1"/>
      </w:tblPr>
      <w:tblGrid>
        <w:gridCol w:w="4280"/>
        <w:gridCol w:w="1056"/>
        <w:gridCol w:w="8580"/>
      </w:tblGrid>
      <w:tr w:rsidR="00BB14B5" w:rsidRPr="00BB14B5" w14:paraId="492AEF27" w14:textId="77777777" w:rsidTr="00BB14B5">
        <w:trPr>
          <w:trHeight w:val="300"/>
        </w:trPr>
        <w:tc>
          <w:tcPr>
            <w:tcW w:w="4280" w:type="dxa"/>
            <w:tcBorders>
              <w:top w:val="single" w:sz="4" w:space="0" w:color="auto"/>
              <w:left w:val="nil"/>
              <w:bottom w:val="single" w:sz="4" w:space="0" w:color="auto"/>
              <w:right w:val="nil"/>
            </w:tcBorders>
            <w:shd w:val="clear" w:color="auto" w:fill="auto"/>
            <w:noWrap/>
            <w:vAlign w:val="center"/>
            <w:hideMark/>
          </w:tcPr>
          <w:p w14:paraId="6106DFAE"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Input label</w:t>
            </w:r>
          </w:p>
        </w:tc>
        <w:tc>
          <w:tcPr>
            <w:tcW w:w="1000" w:type="dxa"/>
            <w:tcBorders>
              <w:top w:val="single" w:sz="4" w:space="0" w:color="auto"/>
              <w:left w:val="nil"/>
              <w:bottom w:val="single" w:sz="4" w:space="0" w:color="auto"/>
              <w:right w:val="nil"/>
            </w:tcBorders>
            <w:shd w:val="clear" w:color="auto" w:fill="auto"/>
            <w:noWrap/>
            <w:vAlign w:val="center"/>
            <w:hideMark/>
          </w:tcPr>
          <w:p w14:paraId="5FC00122"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Value</w:t>
            </w:r>
          </w:p>
        </w:tc>
        <w:tc>
          <w:tcPr>
            <w:tcW w:w="8580" w:type="dxa"/>
            <w:tcBorders>
              <w:top w:val="single" w:sz="4" w:space="0" w:color="auto"/>
              <w:left w:val="nil"/>
              <w:bottom w:val="single" w:sz="4" w:space="0" w:color="auto"/>
              <w:right w:val="nil"/>
            </w:tcBorders>
            <w:shd w:val="clear" w:color="auto" w:fill="auto"/>
            <w:noWrap/>
            <w:vAlign w:val="center"/>
            <w:hideMark/>
          </w:tcPr>
          <w:p w14:paraId="63F856E8"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Notes</w:t>
            </w:r>
          </w:p>
        </w:tc>
      </w:tr>
      <w:tr w:rsidR="00BB14B5" w:rsidRPr="00BB14B5" w14:paraId="29D82CBC" w14:textId="77777777" w:rsidTr="00BB14B5">
        <w:trPr>
          <w:trHeight w:val="210"/>
        </w:trPr>
        <w:tc>
          <w:tcPr>
            <w:tcW w:w="4280" w:type="dxa"/>
            <w:tcBorders>
              <w:top w:val="nil"/>
              <w:left w:val="nil"/>
              <w:bottom w:val="nil"/>
              <w:right w:val="nil"/>
            </w:tcBorders>
            <w:shd w:val="clear" w:color="auto" w:fill="auto"/>
            <w:noWrap/>
            <w:vAlign w:val="bottom"/>
            <w:hideMark/>
          </w:tcPr>
          <w:p w14:paraId="0F258217"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p>
        </w:tc>
        <w:tc>
          <w:tcPr>
            <w:tcW w:w="1000" w:type="dxa"/>
            <w:tcBorders>
              <w:top w:val="nil"/>
              <w:left w:val="nil"/>
              <w:bottom w:val="nil"/>
              <w:right w:val="nil"/>
            </w:tcBorders>
            <w:shd w:val="clear" w:color="auto" w:fill="auto"/>
            <w:noWrap/>
            <w:vAlign w:val="bottom"/>
            <w:hideMark/>
          </w:tcPr>
          <w:p w14:paraId="2CFC5472" w14:textId="77777777" w:rsidR="00BB14B5" w:rsidRPr="00BB14B5" w:rsidRDefault="00BB14B5" w:rsidP="00BB14B5">
            <w:pPr>
              <w:spacing w:line="240" w:lineRule="auto"/>
              <w:rPr>
                <w:rFonts w:ascii="Times New Roman" w:eastAsia="Times New Roman" w:hAnsi="Times New Roman"/>
                <w:color w:val="auto"/>
                <w:sz w:val="20"/>
                <w:szCs w:val="20"/>
                <w:lang w:eastAsia="en-AU"/>
              </w:rPr>
            </w:pPr>
          </w:p>
        </w:tc>
        <w:tc>
          <w:tcPr>
            <w:tcW w:w="8580" w:type="dxa"/>
            <w:tcBorders>
              <w:top w:val="nil"/>
              <w:left w:val="nil"/>
              <w:bottom w:val="nil"/>
              <w:right w:val="nil"/>
            </w:tcBorders>
            <w:shd w:val="clear" w:color="auto" w:fill="auto"/>
            <w:noWrap/>
            <w:vAlign w:val="bottom"/>
            <w:hideMark/>
          </w:tcPr>
          <w:p w14:paraId="674053B5" w14:textId="77777777" w:rsidR="00BB14B5" w:rsidRPr="00BB14B5" w:rsidRDefault="00BB14B5" w:rsidP="00BB14B5">
            <w:pPr>
              <w:spacing w:line="240" w:lineRule="auto"/>
              <w:rPr>
                <w:rFonts w:ascii="Times New Roman" w:eastAsia="Times New Roman" w:hAnsi="Times New Roman"/>
                <w:color w:val="auto"/>
                <w:sz w:val="20"/>
                <w:szCs w:val="20"/>
                <w:lang w:eastAsia="en-AU"/>
              </w:rPr>
            </w:pPr>
          </w:p>
        </w:tc>
      </w:tr>
      <w:tr w:rsidR="00BB14B5" w:rsidRPr="00BB14B5" w14:paraId="0FAC5C92" w14:textId="77777777" w:rsidTr="00BB14B5">
        <w:trPr>
          <w:trHeight w:val="210"/>
        </w:trPr>
        <w:tc>
          <w:tcPr>
            <w:tcW w:w="4280" w:type="dxa"/>
            <w:tcBorders>
              <w:top w:val="nil"/>
              <w:left w:val="nil"/>
              <w:bottom w:val="nil"/>
              <w:right w:val="nil"/>
            </w:tcBorders>
            <w:shd w:val="clear" w:color="000000" w:fill="D9D9D9"/>
            <w:hideMark/>
          </w:tcPr>
          <w:p w14:paraId="6538E3F0"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Population sector</w:t>
            </w:r>
          </w:p>
        </w:tc>
        <w:tc>
          <w:tcPr>
            <w:tcW w:w="1000" w:type="dxa"/>
            <w:tcBorders>
              <w:top w:val="nil"/>
              <w:left w:val="nil"/>
              <w:bottom w:val="nil"/>
              <w:right w:val="nil"/>
            </w:tcBorders>
            <w:shd w:val="clear" w:color="000000" w:fill="D9D9D9"/>
            <w:hideMark/>
          </w:tcPr>
          <w:p w14:paraId="528D5E81"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 </w:t>
            </w:r>
          </w:p>
        </w:tc>
        <w:tc>
          <w:tcPr>
            <w:tcW w:w="8580" w:type="dxa"/>
            <w:tcBorders>
              <w:top w:val="nil"/>
              <w:left w:val="nil"/>
              <w:bottom w:val="nil"/>
              <w:right w:val="nil"/>
            </w:tcBorders>
            <w:shd w:val="clear" w:color="000000" w:fill="D9D9D9"/>
            <w:hideMark/>
          </w:tcPr>
          <w:p w14:paraId="146F5F6C"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 </w:t>
            </w:r>
          </w:p>
        </w:tc>
      </w:tr>
      <w:tr w:rsidR="00BB14B5" w:rsidRPr="00BB14B5" w14:paraId="4218EF44" w14:textId="77777777" w:rsidTr="00BB14B5">
        <w:trPr>
          <w:trHeight w:val="210"/>
        </w:trPr>
        <w:tc>
          <w:tcPr>
            <w:tcW w:w="4280" w:type="dxa"/>
            <w:tcBorders>
              <w:top w:val="nil"/>
              <w:left w:val="nil"/>
              <w:bottom w:val="nil"/>
              <w:right w:val="nil"/>
            </w:tcBorders>
            <w:shd w:val="clear" w:color="auto" w:fill="auto"/>
            <w:hideMark/>
          </w:tcPr>
          <w:p w14:paraId="62681891"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p>
        </w:tc>
        <w:tc>
          <w:tcPr>
            <w:tcW w:w="1000" w:type="dxa"/>
            <w:tcBorders>
              <w:top w:val="nil"/>
              <w:left w:val="nil"/>
              <w:bottom w:val="nil"/>
              <w:right w:val="nil"/>
            </w:tcBorders>
            <w:shd w:val="clear" w:color="auto" w:fill="auto"/>
            <w:hideMark/>
          </w:tcPr>
          <w:p w14:paraId="4E83501C" w14:textId="77777777" w:rsidR="00BB14B5" w:rsidRPr="00BB14B5" w:rsidRDefault="00BB14B5" w:rsidP="00BB14B5">
            <w:pPr>
              <w:spacing w:line="240" w:lineRule="auto"/>
              <w:rPr>
                <w:rFonts w:ascii="Times New Roman" w:eastAsia="Times New Roman" w:hAnsi="Times New Roman"/>
                <w:color w:val="auto"/>
                <w:sz w:val="20"/>
                <w:szCs w:val="20"/>
                <w:lang w:eastAsia="en-AU"/>
              </w:rPr>
            </w:pPr>
          </w:p>
        </w:tc>
        <w:tc>
          <w:tcPr>
            <w:tcW w:w="8580" w:type="dxa"/>
            <w:tcBorders>
              <w:top w:val="nil"/>
              <w:left w:val="nil"/>
              <w:bottom w:val="nil"/>
              <w:right w:val="nil"/>
            </w:tcBorders>
            <w:shd w:val="clear" w:color="auto" w:fill="auto"/>
            <w:hideMark/>
          </w:tcPr>
          <w:p w14:paraId="1EA52F6B" w14:textId="77777777" w:rsidR="00BB14B5" w:rsidRPr="00BB14B5" w:rsidRDefault="00BB14B5" w:rsidP="00BB14B5">
            <w:pPr>
              <w:spacing w:line="240" w:lineRule="auto"/>
              <w:rPr>
                <w:rFonts w:ascii="Times New Roman" w:eastAsia="Times New Roman" w:hAnsi="Times New Roman"/>
                <w:color w:val="auto"/>
                <w:sz w:val="20"/>
                <w:szCs w:val="20"/>
                <w:lang w:eastAsia="en-AU"/>
              </w:rPr>
            </w:pPr>
          </w:p>
        </w:tc>
      </w:tr>
      <w:tr w:rsidR="00BB14B5" w:rsidRPr="00BB14B5" w14:paraId="0948C8B4" w14:textId="77777777" w:rsidTr="00BB14B5">
        <w:trPr>
          <w:trHeight w:val="210"/>
        </w:trPr>
        <w:tc>
          <w:tcPr>
            <w:tcW w:w="4280" w:type="dxa"/>
            <w:tcBorders>
              <w:top w:val="nil"/>
              <w:left w:val="nil"/>
              <w:bottom w:val="nil"/>
              <w:right w:val="nil"/>
            </w:tcBorders>
            <w:shd w:val="clear" w:color="000000" w:fill="F2F2F2"/>
            <w:hideMark/>
          </w:tcPr>
          <w:p w14:paraId="519FE3E9"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 xml:space="preserve">Birth </w:t>
            </w:r>
            <w:proofErr w:type="gramStart"/>
            <w:r w:rsidRPr="00BB14B5">
              <w:rPr>
                <w:rFonts w:ascii="Times New Roman" w:eastAsia="Times New Roman" w:hAnsi="Times New Roman"/>
                <w:color w:val="000000"/>
                <w:sz w:val="16"/>
                <w:szCs w:val="16"/>
                <w:lang w:eastAsia="en-AU"/>
              </w:rPr>
              <w:t>rate</w:t>
            </w:r>
            <w:proofErr w:type="gramEnd"/>
            <w:r w:rsidRPr="00BB14B5">
              <w:rPr>
                <w:rFonts w:ascii="Times New Roman" w:eastAsia="Times New Roman" w:hAnsi="Times New Roman"/>
                <w:color w:val="000000"/>
                <w:sz w:val="16"/>
                <w:szCs w:val="16"/>
                <w:lang w:eastAsia="en-AU"/>
              </w:rPr>
              <w:t xml:space="preserve"> increase per year</w:t>
            </w:r>
          </w:p>
        </w:tc>
        <w:tc>
          <w:tcPr>
            <w:tcW w:w="1000" w:type="dxa"/>
            <w:tcBorders>
              <w:top w:val="nil"/>
              <w:left w:val="nil"/>
              <w:bottom w:val="nil"/>
              <w:right w:val="nil"/>
            </w:tcBorders>
            <w:shd w:val="clear" w:color="000000" w:fill="F2F2F2"/>
            <w:hideMark/>
          </w:tcPr>
          <w:p w14:paraId="7DF7442C"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-7.3171E-05</w:t>
            </w:r>
          </w:p>
        </w:tc>
        <w:tc>
          <w:tcPr>
            <w:tcW w:w="8580" w:type="dxa"/>
            <w:tcBorders>
              <w:top w:val="nil"/>
              <w:left w:val="nil"/>
              <w:bottom w:val="nil"/>
              <w:right w:val="nil"/>
            </w:tcBorders>
            <w:shd w:val="clear" w:color="000000" w:fill="F2F2F2"/>
            <w:hideMark/>
          </w:tcPr>
          <w:p w14:paraId="11FF46B8"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 xml:space="preserve">Per capita birth rate </w:t>
            </w:r>
            <w:proofErr w:type="gramStart"/>
            <w:r w:rsidRPr="00BB14B5">
              <w:rPr>
                <w:rFonts w:ascii="Times New Roman" w:eastAsia="Times New Roman" w:hAnsi="Times New Roman"/>
                <w:color w:val="000000"/>
                <w:sz w:val="16"/>
                <w:szCs w:val="16"/>
                <w:lang w:eastAsia="en-AU"/>
              </w:rPr>
              <w:t>increase</w:t>
            </w:r>
            <w:proofErr w:type="gramEnd"/>
            <w:r w:rsidRPr="00BB14B5">
              <w:rPr>
                <w:rFonts w:ascii="Times New Roman" w:eastAsia="Times New Roman" w:hAnsi="Times New Roman"/>
                <w:color w:val="000000"/>
                <w:sz w:val="16"/>
                <w:szCs w:val="16"/>
                <w:lang w:eastAsia="en-AU"/>
              </w:rPr>
              <w:t xml:space="preserve"> per year.  Estimated via constrained optimisation.</w:t>
            </w:r>
          </w:p>
        </w:tc>
      </w:tr>
      <w:tr w:rsidR="00BB14B5" w:rsidRPr="00BB14B5" w14:paraId="63615802" w14:textId="77777777" w:rsidTr="00BB14B5">
        <w:trPr>
          <w:trHeight w:val="210"/>
        </w:trPr>
        <w:tc>
          <w:tcPr>
            <w:tcW w:w="4280" w:type="dxa"/>
            <w:tcBorders>
              <w:top w:val="nil"/>
              <w:left w:val="nil"/>
              <w:bottom w:val="nil"/>
              <w:right w:val="nil"/>
            </w:tcBorders>
            <w:shd w:val="clear" w:color="auto" w:fill="auto"/>
            <w:hideMark/>
          </w:tcPr>
          <w:p w14:paraId="48485C49"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Birth rate per year initial</w:t>
            </w:r>
          </w:p>
        </w:tc>
        <w:tc>
          <w:tcPr>
            <w:tcW w:w="1000" w:type="dxa"/>
            <w:tcBorders>
              <w:top w:val="nil"/>
              <w:left w:val="nil"/>
              <w:bottom w:val="nil"/>
              <w:right w:val="nil"/>
            </w:tcBorders>
            <w:shd w:val="clear" w:color="auto" w:fill="auto"/>
            <w:hideMark/>
          </w:tcPr>
          <w:p w14:paraId="1B092D85"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0.012238273</w:t>
            </w:r>
          </w:p>
        </w:tc>
        <w:tc>
          <w:tcPr>
            <w:tcW w:w="8580" w:type="dxa"/>
            <w:tcBorders>
              <w:top w:val="nil"/>
              <w:left w:val="nil"/>
              <w:bottom w:val="nil"/>
              <w:right w:val="nil"/>
            </w:tcBorders>
            <w:shd w:val="clear" w:color="auto" w:fill="auto"/>
            <w:hideMark/>
          </w:tcPr>
          <w:p w14:paraId="4A24085B"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Initial per capita birth rate per year.  Estimated via constrained optimisation.</w:t>
            </w:r>
          </w:p>
        </w:tc>
      </w:tr>
      <w:tr w:rsidR="00BB14B5" w:rsidRPr="00BB14B5" w14:paraId="1E1F8502" w14:textId="77777777" w:rsidTr="00BB14B5">
        <w:trPr>
          <w:trHeight w:val="210"/>
        </w:trPr>
        <w:tc>
          <w:tcPr>
            <w:tcW w:w="4280" w:type="dxa"/>
            <w:tcBorders>
              <w:top w:val="nil"/>
              <w:left w:val="nil"/>
              <w:bottom w:val="nil"/>
              <w:right w:val="nil"/>
            </w:tcBorders>
            <w:shd w:val="clear" w:color="000000" w:fill="F2F2F2"/>
            <w:hideMark/>
          </w:tcPr>
          <w:p w14:paraId="287A3379"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 xml:space="preserve">Death </w:t>
            </w:r>
            <w:proofErr w:type="gramStart"/>
            <w:r w:rsidRPr="00BB14B5">
              <w:rPr>
                <w:rFonts w:ascii="Times New Roman" w:eastAsia="Times New Roman" w:hAnsi="Times New Roman"/>
                <w:color w:val="000000"/>
                <w:sz w:val="16"/>
                <w:szCs w:val="16"/>
                <w:lang w:eastAsia="en-AU"/>
              </w:rPr>
              <w:t>rate</w:t>
            </w:r>
            <w:proofErr w:type="gramEnd"/>
            <w:r w:rsidRPr="00BB14B5">
              <w:rPr>
                <w:rFonts w:ascii="Times New Roman" w:eastAsia="Times New Roman" w:hAnsi="Times New Roman"/>
                <w:color w:val="000000"/>
                <w:sz w:val="16"/>
                <w:szCs w:val="16"/>
                <w:lang w:eastAsia="en-AU"/>
              </w:rPr>
              <w:t xml:space="preserve"> increase per year 0-6</w:t>
            </w:r>
          </w:p>
        </w:tc>
        <w:tc>
          <w:tcPr>
            <w:tcW w:w="1000" w:type="dxa"/>
            <w:tcBorders>
              <w:top w:val="nil"/>
              <w:left w:val="nil"/>
              <w:bottom w:val="nil"/>
              <w:right w:val="nil"/>
            </w:tcBorders>
            <w:shd w:val="clear" w:color="000000" w:fill="F2F2F2"/>
            <w:hideMark/>
          </w:tcPr>
          <w:p w14:paraId="73156E43"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-6.9645E-05</w:t>
            </w:r>
          </w:p>
        </w:tc>
        <w:tc>
          <w:tcPr>
            <w:tcW w:w="8580" w:type="dxa"/>
            <w:tcBorders>
              <w:top w:val="nil"/>
              <w:left w:val="nil"/>
              <w:bottom w:val="nil"/>
              <w:right w:val="nil"/>
            </w:tcBorders>
            <w:shd w:val="clear" w:color="000000" w:fill="F2F2F2"/>
            <w:hideMark/>
          </w:tcPr>
          <w:p w14:paraId="18340138"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Per capita mortality rate increase per year.  Estimated via constrained optimisation.</w:t>
            </w:r>
          </w:p>
        </w:tc>
      </w:tr>
      <w:tr w:rsidR="00BB14B5" w:rsidRPr="00BB14B5" w14:paraId="2AF8E3D9" w14:textId="77777777" w:rsidTr="00BB14B5">
        <w:trPr>
          <w:trHeight w:val="210"/>
        </w:trPr>
        <w:tc>
          <w:tcPr>
            <w:tcW w:w="4280" w:type="dxa"/>
            <w:tcBorders>
              <w:top w:val="nil"/>
              <w:left w:val="nil"/>
              <w:bottom w:val="nil"/>
              <w:right w:val="nil"/>
            </w:tcBorders>
            <w:shd w:val="clear" w:color="auto" w:fill="auto"/>
            <w:hideMark/>
          </w:tcPr>
          <w:p w14:paraId="3A3E5207"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Death rate per year 7-11</w:t>
            </w:r>
          </w:p>
        </w:tc>
        <w:tc>
          <w:tcPr>
            <w:tcW w:w="1000" w:type="dxa"/>
            <w:tcBorders>
              <w:top w:val="nil"/>
              <w:left w:val="nil"/>
              <w:bottom w:val="nil"/>
              <w:right w:val="nil"/>
            </w:tcBorders>
            <w:shd w:val="clear" w:color="auto" w:fill="auto"/>
            <w:hideMark/>
          </w:tcPr>
          <w:p w14:paraId="03DDA825"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0.000177648</w:t>
            </w:r>
          </w:p>
        </w:tc>
        <w:tc>
          <w:tcPr>
            <w:tcW w:w="8580" w:type="dxa"/>
            <w:tcBorders>
              <w:top w:val="nil"/>
              <w:left w:val="nil"/>
              <w:bottom w:val="nil"/>
              <w:right w:val="nil"/>
            </w:tcBorders>
            <w:shd w:val="clear" w:color="auto" w:fill="auto"/>
            <w:hideMark/>
          </w:tcPr>
          <w:p w14:paraId="69883F7F"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Per capita mortality rate per year.  Estimated via constrained optimisation.</w:t>
            </w:r>
          </w:p>
        </w:tc>
      </w:tr>
      <w:tr w:rsidR="00BB14B5" w:rsidRPr="00BB14B5" w14:paraId="03C850D4" w14:textId="77777777" w:rsidTr="00BB14B5">
        <w:trPr>
          <w:trHeight w:val="210"/>
        </w:trPr>
        <w:tc>
          <w:tcPr>
            <w:tcW w:w="4280" w:type="dxa"/>
            <w:tcBorders>
              <w:top w:val="nil"/>
              <w:left w:val="nil"/>
              <w:bottom w:val="nil"/>
              <w:right w:val="nil"/>
            </w:tcBorders>
            <w:shd w:val="clear" w:color="000000" w:fill="F2F2F2"/>
            <w:hideMark/>
          </w:tcPr>
          <w:p w14:paraId="2949C736"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Death rate per year 12-17</w:t>
            </w:r>
          </w:p>
        </w:tc>
        <w:tc>
          <w:tcPr>
            <w:tcW w:w="1000" w:type="dxa"/>
            <w:tcBorders>
              <w:top w:val="nil"/>
              <w:left w:val="nil"/>
              <w:bottom w:val="nil"/>
              <w:right w:val="nil"/>
            </w:tcBorders>
            <w:shd w:val="clear" w:color="000000" w:fill="F2F2F2"/>
            <w:hideMark/>
          </w:tcPr>
          <w:p w14:paraId="0E6C321F"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0.000421315</w:t>
            </w:r>
          </w:p>
        </w:tc>
        <w:tc>
          <w:tcPr>
            <w:tcW w:w="8580" w:type="dxa"/>
            <w:tcBorders>
              <w:top w:val="nil"/>
              <w:left w:val="nil"/>
              <w:bottom w:val="nil"/>
              <w:right w:val="nil"/>
            </w:tcBorders>
            <w:shd w:val="clear" w:color="000000" w:fill="F2F2F2"/>
            <w:hideMark/>
          </w:tcPr>
          <w:p w14:paraId="67CB7805"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Per capita mortality rate per year.  Estimated via constrained optimisation.</w:t>
            </w:r>
          </w:p>
        </w:tc>
      </w:tr>
      <w:tr w:rsidR="00BB14B5" w:rsidRPr="00BB14B5" w14:paraId="511D6A5B" w14:textId="77777777" w:rsidTr="00BB14B5">
        <w:trPr>
          <w:trHeight w:val="210"/>
        </w:trPr>
        <w:tc>
          <w:tcPr>
            <w:tcW w:w="4280" w:type="dxa"/>
            <w:tcBorders>
              <w:top w:val="nil"/>
              <w:left w:val="nil"/>
              <w:bottom w:val="nil"/>
              <w:right w:val="nil"/>
            </w:tcBorders>
            <w:shd w:val="clear" w:color="auto" w:fill="auto"/>
            <w:hideMark/>
          </w:tcPr>
          <w:p w14:paraId="36D195E8"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Death rate per year 18+</w:t>
            </w:r>
          </w:p>
        </w:tc>
        <w:tc>
          <w:tcPr>
            <w:tcW w:w="1000" w:type="dxa"/>
            <w:tcBorders>
              <w:top w:val="nil"/>
              <w:left w:val="nil"/>
              <w:bottom w:val="nil"/>
              <w:right w:val="nil"/>
            </w:tcBorders>
            <w:shd w:val="clear" w:color="auto" w:fill="auto"/>
            <w:hideMark/>
          </w:tcPr>
          <w:p w14:paraId="2170A44C"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0.005411411</w:t>
            </w:r>
          </w:p>
        </w:tc>
        <w:tc>
          <w:tcPr>
            <w:tcW w:w="8580" w:type="dxa"/>
            <w:tcBorders>
              <w:top w:val="nil"/>
              <w:left w:val="nil"/>
              <w:bottom w:val="nil"/>
              <w:right w:val="nil"/>
            </w:tcBorders>
            <w:shd w:val="clear" w:color="auto" w:fill="auto"/>
            <w:hideMark/>
          </w:tcPr>
          <w:p w14:paraId="795BC83B"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Per capita mortality rate per year.  Estimated via constrained optimisation.</w:t>
            </w:r>
          </w:p>
        </w:tc>
      </w:tr>
      <w:tr w:rsidR="00BB14B5" w:rsidRPr="00BB14B5" w14:paraId="6E873AEB" w14:textId="77777777" w:rsidTr="00BB14B5">
        <w:trPr>
          <w:trHeight w:val="210"/>
        </w:trPr>
        <w:tc>
          <w:tcPr>
            <w:tcW w:w="4280" w:type="dxa"/>
            <w:tcBorders>
              <w:top w:val="nil"/>
              <w:left w:val="nil"/>
              <w:bottom w:val="nil"/>
              <w:right w:val="nil"/>
            </w:tcBorders>
            <w:shd w:val="clear" w:color="000000" w:fill="F2F2F2"/>
            <w:hideMark/>
          </w:tcPr>
          <w:p w14:paraId="708606B0"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Death rate per year initial 0-6</w:t>
            </w:r>
          </w:p>
        </w:tc>
        <w:tc>
          <w:tcPr>
            <w:tcW w:w="1000" w:type="dxa"/>
            <w:tcBorders>
              <w:top w:val="nil"/>
              <w:left w:val="nil"/>
              <w:bottom w:val="nil"/>
              <w:right w:val="nil"/>
            </w:tcBorders>
            <w:shd w:val="clear" w:color="000000" w:fill="F2F2F2"/>
            <w:hideMark/>
          </w:tcPr>
          <w:p w14:paraId="60BB81C6"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0.002069644</w:t>
            </w:r>
          </w:p>
        </w:tc>
        <w:tc>
          <w:tcPr>
            <w:tcW w:w="8580" w:type="dxa"/>
            <w:tcBorders>
              <w:top w:val="nil"/>
              <w:left w:val="nil"/>
              <w:bottom w:val="nil"/>
              <w:right w:val="nil"/>
            </w:tcBorders>
            <w:shd w:val="clear" w:color="000000" w:fill="F2F2F2"/>
            <w:hideMark/>
          </w:tcPr>
          <w:p w14:paraId="146E823E"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Initial per capita mortality rate per year.  Estimated via constrained optimisation.</w:t>
            </w:r>
          </w:p>
        </w:tc>
      </w:tr>
      <w:tr w:rsidR="00BB14B5" w:rsidRPr="00BB14B5" w14:paraId="35083FFB" w14:textId="77777777" w:rsidTr="00BB14B5">
        <w:trPr>
          <w:trHeight w:val="210"/>
        </w:trPr>
        <w:tc>
          <w:tcPr>
            <w:tcW w:w="4280" w:type="dxa"/>
            <w:tcBorders>
              <w:top w:val="nil"/>
              <w:left w:val="nil"/>
              <w:bottom w:val="nil"/>
              <w:right w:val="nil"/>
            </w:tcBorders>
            <w:shd w:val="clear" w:color="auto" w:fill="auto"/>
            <w:hideMark/>
          </w:tcPr>
          <w:p w14:paraId="54EC44A1"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Emigration rate 0-6</w:t>
            </w:r>
          </w:p>
        </w:tc>
        <w:tc>
          <w:tcPr>
            <w:tcW w:w="1000" w:type="dxa"/>
            <w:tcBorders>
              <w:top w:val="nil"/>
              <w:left w:val="nil"/>
              <w:bottom w:val="nil"/>
              <w:right w:val="nil"/>
            </w:tcBorders>
            <w:shd w:val="clear" w:color="auto" w:fill="auto"/>
            <w:hideMark/>
          </w:tcPr>
          <w:p w14:paraId="0711A6B0"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0.00010291</w:t>
            </w:r>
          </w:p>
        </w:tc>
        <w:tc>
          <w:tcPr>
            <w:tcW w:w="8580" w:type="dxa"/>
            <w:tcBorders>
              <w:top w:val="nil"/>
              <w:left w:val="nil"/>
              <w:bottom w:val="nil"/>
              <w:right w:val="nil"/>
            </w:tcBorders>
            <w:shd w:val="clear" w:color="auto" w:fill="auto"/>
            <w:hideMark/>
          </w:tcPr>
          <w:p w14:paraId="4B346B61"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Per capita emigration rate per year.  Estimated via constrained optimisation.</w:t>
            </w:r>
          </w:p>
        </w:tc>
      </w:tr>
      <w:tr w:rsidR="00BB14B5" w:rsidRPr="00BB14B5" w14:paraId="3190BEB2" w14:textId="77777777" w:rsidTr="00BB14B5">
        <w:trPr>
          <w:trHeight w:val="210"/>
        </w:trPr>
        <w:tc>
          <w:tcPr>
            <w:tcW w:w="4280" w:type="dxa"/>
            <w:tcBorders>
              <w:top w:val="nil"/>
              <w:left w:val="nil"/>
              <w:bottom w:val="nil"/>
              <w:right w:val="nil"/>
            </w:tcBorders>
            <w:shd w:val="clear" w:color="000000" w:fill="F2F2F2"/>
            <w:hideMark/>
          </w:tcPr>
          <w:p w14:paraId="188B4E90"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Emigration rate 7-11</w:t>
            </w:r>
          </w:p>
        </w:tc>
        <w:tc>
          <w:tcPr>
            <w:tcW w:w="1000" w:type="dxa"/>
            <w:tcBorders>
              <w:top w:val="nil"/>
              <w:left w:val="nil"/>
              <w:bottom w:val="nil"/>
              <w:right w:val="nil"/>
            </w:tcBorders>
            <w:shd w:val="clear" w:color="000000" w:fill="F2F2F2"/>
            <w:hideMark/>
          </w:tcPr>
          <w:p w14:paraId="33519DA4"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0.000198974</w:t>
            </w:r>
          </w:p>
        </w:tc>
        <w:tc>
          <w:tcPr>
            <w:tcW w:w="8580" w:type="dxa"/>
            <w:tcBorders>
              <w:top w:val="nil"/>
              <w:left w:val="nil"/>
              <w:bottom w:val="nil"/>
              <w:right w:val="nil"/>
            </w:tcBorders>
            <w:shd w:val="clear" w:color="000000" w:fill="F2F2F2"/>
            <w:hideMark/>
          </w:tcPr>
          <w:p w14:paraId="5D196050"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Per capita emigration rate per year.  Estimated via constrained optimisation.</w:t>
            </w:r>
          </w:p>
        </w:tc>
      </w:tr>
      <w:tr w:rsidR="00BB14B5" w:rsidRPr="00BB14B5" w14:paraId="7AC810A9" w14:textId="77777777" w:rsidTr="00BB14B5">
        <w:trPr>
          <w:trHeight w:val="210"/>
        </w:trPr>
        <w:tc>
          <w:tcPr>
            <w:tcW w:w="4280" w:type="dxa"/>
            <w:tcBorders>
              <w:top w:val="nil"/>
              <w:left w:val="nil"/>
              <w:bottom w:val="nil"/>
              <w:right w:val="nil"/>
            </w:tcBorders>
            <w:shd w:val="clear" w:color="auto" w:fill="auto"/>
            <w:hideMark/>
          </w:tcPr>
          <w:p w14:paraId="18F08025"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Emigration rate 12-17</w:t>
            </w:r>
          </w:p>
        </w:tc>
        <w:tc>
          <w:tcPr>
            <w:tcW w:w="1000" w:type="dxa"/>
            <w:tcBorders>
              <w:top w:val="nil"/>
              <w:left w:val="nil"/>
              <w:bottom w:val="nil"/>
              <w:right w:val="nil"/>
            </w:tcBorders>
            <w:shd w:val="clear" w:color="auto" w:fill="auto"/>
            <w:hideMark/>
          </w:tcPr>
          <w:p w14:paraId="5D70B7DF"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0.000134317</w:t>
            </w:r>
          </w:p>
        </w:tc>
        <w:tc>
          <w:tcPr>
            <w:tcW w:w="8580" w:type="dxa"/>
            <w:tcBorders>
              <w:top w:val="nil"/>
              <w:left w:val="nil"/>
              <w:bottom w:val="nil"/>
              <w:right w:val="nil"/>
            </w:tcBorders>
            <w:shd w:val="clear" w:color="auto" w:fill="auto"/>
            <w:hideMark/>
          </w:tcPr>
          <w:p w14:paraId="484ADB33"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Per capita emigration rate per year.  Estimated via constrained optimisation.</w:t>
            </w:r>
          </w:p>
        </w:tc>
      </w:tr>
      <w:tr w:rsidR="00BB14B5" w:rsidRPr="00BB14B5" w14:paraId="05F9E276" w14:textId="77777777" w:rsidTr="00BB14B5">
        <w:trPr>
          <w:trHeight w:val="210"/>
        </w:trPr>
        <w:tc>
          <w:tcPr>
            <w:tcW w:w="4280" w:type="dxa"/>
            <w:tcBorders>
              <w:top w:val="nil"/>
              <w:left w:val="nil"/>
              <w:bottom w:val="nil"/>
              <w:right w:val="nil"/>
            </w:tcBorders>
            <w:shd w:val="clear" w:color="000000" w:fill="F2F2F2"/>
            <w:hideMark/>
          </w:tcPr>
          <w:p w14:paraId="68341B21"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Emigration rate 18+</w:t>
            </w:r>
          </w:p>
        </w:tc>
        <w:tc>
          <w:tcPr>
            <w:tcW w:w="1000" w:type="dxa"/>
            <w:tcBorders>
              <w:top w:val="nil"/>
              <w:left w:val="nil"/>
              <w:bottom w:val="nil"/>
              <w:right w:val="nil"/>
            </w:tcBorders>
            <w:shd w:val="clear" w:color="000000" w:fill="F2F2F2"/>
            <w:hideMark/>
          </w:tcPr>
          <w:p w14:paraId="3201A505"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4.72641E-05</w:t>
            </w:r>
          </w:p>
        </w:tc>
        <w:tc>
          <w:tcPr>
            <w:tcW w:w="8580" w:type="dxa"/>
            <w:tcBorders>
              <w:top w:val="nil"/>
              <w:left w:val="nil"/>
              <w:bottom w:val="nil"/>
              <w:right w:val="nil"/>
            </w:tcBorders>
            <w:shd w:val="clear" w:color="000000" w:fill="F2F2F2"/>
            <w:hideMark/>
          </w:tcPr>
          <w:p w14:paraId="0424771A"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Per capita emigration rate per year.  Estimated via constrained optimisation.</w:t>
            </w:r>
          </w:p>
        </w:tc>
      </w:tr>
      <w:tr w:rsidR="00BB14B5" w:rsidRPr="00BB14B5" w14:paraId="1EF17BF5" w14:textId="77777777" w:rsidTr="00BB14B5">
        <w:trPr>
          <w:trHeight w:val="210"/>
        </w:trPr>
        <w:tc>
          <w:tcPr>
            <w:tcW w:w="4280" w:type="dxa"/>
            <w:tcBorders>
              <w:top w:val="nil"/>
              <w:left w:val="nil"/>
              <w:bottom w:val="nil"/>
              <w:right w:val="nil"/>
            </w:tcBorders>
            <w:shd w:val="clear" w:color="auto" w:fill="auto"/>
            <w:hideMark/>
          </w:tcPr>
          <w:p w14:paraId="5E717D51"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Immigration 0-6</w:t>
            </w:r>
          </w:p>
        </w:tc>
        <w:tc>
          <w:tcPr>
            <w:tcW w:w="1000" w:type="dxa"/>
            <w:tcBorders>
              <w:top w:val="nil"/>
              <w:left w:val="nil"/>
              <w:bottom w:val="nil"/>
              <w:right w:val="nil"/>
            </w:tcBorders>
            <w:shd w:val="clear" w:color="auto" w:fill="auto"/>
            <w:hideMark/>
          </w:tcPr>
          <w:p w14:paraId="42E16BF6"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1277.133631</w:t>
            </w:r>
          </w:p>
        </w:tc>
        <w:tc>
          <w:tcPr>
            <w:tcW w:w="8580" w:type="dxa"/>
            <w:tcBorders>
              <w:top w:val="nil"/>
              <w:left w:val="nil"/>
              <w:bottom w:val="nil"/>
              <w:right w:val="nil"/>
            </w:tcBorders>
            <w:shd w:val="clear" w:color="auto" w:fill="auto"/>
            <w:hideMark/>
          </w:tcPr>
          <w:p w14:paraId="5CF7868B"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Number of people immigrating per year.  Estimated via constrained optimisation.</w:t>
            </w:r>
          </w:p>
        </w:tc>
      </w:tr>
      <w:tr w:rsidR="00BB14B5" w:rsidRPr="00BB14B5" w14:paraId="326A50A0" w14:textId="77777777" w:rsidTr="00BB14B5">
        <w:trPr>
          <w:trHeight w:val="210"/>
        </w:trPr>
        <w:tc>
          <w:tcPr>
            <w:tcW w:w="4280" w:type="dxa"/>
            <w:tcBorders>
              <w:top w:val="nil"/>
              <w:left w:val="nil"/>
              <w:bottom w:val="nil"/>
              <w:right w:val="nil"/>
            </w:tcBorders>
            <w:shd w:val="clear" w:color="000000" w:fill="F2F2F2"/>
            <w:hideMark/>
          </w:tcPr>
          <w:p w14:paraId="312D2A57"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Immigration 7-11</w:t>
            </w:r>
          </w:p>
        </w:tc>
        <w:tc>
          <w:tcPr>
            <w:tcW w:w="1000" w:type="dxa"/>
            <w:tcBorders>
              <w:top w:val="nil"/>
              <w:left w:val="nil"/>
              <w:bottom w:val="nil"/>
              <w:right w:val="nil"/>
            </w:tcBorders>
            <w:shd w:val="clear" w:color="000000" w:fill="F2F2F2"/>
            <w:hideMark/>
          </w:tcPr>
          <w:p w14:paraId="2CBE1842"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848.1291059</w:t>
            </w:r>
          </w:p>
        </w:tc>
        <w:tc>
          <w:tcPr>
            <w:tcW w:w="8580" w:type="dxa"/>
            <w:tcBorders>
              <w:top w:val="nil"/>
              <w:left w:val="nil"/>
              <w:bottom w:val="nil"/>
              <w:right w:val="nil"/>
            </w:tcBorders>
            <w:shd w:val="clear" w:color="000000" w:fill="F2F2F2"/>
            <w:hideMark/>
          </w:tcPr>
          <w:p w14:paraId="13B56EDA"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Number of people immigrating per year.  Estimated via constrained optimisation.</w:t>
            </w:r>
          </w:p>
        </w:tc>
      </w:tr>
      <w:tr w:rsidR="00BB14B5" w:rsidRPr="00BB14B5" w14:paraId="36C73532" w14:textId="77777777" w:rsidTr="00BB14B5">
        <w:trPr>
          <w:trHeight w:val="210"/>
        </w:trPr>
        <w:tc>
          <w:tcPr>
            <w:tcW w:w="4280" w:type="dxa"/>
            <w:tcBorders>
              <w:top w:val="nil"/>
              <w:left w:val="nil"/>
              <w:bottom w:val="nil"/>
              <w:right w:val="nil"/>
            </w:tcBorders>
            <w:shd w:val="clear" w:color="auto" w:fill="auto"/>
            <w:hideMark/>
          </w:tcPr>
          <w:p w14:paraId="33A3E324"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Immigration 12-17</w:t>
            </w:r>
          </w:p>
        </w:tc>
        <w:tc>
          <w:tcPr>
            <w:tcW w:w="1000" w:type="dxa"/>
            <w:tcBorders>
              <w:top w:val="nil"/>
              <w:left w:val="nil"/>
              <w:bottom w:val="nil"/>
              <w:right w:val="nil"/>
            </w:tcBorders>
            <w:shd w:val="clear" w:color="auto" w:fill="auto"/>
            <w:hideMark/>
          </w:tcPr>
          <w:p w14:paraId="314DADD3"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2717.973235</w:t>
            </w:r>
          </w:p>
        </w:tc>
        <w:tc>
          <w:tcPr>
            <w:tcW w:w="8580" w:type="dxa"/>
            <w:tcBorders>
              <w:top w:val="nil"/>
              <w:left w:val="nil"/>
              <w:bottom w:val="nil"/>
              <w:right w:val="nil"/>
            </w:tcBorders>
            <w:shd w:val="clear" w:color="auto" w:fill="auto"/>
            <w:hideMark/>
          </w:tcPr>
          <w:p w14:paraId="0C125803"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Number of people immigrating per year.  Estimated via constrained optimisation.</w:t>
            </w:r>
          </w:p>
        </w:tc>
      </w:tr>
      <w:tr w:rsidR="00BB14B5" w:rsidRPr="00BB14B5" w14:paraId="7A8EAB83" w14:textId="77777777" w:rsidTr="00BB14B5">
        <w:trPr>
          <w:trHeight w:val="210"/>
        </w:trPr>
        <w:tc>
          <w:tcPr>
            <w:tcW w:w="4280" w:type="dxa"/>
            <w:tcBorders>
              <w:top w:val="nil"/>
              <w:left w:val="nil"/>
              <w:bottom w:val="nil"/>
              <w:right w:val="nil"/>
            </w:tcBorders>
            <w:shd w:val="clear" w:color="000000" w:fill="F2F2F2"/>
            <w:hideMark/>
          </w:tcPr>
          <w:p w14:paraId="13508B4B"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Immigration 18+</w:t>
            </w:r>
          </w:p>
        </w:tc>
        <w:tc>
          <w:tcPr>
            <w:tcW w:w="1000" w:type="dxa"/>
            <w:tcBorders>
              <w:top w:val="nil"/>
              <w:left w:val="nil"/>
              <w:bottom w:val="nil"/>
              <w:right w:val="nil"/>
            </w:tcBorders>
            <w:shd w:val="clear" w:color="000000" w:fill="F2F2F2"/>
            <w:hideMark/>
          </w:tcPr>
          <w:p w14:paraId="13FC84B4"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10980.31726</w:t>
            </w:r>
          </w:p>
        </w:tc>
        <w:tc>
          <w:tcPr>
            <w:tcW w:w="8580" w:type="dxa"/>
            <w:tcBorders>
              <w:top w:val="nil"/>
              <w:left w:val="nil"/>
              <w:bottom w:val="nil"/>
              <w:right w:val="nil"/>
            </w:tcBorders>
            <w:shd w:val="clear" w:color="000000" w:fill="F2F2F2"/>
            <w:hideMark/>
          </w:tcPr>
          <w:p w14:paraId="597BB9AB"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Number of people immigrating per year.  Estimated via constrained optimisation.</w:t>
            </w:r>
          </w:p>
        </w:tc>
      </w:tr>
      <w:tr w:rsidR="00BB14B5" w:rsidRPr="00BB14B5" w14:paraId="500F6CB6" w14:textId="77777777" w:rsidTr="00BB14B5">
        <w:trPr>
          <w:trHeight w:val="210"/>
        </w:trPr>
        <w:tc>
          <w:tcPr>
            <w:tcW w:w="4280" w:type="dxa"/>
            <w:tcBorders>
              <w:top w:val="nil"/>
              <w:left w:val="nil"/>
              <w:bottom w:val="nil"/>
              <w:right w:val="nil"/>
            </w:tcBorders>
            <w:shd w:val="clear" w:color="auto" w:fill="auto"/>
            <w:hideMark/>
          </w:tcPr>
          <w:p w14:paraId="4E56AAFD"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p>
        </w:tc>
        <w:tc>
          <w:tcPr>
            <w:tcW w:w="1000" w:type="dxa"/>
            <w:tcBorders>
              <w:top w:val="nil"/>
              <w:left w:val="nil"/>
              <w:bottom w:val="nil"/>
              <w:right w:val="nil"/>
            </w:tcBorders>
            <w:shd w:val="clear" w:color="auto" w:fill="auto"/>
            <w:hideMark/>
          </w:tcPr>
          <w:p w14:paraId="6DEA830D" w14:textId="77777777" w:rsidR="00BB14B5" w:rsidRPr="00BB14B5" w:rsidRDefault="00BB14B5" w:rsidP="00BB14B5">
            <w:pPr>
              <w:spacing w:line="240" w:lineRule="auto"/>
              <w:rPr>
                <w:rFonts w:ascii="Times New Roman" w:eastAsia="Times New Roman" w:hAnsi="Times New Roman"/>
                <w:color w:val="auto"/>
                <w:sz w:val="20"/>
                <w:szCs w:val="20"/>
                <w:lang w:eastAsia="en-AU"/>
              </w:rPr>
            </w:pPr>
          </w:p>
        </w:tc>
        <w:tc>
          <w:tcPr>
            <w:tcW w:w="8580" w:type="dxa"/>
            <w:tcBorders>
              <w:top w:val="nil"/>
              <w:left w:val="nil"/>
              <w:bottom w:val="nil"/>
              <w:right w:val="nil"/>
            </w:tcBorders>
            <w:shd w:val="clear" w:color="auto" w:fill="auto"/>
            <w:hideMark/>
          </w:tcPr>
          <w:p w14:paraId="58B26D14" w14:textId="77777777" w:rsidR="00BB14B5" w:rsidRPr="00BB14B5" w:rsidRDefault="00BB14B5" w:rsidP="00BB14B5">
            <w:pPr>
              <w:spacing w:line="240" w:lineRule="auto"/>
              <w:rPr>
                <w:rFonts w:ascii="Times New Roman" w:eastAsia="Times New Roman" w:hAnsi="Times New Roman"/>
                <w:color w:val="auto"/>
                <w:sz w:val="20"/>
                <w:szCs w:val="20"/>
                <w:lang w:eastAsia="en-AU"/>
              </w:rPr>
            </w:pPr>
          </w:p>
        </w:tc>
      </w:tr>
      <w:tr w:rsidR="00BB14B5" w:rsidRPr="00BB14B5" w14:paraId="2F7FA10C" w14:textId="77777777" w:rsidTr="00BB14B5">
        <w:trPr>
          <w:trHeight w:val="210"/>
        </w:trPr>
        <w:tc>
          <w:tcPr>
            <w:tcW w:w="4280" w:type="dxa"/>
            <w:tcBorders>
              <w:top w:val="nil"/>
              <w:left w:val="nil"/>
              <w:bottom w:val="nil"/>
              <w:right w:val="nil"/>
            </w:tcBorders>
            <w:shd w:val="clear" w:color="000000" w:fill="D9D9D9"/>
            <w:hideMark/>
          </w:tcPr>
          <w:p w14:paraId="7ACA50CA"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Mental health problems sector</w:t>
            </w:r>
          </w:p>
        </w:tc>
        <w:tc>
          <w:tcPr>
            <w:tcW w:w="1000" w:type="dxa"/>
            <w:tcBorders>
              <w:top w:val="nil"/>
              <w:left w:val="nil"/>
              <w:bottom w:val="nil"/>
              <w:right w:val="nil"/>
            </w:tcBorders>
            <w:shd w:val="clear" w:color="000000" w:fill="D9D9D9"/>
            <w:hideMark/>
          </w:tcPr>
          <w:p w14:paraId="3E8A4AF2"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 </w:t>
            </w:r>
          </w:p>
        </w:tc>
        <w:tc>
          <w:tcPr>
            <w:tcW w:w="8580" w:type="dxa"/>
            <w:tcBorders>
              <w:top w:val="nil"/>
              <w:left w:val="nil"/>
              <w:bottom w:val="nil"/>
              <w:right w:val="nil"/>
            </w:tcBorders>
            <w:shd w:val="clear" w:color="000000" w:fill="D9D9D9"/>
            <w:hideMark/>
          </w:tcPr>
          <w:p w14:paraId="5A69FF9A"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 </w:t>
            </w:r>
          </w:p>
        </w:tc>
      </w:tr>
      <w:tr w:rsidR="00BB14B5" w:rsidRPr="00BB14B5" w14:paraId="2EB0F0DE" w14:textId="77777777" w:rsidTr="00BB14B5">
        <w:trPr>
          <w:trHeight w:val="210"/>
        </w:trPr>
        <w:tc>
          <w:tcPr>
            <w:tcW w:w="4280" w:type="dxa"/>
            <w:tcBorders>
              <w:top w:val="nil"/>
              <w:left w:val="nil"/>
              <w:bottom w:val="nil"/>
              <w:right w:val="nil"/>
            </w:tcBorders>
            <w:shd w:val="clear" w:color="auto" w:fill="auto"/>
            <w:hideMark/>
          </w:tcPr>
          <w:p w14:paraId="4E5204A1"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p>
        </w:tc>
        <w:tc>
          <w:tcPr>
            <w:tcW w:w="1000" w:type="dxa"/>
            <w:tcBorders>
              <w:top w:val="nil"/>
              <w:left w:val="nil"/>
              <w:bottom w:val="nil"/>
              <w:right w:val="nil"/>
            </w:tcBorders>
            <w:shd w:val="clear" w:color="auto" w:fill="auto"/>
            <w:hideMark/>
          </w:tcPr>
          <w:p w14:paraId="3B8861F7" w14:textId="77777777" w:rsidR="00BB14B5" w:rsidRPr="00BB14B5" w:rsidRDefault="00BB14B5" w:rsidP="00BB14B5">
            <w:pPr>
              <w:spacing w:line="240" w:lineRule="auto"/>
              <w:rPr>
                <w:rFonts w:ascii="Times New Roman" w:eastAsia="Times New Roman" w:hAnsi="Times New Roman"/>
                <w:color w:val="auto"/>
                <w:sz w:val="20"/>
                <w:szCs w:val="20"/>
                <w:lang w:eastAsia="en-AU"/>
              </w:rPr>
            </w:pPr>
          </w:p>
        </w:tc>
        <w:tc>
          <w:tcPr>
            <w:tcW w:w="8580" w:type="dxa"/>
            <w:tcBorders>
              <w:top w:val="nil"/>
              <w:left w:val="nil"/>
              <w:bottom w:val="nil"/>
              <w:right w:val="nil"/>
            </w:tcBorders>
            <w:shd w:val="clear" w:color="auto" w:fill="auto"/>
            <w:hideMark/>
          </w:tcPr>
          <w:p w14:paraId="7A231386" w14:textId="77777777" w:rsidR="00BB14B5" w:rsidRPr="00BB14B5" w:rsidRDefault="00BB14B5" w:rsidP="00BB14B5">
            <w:pPr>
              <w:spacing w:line="240" w:lineRule="auto"/>
              <w:rPr>
                <w:rFonts w:ascii="Times New Roman" w:eastAsia="Times New Roman" w:hAnsi="Times New Roman"/>
                <w:color w:val="auto"/>
                <w:sz w:val="20"/>
                <w:szCs w:val="20"/>
                <w:lang w:eastAsia="en-AU"/>
              </w:rPr>
            </w:pPr>
          </w:p>
        </w:tc>
      </w:tr>
      <w:tr w:rsidR="00BB14B5" w:rsidRPr="00BB14B5" w14:paraId="430E34F7" w14:textId="77777777" w:rsidTr="00BB14B5">
        <w:trPr>
          <w:trHeight w:val="210"/>
        </w:trPr>
        <w:tc>
          <w:tcPr>
            <w:tcW w:w="4280" w:type="dxa"/>
            <w:tcBorders>
              <w:top w:val="nil"/>
              <w:left w:val="nil"/>
              <w:bottom w:val="nil"/>
              <w:right w:val="nil"/>
            </w:tcBorders>
            <w:shd w:val="clear" w:color="000000" w:fill="F2F2F2"/>
            <w:hideMark/>
          </w:tcPr>
          <w:p w14:paraId="551551C9"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Mental health problems onset base rate initial 7-11</w:t>
            </w:r>
          </w:p>
        </w:tc>
        <w:tc>
          <w:tcPr>
            <w:tcW w:w="1000" w:type="dxa"/>
            <w:tcBorders>
              <w:top w:val="nil"/>
              <w:left w:val="nil"/>
              <w:bottom w:val="nil"/>
              <w:right w:val="nil"/>
            </w:tcBorders>
            <w:shd w:val="clear" w:color="000000" w:fill="F2F2F2"/>
            <w:hideMark/>
          </w:tcPr>
          <w:p w14:paraId="2DEF5D65"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0.008802508</w:t>
            </w:r>
          </w:p>
        </w:tc>
        <w:tc>
          <w:tcPr>
            <w:tcW w:w="8580" w:type="dxa"/>
            <w:tcBorders>
              <w:top w:val="nil"/>
              <w:left w:val="nil"/>
              <w:bottom w:val="nil"/>
              <w:right w:val="nil"/>
            </w:tcBorders>
            <w:shd w:val="clear" w:color="000000" w:fill="F2F2F2"/>
            <w:hideMark/>
          </w:tcPr>
          <w:p w14:paraId="52DEA935"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Initial base per capita rate per year.  Estimated via constrained optimisation.</w:t>
            </w:r>
          </w:p>
        </w:tc>
      </w:tr>
      <w:tr w:rsidR="00BB14B5" w:rsidRPr="00BB14B5" w14:paraId="1219E948" w14:textId="77777777" w:rsidTr="00BB14B5">
        <w:trPr>
          <w:trHeight w:val="210"/>
        </w:trPr>
        <w:tc>
          <w:tcPr>
            <w:tcW w:w="4280" w:type="dxa"/>
            <w:tcBorders>
              <w:top w:val="nil"/>
              <w:left w:val="nil"/>
              <w:bottom w:val="nil"/>
              <w:right w:val="nil"/>
            </w:tcBorders>
            <w:shd w:val="clear" w:color="auto" w:fill="auto"/>
            <w:hideMark/>
          </w:tcPr>
          <w:p w14:paraId="1312B1FD"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Mental health problems onset base rate initial 12-17</w:t>
            </w:r>
          </w:p>
        </w:tc>
        <w:tc>
          <w:tcPr>
            <w:tcW w:w="1000" w:type="dxa"/>
            <w:tcBorders>
              <w:top w:val="nil"/>
              <w:left w:val="nil"/>
              <w:bottom w:val="nil"/>
              <w:right w:val="nil"/>
            </w:tcBorders>
            <w:shd w:val="clear" w:color="auto" w:fill="auto"/>
            <w:hideMark/>
          </w:tcPr>
          <w:p w14:paraId="4F42EA9C"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0.003506634</w:t>
            </w:r>
          </w:p>
        </w:tc>
        <w:tc>
          <w:tcPr>
            <w:tcW w:w="8580" w:type="dxa"/>
            <w:tcBorders>
              <w:top w:val="nil"/>
              <w:left w:val="nil"/>
              <w:bottom w:val="nil"/>
              <w:right w:val="nil"/>
            </w:tcBorders>
            <w:shd w:val="clear" w:color="auto" w:fill="auto"/>
            <w:hideMark/>
          </w:tcPr>
          <w:p w14:paraId="552F493F"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Initial base per capita rate per year.  Estimated via constrained optimisation.</w:t>
            </w:r>
          </w:p>
        </w:tc>
      </w:tr>
      <w:tr w:rsidR="00BB14B5" w:rsidRPr="00BB14B5" w14:paraId="62799C60" w14:textId="77777777" w:rsidTr="00BB14B5">
        <w:trPr>
          <w:trHeight w:val="210"/>
        </w:trPr>
        <w:tc>
          <w:tcPr>
            <w:tcW w:w="4280" w:type="dxa"/>
            <w:tcBorders>
              <w:top w:val="nil"/>
              <w:left w:val="nil"/>
              <w:bottom w:val="nil"/>
              <w:right w:val="nil"/>
            </w:tcBorders>
            <w:shd w:val="clear" w:color="000000" w:fill="F2F2F2"/>
            <w:hideMark/>
          </w:tcPr>
          <w:p w14:paraId="07171825"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Mental health problems onset base rate initial 18+</w:t>
            </w:r>
          </w:p>
        </w:tc>
        <w:tc>
          <w:tcPr>
            <w:tcW w:w="1000" w:type="dxa"/>
            <w:tcBorders>
              <w:top w:val="nil"/>
              <w:left w:val="nil"/>
              <w:bottom w:val="nil"/>
              <w:right w:val="nil"/>
            </w:tcBorders>
            <w:shd w:val="clear" w:color="000000" w:fill="F2F2F2"/>
            <w:hideMark/>
          </w:tcPr>
          <w:p w14:paraId="1C0604A2"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0.005034258</w:t>
            </w:r>
          </w:p>
        </w:tc>
        <w:tc>
          <w:tcPr>
            <w:tcW w:w="8580" w:type="dxa"/>
            <w:tcBorders>
              <w:top w:val="nil"/>
              <w:left w:val="nil"/>
              <w:bottom w:val="nil"/>
              <w:right w:val="nil"/>
            </w:tcBorders>
            <w:shd w:val="clear" w:color="000000" w:fill="F2F2F2"/>
            <w:hideMark/>
          </w:tcPr>
          <w:p w14:paraId="2DEC6F61"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Initial base per capita rate per year.  Estimated via constrained optimisation.</w:t>
            </w:r>
          </w:p>
        </w:tc>
      </w:tr>
      <w:tr w:rsidR="00BB14B5" w:rsidRPr="00BB14B5" w14:paraId="48F93147" w14:textId="77777777" w:rsidTr="00BB14B5">
        <w:trPr>
          <w:trHeight w:val="420"/>
        </w:trPr>
        <w:tc>
          <w:tcPr>
            <w:tcW w:w="4280" w:type="dxa"/>
            <w:tcBorders>
              <w:top w:val="nil"/>
              <w:left w:val="nil"/>
              <w:bottom w:val="nil"/>
              <w:right w:val="nil"/>
            </w:tcBorders>
            <w:shd w:val="clear" w:color="auto" w:fill="auto"/>
            <w:hideMark/>
          </w:tcPr>
          <w:p w14:paraId="6E70FB4B"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 xml:space="preserve">Mental health problems onset rate multiplier </w:t>
            </w:r>
            <w:proofErr w:type="gramStart"/>
            <w:r w:rsidRPr="00BB14B5">
              <w:rPr>
                <w:rFonts w:ascii="Times New Roman" w:eastAsia="Times New Roman" w:hAnsi="Times New Roman"/>
                <w:color w:val="000000"/>
                <w:sz w:val="16"/>
                <w:szCs w:val="16"/>
                <w:lang w:eastAsia="en-AU"/>
              </w:rPr>
              <w:t>increase</w:t>
            </w:r>
            <w:proofErr w:type="gramEnd"/>
            <w:r w:rsidRPr="00BB14B5">
              <w:rPr>
                <w:rFonts w:ascii="Times New Roman" w:eastAsia="Times New Roman" w:hAnsi="Times New Roman"/>
                <w:color w:val="000000"/>
                <w:sz w:val="16"/>
                <w:szCs w:val="16"/>
                <w:lang w:eastAsia="en-AU"/>
              </w:rPr>
              <w:t xml:space="preserve"> per year</w:t>
            </w:r>
          </w:p>
        </w:tc>
        <w:tc>
          <w:tcPr>
            <w:tcW w:w="1000" w:type="dxa"/>
            <w:tcBorders>
              <w:top w:val="nil"/>
              <w:left w:val="nil"/>
              <w:bottom w:val="nil"/>
              <w:right w:val="nil"/>
            </w:tcBorders>
            <w:shd w:val="clear" w:color="auto" w:fill="auto"/>
            <w:hideMark/>
          </w:tcPr>
          <w:p w14:paraId="7F656613"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0.397342737</w:t>
            </w:r>
          </w:p>
        </w:tc>
        <w:tc>
          <w:tcPr>
            <w:tcW w:w="8580" w:type="dxa"/>
            <w:tcBorders>
              <w:top w:val="nil"/>
              <w:left w:val="nil"/>
              <w:bottom w:val="nil"/>
              <w:right w:val="nil"/>
            </w:tcBorders>
            <w:shd w:val="clear" w:color="auto" w:fill="auto"/>
            <w:hideMark/>
          </w:tcPr>
          <w:p w14:paraId="7009F497"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Determines the rate of increase in the base per capita incidence of mental health problems for each age group.  Estimated via constrained optimisation.</w:t>
            </w:r>
          </w:p>
        </w:tc>
      </w:tr>
      <w:tr w:rsidR="00BB14B5" w:rsidRPr="00BB14B5" w14:paraId="3D6CEFBB" w14:textId="77777777" w:rsidTr="00BB14B5">
        <w:trPr>
          <w:trHeight w:val="210"/>
        </w:trPr>
        <w:tc>
          <w:tcPr>
            <w:tcW w:w="4280" w:type="dxa"/>
            <w:tcBorders>
              <w:top w:val="nil"/>
              <w:left w:val="nil"/>
              <w:bottom w:val="nil"/>
              <w:right w:val="nil"/>
            </w:tcBorders>
            <w:shd w:val="clear" w:color="000000" w:fill="F2F2F2"/>
            <w:hideMark/>
          </w:tcPr>
          <w:p w14:paraId="1AE44457"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Mental health problems prevalence initial 7-11</w:t>
            </w:r>
          </w:p>
        </w:tc>
        <w:tc>
          <w:tcPr>
            <w:tcW w:w="1000" w:type="dxa"/>
            <w:tcBorders>
              <w:top w:val="nil"/>
              <w:left w:val="nil"/>
              <w:bottom w:val="nil"/>
              <w:right w:val="nil"/>
            </w:tcBorders>
            <w:shd w:val="clear" w:color="000000" w:fill="F2F2F2"/>
            <w:hideMark/>
          </w:tcPr>
          <w:p w14:paraId="421E8563"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0.100993576</w:t>
            </w:r>
          </w:p>
        </w:tc>
        <w:tc>
          <w:tcPr>
            <w:tcW w:w="8580" w:type="dxa"/>
            <w:tcBorders>
              <w:top w:val="nil"/>
              <w:left w:val="nil"/>
              <w:bottom w:val="nil"/>
              <w:right w:val="nil"/>
            </w:tcBorders>
            <w:shd w:val="clear" w:color="000000" w:fill="F2F2F2"/>
            <w:hideMark/>
          </w:tcPr>
          <w:p w14:paraId="27F00141"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Initial prevalence of mental health problems.  Estimated via constrained optimisation.</w:t>
            </w:r>
          </w:p>
        </w:tc>
      </w:tr>
      <w:tr w:rsidR="00BB14B5" w:rsidRPr="00BB14B5" w14:paraId="238D8D28" w14:textId="77777777" w:rsidTr="00BB14B5">
        <w:trPr>
          <w:trHeight w:val="210"/>
        </w:trPr>
        <w:tc>
          <w:tcPr>
            <w:tcW w:w="4280" w:type="dxa"/>
            <w:tcBorders>
              <w:top w:val="nil"/>
              <w:left w:val="nil"/>
              <w:bottom w:val="nil"/>
              <w:right w:val="nil"/>
            </w:tcBorders>
            <w:shd w:val="clear" w:color="auto" w:fill="auto"/>
            <w:hideMark/>
          </w:tcPr>
          <w:p w14:paraId="1735BFF6"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Mental health problems prevalence initial 12-17</w:t>
            </w:r>
          </w:p>
        </w:tc>
        <w:tc>
          <w:tcPr>
            <w:tcW w:w="1000" w:type="dxa"/>
            <w:tcBorders>
              <w:top w:val="nil"/>
              <w:left w:val="nil"/>
              <w:bottom w:val="nil"/>
              <w:right w:val="nil"/>
            </w:tcBorders>
            <w:shd w:val="clear" w:color="auto" w:fill="auto"/>
            <w:hideMark/>
          </w:tcPr>
          <w:p w14:paraId="041210D8"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0.10284596</w:t>
            </w:r>
          </w:p>
        </w:tc>
        <w:tc>
          <w:tcPr>
            <w:tcW w:w="8580" w:type="dxa"/>
            <w:tcBorders>
              <w:top w:val="nil"/>
              <w:left w:val="nil"/>
              <w:bottom w:val="nil"/>
              <w:right w:val="nil"/>
            </w:tcBorders>
            <w:shd w:val="clear" w:color="auto" w:fill="auto"/>
            <w:hideMark/>
          </w:tcPr>
          <w:p w14:paraId="441CE517"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Initial prevalence of mental health problems.  Estimated via constrained optimisation.</w:t>
            </w:r>
          </w:p>
        </w:tc>
      </w:tr>
      <w:tr w:rsidR="00BB14B5" w:rsidRPr="00BB14B5" w14:paraId="0749D41E" w14:textId="77777777" w:rsidTr="00BB14B5">
        <w:trPr>
          <w:trHeight w:val="210"/>
        </w:trPr>
        <w:tc>
          <w:tcPr>
            <w:tcW w:w="4280" w:type="dxa"/>
            <w:tcBorders>
              <w:top w:val="nil"/>
              <w:left w:val="nil"/>
              <w:bottom w:val="nil"/>
              <w:right w:val="nil"/>
            </w:tcBorders>
            <w:shd w:val="clear" w:color="000000" w:fill="F2F2F2"/>
            <w:hideMark/>
          </w:tcPr>
          <w:p w14:paraId="086CFD4B"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Mental health problems prevalence initial 18+</w:t>
            </w:r>
          </w:p>
        </w:tc>
        <w:tc>
          <w:tcPr>
            <w:tcW w:w="1000" w:type="dxa"/>
            <w:tcBorders>
              <w:top w:val="nil"/>
              <w:left w:val="nil"/>
              <w:bottom w:val="nil"/>
              <w:right w:val="nil"/>
            </w:tcBorders>
            <w:shd w:val="clear" w:color="000000" w:fill="F2F2F2"/>
            <w:hideMark/>
          </w:tcPr>
          <w:p w14:paraId="583DDDD7"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0.059350936</w:t>
            </w:r>
          </w:p>
        </w:tc>
        <w:tc>
          <w:tcPr>
            <w:tcW w:w="8580" w:type="dxa"/>
            <w:tcBorders>
              <w:top w:val="nil"/>
              <w:left w:val="nil"/>
              <w:bottom w:val="nil"/>
              <w:right w:val="nil"/>
            </w:tcBorders>
            <w:shd w:val="clear" w:color="000000" w:fill="F2F2F2"/>
            <w:hideMark/>
          </w:tcPr>
          <w:p w14:paraId="587478C4"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Initial prevalence of mental health problems.  Estimated via constrained optimisation.</w:t>
            </w:r>
          </w:p>
        </w:tc>
      </w:tr>
      <w:tr w:rsidR="00BB14B5" w:rsidRPr="00BB14B5" w14:paraId="0555E3D0" w14:textId="77777777" w:rsidTr="00BB14B5">
        <w:trPr>
          <w:trHeight w:val="210"/>
        </w:trPr>
        <w:tc>
          <w:tcPr>
            <w:tcW w:w="4280" w:type="dxa"/>
            <w:tcBorders>
              <w:top w:val="nil"/>
              <w:left w:val="nil"/>
              <w:bottom w:val="nil"/>
              <w:right w:val="nil"/>
            </w:tcBorders>
            <w:shd w:val="clear" w:color="auto" w:fill="auto"/>
            <w:hideMark/>
          </w:tcPr>
          <w:p w14:paraId="365B3F5E"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Mortality hazard ratio mental health problems</w:t>
            </w:r>
          </w:p>
        </w:tc>
        <w:tc>
          <w:tcPr>
            <w:tcW w:w="1000" w:type="dxa"/>
            <w:tcBorders>
              <w:top w:val="nil"/>
              <w:left w:val="nil"/>
              <w:bottom w:val="nil"/>
              <w:right w:val="nil"/>
            </w:tcBorders>
            <w:shd w:val="clear" w:color="auto" w:fill="auto"/>
            <w:hideMark/>
          </w:tcPr>
          <w:p w14:paraId="659AC307"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1.37</w:t>
            </w:r>
          </w:p>
        </w:tc>
        <w:tc>
          <w:tcPr>
            <w:tcW w:w="8580" w:type="dxa"/>
            <w:tcBorders>
              <w:top w:val="nil"/>
              <w:left w:val="nil"/>
              <w:bottom w:val="nil"/>
              <w:right w:val="nil"/>
            </w:tcBorders>
            <w:shd w:val="clear" w:color="auto" w:fill="auto"/>
            <w:hideMark/>
          </w:tcPr>
          <w:p w14:paraId="7D38C120"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Derived from Russ et al. (2012, Br. Med. J. 345, e4933)</w:t>
            </w:r>
          </w:p>
        </w:tc>
      </w:tr>
      <w:tr w:rsidR="00BB14B5" w:rsidRPr="00BB14B5" w14:paraId="348C5221" w14:textId="77777777" w:rsidTr="00BB14B5">
        <w:trPr>
          <w:trHeight w:val="210"/>
        </w:trPr>
        <w:tc>
          <w:tcPr>
            <w:tcW w:w="4280" w:type="dxa"/>
            <w:tcBorders>
              <w:top w:val="nil"/>
              <w:left w:val="nil"/>
              <w:bottom w:val="nil"/>
              <w:right w:val="nil"/>
            </w:tcBorders>
            <w:shd w:val="clear" w:color="000000" w:fill="F2F2F2"/>
            <w:hideMark/>
          </w:tcPr>
          <w:p w14:paraId="4B11475A"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Spontaneous recovery rate</w:t>
            </w:r>
          </w:p>
        </w:tc>
        <w:tc>
          <w:tcPr>
            <w:tcW w:w="1000" w:type="dxa"/>
            <w:tcBorders>
              <w:top w:val="nil"/>
              <w:left w:val="nil"/>
              <w:bottom w:val="nil"/>
              <w:right w:val="nil"/>
            </w:tcBorders>
            <w:shd w:val="clear" w:color="000000" w:fill="F2F2F2"/>
            <w:hideMark/>
          </w:tcPr>
          <w:p w14:paraId="70EB28A6"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0.06833333</w:t>
            </w:r>
          </w:p>
        </w:tc>
        <w:tc>
          <w:tcPr>
            <w:tcW w:w="8580" w:type="dxa"/>
            <w:tcBorders>
              <w:top w:val="nil"/>
              <w:left w:val="nil"/>
              <w:bottom w:val="nil"/>
              <w:right w:val="nil"/>
            </w:tcBorders>
            <w:shd w:val="clear" w:color="000000" w:fill="F2F2F2"/>
            <w:hideMark/>
          </w:tcPr>
          <w:p w14:paraId="08836A29"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Per capita spontaneous recovery rate per year.  Derived from Jokela et al. (2011, J. Affect. Disord. 130, 454-461).</w:t>
            </w:r>
          </w:p>
        </w:tc>
      </w:tr>
      <w:tr w:rsidR="00BB14B5" w:rsidRPr="00BB14B5" w14:paraId="0989C4AC" w14:textId="77777777" w:rsidTr="00BB14B5">
        <w:trPr>
          <w:trHeight w:val="210"/>
        </w:trPr>
        <w:tc>
          <w:tcPr>
            <w:tcW w:w="4280" w:type="dxa"/>
            <w:tcBorders>
              <w:top w:val="nil"/>
              <w:left w:val="nil"/>
              <w:bottom w:val="nil"/>
              <w:right w:val="nil"/>
            </w:tcBorders>
            <w:shd w:val="clear" w:color="auto" w:fill="auto"/>
            <w:hideMark/>
          </w:tcPr>
          <w:p w14:paraId="06378E6A"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p>
        </w:tc>
        <w:tc>
          <w:tcPr>
            <w:tcW w:w="1000" w:type="dxa"/>
            <w:tcBorders>
              <w:top w:val="nil"/>
              <w:left w:val="nil"/>
              <w:bottom w:val="nil"/>
              <w:right w:val="nil"/>
            </w:tcBorders>
            <w:shd w:val="clear" w:color="auto" w:fill="auto"/>
            <w:hideMark/>
          </w:tcPr>
          <w:p w14:paraId="1C5F247E" w14:textId="77777777" w:rsidR="00BB14B5" w:rsidRPr="00BB14B5" w:rsidRDefault="00BB14B5" w:rsidP="00BB14B5">
            <w:pPr>
              <w:spacing w:line="240" w:lineRule="auto"/>
              <w:rPr>
                <w:rFonts w:ascii="Times New Roman" w:eastAsia="Times New Roman" w:hAnsi="Times New Roman"/>
                <w:color w:val="auto"/>
                <w:sz w:val="20"/>
                <w:szCs w:val="20"/>
                <w:lang w:eastAsia="en-AU"/>
              </w:rPr>
            </w:pPr>
          </w:p>
        </w:tc>
        <w:tc>
          <w:tcPr>
            <w:tcW w:w="8580" w:type="dxa"/>
            <w:tcBorders>
              <w:top w:val="nil"/>
              <w:left w:val="nil"/>
              <w:bottom w:val="nil"/>
              <w:right w:val="nil"/>
            </w:tcBorders>
            <w:shd w:val="clear" w:color="auto" w:fill="auto"/>
            <w:hideMark/>
          </w:tcPr>
          <w:p w14:paraId="0907C128" w14:textId="77777777" w:rsidR="00BB14B5" w:rsidRPr="00BB14B5" w:rsidRDefault="00BB14B5" w:rsidP="00BB14B5">
            <w:pPr>
              <w:spacing w:line="240" w:lineRule="auto"/>
              <w:rPr>
                <w:rFonts w:ascii="Times New Roman" w:eastAsia="Times New Roman" w:hAnsi="Times New Roman"/>
                <w:color w:val="auto"/>
                <w:sz w:val="20"/>
                <w:szCs w:val="20"/>
                <w:lang w:eastAsia="en-AU"/>
              </w:rPr>
            </w:pPr>
          </w:p>
        </w:tc>
      </w:tr>
      <w:tr w:rsidR="00BB14B5" w:rsidRPr="00BB14B5" w14:paraId="5AAC0468" w14:textId="77777777" w:rsidTr="00BB14B5">
        <w:trPr>
          <w:trHeight w:val="210"/>
        </w:trPr>
        <w:tc>
          <w:tcPr>
            <w:tcW w:w="4280" w:type="dxa"/>
            <w:tcBorders>
              <w:top w:val="nil"/>
              <w:left w:val="nil"/>
              <w:bottom w:val="nil"/>
              <w:right w:val="nil"/>
            </w:tcBorders>
            <w:shd w:val="clear" w:color="000000" w:fill="D9D9D9"/>
            <w:hideMark/>
          </w:tcPr>
          <w:p w14:paraId="054AA340"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Developmental vulnerability sector</w:t>
            </w:r>
          </w:p>
        </w:tc>
        <w:tc>
          <w:tcPr>
            <w:tcW w:w="1000" w:type="dxa"/>
            <w:tcBorders>
              <w:top w:val="nil"/>
              <w:left w:val="nil"/>
              <w:bottom w:val="nil"/>
              <w:right w:val="nil"/>
            </w:tcBorders>
            <w:shd w:val="clear" w:color="000000" w:fill="D9D9D9"/>
            <w:hideMark/>
          </w:tcPr>
          <w:p w14:paraId="1B657A89"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 </w:t>
            </w:r>
          </w:p>
        </w:tc>
        <w:tc>
          <w:tcPr>
            <w:tcW w:w="8580" w:type="dxa"/>
            <w:tcBorders>
              <w:top w:val="nil"/>
              <w:left w:val="nil"/>
              <w:bottom w:val="nil"/>
              <w:right w:val="nil"/>
            </w:tcBorders>
            <w:shd w:val="clear" w:color="000000" w:fill="D9D9D9"/>
            <w:hideMark/>
          </w:tcPr>
          <w:p w14:paraId="1F1A9AA9"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 </w:t>
            </w:r>
          </w:p>
        </w:tc>
      </w:tr>
      <w:tr w:rsidR="00BB14B5" w:rsidRPr="00BB14B5" w14:paraId="47FDC495" w14:textId="77777777" w:rsidTr="00BB14B5">
        <w:trPr>
          <w:trHeight w:val="210"/>
        </w:trPr>
        <w:tc>
          <w:tcPr>
            <w:tcW w:w="4280" w:type="dxa"/>
            <w:tcBorders>
              <w:top w:val="nil"/>
              <w:left w:val="nil"/>
              <w:bottom w:val="nil"/>
              <w:right w:val="nil"/>
            </w:tcBorders>
            <w:shd w:val="clear" w:color="auto" w:fill="auto"/>
            <w:hideMark/>
          </w:tcPr>
          <w:p w14:paraId="143200C5"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p>
        </w:tc>
        <w:tc>
          <w:tcPr>
            <w:tcW w:w="1000" w:type="dxa"/>
            <w:tcBorders>
              <w:top w:val="nil"/>
              <w:left w:val="nil"/>
              <w:bottom w:val="nil"/>
              <w:right w:val="nil"/>
            </w:tcBorders>
            <w:shd w:val="clear" w:color="auto" w:fill="auto"/>
            <w:hideMark/>
          </w:tcPr>
          <w:p w14:paraId="5D544A20" w14:textId="77777777" w:rsidR="00BB14B5" w:rsidRPr="00BB14B5" w:rsidRDefault="00BB14B5" w:rsidP="00BB14B5">
            <w:pPr>
              <w:spacing w:line="240" w:lineRule="auto"/>
              <w:rPr>
                <w:rFonts w:ascii="Times New Roman" w:eastAsia="Times New Roman" w:hAnsi="Times New Roman"/>
                <w:color w:val="auto"/>
                <w:sz w:val="20"/>
                <w:szCs w:val="20"/>
                <w:lang w:eastAsia="en-AU"/>
              </w:rPr>
            </w:pPr>
          </w:p>
        </w:tc>
        <w:tc>
          <w:tcPr>
            <w:tcW w:w="8580" w:type="dxa"/>
            <w:tcBorders>
              <w:top w:val="nil"/>
              <w:left w:val="nil"/>
              <w:bottom w:val="nil"/>
              <w:right w:val="nil"/>
            </w:tcBorders>
            <w:shd w:val="clear" w:color="auto" w:fill="auto"/>
            <w:hideMark/>
          </w:tcPr>
          <w:p w14:paraId="05AC8F2F" w14:textId="77777777" w:rsidR="00BB14B5" w:rsidRPr="00BB14B5" w:rsidRDefault="00BB14B5" w:rsidP="00BB14B5">
            <w:pPr>
              <w:spacing w:line="240" w:lineRule="auto"/>
              <w:rPr>
                <w:rFonts w:ascii="Times New Roman" w:eastAsia="Times New Roman" w:hAnsi="Times New Roman"/>
                <w:color w:val="auto"/>
                <w:sz w:val="20"/>
                <w:szCs w:val="20"/>
                <w:lang w:eastAsia="en-AU"/>
              </w:rPr>
            </w:pPr>
          </w:p>
        </w:tc>
      </w:tr>
      <w:tr w:rsidR="00BB14B5" w:rsidRPr="00BB14B5" w14:paraId="3C9A8D68" w14:textId="77777777" w:rsidTr="00BB14B5">
        <w:trPr>
          <w:trHeight w:val="210"/>
        </w:trPr>
        <w:tc>
          <w:tcPr>
            <w:tcW w:w="4280" w:type="dxa"/>
            <w:tcBorders>
              <w:top w:val="nil"/>
              <w:left w:val="nil"/>
              <w:bottom w:val="nil"/>
              <w:right w:val="nil"/>
            </w:tcBorders>
            <w:shd w:val="clear" w:color="000000" w:fill="F2F2F2"/>
            <w:hideMark/>
          </w:tcPr>
          <w:p w14:paraId="6D6B5F0B"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Base developmental vulnerability onset rate 0-11</w:t>
            </w:r>
          </w:p>
        </w:tc>
        <w:tc>
          <w:tcPr>
            <w:tcW w:w="1000" w:type="dxa"/>
            <w:tcBorders>
              <w:top w:val="nil"/>
              <w:left w:val="nil"/>
              <w:bottom w:val="nil"/>
              <w:right w:val="nil"/>
            </w:tcBorders>
            <w:shd w:val="clear" w:color="000000" w:fill="F2F2F2"/>
            <w:hideMark/>
          </w:tcPr>
          <w:p w14:paraId="4B2A1DCF"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0.005372939</w:t>
            </w:r>
          </w:p>
        </w:tc>
        <w:tc>
          <w:tcPr>
            <w:tcW w:w="8580" w:type="dxa"/>
            <w:tcBorders>
              <w:top w:val="nil"/>
              <w:left w:val="nil"/>
              <w:bottom w:val="nil"/>
              <w:right w:val="nil"/>
            </w:tcBorders>
            <w:shd w:val="clear" w:color="000000" w:fill="F2F2F2"/>
            <w:hideMark/>
          </w:tcPr>
          <w:p w14:paraId="29C66EEF"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Base per capita rate per year.  Estimated via constrained optimisation.</w:t>
            </w:r>
          </w:p>
        </w:tc>
      </w:tr>
      <w:tr w:rsidR="00BB14B5" w:rsidRPr="00BB14B5" w14:paraId="03FDA9A9" w14:textId="77777777" w:rsidTr="00BB14B5">
        <w:trPr>
          <w:trHeight w:val="210"/>
        </w:trPr>
        <w:tc>
          <w:tcPr>
            <w:tcW w:w="4280" w:type="dxa"/>
            <w:tcBorders>
              <w:top w:val="nil"/>
              <w:left w:val="nil"/>
              <w:bottom w:val="nil"/>
              <w:right w:val="nil"/>
            </w:tcBorders>
            <w:shd w:val="clear" w:color="auto" w:fill="auto"/>
            <w:hideMark/>
          </w:tcPr>
          <w:p w14:paraId="102FACAB"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Developmental vulnerability hazard ratio family violence</w:t>
            </w:r>
          </w:p>
        </w:tc>
        <w:tc>
          <w:tcPr>
            <w:tcW w:w="1000" w:type="dxa"/>
            <w:tcBorders>
              <w:top w:val="nil"/>
              <w:left w:val="nil"/>
              <w:bottom w:val="nil"/>
              <w:right w:val="nil"/>
            </w:tcBorders>
            <w:shd w:val="clear" w:color="auto" w:fill="auto"/>
            <w:hideMark/>
          </w:tcPr>
          <w:p w14:paraId="0FFFE674"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1.4</w:t>
            </w:r>
          </w:p>
        </w:tc>
        <w:tc>
          <w:tcPr>
            <w:tcW w:w="8580" w:type="dxa"/>
            <w:tcBorders>
              <w:top w:val="nil"/>
              <w:left w:val="nil"/>
              <w:bottom w:val="nil"/>
              <w:right w:val="nil"/>
            </w:tcBorders>
            <w:shd w:val="clear" w:color="auto" w:fill="auto"/>
            <w:hideMark/>
          </w:tcPr>
          <w:p w14:paraId="6738AACF"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Derived from Kernic et al. (2003, Child Abuse Negl. 27, 1231-1246)</w:t>
            </w:r>
          </w:p>
        </w:tc>
      </w:tr>
      <w:tr w:rsidR="00BB14B5" w:rsidRPr="00BB14B5" w14:paraId="7EB08D4B" w14:textId="77777777" w:rsidTr="00BB14B5">
        <w:trPr>
          <w:trHeight w:val="420"/>
        </w:trPr>
        <w:tc>
          <w:tcPr>
            <w:tcW w:w="4280" w:type="dxa"/>
            <w:tcBorders>
              <w:top w:val="nil"/>
              <w:left w:val="nil"/>
              <w:bottom w:val="nil"/>
              <w:right w:val="nil"/>
            </w:tcBorders>
            <w:shd w:val="clear" w:color="000000" w:fill="F2F2F2"/>
            <w:hideMark/>
          </w:tcPr>
          <w:p w14:paraId="35625F6F"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lastRenderedPageBreak/>
              <w:t>Developmental vulnerability hazard ratio parental mental health problems</w:t>
            </w:r>
          </w:p>
        </w:tc>
        <w:tc>
          <w:tcPr>
            <w:tcW w:w="1000" w:type="dxa"/>
            <w:tcBorders>
              <w:top w:val="nil"/>
              <w:left w:val="nil"/>
              <w:bottom w:val="nil"/>
              <w:right w:val="nil"/>
            </w:tcBorders>
            <w:shd w:val="clear" w:color="000000" w:fill="F2F2F2"/>
            <w:hideMark/>
          </w:tcPr>
          <w:p w14:paraId="19F3F128"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1.63</w:t>
            </w:r>
          </w:p>
        </w:tc>
        <w:tc>
          <w:tcPr>
            <w:tcW w:w="8580" w:type="dxa"/>
            <w:tcBorders>
              <w:top w:val="nil"/>
              <w:left w:val="nil"/>
              <w:bottom w:val="nil"/>
              <w:right w:val="nil"/>
            </w:tcBorders>
            <w:shd w:val="clear" w:color="000000" w:fill="F2F2F2"/>
            <w:hideMark/>
          </w:tcPr>
          <w:p w14:paraId="3E77381D"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Derived from Dean et al. (2018, Psychol. Med. 48, 2257-2263)</w:t>
            </w:r>
          </w:p>
        </w:tc>
      </w:tr>
      <w:tr w:rsidR="00BB14B5" w:rsidRPr="00BB14B5" w14:paraId="02E9205C" w14:textId="77777777" w:rsidTr="00BB14B5">
        <w:trPr>
          <w:trHeight w:val="420"/>
        </w:trPr>
        <w:tc>
          <w:tcPr>
            <w:tcW w:w="4280" w:type="dxa"/>
            <w:tcBorders>
              <w:top w:val="nil"/>
              <w:left w:val="nil"/>
              <w:bottom w:val="nil"/>
              <w:right w:val="nil"/>
            </w:tcBorders>
            <w:shd w:val="clear" w:color="auto" w:fill="auto"/>
            <w:hideMark/>
          </w:tcPr>
          <w:p w14:paraId="56297181"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 xml:space="preserve">Developmental vulnerability hazard ratio parental substance </w:t>
            </w:r>
            <w:proofErr w:type="gramStart"/>
            <w:r w:rsidRPr="00BB14B5">
              <w:rPr>
                <w:rFonts w:ascii="Times New Roman" w:eastAsia="Times New Roman" w:hAnsi="Times New Roman"/>
                <w:color w:val="000000"/>
                <w:sz w:val="16"/>
                <w:szCs w:val="16"/>
                <w:lang w:eastAsia="en-AU"/>
              </w:rPr>
              <w:t>use</w:t>
            </w:r>
            <w:proofErr w:type="gramEnd"/>
            <w:r w:rsidRPr="00BB14B5">
              <w:rPr>
                <w:rFonts w:ascii="Times New Roman" w:eastAsia="Times New Roman" w:hAnsi="Times New Roman"/>
                <w:color w:val="000000"/>
                <w:sz w:val="16"/>
                <w:szCs w:val="16"/>
                <w:lang w:eastAsia="en-AU"/>
              </w:rPr>
              <w:t xml:space="preserve"> problems</w:t>
            </w:r>
          </w:p>
        </w:tc>
        <w:tc>
          <w:tcPr>
            <w:tcW w:w="1000" w:type="dxa"/>
            <w:tcBorders>
              <w:top w:val="nil"/>
              <w:left w:val="nil"/>
              <w:bottom w:val="nil"/>
              <w:right w:val="nil"/>
            </w:tcBorders>
            <w:shd w:val="clear" w:color="auto" w:fill="auto"/>
            <w:hideMark/>
          </w:tcPr>
          <w:p w14:paraId="0EF43410"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2.783154</w:t>
            </w:r>
          </w:p>
        </w:tc>
        <w:tc>
          <w:tcPr>
            <w:tcW w:w="8580" w:type="dxa"/>
            <w:tcBorders>
              <w:top w:val="nil"/>
              <w:left w:val="nil"/>
              <w:bottom w:val="nil"/>
              <w:right w:val="nil"/>
            </w:tcBorders>
            <w:shd w:val="clear" w:color="auto" w:fill="auto"/>
            <w:hideMark/>
          </w:tcPr>
          <w:p w14:paraId="497E0741"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Derived from Lynskey et al. (1994, Addiction 89, 1277-1286)</w:t>
            </w:r>
          </w:p>
        </w:tc>
      </w:tr>
      <w:tr w:rsidR="00BB14B5" w:rsidRPr="00BB14B5" w14:paraId="7FE1055D" w14:textId="77777777" w:rsidTr="00BB14B5">
        <w:trPr>
          <w:trHeight w:val="210"/>
        </w:trPr>
        <w:tc>
          <w:tcPr>
            <w:tcW w:w="4280" w:type="dxa"/>
            <w:tcBorders>
              <w:top w:val="nil"/>
              <w:left w:val="nil"/>
              <w:bottom w:val="nil"/>
              <w:right w:val="nil"/>
            </w:tcBorders>
            <w:shd w:val="clear" w:color="000000" w:fill="F2F2F2"/>
            <w:hideMark/>
          </w:tcPr>
          <w:p w14:paraId="448B116F"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Developmental vulnerability hazard ratio poverty</w:t>
            </w:r>
          </w:p>
        </w:tc>
        <w:tc>
          <w:tcPr>
            <w:tcW w:w="1000" w:type="dxa"/>
            <w:tcBorders>
              <w:top w:val="nil"/>
              <w:left w:val="nil"/>
              <w:bottom w:val="nil"/>
              <w:right w:val="nil"/>
            </w:tcBorders>
            <w:shd w:val="clear" w:color="000000" w:fill="F2F2F2"/>
            <w:hideMark/>
          </w:tcPr>
          <w:p w14:paraId="2628A905"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1.59</w:t>
            </w:r>
          </w:p>
        </w:tc>
        <w:tc>
          <w:tcPr>
            <w:tcW w:w="8580" w:type="dxa"/>
            <w:tcBorders>
              <w:top w:val="nil"/>
              <w:left w:val="nil"/>
              <w:bottom w:val="nil"/>
              <w:right w:val="nil"/>
            </w:tcBorders>
            <w:shd w:val="clear" w:color="000000" w:fill="F2F2F2"/>
            <w:hideMark/>
          </w:tcPr>
          <w:p w14:paraId="00E8D932"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Derived from Costello et al. (2003, J. Am. Med. Assoc. 290, 2023-2029)</w:t>
            </w:r>
          </w:p>
        </w:tc>
      </w:tr>
      <w:tr w:rsidR="00BB14B5" w:rsidRPr="00BB14B5" w14:paraId="6B2D663D" w14:textId="77777777" w:rsidTr="00BB14B5">
        <w:trPr>
          <w:trHeight w:val="420"/>
        </w:trPr>
        <w:tc>
          <w:tcPr>
            <w:tcW w:w="4280" w:type="dxa"/>
            <w:tcBorders>
              <w:top w:val="nil"/>
              <w:left w:val="nil"/>
              <w:bottom w:val="nil"/>
              <w:right w:val="nil"/>
            </w:tcBorders>
            <w:shd w:val="clear" w:color="auto" w:fill="auto"/>
            <w:hideMark/>
          </w:tcPr>
          <w:p w14:paraId="7697B572"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Mental health problems hazard ratio developmentally vulnerable</w:t>
            </w:r>
          </w:p>
        </w:tc>
        <w:tc>
          <w:tcPr>
            <w:tcW w:w="1000" w:type="dxa"/>
            <w:tcBorders>
              <w:top w:val="nil"/>
              <w:left w:val="nil"/>
              <w:bottom w:val="nil"/>
              <w:right w:val="nil"/>
            </w:tcBorders>
            <w:shd w:val="clear" w:color="auto" w:fill="auto"/>
            <w:hideMark/>
          </w:tcPr>
          <w:p w14:paraId="3518DB1D"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1.95</w:t>
            </w:r>
          </w:p>
        </w:tc>
        <w:tc>
          <w:tcPr>
            <w:tcW w:w="8580" w:type="dxa"/>
            <w:tcBorders>
              <w:top w:val="nil"/>
              <w:left w:val="nil"/>
              <w:bottom w:val="nil"/>
              <w:right w:val="nil"/>
            </w:tcBorders>
            <w:shd w:val="clear" w:color="auto" w:fill="auto"/>
            <w:hideMark/>
          </w:tcPr>
          <w:p w14:paraId="159AB563"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Derived from Green et al. (2019, Aust. N. Z. J. Psychiatry 53, 304-315)</w:t>
            </w:r>
          </w:p>
        </w:tc>
      </w:tr>
      <w:tr w:rsidR="00BB14B5" w:rsidRPr="00BB14B5" w14:paraId="014013BE" w14:textId="77777777" w:rsidTr="00BB14B5">
        <w:trPr>
          <w:trHeight w:val="210"/>
        </w:trPr>
        <w:tc>
          <w:tcPr>
            <w:tcW w:w="4280" w:type="dxa"/>
            <w:tcBorders>
              <w:top w:val="nil"/>
              <w:left w:val="nil"/>
              <w:bottom w:val="nil"/>
              <w:right w:val="nil"/>
            </w:tcBorders>
            <w:shd w:val="clear" w:color="000000" w:fill="F2F2F2"/>
            <w:hideMark/>
          </w:tcPr>
          <w:p w14:paraId="47B812BE"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Mortality hazard ratio developmental vulnerability</w:t>
            </w:r>
          </w:p>
        </w:tc>
        <w:tc>
          <w:tcPr>
            <w:tcW w:w="1000" w:type="dxa"/>
            <w:tcBorders>
              <w:top w:val="nil"/>
              <w:left w:val="nil"/>
              <w:bottom w:val="nil"/>
              <w:right w:val="nil"/>
            </w:tcBorders>
            <w:shd w:val="clear" w:color="000000" w:fill="F2F2F2"/>
            <w:hideMark/>
          </w:tcPr>
          <w:p w14:paraId="7BB3E21B"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1.37</w:t>
            </w:r>
          </w:p>
        </w:tc>
        <w:tc>
          <w:tcPr>
            <w:tcW w:w="8580" w:type="dxa"/>
            <w:tcBorders>
              <w:top w:val="nil"/>
              <w:left w:val="nil"/>
              <w:bottom w:val="nil"/>
              <w:right w:val="nil"/>
            </w:tcBorders>
            <w:shd w:val="clear" w:color="000000" w:fill="F2F2F2"/>
            <w:hideMark/>
          </w:tcPr>
          <w:p w14:paraId="3EF612E8"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Derived from Russ et al. (2012, Br. Med. J. 345, e4933)</w:t>
            </w:r>
          </w:p>
        </w:tc>
      </w:tr>
      <w:tr w:rsidR="00BB14B5" w:rsidRPr="00BB14B5" w14:paraId="680DF0C9" w14:textId="77777777" w:rsidTr="00BB14B5">
        <w:trPr>
          <w:trHeight w:val="210"/>
        </w:trPr>
        <w:tc>
          <w:tcPr>
            <w:tcW w:w="4280" w:type="dxa"/>
            <w:tcBorders>
              <w:top w:val="nil"/>
              <w:left w:val="nil"/>
              <w:bottom w:val="nil"/>
              <w:right w:val="nil"/>
            </w:tcBorders>
            <w:shd w:val="clear" w:color="auto" w:fill="auto"/>
            <w:hideMark/>
          </w:tcPr>
          <w:p w14:paraId="1242221D"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Proportion developmentally vulnerable initial 0-11</w:t>
            </w:r>
          </w:p>
        </w:tc>
        <w:tc>
          <w:tcPr>
            <w:tcW w:w="1000" w:type="dxa"/>
            <w:tcBorders>
              <w:top w:val="nil"/>
              <w:left w:val="nil"/>
              <w:bottom w:val="nil"/>
              <w:right w:val="nil"/>
            </w:tcBorders>
            <w:shd w:val="clear" w:color="auto" w:fill="auto"/>
            <w:hideMark/>
          </w:tcPr>
          <w:p w14:paraId="0E236DF5"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0.112234494</w:t>
            </w:r>
          </w:p>
        </w:tc>
        <w:tc>
          <w:tcPr>
            <w:tcW w:w="8580" w:type="dxa"/>
            <w:tcBorders>
              <w:top w:val="nil"/>
              <w:left w:val="nil"/>
              <w:bottom w:val="nil"/>
              <w:right w:val="nil"/>
            </w:tcBorders>
            <w:shd w:val="clear" w:color="auto" w:fill="auto"/>
            <w:hideMark/>
          </w:tcPr>
          <w:p w14:paraId="003E108F"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Initial prevalence of developmental vulnerability among children aged 0-11 years.  Estimated via constrained optimisation.</w:t>
            </w:r>
          </w:p>
        </w:tc>
      </w:tr>
      <w:tr w:rsidR="00BB14B5" w:rsidRPr="00BB14B5" w14:paraId="114E5331" w14:textId="77777777" w:rsidTr="00BB14B5">
        <w:trPr>
          <w:trHeight w:val="210"/>
        </w:trPr>
        <w:tc>
          <w:tcPr>
            <w:tcW w:w="4280" w:type="dxa"/>
            <w:tcBorders>
              <w:top w:val="nil"/>
              <w:left w:val="nil"/>
              <w:bottom w:val="nil"/>
              <w:right w:val="nil"/>
            </w:tcBorders>
            <w:shd w:val="clear" w:color="auto" w:fill="auto"/>
            <w:hideMark/>
          </w:tcPr>
          <w:p w14:paraId="79DB455E"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p>
        </w:tc>
        <w:tc>
          <w:tcPr>
            <w:tcW w:w="1000" w:type="dxa"/>
            <w:tcBorders>
              <w:top w:val="nil"/>
              <w:left w:val="nil"/>
              <w:bottom w:val="nil"/>
              <w:right w:val="nil"/>
            </w:tcBorders>
            <w:shd w:val="clear" w:color="auto" w:fill="auto"/>
            <w:hideMark/>
          </w:tcPr>
          <w:p w14:paraId="6C011EBB" w14:textId="77777777" w:rsidR="00BB14B5" w:rsidRPr="00BB14B5" w:rsidRDefault="00BB14B5" w:rsidP="00BB14B5">
            <w:pPr>
              <w:spacing w:line="240" w:lineRule="auto"/>
              <w:rPr>
                <w:rFonts w:ascii="Times New Roman" w:eastAsia="Times New Roman" w:hAnsi="Times New Roman"/>
                <w:color w:val="auto"/>
                <w:sz w:val="20"/>
                <w:szCs w:val="20"/>
                <w:lang w:eastAsia="en-AU"/>
              </w:rPr>
            </w:pPr>
          </w:p>
        </w:tc>
        <w:tc>
          <w:tcPr>
            <w:tcW w:w="8580" w:type="dxa"/>
            <w:tcBorders>
              <w:top w:val="nil"/>
              <w:left w:val="nil"/>
              <w:bottom w:val="nil"/>
              <w:right w:val="nil"/>
            </w:tcBorders>
            <w:shd w:val="clear" w:color="auto" w:fill="auto"/>
            <w:hideMark/>
          </w:tcPr>
          <w:p w14:paraId="0204E83E" w14:textId="77777777" w:rsidR="00BB14B5" w:rsidRPr="00BB14B5" w:rsidRDefault="00BB14B5" w:rsidP="00BB14B5">
            <w:pPr>
              <w:spacing w:line="240" w:lineRule="auto"/>
              <w:rPr>
                <w:rFonts w:ascii="Times New Roman" w:eastAsia="Times New Roman" w:hAnsi="Times New Roman"/>
                <w:color w:val="auto"/>
                <w:sz w:val="20"/>
                <w:szCs w:val="20"/>
                <w:lang w:eastAsia="en-AU"/>
              </w:rPr>
            </w:pPr>
          </w:p>
        </w:tc>
      </w:tr>
      <w:tr w:rsidR="00BB14B5" w:rsidRPr="00BB14B5" w14:paraId="4C6A8213" w14:textId="77777777" w:rsidTr="00BB14B5">
        <w:trPr>
          <w:trHeight w:val="210"/>
        </w:trPr>
        <w:tc>
          <w:tcPr>
            <w:tcW w:w="4280" w:type="dxa"/>
            <w:tcBorders>
              <w:top w:val="nil"/>
              <w:left w:val="nil"/>
              <w:bottom w:val="nil"/>
              <w:right w:val="nil"/>
            </w:tcBorders>
            <w:shd w:val="clear" w:color="000000" w:fill="D9D9D9"/>
            <w:hideMark/>
          </w:tcPr>
          <w:p w14:paraId="04DA28EB"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Education sector</w:t>
            </w:r>
          </w:p>
        </w:tc>
        <w:tc>
          <w:tcPr>
            <w:tcW w:w="1000" w:type="dxa"/>
            <w:tcBorders>
              <w:top w:val="nil"/>
              <w:left w:val="nil"/>
              <w:bottom w:val="nil"/>
              <w:right w:val="nil"/>
            </w:tcBorders>
            <w:shd w:val="clear" w:color="000000" w:fill="D9D9D9"/>
            <w:hideMark/>
          </w:tcPr>
          <w:p w14:paraId="406066A2"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 </w:t>
            </w:r>
          </w:p>
        </w:tc>
        <w:tc>
          <w:tcPr>
            <w:tcW w:w="8580" w:type="dxa"/>
            <w:tcBorders>
              <w:top w:val="nil"/>
              <w:left w:val="nil"/>
              <w:bottom w:val="nil"/>
              <w:right w:val="nil"/>
            </w:tcBorders>
            <w:shd w:val="clear" w:color="000000" w:fill="D9D9D9"/>
            <w:hideMark/>
          </w:tcPr>
          <w:p w14:paraId="4D4E3595"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 </w:t>
            </w:r>
          </w:p>
        </w:tc>
      </w:tr>
      <w:tr w:rsidR="00BB14B5" w:rsidRPr="00BB14B5" w14:paraId="0B153644" w14:textId="77777777" w:rsidTr="00BB14B5">
        <w:trPr>
          <w:trHeight w:val="210"/>
        </w:trPr>
        <w:tc>
          <w:tcPr>
            <w:tcW w:w="4280" w:type="dxa"/>
            <w:tcBorders>
              <w:top w:val="nil"/>
              <w:left w:val="nil"/>
              <w:bottom w:val="nil"/>
              <w:right w:val="nil"/>
            </w:tcBorders>
            <w:shd w:val="clear" w:color="auto" w:fill="auto"/>
            <w:hideMark/>
          </w:tcPr>
          <w:p w14:paraId="2D0CF0CA"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p>
        </w:tc>
        <w:tc>
          <w:tcPr>
            <w:tcW w:w="1000" w:type="dxa"/>
            <w:tcBorders>
              <w:top w:val="nil"/>
              <w:left w:val="nil"/>
              <w:bottom w:val="nil"/>
              <w:right w:val="nil"/>
            </w:tcBorders>
            <w:shd w:val="clear" w:color="auto" w:fill="auto"/>
            <w:hideMark/>
          </w:tcPr>
          <w:p w14:paraId="647E3FB6" w14:textId="77777777" w:rsidR="00BB14B5" w:rsidRPr="00BB14B5" w:rsidRDefault="00BB14B5" w:rsidP="00BB14B5">
            <w:pPr>
              <w:spacing w:line="240" w:lineRule="auto"/>
              <w:rPr>
                <w:rFonts w:ascii="Times New Roman" w:eastAsia="Times New Roman" w:hAnsi="Times New Roman"/>
                <w:color w:val="auto"/>
                <w:sz w:val="20"/>
                <w:szCs w:val="20"/>
                <w:lang w:eastAsia="en-AU"/>
              </w:rPr>
            </w:pPr>
          </w:p>
        </w:tc>
        <w:tc>
          <w:tcPr>
            <w:tcW w:w="8580" w:type="dxa"/>
            <w:tcBorders>
              <w:top w:val="nil"/>
              <w:left w:val="nil"/>
              <w:bottom w:val="nil"/>
              <w:right w:val="nil"/>
            </w:tcBorders>
            <w:shd w:val="clear" w:color="auto" w:fill="auto"/>
            <w:hideMark/>
          </w:tcPr>
          <w:p w14:paraId="5A5F0A26" w14:textId="77777777" w:rsidR="00BB14B5" w:rsidRPr="00BB14B5" w:rsidRDefault="00BB14B5" w:rsidP="00BB14B5">
            <w:pPr>
              <w:spacing w:line="240" w:lineRule="auto"/>
              <w:rPr>
                <w:rFonts w:ascii="Times New Roman" w:eastAsia="Times New Roman" w:hAnsi="Times New Roman"/>
                <w:color w:val="auto"/>
                <w:sz w:val="20"/>
                <w:szCs w:val="20"/>
                <w:lang w:eastAsia="en-AU"/>
              </w:rPr>
            </w:pPr>
          </w:p>
        </w:tc>
      </w:tr>
      <w:tr w:rsidR="00BB14B5" w:rsidRPr="00BB14B5" w14:paraId="2B5CB4EA" w14:textId="77777777" w:rsidTr="00BB14B5">
        <w:trPr>
          <w:trHeight w:val="210"/>
        </w:trPr>
        <w:tc>
          <w:tcPr>
            <w:tcW w:w="4280" w:type="dxa"/>
            <w:tcBorders>
              <w:top w:val="nil"/>
              <w:left w:val="nil"/>
              <w:bottom w:val="nil"/>
              <w:right w:val="nil"/>
            </w:tcBorders>
            <w:shd w:val="clear" w:color="000000" w:fill="F2F2F2"/>
            <w:hideMark/>
          </w:tcPr>
          <w:p w14:paraId="47CF75BE"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Base discontinuing study rate increase per year 12-17</w:t>
            </w:r>
          </w:p>
        </w:tc>
        <w:tc>
          <w:tcPr>
            <w:tcW w:w="1000" w:type="dxa"/>
            <w:tcBorders>
              <w:top w:val="nil"/>
              <w:left w:val="nil"/>
              <w:bottom w:val="nil"/>
              <w:right w:val="nil"/>
            </w:tcBorders>
            <w:shd w:val="clear" w:color="000000" w:fill="F2F2F2"/>
            <w:hideMark/>
          </w:tcPr>
          <w:p w14:paraId="7CE4C5D9"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-0.02483572</w:t>
            </w:r>
          </w:p>
        </w:tc>
        <w:tc>
          <w:tcPr>
            <w:tcW w:w="8580" w:type="dxa"/>
            <w:tcBorders>
              <w:top w:val="nil"/>
              <w:left w:val="nil"/>
              <w:bottom w:val="nil"/>
              <w:right w:val="nil"/>
            </w:tcBorders>
            <w:shd w:val="clear" w:color="000000" w:fill="F2F2F2"/>
            <w:hideMark/>
          </w:tcPr>
          <w:p w14:paraId="6F870F23"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 xml:space="preserve">Base per capita discontinuation rate </w:t>
            </w:r>
            <w:proofErr w:type="gramStart"/>
            <w:r w:rsidRPr="00BB14B5">
              <w:rPr>
                <w:rFonts w:ascii="Times New Roman" w:eastAsia="Times New Roman" w:hAnsi="Times New Roman"/>
                <w:color w:val="000000"/>
                <w:sz w:val="16"/>
                <w:szCs w:val="16"/>
                <w:lang w:eastAsia="en-AU"/>
              </w:rPr>
              <w:t>increase</w:t>
            </w:r>
            <w:proofErr w:type="gramEnd"/>
            <w:r w:rsidRPr="00BB14B5">
              <w:rPr>
                <w:rFonts w:ascii="Times New Roman" w:eastAsia="Times New Roman" w:hAnsi="Times New Roman"/>
                <w:color w:val="000000"/>
                <w:sz w:val="16"/>
                <w:szCs w:val="16"/>
                <w:lang w:eastAsia="en-AU"/>
              </w:rPr>
              <w:t xml:space="preserve"> per year.  Estimated via constrained optimisation.</w:t>
            </w:r>
          </w:p>
        </w:tc>
      </w:tr>
      <w:tr w:rsidR="00BB14B5" w:rsidRPr="00BB14B5" w14:paraId="19E51385" w14:textId="77777777" w:rsidTr="00BB14B5">
        <w:trPr>
          <w:trHeight w:val="210"/>
        </w:trPr>
        <w:tc>
          <w:tcPr>
            <w:tcW w:w="4280" w:type="dxa"/>
            <w:tcBorders>
              <w:top w:val="nil"/>
              <w:left w:val="nil"/>
              <w:bottom w:val="nil"/>
              <w:right w:val="nil"/>
            </w:tcBorders>
            <w:shd w:val="clear" w:color="auto" w:fill="auto"/>
            <w:hideMark/>
          </w:tcPr>
          <w:p w14:paraId="1E9550F2"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Base discontinuing study rate initial 12-17</w:t>
            </w:r>
          </w:p>
        </w:tc>
        <w:tc>
          <w:tcPr>
            <w:tcW w:w="1000" w:type="dxa"/>
            <w:tcBorders>
              <w:top w:val="nil"/>
              <w:left w:val="nil"/>
              <w:bottom w:val="nil"/>
              <w:right w:val="nil"/>
            </w:tcBorders>
            <w:shd w:val="clear" w:color="auto" w:fill="auto"/>
            <w:hideMark/>
          </w:tcPr>
          <w:p w14:paraId="614F28E2"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0.027878569</w:t>
            </w:r>
          </w:p>
        </w:tc>
        <w:tc>
          <w:tcPr>
            <w:tcW w:w="8580" w:type="dxa"/>
            <w:tcBorders>
              <w:top w:val="nil"/>
              <w:left w:val="nil"/>
              <w:bottom w:val="nil"/>
              <w:right w:val="nil"/>
            </w:tcBorders>
            <w:shd w:val="clear" w:color="auto" w:fill="auto"/>
            <w:hideMark/>
          </w:tcPr>
          <w:p w14:paraId="34E03F31"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Initial base per capita discontinuation rate per year.  Estimated via constrained optimisation.</w:t>
            </w:r>
          </w:p>
        </w:tc>
      </w:tr>
      <w:tr w:rsidR="00BB14B5" w:rsidRPr="00BB14B5" w14:paraId="52BB8621" w14:textId="77777777" w:rsidTr="00BB14B5">
        <w:trPr>
          <w:trHeight w:val="210"/>
        </w:trPr>
        <w:tc>
          <w:tcPr>
            <w:tcW w:w="4280" w:type="dxa"/>
            <w:tcBorders>
              <w:top w:val="nil"/>
              <w:left w:val="nil"/>
              <w:bottom w:val="nil"/>
              <w:right w:val="nil"/>
            </w:tcBorders>
            <w:shd w:val="clear" w:color="000000" w:fill="F2F2F2"/>
            <w:hideMark/>
          </w:tcPr>
          <w:p w14:paraId="042A8B32"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Discontinuing post-secondary study base rate 18+</w:t>
            </w:r>
          </w:p>
        </w:tc>
        <w:tc>
          <w:tcPr>
            <w:tcW w:w="1000" w:type="dxa"/>
            <w:tcBorders>
              <w:top w:val="nil"/>
              <w:left w:val="nil"/>
              <w:bottom w:val="nil"/>
              <w:right w:val="nil"/>
            </w:tcBorders>
            <w:shd w:val="clear" w:color="000000" w:fill="F2F2F2"/>
            <w:hideMark/>
          </w:tcPr>
          <w:p w14:paraId="6F2AA147"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0.090604698</w:t>
            </w:r>
          </w:p>
        </w:tc>
        <w:tc>
          <w:tcPr>
            <w:tcW w:w="8580" w:type="dxa"/>
            <w:tcBorders>
              <w:top w:val="nil"/>
              <w:left w:val="nil"/>
              <w:bottom w:val="nil"/>
              <w:right w:val="nil"/>
            </w:tcBorders>
            <w:shd w:val="clear" w:color="000000" w:fill="F2F2F2"/>
            <w:hideMark/>
          </w:tcPr>
          <w:p w14:paraId="517A0FC3"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Base per capita discontinuation rate per year.  Estimated via constrained optimisation.</w:t>
            </w:r>
          </w:p>
        </w:tc>
      </w:tr>
      <w:tr w:rsidR="00BB14B5" w:rsidRPr="00BB14B5" w14:paraId="22BD5FEA" w14:textId="77777777" w:rsidTr="00BB14B5">
        <w:trPr>
          <w:trHeight w:val="420"/>
        </w:trPr>
        <w:tc>
          <w:tcPr>
            <w:tcW w:w="4280" w:type="dxa"/>
            <w:tcBorders>
              <w:top w:val="nil"/>
              <w:left w:val="nil"/>
              <w:bottom w:val="nil"/>
              <w:right w:val="nil"/>
            </w:tcBorders>
            <w:shd w:val="clear" w:color="auto" w:fill="auto"/>
            <w:hideMark/>
          </w:tcPr>
          <w:p w14:paraId="7F15751A"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Discontinuing post-secondary study hazard ratio mental health problems</w:t>
            </w:r>
          </w:p>
        </w:tc>
        <w:tc>
          <w:tcPr>
            <w:tcW w:w="1000" w:type="dxa"/>
            <w:tcBorders>
              <w:top w:val="nil"/>
              <w:left w:val="nil"/>
              <w:bottom w:val="nil"/>
              <w:right w:val="nil"/>
            </w:tcBorders>
            <w:shd w:val="clear" w:color="auto" w:fill="auto"/>
            <w:hideMark/>
          </w:tcPr>
          <w:p w14:paraId="753A73D5"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3.907801</w:t>
            </w:r>
          </w:p>
        </w:tc>
        <w:tc>
          <w:tcPr>
            <w:tcW w:w="8580" w:type="dxa"/>
            <w:tcBorders>
              <w:top w:val="nil"/>
              <w:left w:val="nil"/>
              <w:bottom w:val="nil"/>
              <w:right w:val="nil"/>
            </w:tcBorders>
            <w:shd w:val="clear" w:color="auto" w:fill="auto"/>
            <w:hideMark/>
          </w:tcPr>
          <w:p w14:paraId="5E7AA94A"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Derived from Lee et al. (2009, Br. J. Psychiatry 194, 411-417)</w:t>
            </w:r>
          </w:p>
        </w:tc>
      </w:tr>
      <w:tr w:rsidR="00BB14B5" w:rsidRPr="00BB14B5" w14:paraId="1B7723EB" w14:textId="77777777" w:rsidTr="00BB14B5">
        <w:trPr>
          <w:trHeight w:val="210"/>
        </w:trPr>
        <w:tc>
          <w:tcPr>
            <w:tcW w:w="4280" w:type="dxa"/>
            <w:tcBorders>
              <w:top w:val="nil"/>
              <w:left w:val="nil"/>
              <w:bottom w:val="nil"/>
              <w:right w:val="nil"/>
            </w:tcBorders>
            <w:shd w:val="clear" w:color="000000" w:fill="F2F2F2"/>
            <w:hideMark/>
          </w:tcPr>
          <w:p w14:paraId="56155A4A"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Discontinuing study hazard ratio mental health problems</w:t>
            </w:r>
          </w:p>
        </w:tc>
        <w:tc>
          <w:tcPr>
            <w:tcW w:w="1000" w:type="dxa"/>
            <w:tcBorders>
              <w:top w:val="nil"/>
              <w:left w:val="nil"/>
              <w:bottom w:val="nil"/>
              <w:right w:val="nil"/>
            </w:tcBorders>
            <w:shd w:val="clear" w:color="000000" w:fill="F2F2F2"/>
            <w:hideMark/>
          </w:tcPr>
          <w:p w14:paraId="0C35B143"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1.200521</w:t>
            </w:r>
          </w:p>
        </w:tc>
        <w:tc>
          <w:tcPr>
            <w:tcW w:w="8580" w:type="dxa"/>
            <w:tcBorders>
              <w:top w:val="nil"/>
              <w:left w:val="nil"/>
              <w:bottom w:val="nil"/>
              <w:right w:val="nil"/>
            </w:tcBorders>
            <w:shd w:val="clear" w:color="000000" w:fill="F2F2F2"/>
            <w:hideMark/>
          </w:tcPr>
          <w:p w14:paraId="02DE0BCB"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Derived from Lee et al. (2009, Br. J. Psychiatry 194, 411-417)</w:t>
            </w:r>
          </w:p>
        </w:tc>
      </w:tr>
      <w:tr w:rsidR="00BB14B5" w:rsidRPr="00BB14B5" w14:paraId="6B8DD6B5" w14:textId="77777777" w:rsidTr="00BB14B5">
        <w:trPr>
          <w:trHeight w:val="210"/>
        </w:trPr>
        <w:tc>
          <w:tcPr>
            <w:tcW w:w="4280" w:type="dxa"/>
            <w:tcBorders>
              <w:top w:val="nil"/>
              <w:left w:val="nil"/>
              <w:bottom w:val="nil"/>
              <w:right w:val="nil"/>
            </w:tcBorders>
            <w:shd w:val="clear" w:color="auto" w:fill="auto"/>
            <w:hideMark/>
          </w:tcPr>
          <w:p w14:paraId="44A9B88D"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Mortality hazard ratio no post-secondary qualification</w:t>
            </w:r>
          </w:p>
        </w:tc>
        <w:tc>
          <w:tcPr>
            <w:tcW w:w="1000" w:type="dxa"/>
            <w:tcBorders>
              <w:top w:val="nil"/>
              <w:left w:val="nil"/>
              <w:bottom w:val="nil"/>
              <w:right w:val="nil"/>
            </w:tcBorders>
            <w:shd w:val="clear" w:color="auto" w:fill="auto"/>
            <w:hideMark/>
          </w:tcPr>
          <w:p w14:paraId="3E19E352"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1.36</w:t>
            </w:r>
          </w:p>
        </w:tc>
        <w:tc>
          <w:tcPr>
            <w:tcW w:w="8580" w:type="dxa"/>
            <w:tcBorders>
              <w:top w:val="nil"/>
              <w:left w:val="nil"/>
              <w:bottom w:val="nil"/>
              <w:right w:val="nil"/>
            </w:tcBorders>
            <w:shd w:val="clear" w:color="auto" w:fill="auto"/>
            <w:hideMark/>
          </w:tcPr>
          <w:p w14:paraId="0232A26D"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Derived from Backlund et al. (1999, Soc. Sci. Med 49, 1373-1384)</w:t>
            </w:r>
          </w:p>
        </w:tc>
      </w:tr>
      <w:tr w:rsidR="00BB14B5" w:rsidRPr="00BB14B5" w14:paraId="322D82C3" w14:textId="77777777" w:rsidTr="00BB14B5">
        <w:trPr>
          <w:trHeight w:val="210"/>
        </w:trPr>
        <w:tc>
          <w:tcPr>
            <w:tcW w:w="4280" w:type="dxa"/>
            <w:tcBorders>
              <w:top w:val="nil"/>
              <w:left w:val="nil"/>
              <w:bottom w:val="nil"/>
              <w:right w:val="nil"/>
            </w:tcBorders>
            <w:shd w:val="clear" w:color="000000" w:fill="F2F2F2"/>
            <w:hideMark/>
          </w:tcPr>
          <w:p w14:paraId="3B72D6EA"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Per capita enrolment rate 18+</w:t>
            </w:r>
          </w:p>
        </w:tc>
        <w:tc>
          <w:tcPr>
            <w:tcW w:w="1000" w:type="dxa"/>
            <w:tcBorders>
              <w:top w:val="nil"/>
              <w:left w:val="nil"/>
              <w:bottom w:val="nil"/>
              <w:right w:val="nil"/>
            </w:tcBorders>
            <w:shd w:val="clear" w:color="000000" w:fill="F2F2F2"/>
            <w:hideMark/>
          </w:tcPr>
          <w:p w14:paraId="3FABB4D6"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0.011451119</w:t>
            </w:r>
          </w:p>
        </w:tc>
        <w:tc>
          <w:tcPr>
            <w:tcW w:w="8580" w:type="dxa"/>
            <w:tcBorders>
              <w:top w:val="nil"/>
              <w:left w:val="nil"/>
              <w:bottom w:val="nil"/>
              <w:right w:val="nil"/>
            </w:tcBorders>
            <w:shd w:val="clear" w:color="000000" w:fill="F2F2F2"/>
            <w:hideMark/>
          </w:tcPr>
          <w:p w14:paraId="394549D0"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Per capita enrolment rate per year.  Estimated via constrained optimisation.</w:t>
            </w:r>
          </w:p>
        </w:tc>
      </w:tr>
      <w:tr w:rsidR="00BB14B5" w:rsidRPr="00BB14B5" w14:paraId="6E7BEE26" w14:textId="77777777" w:rsidTr="00BB14B5">
        <w:trPr>
          <w:trHeight w:val="210"/>
        </w:trPr>
        <w:tc>
          <w:tcPr>
            <w:tcW w:w="4280" w:type="dxa"/>
            <w:tcBorders>
              <w:top w:val="nil"/>
              <w:left w:val="nil"/>
              <w:bottom w:val="nil"/>
              <w:right w:val="nil"/>
            </w:tcBorders>
            <w:shd w:val="clear" w:color="auto" w:fill="auto"/>
            <w:hideMark/>
          </w:tcPr>
          <w:p w14:paraId="16FE3049"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Per capita post-secondary study completion rate 18+</w:t>
            </w:r>
          </w:p>
        </w:tc>
        <w:tc>
          <w:tcPr>
            <w:tcW w:w="1000" w:type="dxa"/>
            <w:tcBorders>
              <w:top w:val="nil"/>
              <w:left w:val="nil"/>
              <w:bottom w:val="nil"/>
              <w:right w:val="nil"/>
            </w:tcBorders>
            <w:shd w:val="clear" w:color="auto" w:fill="auto"/>
            <w:hideMark/>
          </w:tcPr>
          <w:p w14:paraId="308F11E6"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0.120504195</w:t>
            </w:r>
          </w:p>
        </w:tc>
        <w:tc>
          <w:tcPr>
            <w:tcW w:w="8580" w:type="dxa"/>
            <w:tcBorders>
              <w:top w:val="nil"/>
              <w:left w:val="nil"/>
              <w:bottom w:val="nil"/>
              <w:right w:val="nil"/>
            </w:tcBorders>
            <w:shd w:val="clear" w:color="auto" w:fill="auto"/>
            <w:hideMark/>
          </w:tcPr>
          <w:p w14:paraId="7BAE72ED"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Per capita post-secondary education completion rate per year.  Estimated via constrained optimisation.</w:t>
            </w:r>
          </w:p>
        </w:tc>
      </w:tr>
      <w:tr w:rsidR="00BB14B5" w:rsidRPr="00BB14B5" w14:paraId="3CD3E1EB" w14:textId="77777777" w:rsidTr="00BB14B5">
        <w:trPr>
          <w:trHeight w:val="210"/>
        </w:trPr>
        <w:tc>
          <w:tcPr>
            <w:tcW w:w="4280" w:type="dxa"/>
            <w:tcBorders>
              <w:top w:val="nil"/>
              <w:left w:val="nil"/>
              <w:bottom w:val="nil"/>
              <w:right w:val="nil"/>
            </w:tcBorders>
            <w:shd w:val="clear" w:color="000000" w:fill="F2F2F2"/>
            <w:hideMark/>
          </w:tcPr>
          <w:p w14:paraId="236C11FB"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Per capita SSGC completion rate 18+</w:t>
            </w:r>
          </w:p>
        </w:tc>
        <w:tc>
          <w:tcPr>
            <w:tcW w:w="1000" w:type="dxa"/>
            <w:tcBorders>
              <w:top w:val="nil"/>
              <w:left w:val="nil"/>
              <w:bottom w:val="nil"/>
              <w:right w:val="nil"/>
            </w:tcBorders>
            <w:shd w:val="clear" w:color="000000" w:fill="F2F2F2"/>
            <w:hideMark/>
          </w:tcPr>
          <w:p w14:paraId="03FA8C80"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0.055166057</w:t>
            </w:r>
          </w:p>
        </w:tc>
        <w:tc>
          <w:tcPr>
            <w:tcW w:w="8580" w:type="dxa"/>
            <w:tcBorders>
              <w:top w:val="nil"/>
              <w:left w:val="nil"/>
              <w:bottom w:val="nil"/>
              <w:right w:val="nil"/>
            </w:tcBorders>
            <w:shd w:val="clear" w:color="000000" w:fill="F2F2F2"/>
            <w:hideMark/>
          </w:tcPr>
          <w:p w14:paraId="3DECB476"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Per capita upper secondary education completion rate per year.  Estimated via constrained optimisation.</w:t>
            </w:r>
          </w:p>
        </w:tc>
      </w:tr>
      <w:tr w:rsidR="00BB14B5" w:rsidRPr="00BB14B5" w14:paraId="3C3C3C55" w14:textId="77777777" w:rsidTr="00BB14B5">
        <w:trPr>
          <w:trHeight w:val="420"/>
        </w:trPr>
        <w:tc>
          <w:tcPr>
            <w:tcW w:w="4280" w:type="dxa"/>
            <w:tcBorders>
              <w:top w:val="nil"/>
              <w:left w:val="nil"/>
              <w:bottom w:val="nil"/>
              <w:right w:val="nil"/>
            </w:tcBorders>
            <w:shd w:val="clear" w:color="auto" w:fill="auto"/>
            <w:hideMark/>
          </w:tcPr>
          <w:p w14:paraId="278EC00D"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Post-secondary qualification proportion initial 18+</w:t>
            </w:r>
          </w:p>
        </w:tc>
        <w:tc>
          <w:tcPr>
            <w:tcW w:w="1000" w:type="dxa"/>
            <w:tcBorders>
              <w:top w:val="nil"/>
              <w:left w:val="nil"/>
              <w:bottom w:val="nil"/>
              <w:right w:val="nil"/>
            </w:tcBorders>
            <w:shd w:val="clear" w:color="auto" w:fill="auto"/>
            <w:hideMark/>
          </w:tcPr>
          <w:p w14:paraId="2A6A77BC"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0.120849607</w:t>
            </w:r>
          </w:p>
        </w:tc>
        <w:tc>
          <w:tcPr>
            <w:tcW w:w="8580" w:type="dxa"/>
            <w:tcBorders>
              <w:top w:val="nil"/>
              <w:left w:val="nil"/>
              <w:bottom w:val="nil"/>
              <w:right w:val="nil"/>
            </w:tcBorders>
            <w:shd w:val="clear" w:color="auto" w:fill="auto"/>
            <w:hideMark/>
          </w:tcPr>
          <w:p w14:paraId="518025F0"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Initial proportion of adults (aged 18 years and above) holding a post-secondary qualification.  Derived using national data from the Large Integrated Household Survey (GEIH; available at: https://www.dane.gov.co/).</w:t>
            </w:r>
          </w:p>
        </w:tc>
      </w:tr>
      <w:tr w:rsidR="00BB14B5" w:rsidRPr="00BB14B5" w14:paraId="00B9F73E" w14:textId="77777777" w:rsidTr="00BB14B5">
        <w:trPr>
          <w:trHeight w:val="420"/>
        </w:trPr>
        <w:tc>
          <w:tcPr>
            <w:tcW w:w="4280" w:type="dxa"/>
            <w:tcBorders>
              <w:top w:val="nil"/>
              <w:left w:val="nil"/>
              <w:bottom w:val="nil"/>
              <w:right w:val="nil"/>
            </w:tcBorders>
            <w:shd w:val="clear" w:color="000000" w:fill="F2F2F2"/>
            <w:hideMark/>
          </w:tcPr>
          <w:p w14:paraId="6DE3620B"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Proportion ageing 6 to 7 studying</w:t>
            </w:r>
          </w:p>
        </w:tc>
        <w:tc>
          <w:tcPr>
            <w:tcW w:w="1000" w:type="dxa"/>
            <w:tcBorders>
              <w:top w:val="nil"/>
              <w:left w:val="nil"/>
              <w:bottom w:val="nil"/>
              <w:right w:val="nil"/>
            </w:tcBorders>
            <w:shd w:val="clear" w:color="000000" w:fill="F2F2F2"/>
            <w:hideMark/>
          </w:tcPr>
          <w:p w14:paraId="47351FAE"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0.968462681</w:t>
            </w:r>
          </w:p>
        </w:tc>
        <w:tc>
          <w:tcPr>
            <w:tcW w:w="8580" w:type="dxa"/>
            <w:tcBorders>
              <w:top w:val="nil"/>
              <w:left w:val="nil"/>
              <w:bottom w:val="nil"/>
              <w:right w:val="nil"/>
            </w:tcBorders>
            <w:shd w:val="clear" w:color="000000" w:fill="F2F2F2"/>
            <w:hideMark/>
          </w:tcPr>
          <w:p w14:paraId="5C0D2E66"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Proportion of children turning 7 years enrolled in elementary school.  Derived from National Quality of Life Survey (ECV) data (available at: https://www.dane.gov.co/).</w:t>
            </w:r>
          </w:p>
        </w:tc>
      </w:tr>
      <w:tr w:rsidR="00BB14B5" w:rsidRPr="00BB14B5" w14:paraId="03A1E930" w14:textId="77777777" w:rsidTr="00BB14B5">
        <w:trPr>
          <w:trHeight w:val="420"/>
        </w:trPr>
        <w:tc>
          <w:tcPr>
            <w:tcW w:w="4280" w:type="dxa"/>
            <w:tcBorders>
              <w:top w:val="nil"/>
              <w:left w:val="nil"/>
              <w:bottom w:val="nil"/>
              <w:right w:val="nil"/>
            </w:tcBorders>
            <w:shd w:val="clear" w:color="auto" w:fill="auto"/>
            <w:hideMark/>
          </w:tcPr>
          <w:p w14:paraId="794EC67C"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Proportion discontinuing study completing SSGC 12-17</w:t>
            </w:r>
          </w:p>
        </w:tc>
        <w:tc>
          <w:tcPr>
            <w:tcW w:w="1000" w:type="dxa"/>
            <w:tcBorders>
              <w:top w:val="nil"/>
              <w:left w:val="nil"/>
              <w:bottom w:val="nil"/>
              <w:right w:val="nil"/>
            </w:tcBorders>
            <w:shd w:val="clear" w:color="auto" w:fill="auto"/>
            <w:hideMark/>
          </w:tcPr>
          <w:p w14:paraId="5E216F65"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0.849123722</w:t>
            </w:r>
          </w:p>
        </w:tc>
        <w:tc>
          <w:tcPr>
            <w:tcW w:w="8580" w:type="dxa"/>
            <w:tcBorders>
              <w:top w:val="nil"/>
              <w:left w:val="nil"/>
              <w:bottom w:val="nil"/>
              <w:right w:val="nil"/>
            </w:tcBorders>
            <w:shd w:val="clear" w:color="auto" w:fill="auto"/>
            <w:hideMark/>
          </w:tcPr>
          <w:p w14:paraId="43BB4DBB"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Proportion of 12-17-year-olds discontinuing study completing upper secondary education.  Derived from National Quality of Life Survey (ECV) data (available at: https://www.dane.gov.co/).</w:t>
            </w:r>
          </w:p>
        </w:tc>
      </w:tr>
      <w:tr w:rsidR="00BB14B5" w:rsidRPr="00BB14B5" w14:paraId="6D063027" w14:textId="77777777" w:rsidTr="00BB14B5">
        <w:trPr>
          <w:trHeight w:val="210"/>
        </w:trPr>
        <w:tc>
          <w:tcPr>
            <w:tcW w:w="4280" w:type="dxa"/>
            <w:tcBorders>
              <w:top w:val="nil"/>
              <w:left w:val="nil"/>
              <w:bottom w:val="nil"/>
              <w:right w:val="nil"/>
            </w:tcBorders>
            <w:shd w:val="clear" w:color="000000" w:fill="F2F2F2"/>
            <w:hideMark/>
          </w:tcPr>
          <w:p w14:paraId="757B7947"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Proportion studying initial 7-11</w:t>
            </w:r>
          </w:p>
        </w:tc>
        <w:tc>
          <w:tcPr>
            <w:tcW w:w="1000" w:type="dxa"/>
            <w:tcBorders>
              <w:top w:val="nil"/>
              <w:left w:val="nil"/>
              <w:bottom w:val="nil"/>
              <w:right w:val="nil"/>
            </w:tcBorders>
            <w:shd w:val="clear" w:color="000000" w:fill="F2F2F2"/>
            <w:hideMark/>
          </w:tcPr>
          <w:p w14:paraId="1CE88464"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0.967990497</w:t>
            </w:r>
          </w:p>
        </w:tc>
        <w:tc>
          <w:tcPr>
            <w:tcW w:w="8580" w:type="dxa"/>
            <w:tcBorders>
              <w:top w:val="nil"/>
              <w:left w:val="nil"/>
              <w:bottom w:val="nil"/>
              <w:right w:val="nil"/>
            </w:tcBorders>
            <w:shd w:val="clear" w:color="000000" w:fill="F2F2F2"/>
            <w:hideMark/>
          </w:tcPr>
          <w:p w14:paraId="1F2BC3E0"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Initial proportion of 7-11-year-olds enrolled in formal education.  Estimated via constrained optimisation.</w:t>
            </w:r>
          </w:p>
        </w:tc>
      </w:tr>
      <w:tr w:rsidR="00BB14B5" w:rsidRPr="00BB14B5" w14:paraId="62502890" w14:textId="77777777" w:rsidTr="00BB14B5">
        <w:trPr>
          <w:trHeight w:val="210"/>
        </w:trPr>
        <w:tc>
          <w:tcPr>
            <w:tcW w:w="4280" w:type="dxa"/>
            <w:tcBorders>
              <w:top w:val="nil"/>
              <w:left w:val="nil"/>
              <w:bottom w:val="nil"/>
              <w:right w:val="nil"/>
            </w:tcBorders>
            <w:shd w:val="clear" w:color="auto" w:fill="auto"/>
            <w:hideMark/>
          </w:tcPr>
          <w:p w14:paraId="217248D2"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Proportion studying initial 12-17</w:t>
            </w:r>
          </w:p>
        </w:tc>
        <w:tc>
          <w:tcPr>
            <w:tcW w:w="1000" w:type="dxa"/>
            <w:tcBorders>
              <w:top w:val="nil"/>
              <w:left w:val="nil"/>
              <w:bottom w:val="nil"/>
              <w:right w:val="nil"/>
            </w:tcBorders>
            <w:shd w:val="clear" w:color="auto" w:fill="auto"/>
            <w:hideMark/>
          </w:tcPr>
          <w:p w14:paraId="3860757C"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0.891320328</w:t>
            </w:r>
          </w:p>
        </w:tc>
        <w:tc>
          <w:tcPr>
            <w:tcW w:w="8580" w:type="dxa"/>
            <w:tcBorders>
              <w:top w:val="nil"/>
              <w:left w:val="nil"/>
              <w:bottom w:val="nil"/>
              <w:right w:val="nil"/>
            </w:tcBorders>
            <w:shd w:val="clear" w:color="auto" w:fill="auto"/>
            <w:hideMark/>
          </w:tcPr>
          <w:p w14:paraId="6787DDAD"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Initial proportion of 12-17-year-olds enrolled in formal education.  Estimated via constrained optimisation.</w:t>
            </w:r>
          </w:p>
        </w:tc>
      </w:tr>
      <w:tr w:rsidR="00BB14B5" w:rsidRPr="00BB14B5" w14:paraId="00983BE5" w14:textId="77777777" w:rsidTr="00BB14B5">
        <w:trPr>
          <w:trHeight w:val="210"/>
        </w:trPr>
        <w:tc>
          <w:tcPr>
            <w:tcW w:w="4280" w:type="dxa"/>
            <w:tcBorders>
              <w:top w:val="nil"/>
              <w:left w:val="nil"/>
              <w:bottom w:val="nil"/>
              <w:right w:val="nil"/>
            </w:tcBorders>
            <w:shd w:val="clear" w:color="000000" w:fill="F2F2F2"/>
            <w:hideMark/>
          </w:tcPr>
          <w:p w14:paraId="3830F9AD"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Proportion studying initial 18+</w:t>
            </w:r>
          </w:p>
        </w:tc>
        <w:tc>
          <w:tcPr>
            <w:tcW w:w="1000" w:type="dxa"/>
            <w:tcBorders>
              <w:top w:val="nil"/>
              <w:left w:val="nil"/>
              <w:bottom w:val="nil"/>
              <w:right w:val="nil"/>
            </w:tcBorders>
            <w:shd w:val="clear" w:color="000000" w:fill="F2F2F2"/>
            <w:hideMark/>
          </w:tcPr>
          <w:p w14:paraId="49E721C3"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0.125755959</w:t>
            </w:r>
          </w:p>
        </w:tc>
        <w:tc>
          <w:tcPr>
            <w:tcW w:w="8580" w:type="dxa"/>
            <w:tcBorders>
              <w:top w:val="nil"/>
              <w:left w:val="nil"/>
              <w:bottom w:val="nil"/>
              <w:right w:val="nil"/>
            </w:tcBorders>
            <w:shd w:val="clear" w:color="000000" w:fill="F2F2F2"/>
            <w:hideMark/>
          </w:tcPr>
          <w:p w14:paraId="43070D5B"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Initial proportion of adults (aged 18 years and above) enrolled in formal education.  Estimated via constrained optimisation.</w:t>
            </w:r>
          </w:p>
        </w:tc>
      </w:tr>
      <w:tr w:rsidR="00BB14B5" w:rsidRPr="00BB14B5" w14:paraId="2E08B2F2" w14:textId="77777777" w:rsidTr="00BB14B5">
        <w:trPr>
          <w:trHeight w:val="420"/>
        </w:trPr>
        <w:tc>
          <w:tcPr>
            <w:tcW w:w="4280" w:type="dxa"/>
            <w:tcBorders>
              <w:top w:val="nil"/>
              <w:left w:val="nil"/>
              <w:bottom w:val="nil"/>
              <w:right w:val="nil"/>
            </w:tcBorders>
            <w:shd w:val="clear" w:color="auto" w:fill="auto"/>
            <w:hideMark/>
          </w:tcPr>
          <w:p w14:paraId="6B3E7FE1"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SSGC proportion initial 12-17</w:t>
            </w:r>
          </w:p>
        </w:tc>
        <w:tc>
          <w:tcPr>
            <w:tcW w:w="1000" w:type="dxa"/>
            <w:tcBorders>
              <w:top w:val="nil"/>
              <w:left w:val="nil"/>
              <w:bottom w:val="nil"/>
              <w:right w:val="nil"/>
            </w:tcBorders>
            <w:shd w:val="clear" w:color="auto" w:fill="auto"/>
            <w:hideMark/>
          </w:tcPr>
          <w:p w14:paraId="57BCC3B6"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0.156968418</w:t>
            </w:r>
          </w:p>
        </w:tc>
        <w:tc>
          <w:tcPr>
            <w:tcW w:w="8580" w:type="dxa"/>
            <w:tcBorders>
              <w:top w:val="nil"/>
              <w:left w:val="nil"/>
              <w:bottom w:val="nil"/>
              <w:right w:val="nil"/>
            </w:tcBorders>
            <w:shd w:val="clear" w:color="auto" w:fill="auto"/>
            <w:hideMark/>
          </w:tcPr>
          <w:p w14:paraId="7FAD14ED"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Initial proportion of 12-17-year-olds holding a secondary school graduation certificate.  Derived from National Quality of Life Survey (ECV) data (available at: https://www.dane.gov.co/).</w:t>
            </w:r>
          </w:p>
        </w:tc>
      </w:tr>
      <w:tr w:rsidR="00BB14B5" w:rsidRPr="00BB14B5" w14:paraId="4BBFACCD" w14:textId="77777777" w:rsidTr="00BB14B5">
        <w:trPr>
          <w:trHeight w:val="420"/>
        </w:trPr>
        <w:tc>
          <w:tcPr>
            <w:tcW w:w="4280" w:type="dxa"/>
            <w:tcBorders>
              <w:top w:val="nil"/>
              <w:left w:val="nil"/>
              <w:bottom w:val="nil"/>
              <w:right w:val="nil"/>
            </w:tcBorders>
            <w:shd w:val="clear" w:color="000000" w:fill="F2F2F2"/>
            <w:hideMark/>
          </w:tcPr>
          <w:p w14:paraId="1EC5C8A8"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SSGC proportion initial 18+</w:t>
            </w:r>
          </w:p>
        </w:tc>
        <w:tc>
          <w:tcPr>
            <w:tcW w:w="1000" w:type="dxa"/>
            <w:tcBorders>
              <w:top w:val="nil"/>
              <w:left w:val="nil"/>
              <w:bottom w:val="nil"/>
              <w:right w:val="nil"/>
            </w:tcBorders>
            <w:shd w:val="clear" w:color="000000" w:fill="F2F2F2"/>
            <w:hideMark/>
          </w:tcPr>
          <w:p w14:paraId="24AF873C"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0.248535767</w:t>
            </w:r>
          </w:p>
        </w:tc>
        <w:tc>
          <w:tcPr>
            <w:tcW w:w="8580" w:type="dxa"/>
            <w:tcBorders>
              <w:top w:val="nil"/>
              <w:left w:val="nil"/>
              <w:bottom w:val="nil"/>
              <w:right w:val="nil"/>
            </w:tcBorders>
            <w:shd w:val="clear" w:color="000000" w:fill="F2F2F2"/>
            <w:hideMark/>
          </w:tcPr>
          <w:p w14:paraId="7CE3D718"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Initial proportion of adults (aged 18 years and above) holding a secondary school graduation certificate.  Derived using national data from the Large Integrated Household Survey (GEIH; available at: https://www.dane.gov.co/).</w:t>
            </w:r>
          </w:p>
        </w:tc>
      </w:tr>
      <w:tr w:rsidR="00BB14B5" w:rsidRPr="00BB14B5" w14:paraId="370A3A51" w14:textId="77777777" w:rsidTr="00BB14B5">
        <w:trPr>
          <w:trHeight w:val="210"/>
        </w:trPr>
        <w:tc>
          <w:tcPr>
            <w:tcW w:w="4280" w:type="dxa"/>
            <w:tcBorders>
              <w:top w:val="nil"/>
              <w:left w:val="nil"/>
              <w:bottom w:val="nil"/>
              <w:right w:val="nil"/>
            </w:tcBorders>
            <w:shd w:val="clear" w:color="auto" w:fill="auto"/>
            <w:hideMark/>
          </w:tcPr>
          <w:p w14:paraId="135522B2"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p>
        </w:tc>
        <w:tc>
          <w:tcPr>
            <w:tcW w:w="1000" w:type="dxa"/>
            <w:tcBorders>
              <w:top w:val="nil"/>
              <w:left w:val="nil"/>
              <w:bottom w:val="nil"/>
              <w:right w:val="nil"/>
            </w:tcBorders>
            <w:shd w:val="clear" w:color="auto" w:fill="auto"/>
            <w:hideMark/>
          </w:tcPr>
          <w:p w14:paraId="4420C18F" w14:textId="77777777" w:rsidR="00BB14B5" w:rsidRPr="00BB14B5" w:rsidRDefault="00BB14B5" w:rsidP="00BB14B5">
            <w:pPr>
              <w:spacing w:line="240" w:lineRule="auto"/>
              <w:rPr>
                <w:rFonts w:ascii="Times New Roman" w:eastAsia="Times New Roman" w:hAnsi="Times New Roman"/>
                <w:color w:val="auto"/>
                <w:sz w:val="20"/>
                <w:szCs w:val="20"/>
                <w:lang w:eastAsia="en-AU"/>
              </w:rPr>
            </w:pPr>
          </w:p>
        </w:tc>
        <w:tc>
          <w:tcPr>
            <w:tcW w:w="8580" w:type="dxa"/>
            <w:tcBorders>
              <w:top w:val="nil"/>
              <w:left w:val="nil"/>
              <w:bottom w:val="nil"/>
              <w:right w:val="nil"/>
            </w:tcBorders>
            <w:shd w:val="clear" w:color="auto" w:fill="auto"/>
            <w:hideMark/>
          </w:tcPr>
          <w:p w14:paraId="37AE5BF3" w14:textId="77777777" w:rsidR="00BB14B5" w:rsidRPr="00BB14B5" w:rsidRDefault="00BB14B5" w:rsidP="00BB14B5">
            <w:pPr>
              <w:spacing w:line="240" w:lineRule="auto"/>
              <w:rPr>
                <w:rFonts w:ascii="Times New Roman" w:eastAsia="Times New Roman" w:hAnsi="Times New Roman"/>
                <w:color w:val="auto"/>
                <w:sz w:val="20"/>
                <w:szCs w:val="20"/>
                <w:lang w:eastAsia="en-AU"/>
              </w:rPr>
            </w:pPr>
          </w:p>
        </w:tc>
      </w:tr>
      <w:tr w:rsidR="00BB14B5" w:rsidRPr="00BB14B5" w14:paraId="67FCC50D" w14:textId="77777777" w:rsidTr="00BB14B5">
        <w:trPr>
          <w:trHeight w:val="210"/>
        </w:trPr>
        <w:tc>
          <w:tcPr>
            <w:tcW w:w="4280" w:type="dxa"/>
            <w:tcBorders>
              <w:top w:val="nil"/>
              <w:left w:val="nil"/>
              <w:bottom w:val="nil"/>
              <w:right w:val="nil"/>
            </w:tcBorders>
            <w:shd w:val="clear" w:color="000000" w:fill="D9D9D9"/>
            <w:hideMark/>
          </w:tcPr>
          <w:p w14:paraId="1E6C0261"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Unemployment and poverty sector</w:t>
            </w:r>
          </w:p>
        </w:tc>
        <w:tc>
          <w:tcPr>
            <w:tcW w:w="1000" w:type="dxa"/>
            <w:tcBorders>
              <w:top w:val="nil"/>
              <w:left w:val="nil"/>
              <w:bottom w:val="nil"/>
              <w:right w:val="nil"/>
            </w:tcBorders>
            <w:shd w:val="clear" w:color="000000" w:fill="D9D9D9"/>
            <w:hideMark/>
          </w:tcPr>
          <w:p w14:paraId="30A40B9F"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 </w:t>
            </w:r>
          </w:p>
        </w:tc>
        <w:tc>
          <w:tcPr>
            <w:tcW w:w="8580" w:type="dxa"/>
            <w:tcBorders>
              <w:top w:val="nil"/>
              <w:left w:val="nil"/>
              <w:bottom w:val="nil"/>
              <w:right w:val="nil"/>
            </w:tcBorders>
            <w:shd w:val="clear" w:color="000000" w:fill="D9D9D9"/>
            <w:hideMark/>
          </w:tcPr>
          <w:p w14:paraId="205E9813"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 </w:t>
            </w:r>
          </w:p>
        </w:tc>
      </w:tr>
      <w:tr w:rsidR="00BB14B5" w:rsidRPr="00BB14B5" w14:paraId="48FB3B36" w14:textId="77777777" w:rsidTr="00BB14B5">
        <w:trPr>
          <w:trHeight w:val="210"/>
        </w:trPr>
        <w:tc>
          <w:tcPr>
            <w:tcW w:w="4280" w:type="dxa"/>
            <w:tcBorders>
              <w:top w:val="nil"/>
              <w:left w:val="nil"/>
              <w:bottom w:val="nil"/>
              <w:right w:val="nil"/>
            </w:tcBorders>
            <w:shd w:val="clear" w:color="auto" w:fill="auto"/>
            <w:hideMark/>
          </w:tcPr>
          <w:p w14:paraId="67206DBE"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p>
        </w:tc>
        <w:tc>
          <w:tcPr>
            <w:tcW w:w="1000" w:type="dxa"/>
            <w:tcBorders>
              <w:top w:val="nil"/>
              <w:left w:val="nil"/>
              <w:bottom w:val="nil"/>
              <w:right w:val="nil"/>
            </w:tcBorders>
            <w:shd w:val="clear" w:color="auto" w:fill="auto"/>
            <w:hideMark/>
          </w:tcPr>
          <w:p w14:paraId="621F130C" w14:textId="77777777" w:rsidR="00BB14B5" w:rsidRPr="00BB14B5" w:rsidRDefault="00BB14B5" w:rsidP="00BB14B5">
            <w:pPr>
              <w:spacing w:line="240" w:lineRule="auto"/>
              <w:rPr>
                <w:rFonts w:ascii="Times New Roman" w:eastAsia="Times New Roman" w:hAnsi="Times New Roman"/>
                <w:color w:val="auto"/>
                <w:sz w:val="20"/>
                <w:szCs w:val="20"/>
                <w:lang w:eastAsia="en-AU"/>
              </w:rPr>
            </w:pPr>
          </w:p>
        </w:tc>
        <w:tc>
          <w:tcPr>
            <w:tcW w:w="8580" w:type="dxa"/>
            <w:tcBorders>
              <w:top w:val="nil"/>
              <w:left w:val="nil"/>
              <w:bottom w:val="nil"/>
              <w:right w:val="nil"/>
            </w:tcBorders>
            <w:shd w:val="clear" w:color="auto" w:fill="auto"/>
            <w:hideMark/>
          </w:tcPr>
          <w:p w14:paraId="5D2AAB51" w14:textId="77777777" w:rsidR="00BB14B5" w:rsidRPr="00BB14B5" w:rsidRDefault="00BB14B5" w:rsidP="00BB14B5">
            <w:pPr>
              <w:spacing w:line="240" w:lineRule="auto"/>
              <w:rPr>
                <w:rFonts w:ascii="Times New Roman" w:eastAsia="Times New Roman" w:hAnsi="Times New Roman"/>
                <w:color w:val="auto"/>
                <w:sz w:val="20"/>
                <w:szCs w:val="20"/>
                <w:lang w:eastAsia="en-AU"/>
              </w:rPr>
            </w:pPr>
          </w:p>
        </w:tc>
      </w:tr>
      <w:tr w:rsidR="00BB14B5" w:rsidRPr="00BB14B5" w14:paraId="79B1319B" w14:textId="77777777" w:rsidTr="00BB14B5">
        <w:trPr>
          <w:trHeight w:val="210"/>
        </w:trPr>
        <w:tc>
          <w:tcPr>
            <w:tcW w:w="4280" w:type="dxa"/>
            <w:tcBorders>
              <w:top w:val="nil"/>
              <w:left w:val="nil"/>
              <w:bottom w:val="nil"/>
              <w:right w:val="nil"/>
            </w:tcBorders>
            <w:shd w:val="clear" w:color="000000" w:fill="F2F2F2"/>
            <w:hideMark/>
          </w:tcPr>
          <w:p w14:paraId="691B58F6"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Effect of employment on poverty decreasing rate</w:t>
            </w:r>
          </w:p>
        </w:tc>
        <w:tc>
          <w:tcPr>
            <w:tcW w:w="1000" w:type="dxa"/>
            <w:tcBorders>
              <w:top w:val="nil"/>
              <w:left w:val="nil"/>
              <w:bottom w:val="nil"/>
              <w:right w:val="nil"/>
            </w:tcBorders>
            <w:shd w:val="clear" w:color="000000" w:fill="F2F2F2"/>
            <w:hideMark/>
          </w:tcPr>
          <w:p w14:paraId="5930C71B"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1.775140387</w:t>
            </w:r>
          </w:p>
        </w:tc>
        <w:tc>
          <w:tcPr>
            <w:tcW w:w="8580" w:type="dxa"/>
            <w:tcBorders>
              <w:top w:val="nil"/>
              <w:left w:val="nil"/>
              <w:bottom w:val="nil"/>
              <w:right w:val="nil"/>
            </w:tcBorders>
            <w:shd w:val="clear" w:color="000000" w:fill="F2F2F2"/>
            <w:hideMark/>
          </w:tcPr>
          <w:p w14:paraId="3F534CAC"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Effect of formal employment on the prevalence of multidimensional poverty.  Estimated via constrained optimisation.</w:t>
            </w:r>
          </w:p>
        </w:tc>
      </w:tr>
      <w:tr w:rsidR="00BB14B5" w:rsidRPr="00BB14B5" w14:paraId="7F9A0F95" w14:textId="77777777" w:rsidTr="00BB14B5">
        <w:trPr>
          <w:trHeight w:val="420"/>
        </w:trPr>
        <w:tc>
          <w:tcPr>
            <w:tcW w:w="4280" w:type="dxa"/>
            <w:tcBorders>
              <w:top w:val="nil"/>
              <w:left w:val="nil"/>
              <w:bottom w:val="nil"/>
              <w:right w:val="nil"/>
            </w:tcBorders>
            <w:shd w:val="clear" w:color="auto" w:fill="auto"/>
            <w:hideMark/>
          </w:tcPr>
          <w:p w14:paraId="1DC90052"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Effect of post-secondary qualification on informal employment proportion</w:t>
            </w:r>
          </w:p>
        </w:tc>
        <w:tc>
          <w:tcPr>
            <w:tcW w:w="1000" w:type="dxa"/>
            <w:tcBorders>
              <w:top w:val="nil"/>
              <w:left w:val="nil"/>
              <w:bottom w:val="nil"/>
              <w:right w:val="nil"/>
            </w:tcBorders>
            <w:shd w:val="clear" w:color="auto" w:fill="auto"/>
            <w:hideMark/>
          </w:tcPr>
          <w:p w14:paraId="431E0AC1"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-0.4117912</w:t>
            </w:r>
          </w:p>
        </w:tc>
        <w:tc>
          <w:tcPr>
            <w:tcW w:w="8580" w:type="dxa"/>
            <w:tcBorders>
              <w:top w:val="nil"/>
              <w:left w:val="nil"/>
              <w:bottom w:val="nil"/>
              <w:right w:val="nil"/>
            </w:tcBorders>
            <w:shd w:val="clear" w:color="auto" w:fill="auto"/>
            <w:hideMark/>
          </w:tcPr>
          <w:p w14:paraId="728F5418"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Effect of post-secondary education on the informal employment rate.  Estimated via constrained optimisation.</w:t>
            </w:r>
          </w:p>
        </w:tc>
      </w:tr>
      <w:tr w:rsidR="00BB14B5" w:rsidRPr="00BB14B5" w14:paraId="5805D9C8" w14:textId="77777777" w:rsidTr="00BB14B5">
        <w:trPr>
          <w:trHeight w:val="210"/>
        </w:trPr>
        <w:tc>
          <w:tcPr>
            <w:tcW w:w="4280" w:type="dxa"/>
            <w:tcBorders>
              <w:top w:val="nil"/>
              <w:left w:val="nil"/>
              <w:bottom w:val="nil"/>
              <w:right w:val="nil"/>
            </w:tcBorders>
            <w:shd w:val="clear" w:color="000000" w:fill="F2F2F2"/>
            <w:hideMark/>
          </w:tcPr>
          <w:p w14:paraId="5454B280"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Effect of SSGC on informal employment proportion</w:t>
            </w:r>
          </w:p>
        </w:tc>
        <w:tc>
          <w:tcPr>
            <w:tcW w:w="1000" w:type="dxa"/>
            <w:tcBorders>
              <w:top w:val="nil"/>
              <w:left w:val="nil"/>
              <w:bottom w:val="nil"/>
              <w:right w:val="nil"/>
            </w:tcBorders>
            <w:shd w:val="clear" w:color="000000" w:fill="F2F2F2"/>
            <w:hideMark/>
          </w:tcPr>
          <w:p w14:paraId="5050BD94"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-0.25077026</w:t>
            </w:r>
          </w:p>
        </w:tc>
        <w:tc>
          <w:tcPr>
            <w:tcW w:w="8580" w:type="dxa"/>
            <w:tcBorders>
              <w:top w:val="nil"/>
              <w:left w:val="nil"/>
              <w:bottom w:val="nil"/>
              <w:right w:val="nil"/>
            </w:tcBorders>
            <w:shd w:val="clear" w:color="000000" w:fill="F2F2F2"/>
            <w:hideMark/>
          </w:tcPr>
          <w:p w14:paraId="4485B1E1"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Effect of upper secondary education on the informal employment rate.  Estimated via constrained optimisation.</w:t>
            </w:r>
          </w:p>
        </w:tc>
      </w:tr>
      <w:tr w:rsidR="00BB14B5" w:rsidRPr="00BB14B5" w14:paraId="2DF999C8" w14:textId="77777777" w:rsidTr="00BB14B5">
        <w:trPr>
          <w:trHeight w:val="420"/>
        </w:trPr>
        <w:tc>
          <w:tcPr>
            <w:tcW w:w="4280" w:type="dxa"/>
            <w:tcBorders>
              <w:top w:val="nil"/>
              <w:left w:val="nil"/>
              <w:bottom w:val="nil"/>
              <w:right w:val="nil"/>
            </w:tcBorders>
            <w:shd w:val="clear" w:color="auto" w:fill="auto"/>
            <w:hideMark/>
          </w:tcPr>
          <w:p w14:paraId="7380ADB6"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lastRenderedPageBreak/>
              <w:t>Effect of unemployment rate on unemployed to NILF rate</w:t>
            </w:r>
          </w:p>
        </w:tc>
        <w:tc>
          <w:tcPr>
            <w:tcW w:w="1000" w:type="dxa"/>
            <w:tcBorders>
              <w:top w:val="nil"/>
              <w:left w:val="nil"/>
              <w:bottom w:val="nil"/>
              <w:right w:val="nil"/>
            </w:tcBorders>
            <w:shd w:val="clear" w:color="auto" w:fill="auto"/>
            <w:hideMark/>
          </w:tcPr>
          <w:p w14:paraId="2A951A13"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1.1</w:t>
            </w:r>
          </w:p>
        </w:tc>
        <w:tc>
          <w:tcPr>
            <w:tcW w:w="8580" w:type="dxa"/>
            <w:tcBorders>
              <w:top w:val="nil"/>
              <w:left w:val="nil"/>
              <w:bottom w:val="nil"/>
              <w:right w:val="nil"/>
            </w:tcBorders>
            <w:shd w:val="clear" w:color="auto" w:fill="auto"/>
            <w:hideMark/>
          </w:tcPr>
          <w:p w14:paraId="35162797"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Effect of the unemployment rate on economic participation.  Default value assumes that a 1 percentage point increase in the unemployment rate produces a 10% increase in the per capita rate at which unemployed people leave the labour force.</w:t>
            </w:r>
          </w:p>
        </w:tc>
      </w:tr>
      <w:tr w:rsidR="00BB14B5" w:rsidRPr="00BB14B5" w14:paraId="3C296F59" w14:textId="77777777" w:rsidTr="00BB14B5">
        <w:trPr>
          <w:trHeight w:val="210"/>
        </w:trPr>
        <w:tc>
          <w:tcPr>
            <w:tcW w:w="4280" w:type="dxa"/>
            <w:tcBorders>
              <w:top w:val="nil"/>
              <w:left w:val="nil"/>
              <w:bottom w:val="nil"/>
              <w:right w:val="nil"/>
            </w:tcBorders>
            <w:shd w:val="clear" w:color="000000" w:fill="F2F2F2"/>
            <w:hideMark/>
          </w:tcPr>
          <w:p w14:paraId="5B8D63E6"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Employed to NILF base rate 12-17</w:t>
            </w:r>
          </w:p>
        </w:tc>
        <w:tc>
          <w:tcPr>
            <w:tcW w:w="1000" w:type="dxa"/>
            <w:tcBorders>
              <w:top w:val="nil"/>
              <w:left w:val="nil"/>
              <w:bottom w:val="nil"/>
              <w:right w:val="nil"/>
            </w:tcBorders>
            <w:shd w:val="clear" w:color="000000" w:fill="F2F2F2"/>
            <w:hideMark/>
          </w:tcPr>
          <w:p w14:paraId="5A3E4B04"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0.069080903</w:t>
            </w:r>
          </w:p>
        </w:tc>
        <w:tc>
          <w:tcPr>
            <w:tcW w:w="8580" w:type="dxa"/>
            <w:tcBorders>
              <w:top w:val="nil"/>
              <w:left w:val="nil"/>
              <w:bottom w:val="nil"/>
              <w:right w:val="nil"/>
            </w:tcBorders>
            <w:shd w:val="clear" w:color="000000" w:fill="F2F2F2"/>
            <w:hideMark/>
          </w:tcPr>
          <w:p w14:paraId="22D0B7D7"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Base per capita rate per year.  Estimated via constrained optimisation.</w:t>
            </w:r>
          </w:p>
        </w:tc>
      </w:tr>
      <w:tr w:rsidR="00BB14B5" w:rsidRPr="00BB14B5" w14:paraId="03096F98" w14:textId="77777777" w:rsidTr="00BB14B5">
        <w:trPr>
          <w:trHeight w:val="210"/>
        </w:trPr>
        <w:tc>
          <w:tcPr>
            <w:tcW w:w="4280" w:type="dxa"/>
            <w:tcBorders>
              <w:top w:val="nil"/>
              <w:left w:val="nil"/>
              <w:bottom w:val="nil"/>
              <w:right w:val="nil"/>
            </w:tcBorders>
            <w:shd w:val="clear" w:color="auto" w:fill="auto"/>
            <w:hideMark/>
          </w:tcPr>
          <w:p w14:paraId="1CA184AC"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Employed to NILF base rate 18+</w:t>
            </w:r>
          </w:p>
        </w:tc>
        <w:tc>
          <w:tcPr>
            <w:tcW w:w="1000" w:type="dxa"/>
            <w:tcBorders>
              <w:top w:val="nil"/>
              <w:left w:val="nil"/>
              <w:bottom w:val="nil"/>
              <w:right w:val="nil"/>
            </w:tcBorders>
            <w:shd w:val="clear" w:color="auto" w:fill="auto"/>
            <w:hideMark/>
          </w:tcPr>
          <w:p w14:paraId="7B6B7E11"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0.017960114</w:t>
            </w:r>
          </w:p>
        </w:tc>
        <w:tc>
          <w:tcPr>
            <w:tcW w:w="8580" w:type="dxa"/>
            <w:tcBorders>
              <w:top w:val="nil"/>
              <w:left w:val="nil"/>
              <w:bottom w:val="nil"/>
              <w:right w:val="nil"/>
            </w:tcBorders>
            <w:shd w:val="clear" w:color="auto" w:fill="auto"/>
            <w:hideMark/>
          </w:tcPr>
          <w:p w14:paraId="65D04C3B"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Base per capita rate per year.  Estimated via constrained optimisation.</w:t>
            </w:r>
          </w:p>
        </w:tc>
      </w:tr>
      <w:tr w:rsidR="00BB14B5" w:rsidRPr="00BB14B5" w14:paraId="13F75625" w14:textId="77777777" w:rsidTr="00BB14B5">
        <w:trPr>
          <w:trHeight w:val="420"/>
        </w:trPr>
        <w:tc>
          <w:tcPr>
            <w:tcW w:w="4280" w:type="dxa"/>
            <w:tcBorders>
              <w:top w:val="nil"/>
              <w:left w:val="nil"/>
              <w:bottom w:val="nil"/>
              <w:right w:val="nil"/>
            </w:tcBorders>
            <w:shd w:val="clear" w:color="000000" w:fill="F2F2F2"/>
            <w:hideMark/>
          </w:tcPr>
          <w:p w14:paraId="1C0ACCDF"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Employment hazard ratio post-secondary qualification</w:t>
            </w:r>
          </w:p>
        </w:tc>
        <w:tc>
          <w:tcPr>
            <w:tcW w:w="1000" w:type="dxa"/>
            <w:tcBorders>
              <w:top w:val="nil"/>
              <w:left w:val="nil"/>
              <w:bottom w:val="nil"/>
              <w:right w:val="nil"/>
            </w:tcBorders>
            <w:shd w:val="clear" w:color="000000" w:fill="F2F2F2"/>
            <w:hideMark/>
          </w:tcPr>
          <w:p w14:paraId="656258C2"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8.931132034</w:t>
            </w:r>
          </w:p>
        </w:tc>
        <w:tc>
          <w:tcPr>
            <w:tcW w:w="8580" w:type="dxa"/>
            <w:tcBorders>
              <w:top w:val="nil"/>
              <w:left w:val="nil"/>
              <w:bottom w:val="nil"/>
              <w:right w:val="nil"/>
            </w:tcBorders>
            <w:shd w:val="clear" w:color="000000" w:fill="F2F2F2"/>
            <w:hideMark/>
          </w:tcPr>
          <w:p w14:paraId="08F401D7"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Effect of post-secondary education on employment.  Derived using national data from the Large Integrated Household Survey (GEIH; available at: https://www.dane.gov.co/).</w:t>
            </w:r>
          </w:p>
        </w:tc>
      </w:tr>
      <w:tr w:rsidR="00BB14B5" w:rsidRPr="00BB14B5" w14:paraId="7042C921" w14:textId="77777777" w:rsidTr="00BB14B5">
        <w:trPr>
          <w:trHeight w:val="420"/>
        </w:trPr>
        <w:tc>
          <w:tcPr>
            <w:tcW w:w="4280" w:type="dxa"/>
            <w:tcBorders>
              <w:top w:val="nil"/>
              <w:left w:val="nil"/>
              <w:bottom w:val="nil"/>
              <w:right w:val="nil"/>
            </w:tcBorders>
            <w:shd w:val="clear" w:color="auto" w:fill="auto"/>
            <w:hideMark/>
          </w:tcPr>
          <w:p w14:paraId="12B09665"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Employment hazard ratio SSGC</w:t>
            </w:r>
          </w:p>
        </w:tc>
        <w:tc>
          <w:tcPr>
            <w:tcW w:w="1000" w:type="dxa"/>
            <w:tcBorders>
              <w:top w:val="nil"/>
              <w:left w:val="nil"/>
              <w:bottom w:val="nil"/>
              <w:right w:val="nil"/>
            </w:tcBorders>
            <w:shd w:val="clear" w:color="auto" w:fill="auto"/>
            <w:hideMark/>
          </w:tcPr>
          <w:p w14:paraId="1B866913"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6.783864185</w:t>
            </w:r>
          </w:p>
        </w:tc>
        <w:tc>
          <w:tcPr>
            <w:tcW w:w="8580" w:type="dxa"/>
            <w:tcBorders>
              <w:top w:val="nil"/>
              <w:left w:val="nil"/>
              <w:bottom w:val="nil"/>
              <w:right w:val="nil"/>
            </w:tcBorders>
            <w:shd w:val="clear" w:color="auto" w:fill="auto"/>
            <w:hideMark/>
          </w:tcPr>
          <w:p w14:paraId="0E79C337"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Effect of upper secondary education on employment.  Derived using national data from the Large Integrated Household Survey (GEIH; available at: https://www.dane.gov.co/).</w:t>
            </w:r>
          </w:p>
        </w:tc>
      </w:tr>
      <w:tr w:rsidR="00BB14B5" w:rsidRPr="00BB14B5" w14:paraId="108F056F" w14:textId="77777777" w:rsidTr="00BB14B5">
        <w:trPr>
          <w:trHeight w:val="210"/>
        </w:trPr>
        <w:tc>
          <w:tcPr>
            <w:tcW w:w="4280" w:type="dxa"/>
            <w:tcBorders>
              <w:top w:val="nil"/>
              <w:left w:val="nil"/>
              <w:bottom w:val="nil"/>
              <w:right w:val="nil"/>
            </w:tcBorders>
            <w:shd w:val="clear" w:color="000000" w:fill="F2F2F2"/>
            <w:hideMark/>
          </w:tcPr>
          <w:p w14:paraId="4D2AE103"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Employment hazard ratio substance use problems</w:t>
            </w:r>
          </w:p>
        </w:tc>
        <w:tc>
          <w:tcPr>
            <w:tcW w:w="1000" w:type="dxa"/>
            <w:tcBorders>
              <w:top w:val="nil"/>
              <w:left w:val="nil"/>
              <w:bottom w:val="nil"/>
              <w:right w:val="nil"/>
            </w:tcBorders>
            <w:shd w:val="clear" w:color="000000" w:fill="F2F2F2"/>
            <w:hideMark/>
          </w:tcPr>
          <w:p w14:paraId="01070AD5"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0.31</w:t>
            </w:r>
          </w:p>
        </w:tc>
        <w:tc>
          <w:tcPr>
            <w:tcW w:w="8580" w:type="dxa"/>
            <w:tcBorders>
              <w:top w:val="nil"/>
              <w:left w:val="nil"/>
              <w:bottom w:val="nil"/>
              <w:right w:val="nil"/>
            </w:tcBorders>
            <w:shd w:val="clear" w:color="000000" w:fill="F2F2F2"/>
            <w:hideMark/>
          </w:tcPr>
          <w:p w14:paraId="06373F96"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Derived from Zabkiewicz and Schmidt (2007, J. Behav. Health Serv. Res. 34, 168-185)</w:t>
            </w:r>
          </w:p>
        </w:tc>
      </w:tr>
      <w:tr w:rsidR="00BB14B5" w:rsidRPr="00BB14B5" w14:paraId="6C25D309" w14:textId="77777777" w:rsidTr="00BB14B5">
        <w:trPr>
          <w:trHeight w:val="630"/>
        </w:trPr>
        <w:tc>
          <w:tcPr>
            <w:tcW w:w="4280" w:type="dxa"/>
            <w:tcBorders>
              <w:top w:val="nil"/>
              <w:left w:val="nil"/>
              <w:bottom w:val="nil"/>
              <w:right w:val="nil"/>
            </w:tcBorders>
            <w:shd w:val="clear" w:color="auto" w:fill="auto"/>
            <w:hideMark/>
          </w:tcPr>
          <w:p w14:paraId="59D02B2D"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Mental health problems hazard ratio poverty</w:t>
            </w:r>
          </w:p>
        </w:tc>
        <w:tc>
          <w:tcPr>
            <w:tcW w:w="1000" w:type="dxa"/>
            <w:tcBorders>
              <w:top w:val="nil"/>
              <w:left w:val="nil"/>
              <w:bottom w:val="nil"/>
              <w:right w:val="nil"/>
            </w:tcBorders>
            <w:shd w:val="clear" w:color="auto" w:fill="auto"/>
            <w:hideMark/>
          </w:tcPr>
          <w:p w14:paraId="22155298"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1.965312513</w:t>
            </w:r>
          </w:p>
        </w:tc>
        <w:tc>
          <w:tcPr>
            <w:tcW w:w="8580" w:type="dxa"/>
            <w:tcBorders>
              <w:top w:val="nil"/>
              <w:left w:val="nil"/>
              <w:bottom w:val="nil"/>
              <w:right w:val="nil"/>
            </w:tcBorders>
            <w:shd w:val="clear" w:color="auto" w:fill="auto"/>
            <w:hideMark/>
          </w:tcPr>
          <w:p w14:paraId="270E56D4"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Per capita incidence of mental health problems among people experiencing multidimensional poverty divided by per capita incidence among those not experiencing multidimensional poverty.  Estimated via constrained optimisation using a prevalence ratio estimate of 1.86 derived from Weich and Lewis (1998, Br. Med. J. 317, 115-119).</w:t>
            </w:r>
          </w:p>
        </w:tc>
      </w:tr>
      <w:tr w:rsidR="00BB14B5" w:rsidRPr="00BB14B5" w14:paraId="41F2060C" w14:textId="77777777" w:rsidTr="00BB14B5">
        <w:trPr>
          <w:trHeight w:val="630"/>
        </w:trPr>
        <w:tc>
          <w:tcPr>
            <w:tcW w:w="4280" w:type="dxa"/>
            <w:tcBorders>
              <w:top w:val="nil"/>
              <w:left w:val="nil"/>
              <w:bottom w:val="nil"/>
              <w:right w:val="nil"/>
            </w:tcBorders>
            <w:shd w:val="clear" w:color="000000" w:fill="F2F2F2"/>
            <w:hideMark/>
          </w:tcPr>
          <w:p w14:paraId="021E002D"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Mental health problems hazard ratio unemployed</w:t>
            </w:r>
          </w:p>
        </w:tc>
        <w:tc>
          <w:tcPr>
            <w:tcW w:w="1000" w:type="dxa"/>
            <w:tcBorders>
              <w:top w:val="nil"/>
              <w:left w:val="nil"/>
              <w:bottom w:val="nil"/>
              <w:right w:val="nil"/>
            </w:tcBorders>
            <w:shd w:val="clear" w:color="000000" w:fill="F2F2F2"/>
            <w:hideMark/>
          </w:tcPr>
          <w:p w14:paraId="53F97438"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6.036956707</w:t>
            </w:r>
          </w:p>
        </w:tc>
        <w:tc>
          <w:tcPr>
            <w:tcW w:w="8580" w:type="dxa"/>
            <w:tcBorders>
              <w:top w:val="nil"/>
              <w:left w:val="nil"/>
              <w:bottom w:val="nil"/>
              <w:right w:val="nil"/>
            </w:tcBorders>
            <w:shd w:val="clear" w:color="000000" w:fill="F2F2F2"/>
            <w:hideMark/>
          </w:tcPr>
          <w:p w14:paraId="23EC7931"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Per capita incidence of mental health problems among unemployed people divided by per capita incidence among those not unemployed.  Estimated via constrained optimisation using a prevalence ratio estimate of 1.86 derived from Weich and Lewis (1998, Br. Med. J. 317, 115-119).</w:t>
            </w:r>
          </w:p>
        </w:tc>
      </w:tr>
      <w:tr w:rsidR="00BB14B5" w:rsidRPr="00BB14B5" w14:paraId="27C9A0D2" w14:textId="77777777" w:rsidTr="00BB14B5">
        <w:trPr>
          <w:trHeight w:val="420"/>
        </w:trPr>
        <w:tc>
          <w:tcPr>
            <w:tcW w:w="4280" w:type="dxa"/>
            <w:tcBorders>
              <w:top w:val="nil"/>
              <w:left w:val="nil"/>
              <w:bottom w:val="nil"/>
              <w:right w:val="nil"/>
            </w:tcBorders>
            <w:shd w:val="clear" w:color="auto" w:fill="auto"/>
            <w:hideMark/>
          </w:tcPr>
          <w:p w14:paraId="7CDECB81"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Mental health problems prevalence poverty initial</w:t>
            </w:r>
          </w:p>
        </w:tc>
        <w:tc>
          <w:tcPr>
            <w:tcW w:w="1000" w:type="dxa"/>
            <w:tcBorders>
              <w:top w:val="nil"/>
              <w:left w:val="nil"/>
              <w:bottom w:val="nil"/>
              <w:right w:val="nil"/>
            </w:tcBorders>
            <w:shd w:val="clear" w:color="auto" w:fill="auto"/>
            <w:hideMark/>
          </w:tcPr>
          <w:p w14:paraId="0A320934"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0.104145605</w:t>
            </w:r>
          </w:p>
        </w:tc>
        <w:tc>
          <w:tcPr>
            <w:tcW w:w="8580" w:type="dxa"/>
            <w:tcBorders>
              <w:top w:val="nil"/>
              <w:left w:val="nil"/>
              <w:bottom w:val="nil"/>
              <w:right w:val="nil"/>
            </w:tcBorders>
            <w:shd w:val="clear" w:color="auto" w:fill="auto"/>
            <w:hideMark/>
          </w:tcPr>
          <w:p w14:paraId="3C97D4C0"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Initial prevalence of mental health problems among people experiencing multidimensional poverty.  Estimated via constrained optimisation.</w:t>
            </w:r>
          </w:p>
        </w:tc>
      </w:tr>
      <w:tr w:rsidR="00BB14B5" w:rsidRPr="00BB14B5" w14:paraId="2DE57D53" w14:textId="77777777" w:rsidTr="00BB14B5">
        <w:trPr>
          <w:trHeight w:val="210"/>
        </w:trPr>
        <w:tc>
          <w:tcPr>
            <w:tcW w:w="4280" w:type="dxa"/>
            <w:tcBorders>
              <w:top w:val="nil"/>
              <w:left w:val="nil"/>
              <w:bottom w:val="nil"/>
              <w:right w:val="nil"/>
            </w:tcBorders>
            <w:shd w:val="clear" w:color="000000" w:fill="F2F2F2"/>
            <w:hideMark/>
          </w:tcPr>
          <w:p w14:paraId="7D2B4E4F"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Mental health problems prevalence ratio poverty estimate</w:t>
            </w:r>
          </w:p>
        </w:tc>
        <w:tc>
          <w:tcPr>
            <w:tcW w:w="1000" w:type="dxa"/>
            <w:tcBorders>
              <w:top w:val="nil"/>
              <w:left w:val="nil"/>
              <w:bottom w:val="nil"/>
              <w:right w:val="nil"/>
            </w:tcBorders>
            <w:shd w:val="clear" w:color="000000" w:fill="F2F2F2"/>
            <w:hideMark/>
          </w:tcPr>
          <w:p w14:paraId="01682B7B"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1.86</w:t>
            </w:r>
          </w:p>
        </w:tc>
        <w:tc>
          <w:tcPr>
            <w:tcW w:w="8580" w:type="dxa"/>
            <w:tcBorders>
              <w:top w:val="nil"/>
              <w:left w:val="nil"/>
              <w:bottom w:val="nil"/>
              <w:right w:val="nil"/>
            </w:tcBorders>
            <w:shd w:val="clear" w:color="000000" w:fill="F2F2F2"/>
            <w:hideMark/>
          </w:tcPr>
          <w:p w14:paraId="1458CE0D"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Derived from Weich and Lewis (1998, Br. Med. J. 317, 115-119)</w:t>
            </w:r>
          </w:p>
        </w:tc>
      </w:tr>
      <w:tr w:rsidR="00BB14B5" w:rsidRPr="00BB14B5" w14:paraId="73347F0E" w14:textId="77777777" w:rsidTr="00BB14B5">
        <w:trPr>
          <w:trHeight w:val="210"/>
        </w:trPr>
        <w:tc>
          <w:tcPr>
            <w:tcW w:w="4280" w:type="dxa"/>
            <w:tcBorders>
              <w:top w:val="nil"/>
              <w:left w:val="nil"/>
              <w:bottom w:val="nil"/>
              <w:right w:val="nil"/>
            </w:tcBorders>
            <w:shd w:val="clear" w:color="auto" w:fill="auto"/>
            <w:hideMark/>
          </w:tcPr>
          <w:p w14:paraId="5805ABC2"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Mental health problems prevalence ratio unemployed estimate</w:t>
            </w:r>
          </w:p>
        </w:tc>
        <w:tc>
          <w:tcPr>
            <w:tcW w:w="1000" w:type="dxa"/>
            <w:tcBorders>
              <w:top w:val="nil"/>
              <w:left w:val="nil"/>
              <w:bottom w:val="nil"/>
              <w:right w:val="nil"/>
            </w:tcBorders>
            <w:shd w:val="clear" w:color="auto" w:fill="auto"/>
            <w:hideMark/>
          </w:tcPr>
          <w:p w14:paraId="6C9B286C"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1.86</w:t>
            </w:r>
          </w:p>
        </w:tc>
        <w:tc>
          <w:tcPr>
            <w:tcW w:w="8580" w:type="dxa"/>
            <w:tcBorders>
              <w:top w:val="nil"/>
              <w:left w:val="nil"/>
              <w:bottom w:val="nil"/>
              <w:right w:val="nil"/>
            </w:tcBorders>
            <w:shd w:val="clear" w:color="auto" w:fill="auto"/>
            <w:hideMark/>
          </w:tcPr>
          <w:p w14:paraId="176AB1D2"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Derived from Weich and Lewis (1998, Br. Med. J. 317, 115-119)</w:t>
            </w:r>
          </w:p>
        </w:tc>
      </w:tr>
      <w:tr w:rsidR="00BB14B5" w:rsidRPr="00BB14B5" w14:paraId="2E95417E" w14:textId="77777777" w:rsidTr="00BB14B5">
        <w:trPr>
          <w:trHeight w:val="210"/>
        </w:trPr>
        <w:tc>
          <w:tcPr>
            <w:tcW w:w="4280" w:type="dxa"/>
            <w:tcBorders>
              <w:top w:val="nil"/>
              <w:left w:val="nil"/>
              <w:bottom w:val="nil"/>
              <w:right w:val="nil"/>
            </w:tcBorders>
            <w:shd w:val="clear" w:color="000000" w:fill="F2F2F2"/>
            <w:hideMark/>
          </w:tcPr>
          <w:p w14:paraId="3FFB3E03"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Mortality hazard ratio poverty</w:t>
            </w:r>
          </w:p>
        </w:tc>
        <w:tc>
          <w:tcPr>
            <w:tcW w:w="1000" w:type="dxa"/>
            <w:tcBorders>
              <w:top w:val="nil"/>
              <w:left w:val="nil"/>
              <w:bottom w:val="nil"/>
              <w:right w:val="nil"/>
            </w:tcBorders>
            <w:shd w:val="clear" w:color="000000" w:fill="F2F2F2"/>
            <w:hideMark/>
          </w:tcPr>
          <w:p w14:paraId="2486D1BB"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1.78</w:t>
            </w:r>
          </w:p>
        </w:tc>
        <w:tc>
          <w:tcPr>
            <w:tcW w:w="8580" w:type="dxa"/>
            <w:tcBorders>
              <w:top w:val="nil"/>
              <w:left w:val="nil"/>
              <w:bottom w:val="nil"/>
              <w:right w:val="nil"/>
            </w:tcBorders>
            <w:shd w:val="clear" w:color="000000" w:fill="F2F2F2"/>
            <w:hideMark/>
          </w:tcPr>
          <w:p w14:paraId="6328C833"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Derived from Waitzman and Smith (1998, Am. J. Public Health 88, 973-976)</w:t>
            </w:r>
          </w:p>
        </w:tc>
      </w:tr>
      <w:tr w:rsidR="00BB14B5" w:rsidRPr="00BB14B5" w14:paraId="54B8FF2A" w14:textId="77777777" w:rsidTr="00BB14B5">
        <w:trPr>
          <w:trHeight w:val="210"/>
        </w:trPr>
        <w:tc>
          <w:tcPr>
            <w:tcW w:w="4280" w:type="dxa"/>
            <w:tcBorders>
              <w:top w:val="nil"/>
              <w:left w:val="nil"/>
              <w:bottom w:val="nil"/>
              <w:right w:val="nil"/>
            </w:tcBorders>
            <w:shd w:val="clear" w:color="auto" w:fill="auto"/>
            <w:hideMark/>
          </w:tcPr>
          <w:p w14:paraId="2EFE4701"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Mortality hazard ratio unemployed</w:t>
            </w:r>
          </w:p>
        </w:tc>
        <w:tc>
          <w:tcPr>
            <w:tcW w:w="1000" w:type="dxa"/>
            <w:tcBorders>
              <w:top w:val="nil"/>
              <w:left w:val="nil"/>
              <w:bottom w:val="nil"/>
              <w:right w:val="nil"/>
            </w:tcBorders>
            <w:shd w:val="clear" w:color="auto" w:fill="auto"/>
            <w:hideMark/>
          </w:tcPr>
          <w:p w14:paraId="6BF6CF19"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1.22</w:t>
            </w:r>
          </w:p>
        </w:tc>
        <w:tc>
          <w:tcPr>
            <w:tcW w:w="8580" w:type="dxa"/>
            <w:tcBorders>
              <w:top w:val="nil"/>
              <w:left w:val="nil"/>
              <w:bottom w:val="nil"/>
              <w:right w:val="nil"/>
            </w:tcBorders>
            <w:shd w:val="clear" w:color="auto" w:fill="auto"/>
            <w:hideMark/>
          </w:tcPr>
          <w:p w14:paraId="7673D4D6"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Derived from Sorlie and Rogot (1990, Am. J. Epidemiol. 132, 983-992)</w:t>
            </w:r>
          </w:p>
        </w:tc>
      </w:tr>
      <w:tr w:rsidR="00BB14B5" w:rsidRPr="00BB14B5" w14:paraId="4ED0274C" w14:textId="77777777" w:rsidTr="00BB14B5">
        <w:trPr>
          <w:trHeight w:val="210"/>
        </w:trPr>
        <w:tc>
          <w:tcPr>
            <w:tcW w:w="4280" w:type="dxa"/>
            <w:tcBorders>
              <w:top w:val="nil"/>
              <w:left w:val="nil"/>
              <w:bottom w:val="nil"/>
              <w:right w:val="nil"/>
            </w:tcBorders>
            <w:shd w:val="clear" w:color="000000" w:fill="F2F2F2"/>
            <w:hideMark/>
          </w:tcPr>
          <w:p w14:paraId="5821DDFA"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NILF to unemployed base rate 12-17</w:t>
            </w:r>
          </w:p>
        </w:tc>
        <w:tc>
          <w:tcPr>
            <w:tcW w:w="1000" w:type="dxa"/>
            <w:tcBorders>
              <w:top w:val="nil"/>
              <w:left w:val="nil"/>
              <w:bottom w:val="nil"/>
              <w:right w:val="nil"/>
            </w:tcBorders>
            <w:shd w:val="clear" w:color="000000" w:fill="F2F2F2"/>
            <w:hideMark/>
          </w:tcPr>
          <w:p w14:paraId="264D92FE"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0.005763863</w:t>
            </w:r>
          </w:p>
        </w:tc>
        <w:tc>
          <w:tcPr>
            <w:tcW w:w="8580" w:type="dxa"/>
            <w:tcBorders>
              <w:top w:val="nil"/>
              <w:left w:val="nil"/>
              <w:bottom w:val="nil"/>
              <w:right w:val="nil"/>
            </w:tcBorders>
            <w:shd w:val="clear" w:color="000000" w:fill="F2F2F2"/>
            <w:hideMark/>
          </w:tcPr>
          <w:p w14:paraId="090CE594"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Base per capita rate per year.  Estimated via constrained optimisation.</w:t>
            </w:r>
          </w:p>
        </w:tc>
      </w:tr>
      <w:tr w:rsidR="00BB14B5" w:rsidRPr="00BB14B5" w14:paraId="2CD68C01" w14:textId="77777777" w:rsidTr="00BB14B5">
        <w:trPr>
          <w:trHeight w:val="210"/>
        </w:trPr>
        <w:tc>
          <w:tcPr>
            <w:tcW w:w="4280" w:type="dxa"/>
            <w:tcBorders>
              <w:top w:val="nil"/>
              <w:left w:val="nil"/>
              <w:bottom w:val="nil"/>
              <w:right w:val="nil"/>
            </w:tcBorders>
            <w:shd w:val="clear" w:color="auto" w:fill="auto"/>
            <w:hideMark/>
          </w:tcPr>
          <w:p w14:paraId="228061DB"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NILF to unemployed base rate 18+</w:t>
            </w:r>
          </w:p>
        </w:tc>
        <w:tc>
          <w:tcPr>
            <w:tcW w:w="1000" w:type="dxa"/>
            <w:tcBorders>
              <w:top w:val="nil"/>
              <w:left w:val="nil"/>
              <w:bottom w:val="nil"/>
              <w:right w:val="nil"/>
            </w:tcBorders>
            <w:shd w:val="clear" w:color="auto" w:fill="auto"/>
            <w:hideMark/>
          </w:tcPr>
          <w:p w14:paraId="3236E0D5"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0.094504831</w:t>
            </w:r>
          </w:p>
        </w:tc>
        <w:tc>
          <w:tcPr>
            <w:tcW w:w="8580" w:type="dxa"/>
            <w:tcBorders>
              <w:top w:val="nil"/>
              <w:left w:val="nil"/>
              <w:bottom w:val="nil"/>
              <w:right w:val="nil"/>
            </w:tcBorders>
            <w:shd w:val="clear" w:color="auto" w:fill="auto"/>
            <w:hideMark/>
          </w:tcPr>
          <w:p w14:paraId="7E5C0FC9"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Base per capita rate per year.  Estimated via constrained optimisation.</w:t>
            </w:r>
          </w:p>
        </w:tc>
      </w:tr>
      <w:tr w:rsidR="00BB14B5" w:rsidRPr="00BB14B5" w14:paraId="25D0CA9C" w14:textId="77777777" w:rsidTr="00BB14B5">
        <w:trPr>
          <w:trHeight w:val="210"/>
        </w:trPr>
        <w:tc>
          <w:tcPr>
            <w:tcW w:w="4280" w:type="dxa"/>
            <w:tcBorders>
              <w:top w:val="nil"/>
              <w:left w:val="nil"/>
              <w:bottom w:val="nil"/>
              <w:right w:val="nil"/>
            </w:tcBorders>
            <w:shd w:val="clear" w:color="000000" w:fill="F2F2F2"/>
            <w:hideMark/>
          </w:tcPr>
          <w:p w14:paraId="3DC5D11D"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Non-participation hazard ratio mental health problems</w:t>
            </w:r>
          </w:p>
        </w:tc>
        <w:tc>
          <w:tcPr>
            <w:tcW w:w="1000" w:type="dxa"/>
            <w:tcBorders>
              <w:top w:val="nil"/>
              <w:left w:val="nil"/>
              <w:bottom w:val="nil"/>
              <w:right w:val="nil"/>
            </w:tcBorders>
            <w:shd w:val="clear" w:color="000000" w:fill="F2F2F2"/>
            <w:hideMark/>
          </w:tcPr>
          <w:p w14:paraId="68F41BB3"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1.63482</w:t>
            </w:r>
          </w:p>
        </w:tc>
        <w:tc>
          <w:tcPr>
            <w:tcW w:w="8580" w:type="dxa"/>
            <w:tcBorders>
              <w:top w:val="nil"/>
              <w:left w:val="nil"/>
              <w:bottom w:val="nil"/>
              <w:right w:val="nil"/>
            </w:tcBorders>
            <w:shd w:val="clear" w:color="000000" w:fill="F2F2F2"/>
            <w:hideMark/>
          </w:tcPr>
          <w:p w14:paraId="77D79DE1"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Derived from Frijters et al. (2014, Health Econ. 23, 1058-1071)</w:t>
            </w:r>
          </w:p>
        </w:tc>
      </w:tr>
      <w:tr w:rsidR="00BB14B5" w:rsidRPr="00BB14B5" w14:paraId="030F510E" w14:textId="77777777" w:rsidTr="00BB14B5">
        <w:trPr>
          <w:trHeight w:val="420"/>
        </w:trPr>
        <w:tc>
          <w:tcPr>
            <w:tcW w:w="4280" w:type="dxa"/>
            <w:tcBorders>
              <w:top w:val="nil"/>
              <w:left w:val="nil"/>
              <w:bottom w:val="nil"/>
              <w:right w:val="nil"/>
            </w:tcBorders>
            <w:shd w:val="clear" w:color="auto" w:fill="auto"/>
            <w:hideMark/>
          </w:tcPr>
          <w:p w14:paraId="55F97E8A"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Participation hazard ratio post-secondary qualification</w:t>
            </w:r>
          </w:p>
        </w:tc>
        <w:tc>
          <w:tcPr>
            <w:tcW w:w="1000" w:type="dxa"/>
            <w:tcBorders>
              <w:top w:val="nil"/>
              <w:left w:val="nil"/>
              <w:bottom w:val="nil"/>
              <w:right w:val="nil"/>
            </w:tcBorders>
            <w:shd w:val="clear" w:color="auto" w:fill="auto"/>
            <w:hideMark/>
          </w:tcPr>
          <w:p w14:paraId="5F7852FE"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7.034190699</w:t>
            </w:r>
          </w:p>
        </w:tc>
        <w:tc>
          <w:tcPr>
            <w:tcW w:w="8580" w:type="dxa"/>
            <w:tcBorders>
              <w:top w:val="nil"/>
              <w:left w:val="nil"/>
              <w:bottom w:val="nil"/>
              <w:right w:val="nil"/>
            </w:tcBorders>
            <w:shd w:val="clear" w:color="auto" w:fill="auto"/>
            <w:hideMark/>
          </w:tcPr>
          <w:p w14:paraId="2614B277"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Effect of post-secondary education on economic participation.  Derived using national data from the Large Integrated Household Survey (GEIH; available at: https://www.dane.gov.co/).</w:t>
            </w:r>
          </w:p>
        </w:tc>
      </w:tr>
      <w:tr w:rsidR="00BB14B5" w:rsidRPr="00BB14B5" w14:paraId="662D9814" w14:textId="77777777" w:rsidTr="00BB14B5">
        <w:trPr>
          <w:trHeight w:val="420"/>
        </w:trPr>
        <w:tc>
          <w:tcPr>
            <w:tcW w:w="4280" w:type="dxa"/>
            <w:tcBorders>
              <w:top w:val="nil"/>
              <w:left w:val="nil"/>
              <w:bottom w:val="nil"/>
              <w:right w:val="nil"/>
            </w:tcBorders>
            <w:shd w:val="clear" w:color="000000" w:fill="F2F2F2"/>
            <w:hideMark/>
          </w:tcPr>
          <w:p w14:paraId="7DA5470C"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Participation hazard ratio SSGC</w:t>
            </w:r>
          </w:p>
        </w:tc>
        <w:tc>
          <w:tcPr>
            <w:tcW w:w="1000" w:type="dxa"/>
            <w:tcBorders>
              <w:top w:val="nil"/>
              <w:left w:val="nil"/>
              <w:bottom w:val="nil"/>
              <w:right w:val="nil"/>
            </w:tcBorders>
            <w:shd w:val="clear" w:color="000000" w:fill="F2F2F2"/>
            <w:hideMark/>
          </w:tcPr>
          <w:p w14:paraId="48A383B5"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2.908429491</w:t>
            </w:r>
          </w:p>
        </w:tc>
        <w:tc>
          <w:tcPr>
            <w:tcW w:w="8580" w:type="dxa"/>
            <w:tcBorders>
              <w:top w:val="nil"/>
              <w:left w:val="nil"/>
              <w:bottom w:val="nil"/>
              <w:right w:val="nil"/>
            </w:tcBorders>
            <w:shd w:val="clear" w:color="000000" w:fill="F2F2F2"/>
            <w:hideMark/>
          </w:tcPr>
          <w:p w14:paraId="44009A55"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Effect of upper secondary education on economic participation.  Derived using national data from the Large Integrated Household Survey (GEIH; available at: https://www.dane.gov.co/).</w:t>
            </w:r>
          </w:p>
        </w:tc>
      </w:tr>
      <w:tr w:rsidR="00BB14B5" w:rsidRPr="00BB14B5" w14:paraId="5F552B4D" w14:textId="77777777" w:rsidTr="00BB14B5">
        <w:trPr>
          <w:trHeight w:val="210"/>
        </w:trPr>
        <w:tc>
          <w:tcPr>
            <w:tcW w:w="4280" w:type="dxa"/>
            <w:tcBorders>
              <w:top w:val="nil"/>
              <w:left w:val="nil"/>
              <w:bottom w:val="nil"/>
              <w:right w:val="nil"/>
            </w:tcBorders>
            <w:shd w:val="clear" w:color="auto" w:fill="auto"/>
            <w:hideMark/>
          </w:tcPr>
          <w:p w14:paraId="7E301200"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Participation rate initial mental health problems 12-17</w:t>
            </w:r>
          </w:p>
        </w:tc>
        <w:tc>
          <w:tcPr>
            <w:tcW w:w="1000" w:type="dxa"/>
            <w:tcBorders>
              <w:top w:val="nil"/>
              <w:left w:val="nil"/>
              <w:bottom w:val="nil"/>
              <w:right w:val="nil"/>
            </w:tcBorders>
            <w:shd w:val="clear" w:color="auto" w:fill="auto"/>
            <w:hideMark/>
          </w:tcPr>
          <w:p w14:paraId="152F88EE"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0.629180698</w:t>
            </w:r>
          </w:p>
        </w:tc>
        <w:tc>
          <w:tcPr>
            <w:tcW w:w="8580" w:type="dxa"/>
            <w:tcBorders>
              <w:top w:val="nil"/>
              <w:left w:val="nil"/>
              <w:bottom w:val="nil"/>
              <w:right w:val="nil"/>
            </w:tcBorders>
            <w:shd w:val="clear" w:color="auto" w:fill="auto"/>
            <w:hideMark/>
          </w:tcPr>
          <w:p w14:paraId="5BA4E0E9"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Initial participation rate among 12-17-year-olds with significant mental health problems.  Estimated via constrained optimisation.</w:t>
            </w:r>
          </w:p>
        </w:tc>
      </w:tr>
      <w:tr w:rsidR="00BB14B5" w:rsidRPr="00BB14B5" w14:paraId="7F318A82" w14:textId="77777777" w:rsidTr="00BB14B5">
        <w:trPr>
          <w:trHeight w:val="420"/>
        </w:trPr>
        <w:tc>
          <w:tcPr>
            <w:tcW w:w="4280" w:type="dxa"/>
            <w:tcBorders>
              <w:top w:val="nil"/>
              <w:left w:val="nil"/>
              <w:bottom w:val="nil"/>
              <w:right w:val="nil"/>
            </w:tcBorders>
            <w:shd w:val="clear" w:color="000000" w:fill="F2F2F2"/>
            <w:hideMark/>
          </w:tcPr>
          <w:p w14:paraId="616B0EF3"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Participation rate initial mental health problems 18+</w:t>
            </w:r>
          </w:p>
        </w:tc>
        <w:tc>
          <w:tcPr>
            <w:tcW w:w="1000" w:type="dxa"/>
            <w:tcBorders>
              <w:top w:val="nil"/>
              <w:left w:val="nil"/>
              <w:bottom w:val="nil"/>
              <w:right w:val="nil"/>
            </w:tcBorders>
            <w:shd w:val="clear" w:color="000000" w:fill="F2F2F2"/>
            <w:hideMark/>
          </w:tcPr>
          <w:p w14:paraId="63296248"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0.682379813</w:t>
            </w:r>
          </w:p>
        </w:tc>
        <w:tc>
          <w:tcPr>
            <w:tcW w:w="8580" w:type="dxa"/>
            <w:tcBorders>
              <w:top w:val="nil"/>
              <w:left w:val="nil"/>
              <w:bottom w:val="nil"/>
              <w:right w:val="nil"/>
            </w:tcBorders>
            <w:shd w:val="clear" w:color="000000" w:fill="F2F2F2"/>
            <w:hideMark/>
          </w:tcPr>
          <w:p w14:paraId="45AC5479"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Initial participation rate among adults (aged 18 years and above) with significant mental health problems.  Estimated via constrained optimisation.</w:t>
            </w:r>
          </w:p>
        </w:tc>
      </w:tr>
      <w:tr w:rsidR="00BB14B5" w:rsidRPr="00BB14B5" w14:paraId="03C76FE8" w14:textId="77777777" w:rsidTr="00BB14B5">
        <w:trPr>
          <w:trHeight w:val="210"/>
        </w:trPr>
        <w:tc>
          <w:tcPr>
            <w:tcW w:w="4280" w:type="dxa"/>
            <w:tcBorders>
              <w:top w:val="nil"/>
              <w:left w:val="nil"/>
              <w:bottom w:val="nil"/>
              <w:right w:val="nil"/>
            </w:tcBorders>
            <w:shd w:val="clear" w:color="auto" w:fill="auto"/>
            <w:hideMark/>
          </w:tcPr>
          <w:p w14:paraId="2A9B944A"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 xml:space="preserve">Participation </w:t>
            </w:r>
            <w:proofErr w:type="gramStart"/>
            <w:r w:rsidRPr="00BB14B5">
              <w:rPr>
                <w:rFonts w:ascii="Times New Roman" w:eastAsia="Times New Roman" w:hAnsi="Times New Roman"/>
                <w:color w:val="000000"/>
                <w:sz w:val="16"/>
                <w:szCs w:val="16"/>
                <w:lang w:eastAsia="en-AU"/>
              </w:rPr>
              <w:t>rate</w:t>
            </w:r>
            <w:proofErr w:type="gramEnd"/>
            <w:r w:rsidRPr="00BB14B5">
              <w:rPr>
                <w:rFonts w:ascii="Times New Roman" w:eastAsia="Times New Roman" w:hAnsi="Times New Roman"/>
                <w:color w:val="000000"/>
                <w:sz w:val="16"/>
                <w:szCs w:val="16"/>
                <w:lang w:eastAsia="en-AU"/>
              </w:rPr>
              <w:t xml:space="preserve"> initial no mental health problems 12-17</w:t>
            </w:r>
          </w:p>
        </w:tc>
        <w:tc>
          <w:tcPr>
            <w:tcW w:w="1000" w:type="dxa"/>
            <w:tcBorders>
              <w:top w:val="nil"/>
              <w:left w:val="nil"/>
              <w:bottom w:val="nil"/>
              <w:right w:val="nil"/>
            </w:tcBorders>
            <w:shd w:val="clear" w:color="auto" w:fill="auto"/>
            <w:hideMark/>
          </w:tcPr>
          <w:p w14:paraId="2D94A67D"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0.406615734</w:t>
            </w:r>
          </w:p>
        </w:tc>
        <w:tc>
          <w:tcPr>
            <w:tcW w:w="8580" w:type="dxa"/>
            <w:tcBorders>
              <w:top w:val="nil"/>
              <w:left w:val="nil"/>
              <w:bottom w:val="nil"/>
              <w:right w:val="nil"/>
            </w:tcBorders>
            <w:shd w:val="clear" w:color="auto" w:fill="auto"/>
            <w:hideMark/>
          </w:tcPr>
          <w:p w14:paraId="3AC3C774"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Initial participation rate among 12-17-year-olds with no mental health problems.  Estimated via constrained optimisation.</w:t>
            </w:r>
          </w:p>
        </w:tc>
      </w:tr>
      <w:tr w:rsidR="00BB14B5" w:rsidRPr="00BB14B5" w14:paraId="68E560F7" w14:textId="77777777" w:rsidTr="00BB14B5">
        <w:trPr>
          <w:trHeight w:val="420"/>
        </w:trPr>
        <w:tc>
          <w:tcPr>
            <w:tcW w:w="4280" w:type="dxa"/>
            <w:tcBorders>
              <w:top w:val="nil"/>
              <w:left w:val="nil"/>
              <w:bottom w:val="nil"/>
              <w:right w:val="nil"/>
            </w:tcBorders>
            <w:shd w:val="clear" w:color="000000" w:fill="F2F2F2"/>
            <w:hideMark/>
          </w:tcPr>
          <w:p w14:paraId="151CC4B1"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 xml:space="preserve">Participation </w:t>
            </w:r>
            <w:proofErr w:type="gramStart"/>
            <w:r w:rsidRPr="00BB14B5">
              <w:rPr>
                <w:rFonts w:ascii="Times New Roman" w:eastAsia="Times New Roman" w:hAnsi="Times New Roman"/>
                <w:color w:val="000000"/>
                <w:sz w:val="16"/>
                <w:szCs w:val="16"/>
                <w:lang w:eastAsia="en-AU"/>
              </w:rPr>
              <w:t>rate</w:t>
            </w:r>
            <w:proofErr w:type="gramEnd"/>
            <w:r w:rsidRPr="00BB14B5">
              <w:rPr>
                <w:rFonts w:ascii="Times New Roman" w:eastAsia="Times New Roman" w:hAnsi="Times New Roman"/>
                <w:color w:val="000000"/>
                <w:sz w:val="16"/>
                <w:szCs w:val="16"/>
                <w:lang w:eastAsia="en-AU"/>
              </w:rPr>
              <w:t xml:space="preserve"> initial no mental health problems 18+</w:t>
            </w:r>
          </w:p>
        </w:tc>
        <w:tc>
          <w:tcPr>
            <w:tcW w:w="1000" w:type="dxa"/>
            <w:tcBorders>
              <w:top w:val="nil"/>
              <w:left w:val="nil"/>
              <w:bottom w:val="nil"/>
              <w:right w:val="nil"/>
            </w:tcBorders>
            <w:shd w:val="clear" w:color="000000" w:fill="F2F2F2"/>
            <w:hideMark/>
          </w:tcPr>
          <w:p w14:paraId="0BB270A1"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0.856112261</w:t>
            </w:r>
          </w:p>
        </w:tc>
        <w:tc>
          <w:tcPr>
            <w:tcW w:w="8580" w:type="dxa"/>
            <w:tcBorders>
              <w:top w:val="nil"/>
              <w:left w:val="nil"/>
              <w:bottom w:val="nil"/>
              <w:right w:val="nil"/>
            </w:tcBorders>
            <w:shd w:val="clear" w:color="000000" w:fill="F2F2F2"/>
            <w:hideMark/>
          </w:tcPr>
          <w:p w14:paraId="5797780D"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Initial participation rate among adults (aged 18 years and above) with no mental health problems.  Estimated via constrained optimisation.</w:t>
            </w:r>
          </w:p>
        </w:tc>
      </w:tr>
      <w:tr w:rsidR="00BB14B5" w:rsidRPr="00BB14B5" w14:paraId="2AE8F68D" w14:textId="77777777" w:rsidTr="00BB14B5">
        <w:trPr>
          <w:trHeight w:val="210"/>
        </w:trPr>
        <w:tc>
          <w:tcPr>
            <w:tcW w:w="4280" w:type="dxa"/>
            <w:tcBorders>
              <w:top w:val="nil"/>
              <w:left w:val="nil"/>
              <w:bottom w:val="nil"/>
              <w:right w:val="nil"/>
            </w:tcBorders>
            <w:shd w:val="clear" w:color="auto" w:fill="auto"/>
            <w:hideMark/>
          </w:tcPr>
          <w:p w14:paraId="42C5C031"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Per capita employed to unemployed rate 12-17</w:t>
            </w:r>
          </w:p>
        </w:tc>
        <w:tc>
          <w:tcPr>
            <w:tcW w:w="1000" w:type="dxa"/>
            <w:tcBorders>
              <w:top w:val="nil"/>
              <w:left w:val="nil"/>
              <w:bottom w:val="nil"/>
              <w:right w:val="nil"/>
            </w:tcBorders>
            <w:shd w:val="clear" w:color="auto" w:fill="auto"/>
            <w:hideMark/>
          </w:tcPr>
          <w:p w14:paraId="376AF72F"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0.095000082</w:t>
            </w:r>
          </w:p>
        </w:tc>
        <w:tc>
          <w:tcPr>
            <w:tcW w:w="8580" w:type="dxa"/>
            <w:tcBorders>
              <w:top w:val="nil"/>
              <w:left w:val="nil"/>
              <w:bottom w:val="nil"/>
              <w:right w:val="nil"/>
            </w:tcBorders>
            <w:shd w:val="clear" w:color="auto" w:fill="auto"/>
            <w:hideMark/>
          </w:tcPr>
          <w:p w14:paraId="1D99A8AF"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Per capita rate per year.  Estimated via constrained optimisation.</w:t>
            </w:r>
          </w:p>
        </w:tc>
      </w:tr>
      <w:tr w:rsidR="00BB14B5" w:rsidRPr="00BB14B5" w14:paraId="47CD6CB1" w14:textId="77777777" w:rsidTr="00BB14B5">
        <w:trPr>
          <w:trHeight w:val="210"/>
        </w:trPr>
        <w:tc>
          <w:tcPr>
            <w:tcW w:w="4280" w:type="dxa"/>
            <w:tcBorders>
              <w:top w:val="nil"/>
              <w:left w:val="nil"/>
              <w:bottom w:val="nil"/>
              <w:right w:val="nil"/>
            </w:tcBorders>
            <w:shd w:val="clear" w:color="000000" w:fill="F2F2F2"/>
            <w:hideMark/>
          </w:tcPr>
          <w:p w14:paraId="464742CF"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Per capita employed to unemployed rate 18+</w:t>
            </w:r>
          </w:p>
        </w:tc>
        <w:tc>
          <w:tcPr>
            <w:tcW w:w="1000" w:type="dxa"/>
            <w:tcBorders>
              <w:top w:val="nil"/>
              <w:left w:val="nil"/>
              <w:bottom w:val="nil"/>
              <w:right w:val="nil"/>
            </w:tcBorders>
            <w:shd w:val="clear" w:color="000000" w:fill="F2F2F2"/>
            <w:hideMark/>
          </w:tcPr>
          <w:p w14:paraId="36DAD2E5"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0.039662108</w:t>
            </w:r>
          </w:p>
        </w:tc>
        <w:tc>
          <w:tcPr>
            <w:tcW w:w="8580" w:type="dxa"/>
            <w:tcBorders>
              <w:top w:val="nil"/>
              <w:left w:val="nil"/>
              <w:bottom w:val="nil"/>
              <w:right w:val="nil"/>
            </w:tcBorders>
            <w:shd w:val="clear" w:color="000000" w:fill="F2F2F2"/>
            <w:hideMark/>
          </w:tcPr>
          <w:p w14:paraId="03D970EA"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Per capita rate per year.  Estimated via constrained optimisation.</w:t>
            </w:r>
          </w:p>
        </w:tc>
      </w:tr>
      <w:tr w:rsidR="00BB14B5" w:rsidRPr="00BB14B5" w14:paraId="2516CD8F" w14:textId="77777777" w:rsidTr="00BB14B5">
        <w:trPr>
          <w:trHeight w:val="210"/>
        </w:trPr>
        <w:tc>
          <w:tcPr>
            <w:tcW w:w="4280" w:type="dxa"/>
            <w:tcBorders>
              <w:top w:val="nil"/>
              <w:left w:val="nil"/>
              <w:bottom w:val="nil"/>
              <w:right w:val="nil"/>
            </w:tcBorders>
            <w:shd w:val="clear" w:color="auto" w:fill="auto"/>
            <w:hideMark/>
          </w:tcPr>
          <w:p w14:paraId="2ECF982C"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Per capita unemployed to NILF rate 12-17</w:t>
            </w:r>
          </w:p>
        </w:tc>
        <w:tc>
          <w:tcPr>
            <w:tcW w:w="1000" w:type="dxa"/>
            <w:tcBorders>
              <w:top w:val="nil"/>
              <w:left w:val="nil"/>
              <w:bottom w:val="nil"/>
              <w:right w:val="nil"/>
            </w:tcBorders>
            <w:shd w:val="clear" w:color="auto" w:fill="auto"/>
            <w:hideMark/>
          </w:tcPr>
          <w:p w14:paraId="6D0D899A"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0.281280097</w:t>
            </w:r>
          </w:p>
        </w:tc>
        <w:tc>
          <w:tcPr>
            <w:tcW w:w="8580" w:type="dxa"/>
            <w:tcBorders>
              <w:top w:val="nil"/>
              <w:left w:val="nil"/>
              <w:bottom w:val="nil"/>
              <w:right w:val="nil"/>
            </w:tcBorders>
            <w:shd w:val="clear" w:color="auto" w:fill="auto"/>
            <w:hideMark/>
          </w:tcPr>
          <w:p w14:paraId="3B64CCEF"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Per capita rate per year.  Estimated via constrained optimisation.</w:t>
            </w:r>
          </w:p>
        </w:tc>
      </w:tr>
      <w:tr w:rsidR="00BB14B5" w:rsidRPr="00BB14B5" w14:paraId="0DEB2B62" w14:textId="77777777" w:rsidTr="00BB14B5">
        <w:trPr>
          <w:trHeight w:val="210"/>
        </w:trPr>
        <w:tc>
          <w:tcPr>
            <w:tcW w:w="4280" w:type="dxa"/>
            <w:tcBorders>
              <w:top w:val="nil"/>
              <w:left w:val="nil"/>
              <w:bottom w:val="nil"/>
              <w:right w:val="nil"/>
            </w:tcBorders>
            <w:shd w:val="clear" w:color="000000" w:fill="F2F2F2"/>
            <w:hideMark/>
          </w:tcPr>
          <w:p w14:paraId="76D8AD87"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Per capita unemployed to NILF rate 18+</w:t>
            </w:r>
          </w:p>
        </w:tc>
        <w:tc>
          <w:tcPr>
            <w:tcW w:w="1000" w:type="dxa"/>
            <w:tcBorders>
              <w:top w:val="nil"/>
              <w:left w:val="nil"/>
              <w:bottom w:val="nil"/>
              <w:right w:val="nil"/>
            </w:tcBorders>
            <w:shd w:val="clear" w:color="000000" w:fill="F2F2F2"/>
            <w:hideMark/>
          </w:tcPr>
          <w:p w14:paraId="7186184A"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0.271740484</w:t>
            </w:r>
          </w:p>
        </w:tc>
        <w:tc>
          <w:tcPr>
            <w:tcW w:w="8580" w:type="dxa"/>
            <w:tcBorders>
              <w:top w:val="nil"/>
              <w:left w:val="nil"/>
              <w:bottom w:val="nil"/>
              <w:right w:val="nil"/>
            </w:tcBorders>
            <w:shd w:val="clear" w:color="000000" w:fill="F2F2F2"/>
            <w:hideMark/>
          </w:tcPr>
          <w:p w14:paraId="405EBFA6"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Per capita rate per year.  Estimated via constrained optimisation.</w:t>
            </w:r>
          </w:p>
        </w:tc>
      </w:tr>
      <w:tr w:rsidR="00BB14B5" w:rsidRPr="00BB14B5" w14:paraId="3080D504" w14:textId="77777777" w:rsidTr="00BB14B5">
        <w:trPr>
          <w:trHeight w:val="630"/>
        </w:trPr>
        <w:tc>
          <w:tcPr>
            <w:tcW w:w="4280" w:type="dxa"/>
            <w:tcBorders>
              <w:top w:val="nil"/>
              <w:left w:val="nil"/>
              <w:bottom w:val="nil"/>
              <w:right w:val="nil"/>
            </w:tcBorders>
            <w:shd w:val="clear" w:color="auto" w:fill="auto"/>
            <w:hideMark/>
          </w:tcPr>
          <w:p w14:paraId="11EC0D8B"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Post-secondary qualification proportion ratio NILF</w:t>
            </w:r>
          </w:p>
        </w:tc>
        <w:tc>
          <w:tcPr>
            <w:tcW w:w="1000" w:type="dxa"/>
            <w:tcBorders>
              <w:top w:val="nil"/>
              <w:left w:val="nil"/>
              <w:bottom w:val="nil"/>
              <w:right w:val="nil"/>
            </w:tcBorders>
            <w:shd w:val="clear" w:color="auto" w:fill="auto"/>
            <w:hideMark/>
          </w:tcPr>
          <w:p w14:paraId="27D05727"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0.34760169</w:t>
            </w:r>
          </w:p>
        </w:tc>
        <w:tc>
          <w:tcPr>
            <w:tcW w:w="8580" w:type="dxa"/>
            <w:tcBorders>
              <w:top w:val="nil"/>
              <w:left w:val="nil"/>
              <w:bottom w:val="nil"/>
              <w:right w:val="nil"/>
            </w:tcBorders>
            <w:shd w:val="clear" w:color="auto" w:fill="auto"/>
            <w:hideMark/>
          </w:tcPr>
          <w:p w14:paraId="7EAC3BD8"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Proportion of people not in the labour force holding a post-secondary qualification divided by the proportion of people in the total working-age population holding a post-secondary qualification.  Derived using national data from the Large Integrated Household Survey (GEIH; available at: https://www.dane.gov.co/).</w:t>
            </w:r>
          </w:p>
        </w:tc>
      </w:tr>
      <w:tr w:rsidR="00BB14B5" w:rsidRPr="00BB14B5" w14:paraId="449B2E7C" w14:textId="77777777" w:rsidTr="00BB14B5">
        <w:trPr>
          <w:trHeight w:val="630"/>
        </w:trPr>
        <w:tc>
          <w:tcPr>
            <w:tcW w:w="4280" w:type="dxa"/>
            <w:tcBorders>
              <w:top w:val="nil"/>
              <w:left w:val="nil"/>
              <w:bottom w:val="nil"/>
              <w:right w:val="nil"/>
            </w:tcBorders>
            <w:shd w:val="clear" w:color="000000" w:fill="F2F2F2"/>
            <w:hideMark/>
          </w:tcPr>
          <w:p w14:paraId="5978C48E"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lastRenderedPageBreak/>
              <w:t>Post-secondary qualification proportion ratio unemployed</w:t>
            </w:r>
          </w:p>
        </w:tc>
        <w:tc>
          <w:tcPr>
            <w:tcW w:w="1000" w:type="dxa"/>
            <w:tcBorders>
              <w:top w:val="nil"/>
              <w:left w:val="nil"/>
              <w:bottom w:val="nil"/>
              <w:right w:val="nil"/>
            </w:tcBorders>
            <w:shd w:val="clear" w:color="000000" w:fill="F2F2F2"/>
            <w:hideMark/>
          </w:tcPr>
          <w:p w14:paraId="09196E14"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1.394626507</w:t>
            </w:r>
          </w:p>
        </w:tc>
        <w:tc>
          <w:tcPr>
            <w:tcW w:w="8580" w:type="dxa"/>
            <w:tcBorders>
              <w:top w:val="nil"/>
              <w:left w:val="nil"/>
              <w:bottom w:val="nil"/>
              <w:right w:val="nil"/>
            </w:tcBorders>
            <w:shd w:val="clear" w:color="000000" w:fill="F2F2F2"/>
            <w:hideMark/>
          </w:tcPr>
          <w:p w14:paraId="2FA0BDB9"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Proportion of unemployed people holding a post-secondary qualification divided by the proportion of people in the total working-age population holding a post-secondary qualification.  Derived using national data from the Large Integrated Household Survey (GEIH; available at: https://www.dane.gov.co/).</w:t>
            </w:r>
          </w:p>
        </w:tc>
      </w:tr>
      <w:tr w:rsidR="00BB14B5" w:rsidRPr="00BB14B5" w14:paraId="1000E2B6" w14:textId="77777777" w:rsidTr="00BB14B5">
        <w:trPr>
          <w:trHeight w:val="210"/>
        </w:trPr>
        <w:tc>
          <w:tcPr>
            <w:tcW w:w="4280" w:type="dxa"/>
            <w:tcBorders>
              <w:top w:val="nil"/>
              <w:left w:val="nil"/>
              <w:bottom w:val="nil"/>
              <w:right w:val="nil"/>
            </w:tcBorders>
            <w:shd w:val="clear" w:color="auto" w:fill="auto"/>
            <w:hideMark/>
          </w:tcPr>
          <w:p w14:paraId="10532171"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Poverty decreasing base rate</w:t>
            </w:r>
          </w:p>
        </w:tc>
        <w:tc>
          <w:tcPr>
            <w:tcW w:w="1000" w:type="dxa"/>
            <w:tcBorders>
              <w:top w:val="nil"/>
              <w:left w:val="nil"/>
              <w:bottom w:val="nil"/>
              <w:right w:val="nil"/>
            </w:tcBorders>
            <w:shd w:val="clear" w:color="auto" w:fill="auto"/>
            <w:hideMark/>
          </w:tcPr>
          <w:p w14:paraId="6036B016"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0.120188954</w:t>
            </w:r>
          </w:p>
        </w:tc>
        <w:tc>
          <w:tcPr>
            <w:tcW w:w="8580" w:type="dxa"/>
            <w:tcBorders>
              <w:top w:val="nil"/>
              <w:left w:val="nil"/>
              <w:bottom w:val="nil"/>
              <w:right w:val="nil"/>
            </w:tcBorders>
            <w:shd w:val="clear" w:color="auto" w:fill="auto"/>
            <w:hideMark/>
          </w:tcPr>
          <w:p w14:paraId="2D0E1323"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Base per capita rate per year.  Estimated via constrained optimisation.</w:t>
            </w:r>
          </w:p>
        </w:tc>
      </w:tr>
      <w:tr w:rsidR="00BB14B5" w:rsidRPr="00BB14B5" w14:paraId="28D32E91" w14:textId="77777777" w:rsidTr="00BB14B5">
        <w:trPr>
          <w:trHeight w:val="210"/>
        </w:trPr>
        <w:tc>
          <w:tcPr>
            <w:tcW w:w="4280" w:type="dxa"/>
            <w:tcBorders>
              <w:top w:val="nil"/>
              <w:left w:val="nil"/>
              <w:bottom w:val="nil"/>
              <w:right w:val="nil"/>
            </w:tcBorders>
            <w:shd w:val="clear" w:color="000000" w:fill="F2F2F2"/>
            <w:hideMark/>
          </w:tcPr>
          <w:p w14:paraId="0D060E0D"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Poverty increasing base rate</w:t>
            </w:r>
          </w:p>
        </w:tc>
        <w:tc>
          <w:tcPr>
            <w:tcW w:w="1000" w:type="dxa"/>
            <w:tcBorders>
              <w:top w:val="nil"/>
              <w:left w:val="nil"/>
              <w:bottom w:val="nil"/>
              <w:right w:val="nil"/>
            </w:tcBorders>
            <w:shd w:val="clear" w:color="000000" w:fill="F2F2F2"/>
            <w:hideMark/>
          </w:tcPr>
          <w:p w14:paraId="3C55C976"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w:t>
            </w:r>
          </w:p>
        </w:tc>
        <w:tc>
          <w:tcPr>
            <w:tcW w:w="8580" w:type="dxa"/>
            <w:tcBorders>
              <w:top w:val="nil"/>
              <w:left w:val="nil"/>
              <w:bottom w:val="nil"/>
              <w:right w:val="nil"/>
            </w:tcBorders>
            <w:shd w:val="clear" w:color="000000" w:fill="F2F2F2"/>
            <w:hideMark/>
          </w:tcPr>
          <w:p w14:paraId="421E8B4F"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Base per capita rate per year.  Estimated via constrained optimisation.</w:t>
            </w:r>
          </w:p>
        </w:tc>
      </w:tr>
      <w:tr w:rsidR="00BB14B5" w:rsidRPr="00BB14B5" w14:paraId="3CF3B491" w14:textId="77777777" w:rsidTr="00BB14B5">
        <w:trPr>
          <w:trHeight w:val="210"/>
        </w:trPr>
        <w:tc>
          <w:tcPr>
            <w:tcW w:w="4280" w:type="dxa"/>
            <w:tcBorders>
              <w:top w:val="nil"/>
              <w:left w:val="nil"/>
              <w:bottom w:val="nil"/>
              <w:right w:val="nil"/>
            </w:tcBorders>
            <w:shd w:val="clear" w:color="auto" w:fill="auto"/>
            <w:hideMark/>
          </w:tcPr>
          <w:p w14:paraId="48AE347C"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Poverty prevalence initial</w:t>
            </w:r>
          </w:p>
        </w:tc>
        <w:tc>
          <w:tcPr>
            <w:tcW w:w="1000" w:type="dxa"/>
            <w:tcBorders>
              <w:top w:val="nil"/>
              <w:left w:val="nil"/>
              <w:bottom w:val="nil"/>
              <w:right w:val="nil"/>
            </w:tcBorders>
            <w:shd w:val="clear" w:color="auto" w:fill="auto"/>
            <w:hideMark/>
          </w:tcPr>
          <w:p w14:paraId="5E2061A5"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0.126569461</w:t>
            </w:r>
          </w:p>
        </w:tc>
        <w:tc>
          <w:tcPr>
            <w:tcW w:w="8580" w:type="dxa"/>
            <w:tcBorders>
              <w:top w:val="nil"/>
              <w:left w:val="nil"/>
              <w:bottom w:val="nil"/>
              <w:right w:val="nil"/>
            </w:tcBorders>
            <w:shd w:val="clear" w:color="auto" w:fill="auto"/>
            <w:hideMark/>
          </w:tcPr>
          <w:p w14:paraId="1B4EE6A9"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Initial prevalence of multidimensional poverty.  Estimated via constrained optimisation.</w:t>
            </w:r>
          </w:p>
        </w:tc>
      </w:tr>
      <w:tr w:rsidR="00BB14B5" w:rsidRPr="00BB14B5" w14:paraId="4B3A6ED7" w14:textId="77777777" w:rsidTr="00BB14B5">
        <w:trPr>
          <w:trHeight w:val="210"/>
        </w:trPr>
        <w:tc>
          <w:tcPr>
            <w:tcW w:w="4280" w:type="dxa"/>
            <w:tcBorders>
              <w:top w:val="nil"/>
              <w:left w:val="nil"/>
              <w:bottom w:val="nil"/>
              <w:right w:val="nil"/>
            </w:tcBorders>
            <w:shd w:val="clear" w:color="000000" w:fill="F2F2F2"/>
            <w:hideMark/>
          </w:tcPr>
          <w:p w14:paraId="6C62E9FA"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Proportion informally employed initial</w:t>
            </w:r>
          </w:p>
        </w:tc>
        <w:tc>
          <w:tcPr>
            <w:tcW w:w="1000" w:type="dxa"/>
            <w:tcBorders>
              <w:top w:val="nil"/>
              <w:left w:val="nil"/>
              <w:bottom w:val="nil"/>
              <w:right w:val="nil"/>
            </w:tcBorders>
            <w:shd w:val="clear" w:color="000000" w:fill="F2F2F2"/>
            <w:hideMark/>
          </w:tcPr>
          <w:p w14:paraId="29B70AB7"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0.566663481</w:t>
            </w:r>
          </w:p>
        </w:tc>
        <w:tc>
          <w:tcPr>
            <w:tcW w:w="8580" w:type="dxa"/>
            <w:tcBorders>
              <w:top w:val="nil"/>
              <w:left w:val="nil"/>
              <w:bottom w:val="nil"/>
              <w:right w:val="nil"/>
            </w:tcBorders>
            <w:shd w:val="clear" w:color="000000" w:fill="F2F2F2"/>
            <w:hideMark/>
          </w:tcPr>
          <w:p w14:paraId="6E22E1B9"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Initial proportion of employed people in informal employment.  Estimated via constrained optimisation.</w:t>
            </w:r>
          </w:p>
        </w:tc>
      </w:tr>
      <w:tr w:rsidR="00BB14B5" w:rsidRPr="00BB14B5" w14:paraId="5376E1A2" w14:textId="77777777" w:rsidTr="00BB14B5">
        <w:trPr>
          <w:trHeight w:val="630"/>
        </w:trPr>
        <w:tc>
          <w:tcPr>
            <w:tcW w:w="4280" w:type="dxa"/>
            <w:tcBorders>
              <w:top w:val="nil"/>
              <w:left w:val="nil"/>
              <w:bottom w:val="nil"/>
              <w:right w:val="nil"/>
            </w:tcBorders>
            <w:shd w:val="clear" w:color="auto" w:fill="auto"/>
            <w:hideMark/>
          </w:tcPr>
          <w:p w14:paraId="1BBB1908"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SSGC proportion ratio NILF</w:t>
            </w:r>
          </w:p>
        </w:tc>
        <w:tc>
          <w:tcPr>
            <w:tcW w:w="1000" w:type="dxa"/>
            <w:tcBorders>
              <w:top w:val="nil"/>
              <w:left w:val="nil"/>
              <w:bottom w:val="nil"/>
              <w:right w:val="nil"/>
            </w:tcBorders>
            <w:shd w:val="clear" w:color="auto" w:fill="auto"/>
            <w:hideMark/>
          </w:tcPr>
          <w:p w14:paraId="73BC0319"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0.711847901</w:t>
            </w:r>
          </w:p>
        </w:tc>
        <w:tc>
          <w:tcPr>
            <w:tcW w:w="8580" w:type="dxa"/>
            <w:tcBorders>
              <w:top w:val="nil"/>
              <w:left w:val="nil"/>
              <w:bottom w:val="nil"/>
              <w:right w:val="nil"/>
            </w:tcBorders>
            <w:shd w:val="clear" w:color="auto" w:fill="auto"/>
            <w:hideMark/>
          </w:tcPr>
          <w:p w14:paraId="0ECFC2F5"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Proportion of people not in the labour force holding a secondary school graduation certificate divided by the proportion of people in the total working-age population holding a secondary school graduation certificate.  Derived using national data from the Large Integrated Household Survey (GEIH; available at: https://www.dane.gov.co/).</w:t>
            </w:r>
          </w:p>
        </w:tc>
      </w:tr>
      <w:tr w:rsidR="00BB14B5" w:rsidRPr="00BB14B5" w14:paraId="73525C17" w14:textId="77777777" w:rsidTr="00BB14B5">
        <w:trPr>
          <w:trHeight w:val="630"/>
        </w:trPr>
        <w:tc>
          <w:tcPr>
            <w:tcW w:w="4280" w:type="dxa"/>
            <w:tcBorders>
              <w:top w:val="nil"/>
              <w:left w:val="nil"/>
              <w:bottom w:val="nil"/>
              <w:right w:val="nil"/>
            </w:tcBorders>
            <w:shd w:val="clear" w:color="000000" w:fill="F2F2F2"/>
            <w:hideMark/>
          </w:tcPr>
          <w:p w14:paraId="12BAD946"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SSGC proportion ratio unemployed</w:t>
            </w:r>
          </w:p>
        </w:tc>
        <w:tc>
          <w:tcPr>
            <w:tcW w:w="1000" w:type="dxa"/>
            <w:tcBorders>
              <w:top w:val="nil"/>
              <w:left w:val="nil"/>
              <w:bottom w:val="nil"/>
              <w:right w:val="nil"/>
            </w:tcBorders>
            <w:shd w:val="clear" w:color="000000" w:fill="F2F2F2"/>
            <w:hideMark/>
          </w:tcPr>
          <w:p w14:paraId="252E089B"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1.516626772</w:t>
            </w:r>
          </w:p>
        </w:tc>
        <w:tc>
          <w:tcPr>
            <w:tcW w:w="8580" w:type="dxa"/>
            <w:tcBorders>
              <w:top w:val="nil"/>
              <w:left w:val="nil"/>
              <w:bottom w:val="nil"/>
              <w:right w:val="nil"/>
            </w:tcBorders>
            <w:shd w:val="clear" w:color="000000" w:fill="F2F2F2"/>
            <w:hideMark/>
          </w:tcPr>
          <w:p w14:paraId="720CE24B"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Proportion of unemployed people holding a secondary school graduation certificate divided by the proportion of people in the total working-age population holding a secondary school graduation certificate.  Derived using national data from the Large Integrated Household Survey (GEIH; available at: https://www.dane.gov.co/).</w:t>
            </w:r>
          </w:p>
        </w:tc>
      </w:tr>
      <w:tr w:rsidR="00BB14B5" w:rsidRPr="00BB14B5" w14:paraId="6423DB8E" w14:textId="77777777" w:rsidTr="00BB14B5">
        <w:trPr>
          <w:trHeight w:val="420"/>
        </w:trPr>
        <w:tc>
          <w:tcPr>
            <w:tcW w:w="4280" w:type="dxa"/>
            <w:tcBorders>
              <w:top w:val="nil"/>
              <w:left w:val="nil"/>
              <w:bottom w:val="nil"/>
              <w:right w:val="nil"/>
            </w:tcBorders>
            <w:shd w:val="clear" w:color="auto" w:fill="auto"/>
            <w:hideMark/>
          </w:tcPr>
          <w:p w14:paraId="39A3E082"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Substance use problems prevalence ratio unemployed</w:t>
            </w:r>
          </w:p>
        </w:tc>
        <w:tc>
          <w:tcPr>
            <w:tcW w:w="1000" w:type="dxa"/>
            <w:tcBorders>
              <w:top w:val="nil"/>
              <w:left w:val="nil"/>
              <w:bottom w:val="nil"/>
              <w:right w:val="nil"/>
            </w:tcBorders>
            <w:shd w:val="clear" w:color="auto" w:fill="auto"/>
            <w:hideMark/>
          </w:tcPr>
          <w:p w14:paraId="5EE8A255"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2.176471</w:t>
            </w:r>
          </w:p>
        </w:tc>
        <w:tc>
          <w:tcPr>
            <w:tcW w:w="8580" w:type="dxa"/>
            <w:tcBorders>
              <w:top w:val="nil"/>
              <w:left w:val="nil"/>
              <w:bottom w:val="nil"/>
              <w:right w:val="nil"/>
            </w:tcBorders>
            <w:shd w:val="clear" w:color="auto" w:fill="auto"/>
            <w:hideMark/>
          </w:tcPr>
          <w:p w14:paraId="1DA87F2E"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Derived from Slade et al. (2009, The Mental Health of Australians 2. Report on the 2007 National Survey of Mental Health and Wellbeing. Department of Health and Ageing, Canberra)</w:t>
            </w:r>
          </w:p>
        </w:tc>
      </w:tr>
      <w:tr w:rsidR="00BB14B5" w:rsidRPr="00BB14B5" w14:paraId="6F3BE04A" w14:textId="77777777" w:rsidTr="00BB14B5">
        <w:trPr>
          <w:trHeight w:val="210"/>
        </w:trPr>
        <w:tc>
          <w:tcPr>
            <w:tcW w:w="4280" w:type="dxa"/>
            <w:tcBorders>
              <w:top w:val="nil"/>
              <w:left w:val="nil"/>
              <w:bottom w:val="nil"/>
              <w:right w:val="nil"/>
            </w:tcBorders>
            <w:shd w:val="clear" w:color="000000" w:fill="F2F2F2"/>
            <w:hideMark/>
          </w:tcPr>
          <w:p w14:paraId="4EAABA3D"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Unemployed to employed base rate 12-17</w:t>
            </w:r>
          </w:p>
        </w:tc>
        <w:tc>
          <w:tcPr>
            <w:tcW w:w="1000" w:type="dxa"/>
            <w:tcBorders>
              <w:top w:val="nil"/>
              <w:left w:val="nil"/>
              <w:bottom w:val="nil"/>
              <w:right w:val="nil"/>
            </w:tcBorders>
            <w:shd w:val="clear" w:color="000000" w:fill="F2F2F2"/>
            <w:hideMark/>
          </w:tcPr>
          <w:p w14:paraId="06B7A655"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0.073902998</w:t>
            </w:r>
          </w:p>
        </w:tc>
        <w:tc>
          <w:tcPr>
            <w:tcW w:w="8580" w:type="dxa"/>
            <w:tcBorders>
              <w:top w:val="nil"/>
              <w:left w:val="nil"/>
              <w:bottom w:val="nil"/>
              <w:right w:val="nil"/>
            </w:tcBorders>
            <w:shd w:val="clear" w:color="000000" w:fill="F2F2F2"/>
            <w:hideMark/>
          </w:tcPr>
          <w:p w14:paraId="4E74BB22"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Base per capita rate per year.  Estimated via constrained optimisation.</w:t>
            </w:r>
          </w:p>
        </w:tc>
      </w:tr>
      <w:tr w:rsidR="00BB14B5" w:rsidRPr="00BB14B5" w14:paraId="6B749A0E" w14:textId="77777777" w:rsidTr="00BB14B5">
        <w:trPr>
          <w:trHeight w:val="210"/>
        </w:trPr>
        <w:tc>
          <w:tcPr>
            <w:tcW w:w="4280" w:type="dxa"/>
            <w:tcBorders>
              <w:top w:val="nil"/>
              <w:left w:val="nil"/>
              <w:bottom w:val="nil"/>
              <w:right w:val="nil"/>
            </w:tcBorders>
            <w:shd w:val="clear" w:color="auto" w:fill="auto"/>
            <w:hideMark/>
          </w:tcPr>
          <w:p w14:paraId="67186806"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Unemployed to employed base rate 18+</w:t>
            </w:r>
          </w:p>
        </w:tc>
        <w:tc>
          <w:tcPr>
            <w:tcW w:w="1000" w:type="dxa"/>
            <w:tcBorders>
              <w:top w:val="nil"/>
              <w:left w:val="nil"/>
              <w:bottom w:val="nil"/>
              <w:right w:val="nil"/>
            </w:tcBorders>
            <w:shd w:val="clear" w:color="auto" w:fill="auto"/>
            <w:hideMark/>
          </w:tcPr>
          <w:p w14:paraId="2E5B92CF"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0.08115513</w:t>
            </w:r>
          </w:p>
        </w:tc>
        <w:tc>
          <w:tcPr>
            <w:tcW w:w="8580" w:type="dxa"/>
            <w:tcBorders>
              <w:top w:val="nil"/>
              <w:left w:val="nil"/>
              <w:bottom w:val="nil"/>
              <w:right w:val="nil"/>
            </w:tcBorders>
            <w:shd w:val="clear" w:color="auto" w:fill="auto"/>
            <w:hideMark/>
          </w:tcPr>
          <w:p w14:paraId="0A1BE6DE"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Base per capita rate per year.  Estimated via constrained optimisation.</w:t>
            </w:r>
          </w:p>
        </w:tc>
      </w:tr>
      <w:tr w:rsidR="00BB14B5" w:rsidRPr="00BB14B5" w14:paraId="738F56D9" w14:textId="77777777" w:rsidTr="00BB14B5">
        <w:trPr>
          <w:trHeight w:val="420"/>
        </w:trPr>
        <w:tc>
          <w:tcPr>
            <w:tcW w:w="4280" w:type="dxa"/>
            <w:tcBorders>
              <w:top w:val="nil"/>
              <w:left w:val="nil"/>
              <w:bottom w:val="nil"/>
              <w:right w:val="nil"/>
            </w:tcBorders>
            <w:shd w:val="clear" w:color="000000" w:fill="F2F2F2"/>
            <w:hideMark/>
          </w:tcPr>
          <w:p w14:paraId="7346E8E5"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Unemployment rate initial mental health problems 12-17</w:t>
            </w:r>
          </w:p>
        </w:tc>
        <w:tc>
          <w:tcPr>
            <w:tcW w:w="1000" w:type="dxa"/>
            <w:tcBorders>
              <w:top w:val="nil"/>
              <w:left w:val="nil"/>
              <w:bottom w:val="nil"/>
              <w:right w:val="nil"/>
            </w:tcBorders>
            <w:shd w:val="clear" w:color="000000" w:fill="F2F2F2"/>
            <w:hideMark/>
          </w:tcPr>
          <w:p w14:paraId="026182EB"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0.263484854</w:t>
            </w:r>
          </w:p>
        </w:tc>
        <w:tc>
          <w:tcPr>
            <w:tcW w:w="8580" w:type="dxa"/>
            <w:tcBorders>
              <w:top w:val="nil"/>
              <w:left w:val="nil"/>
              <w:bottom w:val="nil"/>
              <w:right w:val="nil"/>
            </w:tcBorders>
            <w:shd w:val="clear" w:color="000000" w:fill="F2F2F2"/>
            <w:hideMark/>
          </w:tcPr>
          <w:p w14:paraId="71E8303C"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Initial unemployment rate among 12-17-year-olds with significant mental health problems.  Estimated via constrained optimisation.</w:t>
            </w:r>
          </w:p>
        </w:tc>
      </w:tr>
      <w:tr w:rsidR="00BB14B5" w:rsidRPr="00BB14B5" w14:paraId="53A21005" w14:textId="77777777" w:rsidTr="00BB14B5">
        <w:trPr>
          <w:trHeight w:val="420"/>
        </w:trPr>
        <w:tc>
          <w:tcPr>
            <w:tcW w:w="4280" w:type="dxa"/>
            <w:tcBorders>
              <w:top w:val="nil"/>
              <w:left w:val="nil"/>
              <w:bottom w:val="nil"/>
              <w:right w:val="nil"/>
            </w:tcBorders>
            <w:shd w:val="clear" w:color="auto" w:fill="auto"/>
            <w:hideMark/>
          </w:tcPr>
          <w:p w14:paraId="5D03A6B6"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Unemployment rate initial mental health problems 18+</w:t>
            </w:r>
          </w:p>
        </w:tc>
        <w:tc>
          <w:tcPr>
            <w:tcW w:w="1000" w:type="dxa"/>
            <w:tcBorders>
              <w:top w:val="nil"/>
              <w:left w:val="nil"/>
              <w:bottom w:val="nil"/>
              <w:right w:val="nil"/>
            </w:tcBorders>
            <w:shd w:val="clear" w:color="auto" w:fill="auto"/>
            <w:hideMark/>
          </w:tcPr>
          <w:p w14:paraId="701F72E6"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0.223923918</w:t>
            </w:r>
          </w:p>
        </w:tc>
        <w:tc>
          <w:tcPr>
            <w:tcW w:w="8580" w:type="dxa"/>
            <w:tcBorders>
              <w:top w:val="nil"/>
              <w:left w:val="nil"/>
              <w:bottom w:val="nil"/>
              <w:right w:val="nil"/>
            </w:tcBorders>
            <w:shd w:val="clear" w:color="auto" w:fill="auto"/>
            <w:hideMark/>
          </w:tcPr>
          <w:p w14:paraId="0187D925"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Initial unemployment rate among adults (aged 18 years and above) with significant mental health problems.  Estimated via constrained optimisation.</w:t>
            </w:r>
          </w:p>
        </w:tc>
      </w:tr>
      <w:tr w:rsidR="00BB14B5" w:rsidRPr="00BB14B5" w14:paraId="27F3A8A4" w14:textId="77777777" w:rsidTr="00BB14B5">
        <w:trPr>
          <w:trHeight w:val="210"/>
        </w:trPr>
        <w:tc>
          <w:tcPr>
            <w:tcW w:w="4280" w:type="dxa"/>
            <w:tcBorders>
              <w:top w:val="nil"/>
              <w:left w:val="nil"/>
              <w:bottom w:val="nil"/>
              <w:right w:val="nil"/>
            </w:tcBorders>
            <w:shd w:val="clear" w:color="000000" w:fill="F2F2F2"/>
            <w:hideMark/>
          </w:tcPr>
          <w:p w14:paraId="0B4D76C6"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 xml:space="preserve">Unemployment </w:t>
            </w:r>
            <w:proofErr w:type="gramStart"/>
            <w:r w:rsidRPr="00BB14B5">
              <w:rPr>
                <w:rFonts w:ascii="Times New Roman" w:eastAsia="Times New Roman" w:hAnsi="Times New Roman"/>
                <w:color w:val="000000"/>
                <w:sz w:val="16"/>
                <w:szCs w:val="16"/>
                <w:lang w:eastAsia="en-AU"/>
              </w:rPr>
              <w:t>rate</w:t>
            </w:r>
            <w:proofErr w:type="gramEnd"/>
            <w:r w:rsidRPr="00BB14B5">
              <w:rPr>
                <w:rFonts w:ascii="Times New Roman" w:eastAsia="Times New Roman" w:hAnsi="Times New Roman"/>
                <w:color w:val="000000"/>
                <w:sz w:val="16"/>
                <w:szCs w:val="16"/>
                <w:lang w:eastAsia="en-AU"/>
              </w:rPr>
              <w:t xml:space="preserve"> initial no mental health problems 12-17</w:t>
            </w:r>
          </w:p>
        </w:tc>
        <w:tc>
          <w:tcPr>
            <w:tcW w:w="1000" w:type="dxa"/>
            <w:tcBorders>
              <w:top w:val="nil"/>
              <w:left w:val="nil"/>
              <w:bottom w:val="nil"/>
              <w:right w:val="nil"/>
            </w:tcBorders>
            <w:shd w:val="clear" w:color="000000" w:fill="F2F2F2"/>
            <w:hideMark/>
          </w:tcPr>
          <w:p w14:paraId="35D23889"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0.223101649</w:t>
            </w:r>
          </w:p>
        </w:tc>
        <w:tc>
          <w:tcPr>
            <w:tcW w:w="8580" w:type="dxa"/>
            <w:tcBorders>
              <w:top w:val="nil"/>
              <w:left w:val="nil"/>
              <w:bottom w:val="nil"/>
              <w:right w:val="nil"/>
            </w:tcBorders>
            <w:shd w:val="clear" w:color="000000" w:fill="F2F2F2"/>
            <w:hideMark/>
          </w:tcPr>
          <w:p w14:paraId="5CCFB8DC"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Initial unemployment rate among 12-17-year-olds with no mental health problems.  Estimated via constrained optimisation.</w:t>
            </w:r>
          </w:p>
        </w:tc>
      </w:tr>
      <w:tr w:rsidR="00BB14B5" w:rsidRPr="00BB14B5" w14:paraId="4602BD5D" w14:textId="77777777" w:rsidTr="00BB14B5">
        <w:trPr>
          <w:trHeight w:val="420"/>
        </w:trPr>
        <w:tc>
          <w:tcPr>
            <w:tcW w:w="4280" w:type="dxa"/>
            <w:tcBorders>
              <w:top w:val="nil"/>
              <w:left w:val="nil"/>
              <w:bottom w:val="nil"/>
              <w:right w:val="nil"/>
            </w:tcBorders>
            <w:shd w:val="clear" w:color="auto" w:fill="auto"/>
            <w:hideMark/>
          </w:tcPr>
          <w:p w14:paraId="49995174"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 xml:space="preserve">Unemployment </w:t>
            </w:r>
            <w:proofErr w:type="gramStart"/>
            <w:r w:rsidRPr="00BB14B5">
              <w:rPr>
                <w:rFonts w:ascii="Times New Roman" w:eastAsia="Times New Roman" w:hAnsi="Times New Roman"/>
                <w:color w:val="000000"/>
                <w:sz w:val="16"/>
                <w:szCs w:val="16"/>
                <w:lang w:eastAsia="en-AU"/>
              </w:rPr>
              <w:t>rate</w:t>
            </w:r>
            <w:proofErr w:type="gramEnd"/>
            <w:r w:rsidRPr="00BB14B5">
              <w:rPr>
                <w:rFonts w:ascii="Times New Roman" w:eastAsia="Times New Roman" w:hAnsi="Times New Roman"/>
                <w:color w:val="000000"/>
                <w:sz w:val="16"/>
                <w:szCs w:val="16"/>
                <w:lang w:eastAsia="en-AU"/>
              </w:rPr>
              <w:t xml:space="preserve"> initial no mental health problems 18+</w:t>
            </w:r>
          </w:p>
        </w:tc>
        <w:tc>
          <w:tcPr>
            <w:tcW w:w="1000" w:type="dxa"/>
            <w:tcBorders>
              <w:top w:val="nil"/>
              <w:left w:val="nil"/>
              <w:bottom w:val="nil"/>
              <w:right w:val="nil"/>
            </w:tcBorders>
            <w:shd w:val="clear" w:color="auto" w:fill="auto"/>
            <w:hideMark/>
          </w:tcPr>
          <w:p w14:paraId="19D6999F"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0.100941175</w:t>
            </w:r>
          </w:p>
        </w:tc>
        <w:tc>
          <w:tcPr>
            <w:tcW w:w="8580" w:type="dxa"/>
            <w:tcBorders>
              <w:top w:val="nil"/>
              <w:left w:val="nil"/>
              <w:bottom w:val="nil"/>
              <w:right w:val="nil"/>
            </w:tcBorders>
            <w:shd w:val="clear" w:color="auto" w:fill="auto"/>
            <w:hideMark/>
          </w:tcPr>
          <w:p w14:paraId="58D0315E"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Initial unemployment rate among adults (aged 18 years and above) with no mental health problems.  Estimated via constrained optimisation.</w:t>
            </w:r>
          </w:p>
        </w:tc>
      </w:tr>
      <w:tr w:rsidR="00BB14B5" w:rsidRPr="00BB14B5" w14:paraId="59E458E9" w14:textId="77777777" w:rsidTr="00BB14B5">
        <w:trPr>
          <w:trHeight w:val="210"/>
        </w:trPr>
        <w:tc>
          <w:tcPr>
            <w:tcW w:w="4280" w:type="dxa"/>
            <w:tcBorders>
              <w:top w:val="nil"/>
              <w:left w:val="nil"/>
              <w:bottom w:val="nil"/>
              <w:right w:val="nil"/>
            </w:tcBorders>
            <w:shd w:val="clear" w:color="auto" w:fill="auto"/>
            <w:hideMark/>
          </w:tcPr>
          <w:p w14:paraId="722766EF"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p>
        </w:tc>
        <w:tc>
          <w:tcPr>
            <w:tcW w:w="1000" w:type="dxa"/>
            <w:tcBorders>
              <w:top w:val="nil"/>
              <w:left w:val="nil"/>
              <w:bottom w:val="nil"/>
              <w:right w:val="nil"/>
            </w:tcBorders>
            <w:shd w:val="clear" w:color="auto" w:fill="auto"/>
            <w:hideMark/>
          </w:tcPr>
          <w:p w14:paraId="6CA4C9F8" w14:textId="77777777" w:rsidR="00BB14B5" w:rsidRPr="00BB14B5" w:rsidRDefault="00BB14B5" w:rsidP="00BB14B5">
            <w:pPr>
              <w:spacing w:line="240" w:lineRule="auto"/>
              <w:rPr>
                <w:rFonts w:ascii="Times New Roman" w:eastAsia="Times New Roman" w:hAnsi="Times New Roman"/>
                <w:color w:val="auto"/>
                <w:sz w:val="20"/>
                <w:szCs w:val="20"/>
                <w:lang w:eastAsia="en-AU"/>
              </w:rPr>
            </w:pPr>
          </w:p>
        </w:tc>
        <w:tc>
          <w:tcPr>
            <w:tcW w:w="8580" w:type="dxa"/>
            <w:tcBorders>
              <w:top w:val="nil"/>
              <w:left w:val="nil"/>
              <w:bottom w:val="nil"/>
              <w:right w:val="nil"/>
            </w:tcBorders>
            <w:shd w:val="clear" w:color="auto" w:fill="auto"/>
            <w:hideMark/>
          </w:tcPr>
          <w:p w14:paraId="08E525B5" w14:textId="77777777" w:rsidR="00BB14B5" w:rsidRPr="00BB14B5" w:rsidRDefault="00BB14B5" w:rsidP="00BB14B5">
            <w:pPr>
              <w:spacing w:line="240" w:lineRule="auto"/>
              <w:rPr>
                <w:rFonts w:ascii="Times New Roman" w:eastAsia="Times New Roman" w:hAnsi="Times New Roman"/>
                <w:color w:val="auto"/>
                <w:sz w:val="20"/>
                <w:szCs w:val="20"/>
                <w:lang w:eastAsia="en-AU"/>
              </w:rPr>
            </w:pPr>
          </w:p>
        </w:tc>
      </w:tr>
      <w:tr w:rsidR="00BB14B5" w:rsidRPr="00BB14B5" w14:paraId="2D6BF1B6" w14:textId="77777777" w:rsidTr="00BB14B5">
        <w:trPr>
          <w:trHeight w:val="210"/>
        </w:trPr>
        <w:tc>
          <w:tcPr>
            <w:tcW w:w="4280" w:type="dxa"/>
            <w:tcBorders>
              <w:top w:val="nil"/>
              <w:left w:val="nil"/>
              <w:bottom w:val="nil"/>
              <w:right w:val="nil"/>
            </w:tcBorders>
            <w:shd w:val="clear" w:color="000000" w:fill="D9D9D9"/>
            <w:hideMark/>
          </w:tcPr>
          <w:p w14:paraId="2833B96A"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Substance use sector</w:t>
            </w:r>
          </w:p>
        </w:tc>
        <w:tc>
          <w:tcPr>
            <w:tcW w:w="1000" w:type="dxa"/>
            <w:tcBorders>
              <w:top w:val="nil"/>
              <w:left w:val="nil"/>
              <w:bottom w:val="nil"/>
              <w:right w:val="nil"/>
            </w:tcBorders>
            <w:shd w:val="clear" w:color="000000" w:fill="D9D9D9"/>
            <w:hideMark/>
          </w:tcPr>
          <w:p w14:paraId="635CD805"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 </w:t>
            </w:r>
          </w:p>
        </w:tc>
        <w:tc>
          <w:tcPr>
            <w:tcW w:w="8580" w:type="dxa"/>
            <w:tcBorders>
              <w:top w:val="nil"/>
              <w:left w:val="nil"/>
              <w:bottom w:val="nil"/>
              <w:right w:val="nil"/>
            </w:tcBorders>
            <w:shd w:val="clear" w:color="000000" w:fill="D9D9D9"/>
            <w:hideMark/>
          </w:tcPr>
          <w:p w14:paraId="7BD820B6"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 </w:t>
            </w:r>
          </w:p>
        </w:tc>
      </w:tr>
      <w:tr w:rsidR="00BB14B5" w:rsidRPr="00BB14B5" w14:paraId="352285EF" w14:textId="77777777" w:rsidTr="00BB14B5">
        <w:trPr>
          <w:trHeight w:val="210"/>
        </w:trPr>
        <w:tc>
          <w:tcPr>
            <w:tcW w:w="4280" w:type="dxa"/>
            <w:tcBorders>
              <w:top w:val="nil"/>
              <w:left w:val="nil"/>
              <w:bottom w:val="nil"/>
              <w:right w:val="nil"/>
            </w:tcBorders>
            <w:shd w:val="clear" w:color="auto" w:fill="auto"/>
            <w:hideMark/>
          </w:tcPr>
          <w:p w14:paraId="212495E1"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p>
        </w:tc>
        <w:tc>
          <w:tcPr>
            <w:tcW w:w="1000" w:type="dxa"/>
            <w:tcBorders>
              <w:top w:val="nil"/>
              <w:left w:val="nil"/>
              <w:bottom w:val="nil"/>
              <w:right w:val="nil"/>
            </w:tcBorders>
            <w:shd w:val="clear" w:color="auto" w:fill="auto"/>
            <w:hideMark/>
          </w:tcPr>
          <w:p w14:paraId="1396AC83" w14:textId="77777777" w:rsidR="00BB14B5" w:rsidRPr="00BB14B5" w:rsidRDefault="00BB14B5" w:rsidP="00BB14B5">
            <w:pPr>
              <w:spacing w:line="240" w:lineRule="auto"/>
              <w:rPr>
                <w:rFonts w:ascii="Times New Roman" w:eastAsia="Times New Roman" w:hAnsi="Times New Roman"/>
                <w:color w:val="auto"/>
                <w:sz w:val="20"/>
                <w:szCs w:val="20"/>
                <w:lang w:eastAsia="en-AU"/>
              </w:rPr>
            </w:pPr>
          </w:p>
        </w:tc>
        <w:tc>
          <w:tcPr>
            <w:tcW w:w="8580" w:type="dxa"/>
            <w:tcBorders>
              <w:top w:val="nil"/>
              <w:left w:val="nil"/>
              <w:bottom w:val="nil"/>
              <w:right w:val="nil"/>
            </w:tcBorders>
            <w:shd w:val="clear" w:color="auto" w:fill="auto"/>
            <w:hideMark/>
          </w:tcPr>
          <w:p w14:paraId="1664D3EA" w14:textId="77777777" w:rsidR="00BB14B5" w:rsidRPr="00BB14B5" w:rsidRDefault="00BB14B5" w:rsidP="00BB14B5">
            <w:pPr>
              <w:spacing w:line="240" w:lineRule="auto"/>
              <w:rPr>
                <w:rFonts w:ascii="Times New Roman" w:eastAsia="Times New Roman" w:hAnsi="Times New Roman"/>
                <w:color w:val="auto"/>
                <w:sz w:val="20"/>
                <w:szCs w:val="20"/>
                <w:lang w:eastAsia="en-AU"/>
              </w:rPr>
            </w:pPr>
          </w:p>
        </w:tc>
      </w:tr>
      <w:tr w:rsidR="00BB14B5" w:rsidRPr="00BB14B5" w14:paraId="4BF5EC30" w14:textId="77777777" w:rsidTr="00BB14B5">
        <w:trPr>
          <w:trHeight w:val="420"/>
        </w:trPr>
        <w:tc>
          <w:tcPr>
            <w:tcW w:w="4280" w:type="dxa"/>
            <w:tcBorders>
              <w:top w:val="nil"/>
              <w:left w:val="nil"/>
              <w:bottom w:val="nil"/>
              <w:right w:val="nil"/>
            </w:tcBorders>
            <w:shd w:val="clear" w:color="000000" w:fill="F2F2F2"/>
            <w:hideMark/>
          </w:tcPr>
          <w:p w14:paraId="0878F812"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 xml:space="preserve">Developmental vulnerability prevalence ratio no substance </w:t>
            </w:r>
            <w:proofErr w:type="gramStart"/>
            <w:r w:rsidRPr="00BB14B5">
              <w:rPr>
                <w:rFonts w:ascii="Times New Roman" w:eastAsia="Times New Roman" w:hAnsi="Times New Roman"/>
                <w:color w:val="000000"/>
                <w:sz w:val="16"/>
                <w:szCs w:val="16"/>
                <w:lang w:eastAsia="en-AU"/>
              </w:rPr>
              <w:t>use</w:t>
            </w:r>
            <w:proofErr w:type="gramEnd"/>
            <w:r w:rsidRPr="00BB14B5">
              <w:rPr>
                <w:rFonts w:ascii="Times New Roman" w:eastAsia="Times New Roman" w:hAnsi="Times New Roman"/>
                <w:color w:val="000000"/>
                <w:sz w:val="16"/>
                <w:szCs w:val="16"/>
                <w:lang w:eastAsia="en-AU"/>
              </w:rPr>
              <w:t xml:space="preserve"> problems</w:t>
            </w:r>
          </w:p>
        </w:tc>
        <w:tc>
          <w:tcPr>
            <w:tcW w:w="1000" w:type="dxa"/>
            <w:tcBorders>
              <w:top w:val="nil"/>
              <w:left w:val="nil"/>
              <w:bottom w:val="nil"/>
              <w:right w:val="nil"/>
            </w:tcBorders>
            <w:shd w:val="clear" w:color="000000" w:fill="F2F2F2"/>
            <w:hideMark/>
          </w:tcPr>
          <w:p w14:paraId="23D180A4"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0.8609731</w:t>
            </w:r>
          </w:p>
        </w:tc>
        <w:tc>
          <w:tcPr>
            <w:tcW w:w="8580" w:type="dxa"/>
            <w:tcBorders>
              <w:top w:val="nil"/>
              <w:left w:val="nil"/>
              <w:bottom w:val="nil"/>
              <w:right w:val="nil"/>
            </w:tcBorders>
            <w:shd w:val="clear" w:color="000000" w:fill="F2F2F2"/>
            <w:hideMark/>
          </w:tcPr>
          <w:p w14:paraId="3740CC99"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Prevalence of developmental vulnerability among people with no substance use problems divided by the prevalence of developmental vulnerability in the total population.  Derived from Crum et al. (2008, Addict. Behav. 33, 24-40)</w:t>
            </w:r>
          </w:p>
        </w:tc>
      </w:tr>
      <w:tr w:rsidR="00BB14B5" w:rsidRPr="00BB14B5" w14:paraId="5D95DC0A" w14:textId="77777777" w:rsidTr="00BB14B5">
        <w:trPr>
          <w:trHeight w:val="630"/>
        </w:trPr>
        <w:tc>
          <w:tcPr>
            <w:tcW w:w="4280" w:type="dxa"/>
            <w:tcBorders>
              <w:top w:val="nil"/>
              <w:left w:val="nil"/>
              <w:bottom w:val="nil"/>
              <w:right w:val="nil"/>
            </w:tcBorders>
            <w:shd w:val="clear" w:color="auto" w:fill="auto"/>
            <w:hideMark/>
          </w:tcPr>
          <w:p w14:paraId="3472C8C7"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 xml:space="preserve">Mental health problems hazard ratio substance </w:t>
            </w:r>
            <w:proofErr w:type="gramStart"/>
            <w:r w:rsidRPr="00BB14B5">
              <w:rPr>
                <w:rFonts w:ascii="Times New Roman" w:eastAsia="Times New Roman" w:hAnsi="Times New Roman"/>
                <w:color w:val="000000"/>
                <w:sz w:val="16"/>
                <w:szCs w:val="16"/>
                <w:lang w:eastAsia="en-AU"/>
              </w:rPr>
              <w:t>use</w:t>
            </w:r>
            <w:proofErr w:type="gramEnd"/>
            <w:r w:rsidRPr="00BB14B5">
              <w:rPr>
                <w:rFonts w:ascii="Times New Roman" w:eastAsia="Times New Roman" w:hAnsi="Times New Roman"/>
                <w:color w:val="000000"/>
                <w:sz w:val="16"/>
                <w:szCs w:val="16"/>
                <w:lang w:eastAsia="en-AU"/>
              </w:rPr>
              <w:t xml:space="preserve"> problems</w:t>
            </w:r>
          </w:p>
        </w:tc>
        <w:tc>
          <w:tcPr>
            <w:tcW w:w="1000" w:type="dxa"/>
            <w:tcBorders>
              <w:top w:val="nil"/>
              <w:left w:val="nil"/>
              <w:bottom w:val="nil"/>
              <w:right w:val="nil"/>
            </w:tcBorders>
            <w:shd w:val="clear" w:color="auto" w:fill="auto"/>
            <w:hideMark/>
          </w:tcPr>
          <w:p w14:paraId="328D3DE1"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8.09464025</w:t>
            </w:r>
          </w:p>
        </w:tc>
        <w:tc>
          <w:tcPr>
            <w:tcW w:w="8580" w:type="dxa"/>
            <w:tcBorders>
              <w:top w:val="nil"/>
              <w:left w:val="nil"/>
              <w:bottom w:val="nil"/>
              <w:right w:val="nil"/>
            </w:tcBorders>
            <w:shd w:val="clear" w:color="auto" w:fill="auto"/>
            <w:hideMark/>
          </w:tcPr>
          <w:p w14:paraId="6F8BB46E"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Per capita incidence of mental health problems among people with substance use problems divided by per capita incidence among those with no substance use problems.  Estimated via constrained optimisation using a prevalence ratio estimate of 2.63 derived from Marmorstein et al. (2010, Drug Alcohol Depend. 107, 154-160).</w:t>
            </w:r>
          </w:p>
        </w:tc>
      </w:tr>
      <w:tr w:rsidR="00BB14B5" w:rsidRPr="00BB14B5" w14:paraId="7292F1B0" w14:textId="77777777" w:rsidTr="00BB14B5">
        <w:trPr>
          <w:trHeight w:val="420"/>
        </w:trPr>
        <w:tc>
          <w:tcPr>
            <w:tcW w:w="4280" w:type="dxa"/>
            <w:tcBorders>
              <w:top w:val="nil"/>
              <w:left w:val="nil"/>
              <w:bottom w:val="nil"/>
              <w:right w:val="nil"/>
            </w:tcBorders>
            <w:shd w:val="clear" w:color="000000" w:fill="F2F2F2"/>
            <w:hideMark/>
          </w:tcPr>
          <w:p w14:paraId="5927640B"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 xml:space="preserve">Mental health problems prevalence ratio substance </w:t>
            </w:r>
            <w:proofErr w:type="gramStart"/>
            <w:r w:rsidRPr="00BB14B5">
              <w:rPr>
                <w:rFonts w:ascii="Times New Roman" w:eastAsia="Times New Roman" w:hAnsi="Times New Roman"/>
                <w:color w:val="000000"/>
                <w:sz w:val="16"/>
                <w:szCs w:val="16"/>
                <w:lang w:eastAsia="en-AU"/>
              </w:rPr>
              <w:t>use</w:t>
            </w:r>
            <w:proofErr w:type="gramEnd"/>
            <w:r w:rsidRPr="00BB14B5">
              <w:rPr>
                <w:rFonts w:ascii="Times New Roman" w:eastAsia="Times New Roman" w:hAnsi="Times New Roman"/>
                <w:color w:val="000000"/>
                <w:sz w:val="16"/>
                <w:szCs w:val="16"/>
                <w:lang w:eastAsia="en-AU"/>
              </w:rPr>
              <w:t xml:space="preserve"> problems estimate</w:t>
            </w:r>
          </w:p>
        </w:tc>
        <w:tc>
          <w:tcPr>
            <w:tcW w:w="1000" w:type="dxa"/>
            <w:tcBorders>
              <w:top w:val="nil"/>
              <w:left w:val="nil"/>
              <w:bottom w:val="nil"/>
              <w:right w:val="nil"/>
            </w:tcBorders>
            <w:shd w:val="clear" w:color="000000" w:fill="F2F2F2"/>
            <w:hideMark/>
          </w:tcPr>
          <w:p w14:paraId="5735CFDD"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2.63</w:t>
            </w:r>
          </w:p>
        </w:tc>
        <w:tc>
          <w:tcPr>
            <w:tcW w:w="8580" w:type="dxa"/>
            <w:tcBorders>
              <w:top w:val="nil"/>
              <w:left w:val="nil"/>
              <w:bottom w:val="nil"/>
              <w:right w:val="nil"/>
            </w:tcBorders>
            <w:shd w:val="clear" w:color="000000" w:fill="F2F2F2"/>
            <w:hideMark/>
          </w:tcPr>
          <w:p w14:paraId="46743145"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Derived from Marmorstein et al. (2010, Drug Alcohol Depend. 107, 154-160)</w:t>
            </w:r>
          </w:p>
        </w:tc>
      </w:tr>
      <w:tr w:rsidR="00BB14B5" w:rsidRPr="00BB14B5" w14:paraId="755B39D8" w14:textId="77777777" w:rsidTr="00BB14B5">
        <w:trPr>
          <w:trHeight w:val="210"/>
        </w:trPr>
        <w:tc>
          <w:tcPr>
            <w:tcW w:w="4280" w:type="dxa"/>
            <w:tcBorders>
              <w:top w:val="nil"/>
              <w:left w:val="nil"/>
              <w:bottom w:val="nil"/>
              <w:right w:val="nil"/>
            </w:tcBorders>
            <w:shd w:val="clear" w:color="auto" w:fill="auto"/>
            <w:hideMark/>
          </w:tcPr>
          <w:p w14:paraId="0A4EF409"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Mortality hazard ratio substance use problems</w:t>
            </w:r>
          </w:p>
        </w:tc>
        <w:tc>
          <w:tcPr>
            <w:tcW w:w="1000" w:type="dxa"/>
            <w:tcBorders>
              <w:top w:val="nil"/>
              <w:left w:val="nil"/>
              <w:bottom w:val="nil"/>
              <w:right w:val="nil"/>
            </w:tcBorders>
            <w:shd w:val="clear" w:color="auto" w:fill="auto"/>
            <w:hideMark/>
          </w:tcPr>
          <w:p w14:paraId="11F4C3EE"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1.95</w:t>
            </w:r>
          </w:p>
        </w:tc>
        <w:tc>
          <w:tcPr>
            <w:tcW w:w="8580" w:type="dxa"/>
            <w:tcBorders>
              <w:top w:val="nil"/>
              <w:left w:val="nil"/>
              <w:bottom w:val="nil"/>
              <w:right w:val="nil"/>
            </w:tcBorders>
            <w:shd w:val="clear" w:color="auto" w:fill="auto"/>
            <w:hideMark/>
          </w:tcPr>
          <w:p w14:paraId="760D3FF3"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Derived from Roerecke and Rehm (2013, Addiction 108, 1562-1578)</w:t>
            </w:r>
          </w:p>
        </w:tc>
      </w:tr>
      <w:tr w:rsidR="00BB14B5" w:rsidRPr="00BB14B5" w14:paraId="49E15C88" w14:textId="77777777" w:rsidTr="00BB14B5">
        <w:trPr>
          <w:trHeight w:val="210"/>
        </w:trPr>
        <w:tc>
          <w:tcPr>
            <w:tcW w:w="4280" w:type="dxa"/>
            <w:tcBorders>
              <w:top w:val="nil"/>
              <w:left w:val="nil"/>
              <w:bottom w:val="nil"/>
              <w:right w:val="nil"/>
            </w:tcBorders>
            <w:shd w:val="clear" w:color="000000" w:fill="F2F2F2"/>
            <w:hideMark/>
          </w:tcPr>
          <w:p w14:paraId="47C71B50"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 xml:space="preserve">Per capita intoxication rate substance </w:t>
            </w:r>
            <w:proofErr w:type="gramStart"/>
            <w:r w:rsidRPr="00BB14B5">
              <w:rPr>
                <w:rFonts w:ascii="Times New Roman" w:eastAsia="Times New Roman" w:hAnsi="Times New Roman"/>
                <w:color w:val="000000"/>
                <w:sz w:val="16"/>
                <w:szCs w:val="16"/>
                <w:lang w:eastAsia="en-AU"/>
              </w:rPr>
              <w:t>use</w:t>
            </w:r>
            <w:proofErr w:type="gramEnd"/>
            <w:r w:rsidRPr="00BB14B5">
              <w:rPr>
                <w:rFonts w:ascii="Times New Roman" w:eastAsia="Times New Roman" w:hAnsi="Times New Roman"/>
                <w:color w:val="000000"/>
                <w:sz w:val="16"/>
                <w:szCs w:val="16"/>
                <w:lang w:eastAsia="en-AU"/>
              </w:rPr>
              <w:t xml:space="preserve"> problems 12-17</w:t>
            </w:r>
          </w:p>
        </w:tc>
        <w:tc>
          <w:tcPr>
            <w:tcW w:w="1000" w:type="dxa"/>
            <w:tcBorders>
              <w:top w:val="nil"/>
              <w:left w:val="nil"/>
              <w:bottom w:val="nil"/>
              <w:right w:val="nil"/>
            </w:tcBorders>
            <w:shd w:val="clear" w:color="000000" w:fill="F2F2F2"/>
            <w:hideMark/>
          </w:tcPr>
          <w:p w14:paraId="3C6FB20A"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0.026396631</w:t>
            </w:r>
          </w:p>
        </w:tc>
        <w:tc>
          <w:tcPr>
            <w:tcW w:w="8580" w:type="dxa"/>
            <w:tcBorders>
              <w:top w:val="nil"/>
              <w:left w:val="nil"/>
              <w:bottom w:val="nil"/>
              <w:right w:val="nil"/>
            </w:tcBorders>
            <w:shd w:val="clear" w:color="000000" w:fill="F2F2F2"/>
            <w:hideMark/>
          </w:tcPr>
          <w:p w14:paraId="240E0BA4"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Per capita health services presentation rate per year.  Estimated via constrained optimisation.</w:t>
            </w:r>
          </w:p>
        </w:tc>
      </w:tr>
      <w:tr w:rsidR="00BB14B5" w:rsidRPr="00BB14B5" w14:paraId="71AA84D3" w14:textId="77777777" w:rsidTr="00BB14B5">
        <w:trPr>
          <w:trHeight w:val="210"/>
        </w:trPr>
        <w:tc>
          <w:tcPr>
            <w:tcW w:w="4280" w:type="dxa"/>
            <w:tcBorders>
              <w:top w:val="nil"/>
              <w:left w:val="nil"/>
              <w:bottom w:val="nil"/>
              <w:right w:val="nil"/>
            </w:tcBorders>
            <w:shd w:val="clear" w:color="auto" w:fill="auto"/>
            <w:hideMark/>
          </w:tcPr>
          <w:p w14:paraId="65A7B1F5"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 xml:space="preserve">Per capita intoxication rate substance </w:t>
            </w:r>
            <w:proofErr w:type="gramStart"/>
            <w:r w:rsidRPr="00BB14B5">
              <w:rPr>
                <w:rFonts w:ascii="Times New Roman" w:eastAsia="Times New Roman" w:hAnsi="Times New Roman"/>
                <w:color w:val="000000"/>
                <w:sz w:val="16"/>
                <w:szCs w:val="16"/>
                <w:lang w:eastAsia="en-AU"/>
              </w:rPr>
              <w:t>use</w:t>
            </w:r>
            <w:proofErr w:type="gramEnd"/>
            <w:r w:rsidRPr="00BB14B5">
              <w:rPr>
                <w:rFonts w:ascii="Times New Roman" w:eastAsia="Times New Roman" w:hAnsi="Times New Roman"/>
                <w:color w:val="000000"/>
                <w:sz w:val="16"/>
                <w:szCs w:val="16"/>
                <w:lang w:eastAsia="en-AU"/>
              </w:rPr>
              <w:t xml:space="preserve"> problems 18+</w:t>
            </w:r>
          </w:p>
        </w:tc>
        <w:tc>
          <w:tcPr>
            <w:tcW w:w="1000" w:type="dxa"/>
            <w:tcBorders>
              <w:top w:val="nil"/>
              <w:left w:val="nil"/>
              <w:bottom w:val="nil"/>
              <w:right w:val="nil"/>
            </w:tcBorders>
            <w:shd w:val="clear" w:color="auto" w:fill="auto"/>
            <w:hideMark/>
          </w:tcPr>
          <w:p w14:paraId="6D62FB10"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0.003297745</w:t>
            </w:r>
          </w:p>
        </w:tc>
        <w:tc>
          <w:tcPr>
            <w:tcW w:w="8580" w:type="dxa"/>
            <w:tcBorders>
              <w:top w:val="nil"/>
              <w:left w:val="nil"/>
              <w:bottom w:val="nil"/>
              <w:right w:val="nil"/>
            </w:tcBorders>
            <w:shd w:val="clear" w:color="auto" w:fill="auto"/>
            <w:hideMark/>
          </w:tcPr>
          <w:p w14:paraId="094686B5"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Per capita health services presentation rate per year.  Estimated via constrained optimisation.</w:t>
            </w:r>
          </w:p>
        </w:tc>
      </w:tr>
      <w:tr w:rsidR="00BB14B5" w:rsidRPr="00BB14B5" w14:paraId="6E1BC25B" w14:textId="77777777" w:rsidTr="00BB14B5">
        <w:trPr>
          <w:trHeight w:val="210"/>
        </w:trPr>
        <w:tc>
          <w:tcPr>
            <w:tcW w:w="4280" w:type="dxa"/>
            <w:tcBorders>
              <w:top w:val="nil"/>
              <w:left w:val="nil"/>
              <w:bottom w:val="nil"/>
              <w:right w:val="nil"/>
            </w:tcBorders>
            <w:shd w:val="clear" w:color="000000" w:fill="F2F2F2"/>
            <w:hideMark/>
          </w:tcPr>
          <w:p w14:paraId="35B67FE6"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 xml:space="preserve">Per capita recovery rate substance </w:t>
            </w:r>
            <w:proofErr w:type="gramStart"/>
            <w:r w:rsidRPr="00BB14B5">
              <w:rPr>
                <w:rFonts w:ascii="Times New Roman" w:eastAsia="Times New Roman" w:hAnsi="Times New Roman"/>
                <w:color w:val="000000"/>
                <w:sz w:val="16"/>
                <w:szCs w:val="16"/>
                <w:lang w:eastAsia="en-AU"/>
              </w:rPr>
              <w:t>use</w:t>
            </w:r>
            <w:proofErr w:type="gramEnd"/>
            <w:r w:rsidRPr="00BB14B5">
              <w:rPr>
                <w:rFonts w:ascii="Times New Roman" w:eastAsia="Times New Roman" w:hAnsi="Times New Roman"/>
                <w:color w:val="000000"/>
                <w:sz w:val="16"/>
                <w:szCs w:val="16"/>
                <w:lang w:eastAsia="en-AU"/>
              </w:rPr>
              <w:t xml:space="preserve"> problems</w:t>
            </w:r>
          </w:p>
        </w:tc>
        <w:tc>
          <w:tcPr>
            <w:tcW w:w="1000" w:type="dxa"/>
            <w:tcBorders>
              <w:top w:val="nil"/>
              <w:left w:val="nil"/>
              <w:bottom w:val="nil"/>
              <w:right w:val="nil"/>
            </w:tcBorders>
            <w:shd w:val="clear" w:color="000000" w:fill="F2F2F2"/>
            <w:hideMark/>
          </w:tcPr>
          <w:p w14:paraId="35556E1A"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0.241</w:t>
            </w:r>
          </w:p>
        </w:tc>
        <w:tc>
          <w:tcPr>
            <w:tcW w:w="8580" w:type="dxa"/>
            <w:tcBorders>
              <w:top w:val="nil"/>
              <w:left w:val="nil"/>
              <w:bottom w:val="nil"/>
              <w:right w:val="nil"/>
            </w:tcBorders>
            <w:shd w:val="clear" w:color="000000" w:fill="F2F2F2"/>
            <w:hideMark/>
          </w:tcPr>
          <w:p w14:paraId="296DA33A"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Derived from Miller et al. (2001, J. Stud. Alcohol 62, 211-220)</w:t>
            </w:r>
          </w:p>
        </w:tc>
      </w:tr>
      <w:tr w:rsidR="00BB14B5" w:rsidRPr="00BB14B5" w14:paraId="61676922" w14:textId="77777777" w:rsidTr="00BB14B5">
        <w:trPr>
          <w:trHeight w:val="420"/>
        </w:trPr>
        <w:tc>
          <w:tcPr>
            <w:tcW w:w="4280" w:type="dxa"/>
            <w:tcBorders>
              <w:top w:val="nil"/>
              <w:left w:val="nil"/>
              <w:bottom w:val="nil"/>
              <w:right w:val="nil"/>
            </w:tcBorders>
            <w:shd w:val="clear" w:color="auto" w:fill="auto"/>
            <w:hideMark/>
          </w:tcPr>
          <w:p w14:paraId="39FC188B"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Substance use problems hazard ratio developmental vulnerability</w:t>
            </w:r>
          </w:p>
        </w:tc>
        <w:tc>
          <w:tcPr>
            <w:tcW w:w="1000" w:type="dxa"/>
            <w:tcBorders>
              <w:top w:val="nil"/>
              <w:left w:val="nil"/>
              <w:bottom w:val="nil"/>
              <w:right w:val="nil"/>
            </w:tcBorders>
            <w:shd w:val="clear" w:color="auto" w:fill="auto"/>
            <w:hideMark/>
          </w:tcPr>
          <w:p w14:paraId="17464D29"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1.62</w:t>
            </w:r>
          </w:p>
        </w:tc>
        <w:tc>
          <w:tcPr>
            <w:tcW w:w="8580" w:type="dxa"/>
            <w:tcBorders>
              <w:top w:val="nil"/>
              <w:left w:val="nil"/>
              <w:bottom w:val="nil"/>
              <w:right w:val="nil"/>
            </w:tcBorders>
            <w:shd w:val="clear" w:color="auto" w:fill="auto"/>
            <w:hideMark/>
          </w:tcPr>
          <w:p w14:paraId="7F0AEE5D"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Derived from Crum et al. (2008, Addict. Behav. 33, 24-40)</w:t>
            </w:r>
          </w:p>
        </w:tc>
      </w:tr>
      <w:tr w:rsidR="00BB14B5" w:rsidRPr="00BB14B5" w14:paraId="4F9702F3" w14:textId="77777777" w:rsidTr="00BB14B5">
        <w:trPr>
          <w:trHeight w:val="210"/>
        </w:trPr>
        <w:tc>
          <w:tcPr>
            <w:tcW w:w="4280" w:type="dxa"/>
            <w:tcBorders>
              <w:top w:val="nil"/>
              <w:left w:val="nil"/>
              <w:bottom w:val="nil"/>
              <w:right w:val="nil"/>
            </w:tcBorders>
            <w:shd w:val="clear" w:color="000000" w:fill="F2F2F2"/>
            <w:hideMark/>
          </w:tcPr>
          <w:p w14:paraId="57392739"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Substance use problems hazard ratio mental health problems</w:t>
            </w:r>
          </w:p>
        </w:tc>
        <w:tc>
          <w:tcPr>
            <w:tcW w:w="1000" w:type="dxa"/>
            <w:tcBorders>
              <w:top w:val="nil"/>
              <w:left w:val="nil"/>
              <w:bottom w:val="nil"/>
              <w:right w:val="nil"/>
            </w:tcBorders>
            <w:shd w:val="clear" w:color="000000" w:fill="F2F2F2"/>
            <w:hideMark/>
          </w:tcPr>
          <w:p w14:paraId="46A2A8CC"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4.216942756</w:t>
            </w:r>
          </w:p>
        </w:tc>
        <w:tc>
          <w:tcPr>
            <w:tcW w:w="8580" w:type="dxa"/>
            <w:tcBorders>
              <w:top w:val="nil"/>
              <w:left w:val="nil"/>
              <w:bottom w:val="nil"/>
              <w:right w:val="nil"/>
            </w:tcBorders>
            <w:shd w:val="clear" w:color="000000" w:fill="F2F2F2"/>
            <w:hideMark/>
          </w:tcPr>
          <w:p w14:paraId="693273F2"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Derived from Marmorstein et al. (2010, Drug Alcohol Depend. 107, 154-160)</w:t>
            </w:r>
          </w:p>
        </w:tc>
      </w:tr>
      <w:tr w:rsidR="00BB14B5" w:rsidRPr="00BB14B5" w14:paraId="5061C0F8" w14:textId="77777777" w:rsidTr="00BB14B5">
        <w:trPr>
          <w:trHeight w:val="210"/>
        </w:trPr>
        <w:tc>
          <w:tcPr>
            <w:tcW w:w="4280" w:type="dxa"/>
            <w:tcBorders>
              <w:top w:val="nil"/>
              <w:left w:val="nil"/>
              <w:bottom w:val="nil"/>
              <w:right w:val="nil"/>
            </w:tcBorders>
            <w:shd w:val="clear" w:color="auto" w:fill="auto"/>
            <w:hideMark/>
          </w:tcPr>
          <w:p w14:paraId="6F58FDAA"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Substance use problems onset base rate 12-17</w:t>
            </w:r>
          </w:p>
        </w:tc>
        <w:tc>
          <w:tcPr>
            <w:tcW w:w="1000" w:type="dxa"/>
            <w:tcBorders>
              <w:top w:val="nil"/>
              <w:left w:val="nil"/>
              <w:bottom w:val="nil"/>
              <w:right w:val="nil"/>
            </w:tcBorders>
            <w:shd w:val="clear" w:color="auto" w:fill="auto"/>
            <w:hideMark/>
          </w:tcPr>
          <w:p w14:paraId="44085759"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0.008003667</w:t>
            </w:r>
          </w:p>
        </w:tc>
        <w:tc>
          <w:tcPr>
            <w:tcW w:w="8580" w:type="dxa"/>
            <w:tcBorders>
              <w:top w:val="nil"/>
              <w:left w:val="nil"/>
              <w:bottom w:val="nil"/>
              <w:right w:val="nil"/>
            </w:tcBorders>
            <w:shd w:val="clear" w:color="auto" w:fill="auto"/>
            <w:hideMark/>
          </w:tcPr>
          <w:p w14:paraId="0F0BBD16"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Base per capita rate per year.  Estimated via constrained optimisation.</w:t>
            </w:r>
          </w:p>
        </w:tc>
      </w:tr>
      <w:tr w:rsidR="00BB14B5" w:rsidRPr="00BB14B5" w14:paraId="0D4A3A68" w14:textId="77777777" w:rsidTr="00BB14B5">
        <w:trPr>
          <w:trHeight w:val="210"/>
        </w:trPr>
        <w:tc>
          <w:tcPr>
            <w:tcW w:w="4280" w:type="dxa"/>
            <w:tcBorders>
              <w:top w:val="nil"/>
              <w:left w:val="nil"/>
              <w:bottom w:val="nil"/>
              <w:right w:val="nil"/>
            </w:tcBorders>
            <w:shd w:val="clear" w:color="000000" w:fill="F2F2F2"/>
            <w:hideMark/>
          </w:tcPr>
          <w:p w14:paraId="5134CAFA"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lastRenderedPageBreak/>
              <w:t>Substance use problems onset base rate 18+</w:t>
            </w:r>
          </w:p>
        </w:tc>
        <w:tc>
          <w:tcPr>
            <w:tcW w:w="1000" w:type="dxa"/>
            <w:tcBorders>
              <w:top w:val="nil"/>
              <w:left w:val="nil"/>
              <w:bottom w:val="nil"/>
              <w:right w:val="nil"/>
            </w:tcBorders>
            <w:shd w:val="clear" w:color="000000" w:fill="F2F2F2"/>
            <w:hideMark/>
          </w:tcPr>
          <w:p w14:paraId="715BAD56"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0.020359794</w:t>
            </w:r>
          </w:p>
        </w:tc>
        <w:tc>
          <w:tcPr>
            <w:tcW w:w="8580" w:type="dxa"/>
            <w:tcBorders>
              <w:top w:val="nil"/>
              <w:left w:val="nil"/>
              <w:bottom w:val="nil"/>
              <w:right w:val="nil"/>
            </w:tcBorders>
            <w:shd w:val="clear" w:color="000000" w:fill="F2F2F2"/>
            <w:hideMark/>
          </w:tcPr>
          <w:p w14:paraId="6515B83F"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Base per capita rate per year.  Estimated via constrained optimisation.</w:t>
            </w:r>
          </w:p>
        </w:tc>
      </w:tr>
      <w:tr w:rsidR="00BB14B5" w:rsidRPr="00BB14B5" w14:paraId="20A03706" w14:textId="77777777" w:rsidTr="00BB14B5">
        <w:trPr>
          <w:trHeight w:val="420"/>
        </w:trPr>
        <w:tc>
          <w:tcPr>
            <w:tcW w:w="4280" w:type="dxa"/>
            <w:tcBorders>
              <w:top w:val="nil"/>
              <w:left w:val="nil"/>
              <w:bottom w:val="nil"/>
              <w:right w:val="nil"/>
            </w:tcBorders>
            <w:shd w:val="clear" w:color="auto" w:fill="auto"/>
            <w:hideMark/>
          </w:tcPr>
          <w:p w14:paraId="73AF625F"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Substance use problems prevalence initial mental health problems 12-17</w:t>
            </w:r>
          </w:p>
        </w:tc>
        <w:tc>
          <w:tcPr>
            <w:tcW w:w="1000" w:type="dxa"/>
            <w:tcBorders>
              <w:top w:val="nil"/>
              <w:left w:val="nil"/>
              <w:bottom w:val="nil"/>
              <w:right w:val="nil"/>
            </w:tcBorders>
            <w:shd w:val="clear" w:color="auto" w:fill="auto"/>
            <w:hideMark/>
          </w:tcPr>
          <w:p w14:paraId="2A5DD85D"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0.101275786</w:t>
            </w:r>
          </w:p>
        </w:tc>
        <w:tc>
          <w:tcPr>
            <w:tcW w:w="8580" w:type="dxa"/>
            <w:tcBorders>
              <w:top w:val="nil"/>
              <w:left w:val="nil"/>
              <w:bottom w:val="nil"/>
              <w:right w:val="nil"/>
            </w:tcBorders>
            <w:shd w:val="clear" w:color="auto" w:fill="auto"/>
            <w:hideMark/>
          </w:tcPr>
          <w:p w14:paraId="6D423961"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 xml:space="preserve">Initial prevalence of substance </w:t>
            </w:r>
            <w:proofErr w:type="gramStart"/>
            <w:r w:rsidRPr="00BB14B5">
              <w:rPr>
                <w:rFonts w:ascii="Times New Roman" w:eastAsia="Times New Roman" w:hAnsi="Times New Roman"/>
                <w:color w:val="000000"/>
                <w:sz w:val="16"/>
                <w:szCs w:val="16"/>
                <w:lang w:eastAsia="en-AU"/>
              </w:rPr>
              <w:t>use</w:t>
            </w:r>
            <w:proofErr w:type="gramEnd"/>
            <w:r w:rsidRPr="00BB14B5">
              <w:rPr>
                <w:rFonts w:ascii="Times New Roman" w:eastAsia="Times New Roman" w:hAnsi="Times New Roman"/>
                <w:color w:val="000000"/>
                <w:sz w:val="16"/>
                <w:szCs w:val="16"/>
                <w:lang w:eastAsia="en-AU"/>
              </w:rPr>
              <w:t xml:space="preserve"> problems among 12-17-year-olds with significant mental health problems.  Estimated via constrained optimisation.</w:t>
            </w:r>
          </w:p>
        </w:tc>
      </w:tr>
      <w:tr w:rsidR="00BB14B5" w:rsidRPr="00BB14B5" w14:paraId="4AB3766C" w14:textId="77777777" w:rsidTr="00BB14B5">
        <w:trPr>
          <w:trHeight w:val="420"/>
        </w:trPr>
        <w:tc>
          <w:tcPr>
            <w:tcW w:w="4280" w:type="dxa"/>
            <w:tcBorders>
              <w:top w:val="nil"/>
              <w:left w:val="nil"/>
              <w:bottom w:val="nil"/>
              <w:right w:val="nil"/>
            </w:tcBorders>
            <w:shd w:val="clear" w:color="000000" w:fill="F2F2F2"/>
            <w:hideMark/>
          </w:tcPr>
          <w:p w14:paraId="3D6BB387"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Substance use problems prevalence initial mental health problems 18+</w:t>
            </w:r>
          </w:p>
        </w:tc>
        <w:tc>
          <w:tcPr>
            <w:tcW w:w="1000" w:type="dxa"/>
            <w:tcBorders>
              <w:top w:val="nil"/>
              <w:left w:val="nil"/>
              <w:bottom w:val="nil"/>
              <w:right w:val="nil"/>
            </w:tcBorders>
            <w:shd w:val="clear" w:color="000000" w:fill="F2F2F2"/>
            <w:hideMark/>
          </w:tcPr>
          <w:p w14:paraId="67D30D6B"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0.371099227</w:t>
            </w:r>
          </w:p>
        </w:tc>
        <w:tc>
          <w:tcPr>
            <w:tcW w:w="8580" w:type="dxa"/>
            <w:tcBorders>
              <w:top w:val="nil"/>
              <w:left w:val="nil"/>
              <w:bottom w:val="nil"/>
              <w:right w:val="nil"/>
            </w:tcBorders>
            <w:shd w:val="clear" w:color="000000" w:fill="F2F2F2"/>
            <w:hideMark/>
          </w:tcPr>
          <w:p w14:paraId="26B6B7BC"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 xml:space="preserve">Initial prevalence of substance </w:t>
            </w:r>
            <w:proofErr w:type="gramStart"/>
            <w:r w:rsidRPr="00BB14B5">
              <w:rPr>
                <w:rFonts w:ascii="Times New Roman" w:eastAsia="Times New Roman" w:hAnsi="Times New Roman"/>
                <w:color w:val="000000"/>
                <w:sz w:val="16"/>
                <w:szCs w:val="16"/>
                <w:lang w:eastAsia="en-AU"/>
              </w:rPr>
              <w:t>use</w:t>
            </w:r>
            <w:proofErr w:type="gramEnd"/>
            <w:r w:rsidRPr="00BB14B5">
              <w:rPr>
                <w:rFonts w:ascii="Times New Roman" w:eastAsia="Times New Roman" w:hAnsi="Times New Roman"/>
                <w:color w:val="000000"/>
                <w:sz w:val="16"/>
                <w:szCs w:val="16"/>
                <w:lang w:eastAsia="en-AU"/>
              </w:rPr>
              <w:t xml:space="preserve"> problems among adults (aged 18 years and above) with significant mental health problems.  Estimated via constrained optimisation.</w:t>
            </w:r>
          </w:p>
        </w:tc>
      </w:tr>
      <w:tr w:rsidR="00BB14B5" w:rsidRPr="00BB14B5" w14:paraId="1FDD8395" w14:textId="77777777" w:rsidTr="00BB14B5">
        <w:trPr>
          <w:trHeight w:val="420"/>
        </w:trPr>
        <w:tc>
          <w:tcPr>
            <w:tcW w:w="4280" w:type="dxa"/>
            <w:tcBorders>
              <w:top w:val="nil"/>
              <w:left w:val="nil"/>
              <w:bottom w:val="nil"/>
              <w:right w:val="nil"/>
            </w:tcBorders>
            <w:shd w:val="clear" w:color="auto" w:fill="auto"/>
            <w:hideMark/>
          </w:tcPr>
          <w:p w14:paraId="61D2DFE1"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Substance use problems prevalence initial no mental health problems 12-17</w:t>
            </w:r>
          </w:p>
        </w:tc>
        <w:tc>
          <w:tcPr>
            <w:tcW w:w="1000" w:type="dxa"/>
            <w:tcBorders>
              <w:top w:val="nil"/>
              <w:left w:val="nil"/>
              <w:bottom w:val="nil"/>
              <w:right w:val="nil"/>
            </w:tcBorders>
            <w:shd w:val="clear" w:color="auto" w:fill="auto"/>
            <w:hideMark/>
          </w:tcPr>
          <w:p w14:paraId="71E3A1FD"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w:t>
            </w:r>
          </w:p>
        </w:tc>
        <w:tc>
          <w:tcPr>
            <w:tcW w:w="8580" w:type="dxa"/>
            <w:tcBorders>
              <w:top w:val="nil"/>
              <w:left w:val="nil"/>
              <w:bottom w:val="nil"/>
              <w:right w:val="nil"/>
            </w:tcBorders>
            <w:shd w:val="clear" w:color="auto" w:fill="auto"/>
            <w:hideMark/>
          </w:tcPr>
          <w:p w14:paraId="44CA4C4A"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 xml:space="preserve">Initial prevalence of substance </w:t>
            </w:r>
            <w:proofErr w:type="gramStart"/>
            <w:r w:rsidRPr="00BB14B5">
              <w:rPr>
                <w:rFonts w:ascii="Times New Roman" w:eastAsia="Times New Roman" w:hAnsi="Times New Roman"/>
                <w:color w:val="000000"/>
                <w:sz w:val="16"/>
                <w:szCs w:val="16"/>
                <w:lang w:eastAsia="en-AU"/>
              </w:rPr>
              <w:t>use</w:t>
            </w:r>
            <w:proofErr w:type="gramEnd"/>
            <w:r w:rsidRPr="00BB14B5">
              <w:rPr>
                <w:rFonts w:ascii="Times New Roman" w:eastAsia="Times New Roman" w:hAnsi="Times New Roman"/>
                <w:color w:val="000000"/>
                <w:sz w:val="16"/>
                <w:szCs w:val="16"/>
                <w:lang w:eastAsia="en-AU"/>
              </w:rPr>
              <w:t xml:space="preserve"> problems among 12-17-year-olds with no mental health problems.  Estimated via constrained optimisation.</w:t>
            </w:r>
          </w:p>
        </w:tc>
      </w:tr>
      <w:tr w:rsidR="00BB14B5" w:rsidRPr="00BB14B5" w14:paraId="6ACBFDDD" w14:textId="77777777" w:rsidTr="00BB14B5">
        <w:trPr>
          <w:trHeight w:val="420"/>
        </w:trPr>
        <w:tc>
          <w:tcPr>
            <w:tcW w:w="4280" w:type="dxa"/>
            <w:tcBorders>
              <w:top w:val="nil"/>
              <w:left w:val="nil"/>
              <w:bottom w:val="nil"/>
              <w:right w:val="nil"/>
            </w:tcBorders>
            <w:shd w:val="clear" w:color="000000" w:fill="F2F2F2"/>
            <w:hideMark/>
          </w:tcPr>
          <w:p w14:paraId="100DB6A9"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Substance use problems prevalence initial no mental health problems 18+</w:t>
            </w:r>
          </w:p>
        </w:tc>
        <w:tc>
          <w:tcPr>
            <w:tcW w:w="1000" w:type="dxa"/>
            <w:tcBorders>
              <w:top w:val="nil"/>
              <w:left w:val="nil"/>
              <w:bottom w:val="nil"/>
              <w:right w:val="nil"/>
            </w:tcBorders>
            <w:shd w:val="clear" w:color="000000" w:fill="F2F2F2"/>
            <w:hideMark/>
          </w:tcPr>
          <w:p w14:paraId="79252877"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0.032252089</w:t>
            </w:r>
          </w:p>
        </w:tc>
        <w:tc>
          <w:tcPr>
            <w:tcW w:w="8580" w:type="dxa"/>
            <w:tcBorders>
              <w:top w:val="nil"/>
              <w:left w:val="nil"/>
              <w:bottom w:val="nil"/>
              <w:right w:val="nil"/>
            </w:tcBorders>
            <w:shd w:val="clear" w:color="000000" w:fill="F2F2F2"/>
            <w:hideMark/>
          </w:tcPr>
          <w:p w14:paraId="218E4A7A"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 xml:space="preserve">Initial prevalence of substance </w:t>
            </w:r>
            <w:proofErr w:type="gramStart"/>
            <w:r w:rsidRPr="00BB14B5">
              <w:rPr>
                <w:rFonts w:ascii="Times New Roman" w:eastAsia="Times New Roman" w:hAnsi="Times New Roman"/>
                <w:color w:val="000000"/>
                <w:sz w:val="16"/>
                <w:szCs w:val="16"/>
                <w:lang w:eastAsia="en-AU"/>
              </w:rPr>
              <w:t>use</w:t>
            </w:r>
            <w:proofErr w:type="gramEnd"/>
            <w:r w:rsidRPr="00BB14B5">
              <w:rPr>
                <w:rFonts w:ascii="Times New Roman" w:eastAsia="Times New Roman" w:hAnsi="Times New Roman"/>
                <w:color w:val="000000"/>
                <w:sz w:val="16"/>
                <w:szCs w:val="16"/>
                <w:lang w:eastAsia="en-AU"/>
              </w:rPr>
              <w:t xml:space="preserve"> problems among adults (aged 18 years and above) with no mental health problems.  Estimated via constrained optimisation.</w:t>
            </w:r>
          </w:p>
        </w:tc>
      </w:tr>
      <w:tr w:rsidR="00BB14B5" w:rsidRPr="00BB14B5" w14:paraId="07F65BF6" w14:textId="77777777" w:rsidTr="00BB14B5">
        <w:trPr>
          <w:trHeight w:val="210"/>
        </w:trPr>
        <w:tc>
          <w:tcPr>
            <w:tcW w:w="4280" w:type="dxa"/>
            <w:tcBorders>
              <w:top w:val="nil"/>
              <w:left w:val="nil"/>
              <w:bottom w:val="nil"/>
              <w:right w:val="nil"/>
            </w:tcBorders>
            <w:shd w:val="clear" w:color="auto" w:fill="auto"/>
            <w:hideMark/>
          </w:tcPr>
          <w:p w14:paraId="2ED6F56E"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p>
        </w:tc>
        <w:tc>
          <w:tcPr>
            <w:tcW w:w="1000" w:type="dxa"/>
            <w:tcBorders>
              <w:top w:val="nil"/>
              <w:left w:val="nil"/>
              <w:bottom w:val="nil"/>
              <w:right w:val="nil"/>
            </w:tcBorders>
            <w:shd w:val="clear" w:color="auto" w:fill="auto"/>
            <w:hideMark/>
          </w:tcPr>
          <w:p w14:paraId="07925767" w14:textId="77777777" w:rsidR="00BB14B5" w:rsidRPr="00BB14B5" w:rsidRDefault="00BB14B5" w:rsidP="00BB14B5">
            <w:pPr>
              <w:spacing w:line="240" w:lineRule="auto"/>
              <w:rPr>
                <w:rFonts w:ascii="Times New Roman" w:eastAsia="Times New Roman" w:hAnsi="Times New Roman"/>
                <w:color w:val="auto"/>
                <w:sz w:val="20"/>
                <w:szCs w:val="20"/>
                <w:lang w:eastAsia="en-AU"/>
              </w:rPr>
            </w:pPr>
          </w:p>
        </w:tc>
        <w:tc>
          <w:tcPr>
            <w:tcW w:w="8580" w:type="dxa"/>
            <w:tcBorders>
              <w:top w:val="nil"/>
              <w:left w:val="nil"/>
              <w:bottom w:val="nil"/>
              <w:right w:val="nil"/>
            </w:tcBorders>
            <w:shd w:val="clear" w:color="auto" w:fill="auto"/>
            <w:hideMark/>
          </w:tcPr>
          <w:p w14:paraId="142FC71D" w14:textId="77777777" w:rsidR="00BB14B5" w:rsidRPr="00BB14B5" w:rsidRDefault="00BB14B5" w:rsidP="00BB14B5">
            <w:pPr>
              <w:spacing w:line="240" w:lineRule="auto"/>
              <w:rPr>
                <w:rFonts w:ascii="Times New Roman" w:eastAsia="Times New Roman" w:hAnsi="Times New Roman"/>
                <w:color w:val="auto"/>
                <w:sz w:val="20"/>
                <w:szCs w:val="20"/>
                <w:lang w:eastAsia="en-AU"/>
              </w:rPr>
            </w:pPr>
          </w:p>
        </w:tc>
      </w:tr>
      <w:tr w:rsidR="00BB14B5" w:rsidRPr="00BB14B5" w14:paraId="1CCB1381" w14:textId="77777777" w:rsidTr="00BB14B5">
        <w:trPr>
          <w:trHeight w:val="210"/>
        </w:trPr>
        <w:tc>
          <w:tcPr>
            <w:tcW w:w="4280" w:type="dxa"/>
            <w:tcBorders>
              <w:top w:val="nil"/>
              <w:left w:val="nil"/>
              <w:bottom w:val="nil"/>
              <w:right w:val="nil"/>
            </w:tcBorders>
            <w:shd w:val="clear" w:color="000000" w:fill="D9D9D9"/>
            <w:hideMark/>
          </w:tcPr>
          <w:p w14:paraId="1132973B"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Family violence and violent crime sector</w:t>
            </w:r>
          </w:p>
        </w:tc>
        <w:tc>
          <w:tcPr>
            <w:tcW w:w="1000" w:type="dxa"/>
            <w:tcBorders>
              <w:top w:val="nil"/>
              <w:left w:val="nil"/>
              <w:bottom w:val="nil"/>
              <w:right w:val="nil"/>
            </w:tcBorders>
            <w:shd w:val="clear" w:color="000000" w:fill="D9D9D9"/>
            <w:hideMark/>
          </w:tcPr>
          <w:p w14:paraId="5CE06203"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 </w:t>
            </w:r>
          </w:p>
        </w:tc>
        <w:tc>
          <w:tcPr>
            <w:tcW w:w="8580" w:type="dxa"/>
            <w:tcBorders>
              <w:top w:val="nil"/>
              <w:left w:val="nil"/>
              <w:bottom w:val="nil"/>
              <w:right w:val="nil"/>
            </w:tcBorders>
            <w:shd w:val="clear" w:color="000000" w:fill="D9D9D9"/>
            <w:hideMark/>
          </w:tcPr>
          <w:p w14:paraId="271CF40B"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 </w:t>
            </w:r>
          </w:p>
        </w:tc>
      </w:tr>
      <w:tr w:rsidR="00BB14B5" w:rsidRPr="00BB14B5" w14:paraId="2E60441E" w14:textId="77777777" w:rsidTr="00BB14B5">
        <w:trPr>
          <w:trHeight w:val="210"/>
        </w:trPr>
        <w:tc>
          <w:tcPr>
            <w:tcW w:w="4280" w:type="dxa"/>
            <w:tcBorders>
              <w:top w:val="nil"/>
              <w:left w:val="nil"/>
              <w:bottom w:val="nil"/>
              <w:right w:val="nil"/>
            </w:tcBorders>
            <w:shd w:val="clear" w:color="auto" w:fill="auto"/>
            <w:hideMark/>
          </w:tcPr>
          <w:p w14:paraId="35B7F69C"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p>
        </w:tc>
        <w:tc>
          <w:tcPr>
            <w:tcW w:w="1000" w:type="dxa"/>
            <w:tcBorders>
              <w:top w:val="nil"/>
              <w:left w:val="nil"/>
              <w:bottom w:val="nil"/>
              <w:right w:val="nil"/>
            </w:tcBorders>
            <w:shd w:val="clear" w:color="auto" w:fill="auto"/>
            <w:hideMark/>
          </w:tcPr>
          <w:p w14:paraId="6D7C81BB" w14:textId="77777777" w:rsidR="00BB14B5" w:rsidRPr="00BB14B5" w:rsidRDefault="00BB14B5" w:rsidP="00BB14B5">
            <w:pPr>
              <w:spacing w:line="240" w:lineRule="auto"/>
              <w:rPr>
                <w:rFonts w:ascii="Times New Roman" w:eastAsia="Times New Roman" w:hAnsi="Times New Roman"/>
                <w:color w:val="auto"/>
                <w:sz w:val="20"/>
                <w:szCs w:val="20"/>
                <w:lang w:eastAsia="en-AU"/>
              </w:rPr>
            </w:pPr>
          </w:p>
        </w:tc>
        <w:tc>
          <w:tcPr>
            <w:tcW w:w="8580" w:type="dxa"/>
            <w:tcBorders>
              <w:top w:val="nil"/>
              <w:left w:val="nil"/>
              <w:bottom w:val="nil"/>
              <w:right w:val="nil"/>
            </w:tcBorders>
            <w:shd w:val="clear" w:color="auto" w:fill="auto"/>
            <w:hideMark/>
          </w:tcPr>
          <w:p w14:paraId="5C89D293" w14:textId="77777777" w:rsidR="00BB14B5" w:rsidRPr="00BB14B5" w:rsidRDefault="00BB14B5" w:rsidP="00BB14B5">
            <w:pPr>
              <w:spacing w:line="240" w:lineRule="auto"/>
              <w:rPr>
                <w:rFonts w:ascii="Times New Roman" w:eastAsia="Times New Roman" w:hAnsi="Times New Roman"/>
                <w:color w:val="auto"/>
                <w:sz w:val="20"/>
                <w:szCs w:val="20"/>
                <w:lang w:eastAsia="en-AU"/>
              </w:rPr>
            </w:pPr>
          </w:p>
        </w:tc>
      </w:tr>
      <w:tr w:rsidR="00BB14B5" w:rsidRPr="00BB14B5" w14:paraId="1D94DCD3" w14:textId="77777777" w:rsidTr="00BB14B5">
        <w:trPr>
          <w:trHeight w:val="210"/>
        </w:trPr>
        <w:tc>
          <w:tcPr>
            <w:tcW w:w="4280" w:type="dxa"/>
            <w:tcBorders>
              <w:top w:val="nil"/>
              <w:left w:val="nil"/>
              <w:bottom w:val="nil"/>
              <w:right w:val="nil"/>
            </w:tcBorders>
            <w:shd w:val="clear" w:color="000000" w:fill="F2F2F2"/>
            <w:hideMark/>
          </w:tcPr>
          <w:p w14:paraId="3E221042"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Family violence base rate fractional increase per year 0-6</w:t>
            </w:r>
          </w:p>
        </w:tc>
        <w:tc>
          <w:tcPr>
            <w:tcW w:w="1000" w:type="dxa"/>
            <w:tcBorders>
              <w:top w:val="nil"/>
              <w:left w:val="nil"/>
              <w:bottom w:val="nil"/>
              <w:right w:val="nil"/>
            </w:tcBorders>
            <w:shd w:val="clear" w:color="000000" w:fill="F2F2F2"/>
            <w:hideMark/>
          </w:tcPr>
          <w:p w14:paraId="3BD69A41"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-0.00021152</w:t>
            </w:r>
          </w:p>
        </w:tc>
        <w:tc>
          <w:tcPr>
            <w:tcW w:w="8580" w:type="dxa"/>
            <w:tcBorders>
              <w:top w:val="nil"/>
              <w:left w:val="nil"/>
              <w:bottom w:val="nil"/>
              <w:right w:val="nil"/>
            </w:tcBorders>
            <w:shd w:val="clear" w:color="000000" w:fill="F2F2F2"/>
            <w:hideMark/>
          </w:tcPr>
          <w:p w14:paraId="32E88721"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Base per capita exposure rate increase per year.  Estimated via constrained optimisation.</w:t>
            </w:r>
          </w:p>
        </w:tc>
      </w:tr>
      <w:tr w:rsidR="00BB14B5" w:rsidRPr="00BB14B5" w14:paraId="600D2B2A" w14:textId="77777777" w:rsidTr="00BB14B5">
        <w:trPr>
          <w:trHeight w:val="210"/>
        </w:trPr>
        <w:tc>
          <w:tcPr>
            <w:tcW w:w="4280" w:type="dxa"/>
            <w:tcBorders>
              <w:top w:val="nil"/>
              <w:left w:val="nil"/>
              <w:bottom w:val="nil"/>
              <w:right w:val="nil"/>
            </w:tcBorders>
            <w:shd w:val="clear" w:color="auto" w:fill="auto"/>
            <w:hideMark/>
          </w:tcPr>
          <w:p w14:paraId="72E84A57"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Family violence base rate fractional increase per year 7-11</w:t>
            </w:r>
          </w:p>
        </w:tc>
        <w:tc>
          <w:tcPr>
            <w:tcW w:w="1000" w:type="dxa"/>
            <w:tcBorders>
              <w:top w:val="nil"/>
              <w:left w:val="nil"/>
              <w:bottom w:val="nil"/>
              <w:right w:val="nil"/>
            </w:tcBorders>
            <w:shd w:val="clear" w:color="auto" w:fill="auto"/>
            <w:hideMark/>
          </w:tcPr>
          <w:p w14:paraId="5478D494"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0.000304191</w:t>
            </w:r>
          </w:p>
        </w:tc>
        <w:tc>
          <w:tcPr>
            <w:tcW w:w="8580" w:type="dxa"/>
            <w:tcBorders>
              <w:top w:val="nil"/>
              <w:left w:val="nil"/>
              <w:bottom w:val="nil"/>
              <w:right w:val="nil"/>
            </w:tcBorders>
            <w:shd w:val="clear" w:color="auto" w:fill="auto"/>
            <w:hideMark/>
          </w:tcPr>
          <w:p w14:paraId="3A801E0A"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Base per capita exposure rate increase per year.  Estimated via constrained optimisation.</w:t>
            </w:r>
          </w:p>
        </w:tc>
      </w:tr>
      <w:tr w:rsidR="00BB14B5" w:rsidRPr="00BB14B5" w14:paraId="5F10923A" w14:textId="77777777" w:rsidTr="00BB14B5">
        <w:trPr>
          <w:trHeight w:val="210"/>
        </w:trPr>
        <w:tc>
          <w:tcPr>
            <w:tcW w:w="4280" w:type="dxa"/>
            <w:tcBorders>
              <w:top w:val="nil"/>
              <w:left w:val="nil"/>
              <w:bottom w:val="nil"/>
              <w:right w:val="nil"/>
            </w:tcBorders>
            <w:shd w:val="clear" w:color="000000" w:fill="F2F2F2"/>
            <w:hideMark/>
          </w:tcPr>
          <w:p w14:paraId="743DD9AC"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Family violence base rate fractional increase per year 12-17</w:t>
            </w:r>
          </w:p>
        </w:tc>
        <w:tc>
          <w:tcPr>
            <w:tcW w:w="1000" w:type="dxa"/>
            <w:tcBorders>
              <w:top w:val="nil"/>
              <w:left w:val="nil"/>
              <w:bottom w:val="nil"/>
              <w:right w:val="nil"/>
            </w:tcBorders>
            <w:shd w:val="clear" w:color="000000" w:fill="F2F2F2"/>
            <w:hideMark/>
          </w:tcPr>
          <w:p w14:paraId="03D49F83"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-0.00072565</w:t>
            </w:r>
          </w:p>
        </w:tc>
        <w:tc>
          <w:tcPr>
            <w:tcW w:w="8580" w:type="dxa"/>
            <w:tcBorders>
              <w:top w:val="nil"/>
              <w:left w:val="nil"/>
              <w:bottom w:val="nil"/>
              <w:right w:val="nil"/>
            </w:tcBorders>
            <w:shd w:val="clear" w:color="000000" w:fill="F2F2F2"/>
            <w:hideMark/>
          </w:tcPr>
          <w:p w14:paraId="0EF81A2B"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Base per capita exposure rate increase per year.  Estimated via constrained optimisation.</w:t>
            </w:r>
          </w:p>
        </w:tc>
      </w:tr>
      <w:tr w:rsidR="00BB14B5" w:rsidRPr="00BB14B5" w14:paraId="02740A34" w14:textId="77777777" w:rsidTr="00BB14B5">
        <w:trPr>
          <w:trHeight w:val="210"/>
        </w:trPr>
        <w:tc>
          <w:tcPr>
            <w:tcW w:w="4280" w:type="dxa"/>
            <w:tcBorders>
              <w:top w:val="nil"/>
              <w:left w:val="nil"/>
              <w:bottom w:val="nil"/>
              <w:right w:val="nil"/>
            </w:tcBorders>
            <w:shd w:val="clear" w:color="auto" w:fill="auto"/>
            <w:hideMark/>
          </w:tcPr>
          <w:p w14:paraId="19C6942A"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Family violence base rate fractional increase per year 18+</w:t>
            </w:r>
          </w:p>
        </w:tc>
        <w:tc>
          <w:tcPr>
            <w:tcW w:w="1000" w:type="dxa"/>
            <w:tcBorders>
              <w:top w:val="nil"/>
              <w:left w:val="nil"/>
              <w:bottom w:val="nil"/>
              <w:right w:val="nil"/>
            </w:tcBorders>
            <w:shd w:val="clear" w:color="auto" w:fill="auto"/>
            <w:hideMark/>
          </w:tcPr>
          <w:p w14:paraId="722EC19B"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-0.00013935</w:t>
            </w:r>
          </w:p>
        </w:tc>
        <w:tc>
          <w:tcPr>
            <w:tcW w:w="8580" w:type="dxa"/>
            <w:tcBorders>
              <w:top w:val="nil"/>
              <w:left w:val="nil"/>
              <w:bottom w:val="nil"/>
              <w:right w:val="nil"/>
            </w:tcBorders>
            <w:shd w:val="clear" w:color="auto" w:fill="auto"/>
            <w:hideMark/>
          </w:tcPr>
          <w:p w14:paraId="06C659EA"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Base per capita exposure rate increase per year.  Estimated via constrained optimisation.</w:t>
            </w:r>
          </w:p>
        </w:tc>
      </w:tr>
      <w:tr w:rsidR="00BB14B5" w:rsidRPr="00BB14B5" w14:paraId="2024D9F5" w14:textId="77777777" w:rsidTr="00BB14B5">
        <w:trPr>
          <w:trHeight w:val="210"/>
        </w:trPr>
        <w:tc>
          <w:tcPr>
            <w:tcW w:w="4280" w:type="dxa"/>
            <w:tcBorders>
              <w:top w:val="nil"/>
              <w:left w:val="nil"/>
              <w:bottom w:val="nil"/>
              <w:right w:val="nil"/>
            </w:tcBorders>
            <w:shd w:val="clear" w:color="000000" w:fill="F2F2F2"/>
            <w:hideMark/>
          </w:tcPr>
          <w:p w14:paraId="38B8161A"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Family violence base rate initial 0-6</w:t>
            </w:r>
          </w:p>
        </w:tc>
        <w:tc>
          <w:tcPr>
            <w:tcW w:w="1000" w:type="dxa"/>
            <w:tcBorders>
              <w:top w:val="nil"/>
              <w:left w:val="nil"/>
              <w:bottom w:val="nil"/>
              <w:right w:val="nil"/>
            </w:tcBorders>
            <w:shd w:val="clear" w:color="000000" w:fill="F2F2F2"/>
            <w:hideMark/>
          </w:tcPr>
          <w:p w14:paraId="0934B98B"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0.008377533</w:t>
            </w:r>
          </w:p>
        </w:tc>
        <w:tc>
          <w:tcPr>
            <w:tcW w:w="8580" w:type="dxa"/>
            <w:tcBorders>
              <w:top w:val="nil"/>
              <w:left w:val="nil"/>
              <w:bottom w:val="nil"/>
              <w:right w:val="nil"/>
            </w:tcBorders>
            <w:shd w:val="clear" w:color="000000" w:fill="F2F2F2"/>
            <w:hideMark/>
          </w:tcPr>
          <w:p w14:paraId="46BEC8A9"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Initial base per capita exposure rate per year.  Estimated via constrained optimisation.</w:t>
            </w:r>
          </w:p>
        </w:tc>
      </w:tr>
      <w:tr w:rsidR="00BB14B5" w:rsidRPr="00BB14B5" w14:paraId="374688EE" w14:textId="77777777" w:rsidTr="00BB14B5">
        <w:trPr>
          <w:trHeight w:val="210"/>
        </w:trPr>
        <w:tc>
          <w:tcPr>
            <w:tcW w:w="4280" w:type="dxa"/>
            <w:tcBorders>
              <w:top w:val="nil"/>
              <w:left w:val="nil"/>
              <w:bottom w:val="nil"/>
              <w:right w:val="nil"/>
            </w:tcBorders>
            <w:shd w:val="clear" w:color="auto" w:fill="auto"/>
            <w:hideMark/>
          </w:tcPr>
          <w:p w14:paraId="40CA4852"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Family violence base rate initial 7-11</w:t>
            </w:r>
          </w:p>
        </w:tc>
        <w:tc>
          <w:tcPr>
            <w:tcW w:w="1000" w:type="dxa"/>
            <w:tcBorders>
              <w:top w:val="nil"/>
              <w:left w:val="nil"/>
              <w:bottom w:val="nil"/>
              <w:right w:val="nil"/>
            </w:tcBorders>
            <w:shd w:val="clear" w:color="auto" w:fill="auto"/>
            <w:hideMark/>
          </w:tcPr>
          <w:p w14:paraId="2B455419"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0.00506505</w:t>
            </w:r>
          </w:p>
        </w:tc>
        <w:tc>
          <w:tcPr>
            <w:tcW w:w="8580" w:type="dxa"/>
            <w:tcBorders>
              <w:top w:val="nil"/>
              <w:left w:val="nil"/>
              <w:bottom w:val="nil"/>
              <w:right w:val="nil"/>
            </w:tcBorders>
            <w:shd w:val="clear" w:color="auto" w:fill="auto"/>
            <w:hideMark/>
          </w:tcPr>
          <w:p w14:paraId="1DB8028C"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Initial base per capita exposure rate per year.  Estimated via constrained optimisation.</w:t>
            </w:r>
          </w:p>
        </w:tc>
      </w:tr>
      <w:tr w:rsidR="00BB14B5" w:rsidRPr="00BB14B5" w14:paraId="1DD80C6D" w14:textId="77777777" w:rsidTr="00BB14B5">
        <w:trPr>
          <w:trHeight w:val="210"/>
        </w:trPr>
        <w:tc>
          <w:tcPr>
            <w:tcW w:w="4280" w:type="dxa"/>
            <w:tcBorders>
              <w:top w:val="nil"/>
              <w:left w:val="nil"/>
              <w:bottom w:val="nil"/>
              <w:right w:val="nil"/>
            </w:tcBorders>
            <w:shd w:val="clear" w:color="000000" w:fill="F2F2F2"/>
            <w:hideMark/>
          </w:tcPr>
          <w:p w14:paraId="27FFE4A9"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Family violence base rate initial 12-17</w:t>
            </w:r>
          </w:p>
        </w:tc>
        <w:tc>
          <w:tcPr>
            <w:tcW w:w="1000" w:type="dxa"/>
            <w:tcBorders>
              <w:top w:val="nil"/>
              <w:left w:val="nil"/>
              <w:bottom w:val="nil"/>
              <w:right w:val="nil"/>
            </w:tcBorders>
            <w:shd w:val="clear" w:color="000000" w:fill="F2F2F2"/>
            <w:hideMark/>
          </w:tcPr>
          <w:p w14:paraId="1EF3E4D7"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0.006921743</w:t>
            </w:r>
          </w:p>
        </w:tc>
        <w:tc>
          <w:tcPr>
            <w:tcW w:w="8580" w:type="dxa"/>
            <w:tcBorders>
              <w:top w:val="nil"/>
              <w:left w:val="nil"/>
              <w:bottom w:val="nil"/>
              <w:right w:val="nil"/>
            </w:tcBorders>
            <w:shd w:val="clear" w:color="000000" w:fill="F2F2F2"/>
            <w:hideMark/>
          </w:tcPr>
          <w:p w14:paraId="0D9EBD7D"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Initial base per capita exposure rate per year.  Estimated via constrained optimisation.</w:t>
            </w:r>
          </w:p>
        </w:tc>
      </w:tr>
      <w:tr w:rsidR="00BB14B5" w:rsidRPr="00BB14B5" w14:paraId="2F1B6C91" w14:textId="77777777" w:rsidTr="00BB14B5">
        <w:trPr>
          <w:trHeight w:val="210"/>
        </w:trPr>
        <w:tc>
          <w:tcPr>
            <w:tcW w:w="4280" w:type="dxa"/>
            <w:tcBorders>
              <w:top w:val="nil"/>
              <w:left w:val="nil"/>
              <w:bottom w:val="nil"/>
              <w:right w:val="nil"/>
            </w:tcBorders>
            <w:shd w:val="clear" w:color="auto" w:fill="auto"/>
            <w:hideMark/>
          </w:tcPr>
          <w:p w14:paraId="046164ED"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Family violence base rate initial 18+</w:t>
            </w:r>
          </w:p>
        </w:tc>
        <w:tc>
          <w:tcPr>
            <w:tcW w:w="1000" w:type="dxa"/>
            <w:tcBorders>
              <w:top w:val="nil"/>
              <w:left w:val="nil"/>
              <w:bottom w:val="nil"/>
              <w:right w:val="nil"/>
            </w:tcBorders>
            <w:shd w:val="clear" w:color="auto" w:fill="auto"/>
            <w:hideMark/>
          </w:tcPr>
          <w:p w14:paraId="27699BD6"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0.001526139</w:t>
            </w:r>
          </w:p>
        </w:tc>
        <w:tc>
          <w:tcPr>
            <w:tcW w:w="8580" w:type="dxa"/>
            <w:tcBorders>
              <w:top w:val="nil"/>
              <w:left w:val="nil"/>
              <w:bottom w:val="nil"/>
              <w:right w:val="nil"/>
            </w:tcBorders>
            <w:shd w:val="clear" w:color="auto" w:fill="auto"/>
            <w:hideMark/>
          </w:tcPr>
          <w:p w14:paraId="198C1C03"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Initial base per capita exposure rate per year.  Estimated via constrained optimisation.</w:t>
            </w:r>
          </w:p>
        </w:tc>
      </w:tr>
      <w:tr w:rsidR="00BB14B5" w:rsidRPr="00BB14B5" w14:paraId="427EFB1E" w14:textId="77777777" w:rsidTr="00BB14B5">
        <w:trPr>
          <w:trHeight w:val="210"/>
        </w:trPr>
        <w:tc>
          <w:tcPr>
            <w:tcW w:w="4280" w:type="dxa"/>
            <w:tcBorders>
              <w:top w:val="nil"/>
              <w:left w:val="nil"/>
              <w:bottom w:val="nil"/>
              <w:right w:val="nil"/>
            </w:tcBorders>
            <w:shd w:val="clear" w:color="000000" w:fill="F2F2F2"/>
            <w:hideMark/>
          </w:tcPr>
          <w:p w14:paraId="4A20C979"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Family violence hazard ratio substance use problems</w:t>
            </w:r>
          </w:p>
        </w:tc>
        <w:tc>
          <w:tcPr>
            <w:tcW w:w="1000" w:type="dxa"/>
            <w:tcBorders>
              <w:top w:val="nil"/>
              <w:left w:val="nil"/>
              <w:bottom w:val="nil"/>
              <w:right w:val="nil"/>
            </w:tcBorders>
            <w:shd w:val="clear" w:color="000000" w:fill="F2F2F2"/>
            <w:hideMark/>
          </w:tcPr>
          <w:p w14:paraId="66DDF5C8"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3.6</w:t>
            </w:r>
          </w:p>
        </w:tc>
        <w:tc>
          <w:tcPr>
            <w:tcW w:w="8580" w:type="dxa"/>
            <w:tcBorders>
              <w:top w:val="nil"/>
              <w:left w:val="nil"/>
              <w:bottom w:val="nil"/>
              <w:right w:val="nil"/>
            </w:tcBorders>
            <w:shd w:val="clear" w:color="000000" w:fill="F2F2F2"/>
            <w:hideMark/>
          </w:tcPr>
          <w:p w14:paraId="6C2AD6CA"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Derived from Kyriacou et al. (1999, N. Engl. J. Med. 341, 1892-1898)</w:t>
            </w:r>
          </w:p>
        </w:tc>
      </w:tr>
      <w:tr w:rsidR="00BB14B5" w:rsidRPr="00BB14B5" w14:paraId="6BD125DE" w14:textId="77777777" w:rsidTr="00BB14B5">
        <w:trPr>
          <w:trHeight w:val="210"/>
        </w:trPr>
        <w:tc>
          <w:tcPr>
            <w:tcW w:w="4280" w:type="dxa"/>
            <w:tcBorders>
              <w:top w:val="nil"/>
              <w:left w:val="nil"/>
              <w:bottom w:val="nil"/>
              <w:right w:val="nil"/>
            </w:tcBorders>
            <w:shd w:val="clear" w:color="auto" w:fill="auto"/>
            <w:hideMark/>
          </w:tcPr>
          <w:p w14:paraId="1C7491EE"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Family violence hazard ratio unemployment</w:t>
            </w:r>
          </w:p>
        </w:tc>
        <w:tc>
          <w:tcPr>
            <w:tcW w:w="1000" w:type="dxa"/>
            <w:tcBorders>
              <w:top w:val="nil"/>
              <w:left w:val="nil"/>
              <w:bottom w:val="nil"/>
              <w:right w:val="nil"/>
            </w:tcBorders>
            <w:shd w:val="clear" w:color="auto" w:fill="auto"/>
            <w:hideMark/>
          </w:tcPr>
          <w:p w14:paraId="3F0F1DBE"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2.4</w:t>
            </w:r>
          </w:p>
        </w:tc>
        <w:tc>
          <w:tcPr>
            <w:tcW w:w="8580" w:type="dxa"/>
            <w:tcBorders>
              <w:top w:val="nil"/>
              <w:left w:val="nil"/>
              <w:bottom w:val="nil"/>
              <w:right w:val="nil"/>
            </w:tcBorders>
            <w:shd w:val="clear" w:color="auto" w:fill="auto"/>
            <w:hideMark/>
          </w:tcPr>
          <w:p w14:paraId="41F4EA66"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Derived from Kyriacou et al. (1999, N. Engl. J. Med. 341, 1892-1898)</w:t>
            </w:r>
          </w:p>
        </w:tc>
      </w:tr>
      <w:tr w:rsidR="00BB14B5" w:rsidRPr="00BB14B5" w14:paraId="177CEA7F" w14:textId="77777777" w:rsidTr="00BB14B5">
        <w:trPr>
          <w:trHeight w:val="210"/>
        </w:trPr>
        <w:tc>
          <w:tcPr>
            <w:tcW w:w="4280" w:type="dxa"/>
            <w:tcBorders>
              <w:top w:val="nil"/>
              <w:left w:val="nil"/>
              <w:bottom w:val="nil"/>
              <w:right w:val="nil"/>
            </w:tcBorders>
            <w:shd w:val="clear" w:color="000000" w:fill="F2F2F2"/>
            <w:hideMark/>
          </w:tcPr>
          <w:p w14:paraId="51A6952E"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Physical assault base rate fractional increase per year</w:t>
            </w:r>
          </w:p>
        </w:tc>
        <w:tc>
          <w:tcPr>
            <w:tcW w:w="1000" w:type="dxa"/>
            <w:tcBorders>
              <w:top w:val="nil"/>
              <w:left w:val="nil"/>
              <w:bottom w:val="nil"/>
              <w:right w:val="nil"/>
            </w:tcBorders>
            <w:shd w:val="clear" w:color="000000" w:fill="F2F2F2"/>
            <w:hideMark/>
          </w:tcPr>
          <w:p w14:paraId="7EB5F653"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-0.21985666</w:t>
            </w:r>
          </w:p>
        </w:tc>
        <w:tc>
          <w:tcPr>
            <w:tcW w:w="8580" w:type="dxa"/>
            <w:tcBorders>
              <w:top w:val="nil"/>
              <w:left w:val="nil"/>
              <w:bottom w:val="nil"/>
              <w:right w:val="nil"/>
            </w:tcBorders>
            <w:shd w:val="clear" w:color="000000" w:fill="F2F2F2"/>
            <w:hideMark/>
          </w:tcPr>
          <w:p w14:paraId="25B7CE95"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Base per capita exposure rate increase per year.  Estimated via constrained optimisation.</w:t>
            </w:r>
          </w:p>
        </w:tc>
      </w:tr>
      <w:tr w:rsidR="00BB14B5" w:rsidRPr="00BB14B5" w14:paraId="075F4AB6" w14:textId="77777777" w:rsidTr="00BB14B5">
        <w:trPr>
          <w:trHeight w:val="210"/>
        </w:trPr>
        <w:tc>
          <w:tcPr>
            <w:tcW w:w="4280" w:type="dxa"/>
            <w:tcBorders>
              <w:top w:val="nil"/>
              <w:left w:val="nil"/>
              <w:bottom w:val="nil"/>
              <w:right w:val="nil"/>
            </w:tcBorders>
            <w:shd w:val="clear" w:color="auto" w:fill="auto"/>
            <w:hideMark/>
          </w:tcPr>
          <w:p w14:paraId="2E3CBEBD"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Physical assault base rate initial</w:t>
            </w:r>
          </w:p>
        </w:tc>
        <w:tc>
          <w:tcPr>
            <w:tcW w:w="1000" w:type="dxa"/>
            <w:tcBorders>
              <w:top w:val="nil"/>
              <w:left w:val="nil"/>
              <w:bottom w:val="nil"/>
              <w:right w:val="nil"/>
            </w:tcBorders>
            <w:shd w:val="clear" w:color="auto" w:fill="auto"/>
            <w:hideMark/>
          </w:tcPr>
          <w:p w14:paraId="6B6E1FC4"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0.187349398</w:t>
            </w:r>
          </w:p>
        </w:tc>
        <w:tc>
          <w:tcPr>
            <w:tcW w:w="8580" w:type="dxa"/>
            <w:tcBorders>
              <w:top w:val="nil"/>
              <w:left w:val="nil"/>
              <w:bottom w:val="nil"/>
              <w:right w:val="nil"/>
            </w:tcBorders>
            <w:shd w:val="clear" w:color="auto" w:fill="auto"/>
            <w:hideMark/>
          </w:tcPr>
          <w:p w14:paraId="7AC58A80"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Initial base per capita exposure rate per year.  Estimated via constrained optimisation.</w:t>
            </w:r>
          </w:p>
        </w:tc>
      </w:tr>
      <w:tr w:rsidR="00BB14B5" w:rsidRPr="00BB14B5" w14:paraId="402C6013" w14:textId="77777777" w:rsidTr="00BB14B5">
        <w:trPr>
          <w:trHeight w:val="210"/>
        </w:trPr>
        <w:tc>
          <w:tcPr>
            <w:tcW w:w="4280" w:type="dxa"/>
            <w:tcBorders>
              <w:top w:val="nil"/>
              <w:left w:val="nil"/>
              <w:bottom w:val="nil"/>
              <w:right w:val="nil"/>
            </w:tcBorders>
            <w:shd w:val="clear" w:color="000000" w:fill="F2F2F2"/>
            <w:hideMark/>
          </w:tcPr>
          <w:p w14:paraId="6DC1E57B"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 xml:space="preserve">Physical assault hazard ratio substance </w:t>
            </w:r>
            <w:proofErr w:type="gramStart"/>
            <w:r w:rsidRPr="00BB14B5">
              <w:rPr>
                <w:rFonts w:ascii="Times New Roman" w:eastAsia="Times New Roman" w:hAnsi="Times New Roman"/>
                <w:color w:val="000000"/>
                <w:sz w:val="16"/>
                <w:szCs w:val="16"/>
                <w:lang w:eastAsia="en-AU"/>
              </w:rPr>
              <w:t>use</w:t>
            </w:r>
            <w:proofErr w:type="gramEnd"/>
            <w:r w:rsidRPr="00BB14B5">
              <w:rPr>
                <w:rFonts w:ascii="Times New Roman" w:eastAsia="Times New Roman" w:hAnsi="Times New Roman"/>
                <w:color w:val="000000"/>
                <w:sz w:val="16"/>
                <w:szCs w:val="16"/>
                <w:lang w:eastAsia="en-AU"/>
              </w:rPr>
              <w:t xml:space="preserve"> problems</w:t>
            </w:r>
          </w:p>
        </w:tc>
        <w:tc>
          <w:tcPr>
            <w:tcW w:w="1000" w:type="dxa"/>
            <w:tcBorders>
              <w:top w:val="nil"/>
              <w:left w:val="nil"/>
              <w:bottom w:val="nil"/>
              <w:right w:val="nil"/>
            </w:tcBorders>
            <w:shd w:val="clear" w:color="000000" w:fill="F2F2F2"/>
            <w:hideMark/>
          </w:tcPr>
          <w:p w14:paraId="428D96D2"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0.033</w:t>
            </w:r>
          </w:p>
        </w:tc>
        <w:tc>
          <w:tcPr>
            <w:tcW w:w="8580" w:type="dxa"/>
            <w:tcBorders>
              <w:top w:val="nil"/>
              <w:left w:val="nil"/>
              <w:bottom w:val="nil"/>
              <w:right w:val="nil"/>
            </w:tcBorders>
            <w:shd w:val="clear" w:color="000000" w:fill="F2F2F2"/>
            <w:hideMark/>
          </w:tcPr>
          <w:p w14:paraId="4CDFC8EF"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Derived from Norstrom and Pape (2010, Addiction 105, 1580-1586)</w:t>
            </w:r>
          </w:p>
        </w:tc>
      </w:tr>
      <w:tr w:rsidR="00BB14B5" w:rsidRPr="00BB14B5" w14:paraId="167CD40B" w14:textId="77777777" w:rsidTr="00BB14B5">
        <w:trPr>
          <w:trHeight w:val="210"/>
        </w:trPr>
        <w:tc>
          <w:tcPr>
            <w:tcW w:w="4280" w:type="dxa"/>
            <w:tcBorders>
              <w:top w:val="nil"/>
              <w:left w:val="nil"/>
              <w:bottom w:val="nil"/>
              <w:right w:val="nil"/>
            </w:tcBorders>
            <w:shd w:val="clear" w:color="auto" w:fill="auto"/>
            <w:hideMark/>
          </w:tcPr>
          <w:p w14:paraId="016E9E49"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Physical assault hazard ratio unemployment</w:t>
            </w:r>
          </w:p>
        </w:tc>
        <w:tc>
          <w:tcPr>
            <w:tcW w:w="1000" w:type="dxa"/>
            <w:tcBorders>
              <w:top w:val="nil"/>
              <w:left w:val="nil"/>
              <w:bottom w:val="nil"/>
              <w:right w:val="nil"/>
            </w:tcBorders>
            <w:shd w:val="clear" w:color="auto" w:fill="auto"/>
            <w:hideMark/>
          </w:tcPr>
          <w:p w14:paraId="0BBB00C8"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1.062368</w:t>
            </w:r>
          </w:p>
        </w:tc>
        <w:tc>
          <w:tcPr>
            <w:tcW w:w="8580" w:type="dxa"/>
            <w:tcBorders>
              <w:top w:val="nil"/>
              <w:left w:val="nil"/>
              <w:bottom w:val="nil"/>
              <w:right w:val="nil"/>
            </w:tcBorders>
            <w:shd w:val="clear" w:color="auto" w:fill="auto"/>
            <w:hideMark/>
          </w:tcPr>
          <w:p w14:paraId="2019BD38"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Derived from Juarez et al. (2020, Confl. Manag. Peace Sci. 39, 49−73)</w:t>
            </w:r>
          </w:p>
        </w:tc>
      </w:tr>
      <w:tr w:rsidR="00BB14B5" w:rsidRPr="00BB14B5" w14:paraId="0528925C" w14:textId="77777777" w:rsidTr="00BB14B5">
        <w:trPr>
          <w:trHeight w:val="210"/>
        </w:trPr>
        <w:tc>
          <w:tcPr>
            <w:tcW w:w="4280" w:type="dxa"/>
            <w:tcBorders>
              <w:top w:val="nil"/>
              <w:left w:val="nil"/>
              <w:bottom w:val="nil"/>
              <w:right w:val="nil"/>
            </w:tcBorders>
            <w:shd w:val="clear" w:color="auto" w:fill="auto"/>
            <w:hideMark/>
          </w:tcPr>
          <w:p w14:paraId="4DDF58CA"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p>
        </w:tc>
        <w:tc>
          <w:tcPr>
            <w:tcW w:w="1000" w:type="dxa"/>
            <w:tcBorders>
              <w:top w:val="nil"/>
              <w:left w:val="nil"/>
              <w:bottom w:val="nil"/>
              <w:right w:val="nil"/>
            </w:tcBorders>
            <w:shd w:val="clear" w:color="auto" w:fill="auto"/>
            <w:hideMark/>
          </w:tcPr>
          <w:p w14:paraId="0C5E14B7" w14:textId="77777777" w:rsidR="00BB14B5" w:rsidRPr="00BB14B5" w:rsidRDefault="00BB14B5" w:rsidP="00BB14B5">
            <w:pPr>
              <w:spacing w:line="240" w:lineRule="auto"/>
              <w:rPr>
                <w:rFonts w:ascii="Times New Roman" w:eastAsia="Times New Roman" w:hAnsi="Times New Roman"/>
                <w:color w:val="auto"/>
                <w:sz w:val="20"/>
                <w:szCs w:val="20"/>
                <w:lang w:eastAsia="en-AU"/>
              </w:rPr>
            </w:pPr>
          </w:p>
        </w:tc>
        <w:tc>
          <w:tcPr>
            <w:tcW w:w="8580" w:type="dxa"/>
            <w:tcBorders>
              <w:top w:val="nil"/>
              <w:left w:val="nil"/>
              <w:bottom w:val="nil"/>
              <w:right w:val="nil"/>
            </w:tcBorders>
            <w:shd w:val="clear" w:color="auto" w:fill="auto"/>
            <w:hideMark/>
          </w:tcPr>
          <w:p w14:paraId="104D6BAD" w14:textId="77777777" w:rsidR="00BB14B5" w:rsidRPr="00BB14B5" w:rsidRDefault="00BB14B5" w:rsidP="00BB14B5">
            <w:pPr>
              <w:spacing w:line="240" w:lineRule="auto"/>
              <w:rPr>
                <w:rFonts w:ascii="Times New Roman" w:eastAsia="Times New Roman" w:hAnsi="Times New Roman"/>
                <w:color w:val="auto"/>
                <w:sz w:val="20"/>
                <w:szCs w:val="20"/>
                <w:lang w:eastAsia="en-AU"/>
              </w:rPr>
            </w:pPr>
          </w:p>
        </w:tc>
      </w:tr>
      <w:tr w:rsidR="00BB14B5" w:rsidRPr="00BB14B5" w14:paraId="111461A7" w14:textId="77777777" w:rsidTr="00BB14B5">
        <w:trPr>
          <w:trHeight w:val="210"/>
        </w:trPr>
        <w:tc>
          <w:tcPr>
            <w:tcW w:w="4280" w:type="dxa"/>
            <w:tcBorders>
              <w:top w:val="nil"/>
              <w:left w:val="nil"/>
              <w:bottom w:val="nil"/>
              <w:right w:val="nil"/>
            </w:tcBorders>
            <w:shd w:val="clear" w:color="000000" w:fill="D9D9D9"/>
            <w:hideMark/>
          </w:tcPr>
          <w:p w14:paraId="008383FB"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Internal displacement sector</w:t>
            </w:r>
          </w:p>
        </w:tc>
        <w:tc>
          <w:tcPr>
            <w:tcW w:w="1000" w:type="dxa"/>
            <w:tcBorders>
              <w:top w:val="nil"/>
              <w:left w:val="nil"/>
              <w:bottom w:val="nil"/>
              <w:right w:val="nil"/>
            </w:tcBorders>
            <w:shd w:val="clear" w:color="000000" w:fill="D9D9D9"/>
            <w:hideMark/>
          </w:tcPr>
          <w:p w14:paraId="506ADC45"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 </w:t>
            </w:r>
          </w:p>
        </w:tc>
        <w:tc>
          <w:tcPr>
            <w:tcW w:w="8580" w:type="dxa"/>
            <w:tcBorders>
              <w:top w:val="nil"/>
              <w:left w:val="nil"/>
              <w:bottom w:val="nil"/>
              <w:right w:val="nil"/>
            </w:tcBorders>
            <w:shd w:val="clear" w:color="000000" w:fill="D9D9D9"/>
            <w:hideMark/>
          </w:tcPr>
          <w:p w14:paraId="2E9123BA"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 </w:t>
            </w:r>
          </w:p>
        </w:tc>
      </w:tr>
      <w:tr w:rsidR="00BB14B5" w:rsidRPr="00BB14B5" w14:paraId="4B1897BA" w14:textId="77777777" w:rsidTr="00BB14B5">
        <w:trPr>
          <w:trHeight w:val="210"/>
        </w:trPr>
        <w:tc>
          <w:tcPr>
            <w:tcW w:w="4280" w:type="dxa"/>
            <w:tcBorders>
              <w:top w:val="nil"/>
              <w:left w:val="nil"/>
              <w:bottom w:val="nil"/>
              <w:right w:val="nil"/>
            </w:tcBorders>
            <w:shd w:val="clear" w:color="auto" w:fill="auto"/>
            <w:hideMark/>
          </w:tcPr>
          <w:p w14:paraId="55F2F74B"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p>
        </w:tc>
        <w:tc>
          <w:tcPr>
            <w:tcW w:w="1000" w:type="dxa"/>
            <w:tcBorders>
              <w:top w:val="nil"/>
              <w:left w:val="nil"/>
              <w:bottom w:val="nil"/>
              <w:right w:val="nil"/>
            </w:tcBorders>
            <w:shd w:val="clear" w:color="auto" w:fill="auto"/>
            <w:hideMark/>
          </w:tcPr>
          <w:p w14:paraId="6505D7DA" w14:textId="77777777" w:rsidR="00BB14B5" w:rsidRPr="00BB14B5" w:rsidRDefault="00BB14B5" w:rsidP="00BB14B5">
            <w:pPr>
              <w:spacing w:line="240" w:lineRule="auto"/>
              <w:rPr>
                <w:rFonts w:ascii="Times New Roman" w:eastAsia="Times New Roman" w:hAnsi="Times New Roman"/>
                <w:color w:val="auto"/>
                <w:sz w:val="20"/>
                <w:szCs w:val="20"/>
                <w:lang w:eastAsia="en-AU"/>
              </w:rPr>
            </w:pPr>
          </w:p>
        </w:tc>
        <w:tc>
          <w:tcPr>
            <w:tcW w:w="8580" w:type="dxa"/>
            <w:tcBorders>
              <w:top w:val="nil"/>
              <w:left w:val="nil"/>
              <w:bottom w:val="nil"/>
              <w:right w:val="nil"/>
            </w:tcBorders>
            <w:shd w:val="clear" w:color="auto" w:fill="auto"/>
            <w:hideMark/>
          </w:tcPr>
          <w:p w14:paraId="2C36BDB5" w14:textId="77777777" w:rsidR="00BB14B5" w:rsidRPr="00BB14B5" w:rsidRDefault="00BB14B5" w:rsidP="00BB14B5">
            <w:pPr>
              <w:spacing w:line="240" w:lineRule="auto"/>
              <w:rPr>
                <w:rFonts w:ascii="Times New Roman" w:eastAsia="Times New Roman" w:hAnsi="Times New Roman"/>
                <w:color w:val="auto"/>
                <w:sz w:val="20"/>
                <w:szCs w:val="20"/>
                <w:lang w:eastAsia="en-AU"/>
              </w:rPr>
            </w:pPr>
          </w:p>
        </w:tc>
      </w:tr>
      <w:tr w:rsidR="00BB14B5" w:rsidRPr="00BB14B5" w14:paraId="76C23849" w14:textId="77777777" w:rsidTr="00BB14B5">
        <w:trPr>
          <w:trHeight w:val="630"/>
        </w:trPr>
        <w:tc>
          <w:tcPr>
            <w:tcW w:w="4280" w:type="dxa"/>
            <w:tcBorders>
              <w:top w:val="nil"/>
              <w:left w:val="nil"/>
              <w:bottom w:val="nil"/>
              <w:right w:val="nil"/>
            </w:tcBorders>
            <w:shd w:val="clear" w:color="000000" w:fill="F2F2F2"/>
            <w:hideMark/>
          </w:tcPr>
          <w:p w14:paraId="0981A5A6"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Displaced initial 0-6</w:t>
            </w:r>
          </w:p>
        </w:tc>
        <w:tc>
          <w:tcPr>
            <w:tcW w:w="1000" w:type="dxa"/>
            <w:tcBorders>
              <w:top w:val="nil"/>
              <w:left w:val="nil"/>
              <w:bottom w:val="nil"/>
              <w:right w:val="nil"/>
            </w:tcBorders>
            <w:shd w:val="clear" w:color="000000" w:fill="F2F2F2"/>
            <w:hideMark/>
          </w:tcPr>
          <w:p w14:paraId="4DBC7412"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60487.94817</w:t>
            </w:r>
          </w:p>
        </w:tc>
        <w:tc>
          <w:tcPr>
            <w:tcW w:w="8580" w:type="dxa"/>
            <w:tcBorders>
              <w:top w:val="nil"/>
              <w:left w:val="nil"/>
              <w:bottom w:val="nil"/>
              <w:right w:val="nil"/>
            </w:tcBorders>
            <w:shd w:val="clear" w:color="000000" w:fill="F2F2F2"/>
            <w:hideMark/>
          </w:tcPr>
          <w:p w14:paraId="51BDBB2B"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Initial number of 0-6-year-olds displaced by conflict-related violence.  Derived from data published by the Internal Displacement Monitoring Centre (IDMC; available at: https://www.internal-displacement.org/countries/colombia) and Unidad para la Atención y Reparación Integral a las Víctimas (available at: https://www.unidadvictimas.gov.co/es/).</w:t>
            </w:r>
          </w:p>
        </w:tc>
      </w:tr>
      <w:tr w:rsidR="00BB14B5" w:rsidRPr="00BB14B5" w14:paraId="0239873A" w14:textId="77777777" w:rsidTr="00BB14B5">
        <w:trPr>
          <w:trHeight w:val="630"/>
        </w:trPr>
        <w:tc>
          <w:tcPr>
            <w:tcW w:w="4280" w:type="dxa"/>
            <w:tcBorders>
              <w:top w:val="nil"/>
              <w:left w:val="nil"/>
              <w:bottom w:val="nil"/>
              <w:right w:val="nil"/>
            </w:tcBorders>
            <w:shd w:val="clear" w:color="auto" w:fill="auto"/>
            <w:hideMark/>
          </w:tcPr>
          <w:p w14:paraId="13F6364B"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Displaced initial 7-11</w:t>
            </w:r>
          </w:p>
        </w:tc>
        <w:tc>
          <w:tcPr>
            <w:tcW w:w="1000" w:type="dxa"/>
            <w:tcBorders>
              <w:top w:val="nil"/>
              <w:left w:val="nil"/>
              <w:bottom w:val="nil"/>
              <w:right w:val="nil"/>
            </w:tcBorders>
            <w:shd w:val="clear" w:color="auto" w:fill="auto"/>
            <w:hideMark/>
          </w:tcPr>
          <w:p w14:paraId="678D92C4"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45853.76716</w:t>
            </w:r>
          </w:p>
        </w:tc>
        <w:tc>
          <w:tcPr>
            <w:tcW w:w="8580" w:type="dxa"/>
            <w:tcBorders>
              <w:top w:val="nil"/>
              <w:left w:val="nil"/>
              <w:bottom w:val="nil"/>
              <w:right w:val="nil"/>
            </w:tcBorders>
            <w:shd w:val="clear" w:color="auto" w:fill="auto"/>
            <w:hideMark/>
          </w:tcPr>
          <w:p w14:paraId="3D4459E5"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Initial number of 7-11-year-olds displaced by conflict-related violence.  Derived from data published by the Internal Displacement Monitoring Centre (IDMC; available at: https://www.internal-displacement.org/countries/colombia) and Unidad para la Atención y Reparación Integral a las Víctimas (available at: https://www.unidadvictimas.gov.co/es/).</w:t>
            </w:r>
          </w:p>
        </w:tc>
      </w:tr>
      <w:tr w:rsidR="00BB14B5" w:rsidRPr="00BB14B5" w14:paraId="588C48F3" w14:textId="77777777" w:rsidTr="00BB14B5">
        <w:trPr>
          <w:trHeight w:val="630"/>
        </w:trPr>
        <w:tc>
          <w:tcPr>
            <w:tcW w:w="4280" w:type="dxa"/>
            <w:tcBorders>
              <w:top w:val="nil"/>
              <w:left w:val="nil"/>
              <w:bottom w:val="nil"/>
              <w:right w:val="nil"/>
            </w:tcBorders>
            <w:shd w:val="clear" w:color="000000" w:fill="F2F2F2"/>
            <w:hideMark/>
          </w:tcPr>
          <w:p w14:paraId="74057829"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Displaced initial 12-17</w:t>
            </w:r>
          </w:p>
        </w:tc>
        <w:tc>
          <w:tcPr>
            <w:tcW w:w="1000" w:type="dxa"/>
            <w:tcBorders>
              <w:top w:val="nil"/>
              <w:left w:val="nil"/>
              <w:bottom w:val="nil"/>
              <w:right w:val="nil"/>
            </w:tcBorders>
            <w:shd w:val="clear" w:color="000000" w:fill="F2F2F2"/>
            <w:hideMark/>
          </w:tcPr>
          <w:p w14:paraId="10DFB0AA"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45853.76716</w:t>
            </w:r>
          </w:p>
        </w:tc>
        <w:tc>
          <w:tcPr>
            <w:tcW w:w="8580" w:type="dxa"/>
            <w:tcBorders>
              <w:top w:val="nil"/>
              <w:left w:val="nil"/>
              <w:bottom w:val="nil"/>
              <w:right w:val="nil"/>
            </w:tcBorders>
            <w:shd w:val="clear" w:color="000000" w:fill="F2F2F2"/>
            <w:hideMark/>
          </w:tcPr>
          <w:p w14:paraId="70892639"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Initial number of 12-17-year-olds displaced by conflict-related violence.  Derived from data published by the Internal Displacement Monitoring Centre (IDMC; available at: https://www.internal-displacement.org/countries/colombia) and Unidad para la Atención y Reparación Integral a las Víctimas (available at: https://www.unidadvictimas.gov.co/es/).</w:t>
            </w:r>
          </w:p>
        </w:tc>
      </w:tr>
      <w:tr w:rsidR="00BB14B5" w:rsidRPr="00BB14B5" w14:paraId="4F1412BB" w14:textId="77777777" w:rsidTr="00BB14B5">
        <w:trPr>
          <w:trHeight w:val="630"/>
        </w:trPr>
        <w:tc>
          <w:tcPr>
            <w:tcW w:w="4280" w:type="dxa"/>
            <w:tcBorders>
              <w:top w:val="nil"/>
              <w:left w:val="nil"/>
              <w:bottom w:val="nil"/>
              <w:right w:val="nil"/>
            </w:tcBorders>
            <w:shd w:val="clear" w:color="auto" w:fill="auto"/>
            <w:hideMark/>
          </w:tcPr>
          <w:p w14:paraId="18D77004"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Displaced initial 18+</w:t>
            </w:r>
          </w:p>
        </w:tc>
        <w:tc>
          <w:tcPr>
            <w:tcW w:w="1000" w:type="dxa"/>
            <w:tcBorders>
              <w:top w:val="nil"/>
              <w:left w:val="nil"/>
              <w:bottom w:val="nil"/>
              <w:right w:val="nil"/>
            </w:tcBorders>
            <w:shd w:val="clear" w:color="auto" w:fill="auto"/>
            <w:hideMark/>
          </w:tcPr>
          <w:p w14:paraId="1BF105D9"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238049.3444</w:t>
            </w:r>
          </w:p>
        </w:tc>
        <w:tc>
          <w:tcPr>
            <w:tcW w:w="8580" w:type="dxa"/>
            <w:tcBorders>
              <w:top w:val="nil"/>
              <w:left w:val="nil"/>
              <w:bottom w:val="nil"/>
              <w:right w:val="nil"/>
            </w:tcBorders>
            <w:shd w:val="clear" w:color="auto" w:fill="auto"/>
            <w:hideMark/>
          </w:tcPr>
          <w:p w14:paraId="087A18BF"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Initial number of adults (18 years and above) displaced by conflict-related violence.  Derived from data published by the Internal Displacement Monitoring Centre (IDMC; available at: https://www.internal-displacement.org/countries/colombia) and Unidad para la Atención y Reparación Integral a las Víctimas (available at: https://www.unidadvictimas.gov.co/es/).</w:t>
            </w:r>
          </w:p>
        </w:tc>
      </w:tr>
      <w:tr w:rsidR="00BB14B5" w:rsidRPr="00BB14B5" w14:paraId="7A286DDD" w14:textId="77777777" w:rsidTr="00BB14B5">
        <w:trPr>
          <w:trHeight w:val="420"/>
        </w:trPr>
        <w:tc>
          <w:tcPr>
            <w:tcW w:w="4280" w:type="dxa"/>
            <w:tcBorders>
              <w:top w:val="nil"/>
              <w:left w:val="nil"/>
              <w:bottom w:val="nil"/>
              <w:right w:val="nil"/>
            </w:tcBorders>
            <w:shd w:val="clear" w:color="000000" w:fill="F2F2F2"/>
            <w:hideMark/>
          </w:tcPr>
          <w:p w14:paraId="501F6461"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lastRenderedPageBreak/>
              <w:t>Displacement age proportion 7-11</w:t>
            </w:r>
          </w:p>
        </w:tc>
        <w:tc>
          <w:tcPr>
            <w:tcW w:w="1000" w:type="dxa"/>
            <w:tcBorders>
              <w:top w:val="nil"/>
              <w:left w:val="nil"/>
              <w:bottom w:val="nil"/>
              <w:right w:val="nil"/>
            </w:tcBorders>
            <w:shd w:val="clear" w:color="000000" w:fill="F2F2F2"/>
            <w:hideMark/>
          </w:tcPr>
          <w:p w14:paraId="5F5AABE9"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0.1175</w:t>
            </w:r>
          </w:p>
        </w:tc>
        <w:tc>
          <w:tcPr>
            <w:tcW w:w="8580" w:type="dxa"/>
            <w:tcBorders>
              <w:top w:val="nil"/>
              <w:left w:val="nil"/>
              <w:bottom w:val="nil"/>
              <w:right w:val="nil"/>
            </w:tcBorders>
            <w:shd w:val="clear" w:color="000000" w:fill="F2F2F2"/>
            <w:hideMark/>
          </w:tcPr>
          <w:p w14:paraId="3481FF35"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Proportion of immigrants displaced by conflict-related violence aged 7-11 years.  Derived from data published by Unidad para la Atención y Reparación Integral a las Víctimas (available at: https://www.unidadvictimas.gov.co/es/).</w:t>
            </w:r>
          </w:p>
        </w:tc>
      </w:tr>
      <w:tr w:rsidR="00BB14B5" w:rsidRPr="00BB14B5" w14:paraId="09089BF3" w14:textId="77777777" w:rsidTr="00BB14B5">
        <w:trPr>
          <w:trHeight w:val="420"/>
        </w:trPr>
        <w:tc>
          <w:tcPr>
            <w:tcW w:w="4280" w:type="dxa"/>
            <w:tcBorders>
              <w:top w:val="nil"/>
              <w:left w:val="nil"/>
              <w:bottom w:val="nil"/>
              <w:right w:val="nil"/>
            </w:tcBorders>
            <w:shd w:val="clear" w:color="auto" w:fill="auto"/>
            <w:hideMark/>
          </w:tcPr>
          <w:p w14:paraId="7C0BC0C6"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Displacement age proportion 12-17</w:t>
            </w:r>
          </w:p>
        </w:tc>
        <w:tc>
          <w:tcPr>
            <w:tcW w:w="1000" w:type="dxa"/>
            <w:tcBorders>
              <w:top w:val="nil"/>
              <w:left w:val="nil"/>
              <w:bottom w:val="nil"/>
              <w:right w:val="nil"/>
            </w:tcBorders>
            <w:shd w:val="clear" w:color="auto" w:fill="auto"/>
            <w:hideMark/>
          </w:tcPr>
          <w:p w14:paraId="69EF781E"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0.1175</w:t>
            </w:r>
          </w:p>
        </w:tc>
        <w:tc>
          <w:tcPr>
            <w:tcW w:w="8580" w:type="dxa"/>
            <w:tcBorders>
              <w:top w:val="nil"/>
              <w:left w:val="nil"/>
              <w:bottom w:val="nil"/>
              <w:right w:val="nil"/>
            </w:tcBorders>
            <w:shd w:val="clear" w:color="auto" w:fill="auto"/>
            <w:hideMark/>
          </w:tcPr>
          <w:p w14:paraId="22E01169"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Proportion of immigrants displaced by conflict-related violence aged 12-17 years.  Derived from data published by Unidad para la Atención y Reparación Integral a las Víctimas (available at: https://www.unidadvictimas.gov.co/es/).</w:t>
            </w:r>
          </w:p>
        </w:tc>
      </w:tr>
      <w:tr w:rsidR="00BB14B5" w:rsidRPr="00BB14B5" w14:paraId="07189330" w14:textId="77777777" w:rsidTr="00BB14B5">
        <w:trPr>
          <w:trHeight w:val="420"/>
        </w:trPr>
        <w:tc>
          <w:tcPr>
            <w:tcW w:w="4280" w:type="dxa"/>
            <w:tcBorders>
              <w:top w:val="nil"/>
              <w:left w:val="nil"/>
              <w:bottom w:val="nil"/>
              <w:right w:val="nil"/>
            </w:tcBorders>
            <w:shd w:val="clear" w:color="000000" w:fill="F2F2F2"/>
            <w:hideMark/>
          </w:tcPr>
          <w:p w14:paraId="2A537299"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Displacement age proportion 18+</w:t>
            </w:r>
          </w:p>
        </w:tc>
        <w:tc>
          <w:tcPr>
            <w:tcW w:w="1000" w:type="dxa"/>
            <w:tcBorders>
              <w:top w:val="nil"/>
              <w:left w:val="nil"/>
              <w:bottom w:val="nil"/>
              <w:right w:val="nil"/>
            </w:tcBorders>
            <w:shd w:val="clear" w:color="000000" w:fill="F2F2F2"/>
            <w:hideMark/>
          </w:tcPr>
          <w:p w14:paraId="5E602FB2"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0.61</w:t>
            </w:r>
          </w:p>
        </w:tc>
        <w:tc>
          <w:tcPr>
            <w:tcW w:w="8580" w:type="dxa"/>
            <w:tcBorders>
              <w:top w:val="nil"/>
              <w:left w:val="nil"/>
              <w:bottom w:val="nil"/>
              <w:right w:val="nil"/>
            </w:tcBorders>
            <w:shd w:val="clear" w:color="000000" w:fill="F2F2F2"/>
            <w:hideMark/>
          </w:tcPr>
          <w:p w14:paraId="2B12B0E2"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Proportion of immigrants displaced by conflict-related violence aged 18 years and above.  Derived from data published by Unidad para la Atención y Reparación Integral a las Víctimas (available at: https://www.unidadvictimas.gov.co/es/).</w:t>
            </w:r>
          </w:p>
        </w:tc>
      </w:tr>
      <w:tr w:rsidR="00BB14B5" w:rsidRPr="00BB14B5" w14:paraId="399E583E" w14:textId="77777777" w:rsidTr="00BB14B5">
        <w:trPr>
          <w:trHeight w:val="210"/>
        </w:trPr>
        <w:tc>
          <w:tcPr>
            <w:tcW w:w="4280" w:type="dxa"/>
            <w:tcBorders>
              <w:top w:val="nil"/>
              <w:left w:val="nil"/>
              <w:bottom w:val="nil"/>
              <w:right w:val="nil"/>
            </w:tcBorders>
            <w:shd w:val="clear" w:color="auto" w:fill="auto"/>
            <w:hideMark/>
          </w:tcPr>
          <w:p w14:paraId="54D35E0C"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Internal displacement rate increase per year</w:t>
            </w:r>
          </w:p>
        </w:tc>
        <w:tc>
          <w:tcPr>
            <w:tcW w:w="1000" w:type="dxa"/>
            <w:tcBorders>
              <w:top w:val="nil"/>
              <w:left w:val="nil"/>
              <w:bottom w:val="nil"/>
              <w:right w:val="nil"/>
            </w:tcBorders>
            <w:shd w:val="clear" w:color="auto" w:fill="auto"/>
            <w:hideMark/>
          </w:tcPr>
          <w:p w14:paraId="4BCBC262"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-0.03509489</w:t>
            </w:r>
          </w:p>
        </w:tc>
        <w:tc>
          <w:tcPr>
            <w:tcW w:w="8580" w:type="dxa"/>
            <w:tcBorders>
              <w:top w:val="nil"/>
              <w:left w:val="nil"/>
              <w:bottom w:val="nil"/>
              <w:right w:val="nil"/>
            </w:tcBorders>
            <w:shd w:val="clear" w:color="auto" w:fill="auto"/>
            <w:hideMark/>
          </w:tcPr>
          <w:p w14:paraId="62ED0324"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Fractional rate of increase per year.  Estimated via constrained optimisation.</w:t>
            </w:r>
          </w:p>
        </w:tc>
      </w:tr>
      <w:tr w:rsidR="00BB14B5" w:rsidRPr="00BB14B5" w14:paraId="678414FD" w14:textId="77777777" w:rsidTr="00BB14B5">
        <w:trPr>
          <w:trHeight w:val="210"/>
        </w:trPr>
        <w:tc>
          <w:tcPr>
            <w:tcW w:w="4280" w:type="dxa"/>
            <w:tcBorders>
              <w:top w:val="nil"/>
              <w:left w:val="nil"/>
              <w:bottom w:val="nil"/>
              <w:right w:val="nil"/>
            </w:tcBorders>
            <w:shd w:val="clear" w:color="000000" w:fill="F2F2F2"/>
            <w:hideMark/>
          </w:tcPr>
          <w:p w14:paraId="0AAC060A"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Internal displacement rate initial</w:t>
            </w:r>
          </w:p>
        </w:tc>
        <w:tc>
          <w:tcPr>
            <w:tcW w:w="1000" w:type="dxa"/>
            <w:tcBorders>
              <w:top w:val="nil"/>
              <w:left w:val="nil"/>
              <w:bottom w:val="nil"/>
              <w:right w:val="nil"/>
            </w:tcBorders>
            <w:shd w:val="clear" w:color="000000" w:fill="F2F2F2"/>
            <w:hideMark/>
          </w:tcPr>
          <w:p w14:paraId="04705400"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14117.87761</w:t>
            </w:r>
          </w:p>
        </w:tc>
        <w:tc>
          <w:tcPr>
            <w:tcW w:w="8580" w:type="dxa"/>
            <w:tcBorders>
              <w:top w:val="nil"/>
              <w:left w:val="nil"/>
              <w:bottom w:val="nil"/>
              <w:right w:val="nil"/>
            </w:tcBorders>
            <w:shd w:val="clear" w:color="000000" w:fill="F2F2F2"/>
            <w:hideMark/>
          </w:tcPr>
          <w:p w14:paraId="64533779"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Initial displacement-related immigration per year (all ages).  Estimated via constrained optimisation.</w:t>
            </w:r>
          </w:p>
        </w:tc>
      </w:tr>
      <w:tr w:rsidR="00BB14B5" w:rsidRPr="00BB14B5" w14:paraId="0A0FE8F4" w14:textId="77777777" w:rsidTr="00BB14B5">
        <w:trPr>
          <w:trHeight w:val="210"/>
        </w:trPr>
        <w:tc>
          <w:tcPr>
            <w:tcW w:w="4280" w:type="dxa"/>
            <w:tcBorders>
              <w:top w:val="nil"/>
              <w:left w:val="nil"/>
              <w:bottom w:val="nil"/>
              <w:right w:val="nil"/>
            </w:tcBorders>
            <w:shd w:val="clear" w:color="auto" w:fill="auto"/>
            <w:hideMark/>
          </w:tcPr>
          <w:p w14:paraId="51262DAA"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Mental health problems hazard ratio displaced</w:t>
            </w:r>
          </w:p>
        </w:tc>
        <w:tc>
          <w:tcPr>
            <w:tcW w:w="1000" w:type="dxa"/>
            <w:tcBorders>
              <w:top w:val="nil"/>
              <w:left w:val="nil"/>
              <w:bottom w:val="nil"/>
              <w:right w:val="nil"/>
            </w:tcBorders>
            <w:shd w:val="clear" w:color="auto" w:fill="auto"/>
            <w:hideMark/>
          </w:tcPr>
          <w:p w14:paraId="40B2A0FC"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2.911443493</w:t>
            </w:r>
          </w:p>
        </w:tc>
        <w:tc>
          <w:tcPr>
            <w:tcW w:w="8580" w:type="dxa"/>
            <w:tcBorders>
              <w:top w:val="nil"/>
              <w:left w:val="nil"/>
              <w:bottom w:val="nil"/>
              <w:right w:val="nil"/>
            </w:tcBorders>
            <w:shd w:val="clear" w:color="auto" w:fill="auto"/>
            <w:hideMark/>
          </w:tcPr>
          <w:p w14:paraId="1FD6AF4D"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Derived from Marroquin Rivera et al. (2020, Child Adolesc. Psychiatry Ment. Health 14, 23)</w:t>
            </w:r>
          </w:p>
        </w:tc>
      </w:tr>
      <w:tr w:rsidR="00BB14B5" w:rsidRPr="00BB14B5" w14:paraId="3B6EDB3F" w14:textId="77777777" w:rsidTr="00BB14B5">
        <w:trPr>
          <w:trHeight w:val="210"/>
        </w:trPr>
        <w:tc>
          <w:tcPr>
            <w:tcW w:w="4280" w:type="dxa"/>
            <w:tcBorders>
              <w:top w:val="nil"/>
              <w:left w:val="nil"/>
              <w:bottom w:val="nil"/>
              <w:right w:val="nil"/>
            </w:tcBorders>
            <w:shd w:val="clear" w:color="000000" w:fill="F2F2F2"/>
            <w:hideMark/>
          </w:tcPr>
          <w:p w14:paraId="1F689329"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Mental health problems prevalence ratio displaced estimate</w:t>
            </w:r>
          </w:p>
        </w:tc>
        <w:tc>
          <w:tcPr>
            <w:tcW w:w="1000" w:type="dxa"/>
            <w:tcBorders>
              <w:top w:val="nil"/>
              <w:left w:val="nil"/>
              <w:bottom w:val="nil"/>
              <w:right w:val="nil"/>
            </w:tcBorders>
            <w:shd w:val="clear" w:color="000000" w:fill="F2F2F2"/>
            <w:hideMark/>
          </w:tcPr>
          <w:p w14:paraId="09E2606B"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2.448276</w:t>
            </w:r>
          </w:p>
        </w:tc>
        <w:tc>
          <w:tcPr>
            <w:tcW w:w="8580" w:type="dxa"/>
            <w:tcBorders>
              <w:top w:val="nil"/>
              <w:left w:val="nil"/>
              <w:bottom w:val="nil"/>
              <w:right w:val="nil"/>
            </w:tcBorders>
            <w:shd w:val="clear" w:color="000000" w:fill="F2F2F2"/>
            <w:hideMark/>
          </w:tcPr>
          <w:p w14:paraId="4C999827"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Derived from Marroquin Rivera et al. (2020, Child Adolesc. Psychiatry Ment. Health 14, 23)</w:t>
            </w:r>
          </w:p>
        </w:tc>
      </w:tr>
      <w:tr w:rsidR="00BB14B5" w:rsidRPr="00BB14B5" w14:paraId="1D826CA4" w14:textId="77777777" w:rsidTr="00BB14B5">
        <w:trPr>
          <w:trHeight w:val="210"/>
        </w:trPr>
        <w:tc>
          <w:tcPr>
            <w:tcW w:w="4280" w:type="dxa"/>
            <w:tcBorders>
              <w:top w:val="nil"/>
              <w:left w:val="nil"/>
              <w:bottom w:val="nil"/>
              <w:right w:val="nil"/>
            </w:tcBorders>
            <w:shd w:val="clear" w:color="auto" w:fill="auto"/>
            <w:hideMark/>
          </w:tcPr>
          <w:p w14:paraId="26DDD9E1"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Mortality hazard ratio displaced</w:t>
            </w:r>
          </w:p>
        </w:tc>
        <w:tc>
          <w:tcPr>
            <w:tcW w:w="1000" w:type="dxa"/>
            <w:tcBorders>
              <w:top w:val="nil"/>
              <w:left w:val="nil"/>
              <w:bottom w:val="nil"/>
              <w:right w:val="nil"/>
            </w:tcBorders>
            <w:shd w:val="clear" w:color="auto" w:fill="auto"/>
            <w:hideMark/>
          </w:tcPr>
          <w:p w14:paraId="27FC45FC"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2.5</w:t>
            </w:r>
          </w:p>
        </w:tc>
        <w:tc>
          <w:tcPr>
            <w:tcW w:w="8580" w:type="dxa"/>
            <w:tcBorders>
              <w:top w:val="nil"/>
              <w:left w:val="nil"/>
              <w:bottom w:val="nil"/>
              <w:right w:val="nil"/>
            </w:tcBorders>
            <w:shd w:val="clear" w:color="auto" w:fill="auto"/>
            <w:hideMark/>
          </w:tcPr>
          <w:p w14:paraId="1415A5B2"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Derived from Heudtlass et al. (2016, Confl. Health 10, 15)</w:t>
            </w:r>
          </w:p>
        </w:tc>
      </w:tr>
      <w:tr w:rsidR="00BB14B5" w:rsidRPr="00BB14B5" w14:paraId="3D72C983" w14:textId="77777777" w:rsidTr="00BB14B5">
        <w:trPr>
          <w:trHeight w:val="210"/>
        </w:trPr>
        <w:tc>
          <w:tcPr>
            <w:tcW w:w="4280" w:type="dxa"/>
            <w:tcBorders>
              <w:top w:val="nil"/>
              <w:left w:val="nil"/>
              <w:bottom w:val="nil"/>
              <w:right w:val="nil"/>
            </w:tcBorders>
            <w:shd w:val="clear" w:color="000000" w:fill="F2F2F2"/>
            <w:hideMark/>
          </w:tcPr>
          <w:p w14:paraId="2F8E944A"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Poverty prevalence ratio displaced</w:t>
            </w:r>
          </w:p>
        </w:tc>
        <w:tc>
          <w:tcPr>
            <w:tcW w:w="1000" w:type="dxa"/>
            <w:tcBorders>
              <w:top w:val="nil"/>
              <w:left w:val="nil"/>
              <w:bottom w:val="nil"/>
              <w:right w:val="nil"/>
            </w:tcBorders>
            <w:shd w:val="clear" w:color="000000" w:fill="F2F2F2"/>
            <w:hideMark/>
          </w:tcPr>
          <w:p w14:paraId="0BDBA404"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1.631356</w:t>
            </w:r>
          </w:p>
        </w:tc>
        <w:tc>
          <w:tcPr>
            <w:tcW w:w="8580" w:type="dxa"/>
            <w:tcBorders>
              <w:top w:val="nil"/>
              <w:left w:val="nil"/>
              <w:bottom w:val="nil"/>
              <w:right w:val="nil"/>
            </w:tcBorders>
            <w:shd w:val="clear" w:color="000000" w:fill="F2F2F2"/>
            <w:hideMark/>
          </w:tcPr>
          <w:p w14:paraId="042FEBB9"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Derived from Marroquin Rivera et al. (2020, Child Adolesc. Psychiatry Ment. Health 14, 23)</w:t>
            </w:r>
          </w:p>
        </w:tc>
      </w:tr>
      <w:tr w:rsidR="00BB14B5" w:rsidRPr="00BB14B5" w14:paraId="70279BDE" w14:textId="77777777" w:rsidTr="00BB14B5">
        <w:trPr>
          <w:trHeight w:val="210"/>
        </w:trPr>
        <w:tc>
          <w:tcPr>
            <w:tcW w:w="4280" w:type="dxa"/>
            <w:tcBorders>
              <w:top w:val="nil"/>
              <w:left w:val="nil"/>
              <w:bottom w:val="nil"/>
              <w:right w:val="nil"/>
            </w:tcBorders>
            <w:shd w:val="clear" w:color="auto" w:fill="auto"/>
            <w:hideMark/>
          </w:tcPr>
          <w:p w14:paraId="77A96DFE"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Proportion studying ratio displaced</w:t>
            </w:r>
          </w:p>
        </w:tc>
        <w:tc>
          <w:tcPr>
            <w:tcW w:w="1000" w:type="dxa"/>
            <w:tcBorders>
              <w:top w:val="nil"/>
              <w:left w:val="nil"/>
              <w:bottom w:val="nil"/>
              <w:right w:val="nil"/>
            </w:tcBorders>
            <w:shd w:val="clear" w:color="auto" w:fill="auto"/>
            <w:hideMark/>
          </w:tcPr>
          <w:p w14:paraId="39EDAD73"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0.8791715</w:t>
            </w:r>
          </w:p>
        </w:tc>
        <w:tc>
          <w:tcPr>
            <w:tcW w:w="8580" w:type="dxa"/>
            <w:tcBorders>
              <w:top w:val="nil"/>
              <w:left w:val="nil"/>
              <w:bottom w:val="nil"/>
              <w:right w:val="nil"/>
            </w:tcBorders>
            <w:shd w:val="clear" w:color="auto" w:fill="auto"/>
            <w:hideMark/>
          </w:tcPr>
          <w:p w14:paraId="6E23D823"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Derived from Marroquin Rivera et al. (2020, Child Adolesc. Psychiatry Ment. Health 14, 23)</w:t>
            </w:r>
          </w:p>
        </w:tc>
      </w:tr>
      <w:tr w:rsidR="00BB14B5" w:rsidRPr="00BB14B5" w14:paraId="224887A5" w14:textId="77777777" w:rsidTr="00BB14B5">
        <w:trPr>
          <w:trHeight w:val="420"/>
        </w:trPr>
        <w:tc>
          <w:tcPr>
            <w:tcW w:w="4280" w:type="dxa"/>
            <w:tcBorders>
              <w:top w:val="nil"/>
              <w:left w:val="nil"/>
              <w:bottom w:val="nil"/>
              <w:right w:val="nil"/>
            </w:tcBorders>
            <w:shd w:val="clear" w:color="000000" w:fill="F2F2F2"/>
            <w:hideMark/>
          </w:tcPr>
          <w:p w14:paraId="3A9375E1"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Proportion unemployed ratio displaced</w:t>
            </w:r>
          </w:p>
        </w:tc>
        <w:tc>
          <w:tcPr>
            <w:tcW w:w="1000" w:type="dxa"/>
            <w:tcBorders>
              <w:top w:val="nil"/>
              <w:left w:val="nil"/>
              <w:bottom w:val="nil"/>
              <w:right w:val="nil"/>
            </w:tcBorders>
            <w:shd w:val="clear" w:color="000000" w:fill="F2F2F2"/>
            <w:hideMark/>
          </w:tcPr>
          <w:p w14:paraId="461E17AC"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1.666063648</w:t>
            </w:r>
          </w:p>
        </w:tc>
        <w:tc>
          <w:tcPr>
            <w:tcW w:w="8580" w:type="dxa"/>
            <w:tcBorders>
              <w:top w:val="nil"/>
              <w:left w:val="nil"/>
              <w:bottom w:val="nil"/>
              <w:right w:val="nil"/>
            </w:tcBorders>
            <w:shd w:val="clear" w:color="000000" w:fill="F2F2F2"/>
            <w:hideMark/>
          </w:tcPr>
          <w:p w14:paraId="0B7F00A6"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 xml:space="preserve">Derived from Aysa-Lastra (2005. Selection, </w:t>
            </w:r>
            <w:proofErr w:type="gramStart"/>
            <w:r w:rsidRPr="00BB14B5">
              <w:rPr>
                <w:rFonts w:ascii="Times New Roman" w:eastAsia="Times New Roman" w:hAnsi="Times New Roman"/>
                <w:color w:val="000000"/>
                <w:sz w:val="16"/>
                <w:szCs w:val="16"/>
                <w:lang w:eastAsia="en-AU"/>
              </w:rPr>
              <w:t>adaptation</w:t>
            </w:r>
            <w:proofErr w:type="gramEnd"/>
            <w:r w:rsidRPr="00BB14B5">
              <w:rPr>
                <w:rFonts w:ascii="Times New Roman" w:eastAsia="Times New Roman" w:hAnsi="Times New Roman"/>
                <w:color w:val="000000"/>
                <w:sz w:val="16"/>
                <w:szCs w:val="16"/>
                <w:lang w:eastAsia="en-AU"/>
              </w:rPr>
              <w:t xml:space="preserve"> and vulnerability of internal forced migrants: a case study in Bogota, Colombia. PhD thesis, University of Pennsylvania)</w:t>
            </w:r>
          </w:p>
        </w:tc>
      </w:tr>
      <w:tr w:rsidR="00BB14B5" w:rsidRPr="00BB14B5" w14:paraId="3C422334" w14:textId="77777777" w:rsidTr="00BB14B5">
        <w:trPr>
          <w:trHeight w:val="420"/>
        </w:trPr>
        <w:tc>
          <w:tcPr>
            <w:tcW w:w="4280" w:type="dxa"/>
            <w:tcBorders>
              <w:top w:val="nil"/>
              <w:left w:val="nil"/>
              <w:bottom w:val="nil"/>
              <w:right w:val="nil"/>
            </w:tcBorders>
            <w:shd w:val="clear" w:color="auto" w:fill="auto"/>
            <w:hideMark/>
          </w:tcPr>
          <w:p w14:paraId="53888647"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Proportion with SSGC or higher qualification ratio displaced</w:t>
            </w:r>
          </w:p>
        </w:tc>
        <w:tc>
          <w:tcPr>
            <w:tcW w:w="1000" w:type="dxa"/>
            <w:tcBorders>
              <w:top w:val="nil"/>
              <w:left w:val="nil"/>
              <w:bottom w:val="nil"/>
              <w:right w:val="nil"/>
            </w:tcBorders>
            <w:shd w:val="clear" w:color="auto" w:fill="auto"/>
            <w:hideMark/>
          </w:tcPr>
          <w:p w14:paraId="37943A9E"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0.471580728</w:t>
            </w:r>
          </w:p>
        </w:tc>
        <w:tc>
          <w:tcPr>
            <w:tcW w:w="8580" w:type="dxa"/>
            <w:tcBorders>
              <w:top w:val="nil"/>
              <w:left w:val="nil"/>
              <w:bottom w:val="nil"/>
              <w:right w:val="nil"/>
            </w:tcBorders>
            <w:shd w:val="clear" w:color="auto" w:fill="auto"/>
            <w:hideMark/>
          </w:tcPr>
          <w:p w14:paraId="4C999DA8"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 xml:space="preserve">Derived from Aysa-Lastra (2005. Selection, </w:t>
            </w:r>
            <w:proofErr w:type="gramStart"/>
            <w:r w:rsidRPr="00BB14B5">
              <w:rPr>
                <w:rFonts w:ascii="Times New Roman" w:eastAsia="Times New Roman" w:hAnsi="Times New Roman"/>
                <w:color w:val="000000"/>
                <w:sz w:val="16"/>
                <w:szCs w:val="16"/>
                <w:lang w:eastAsia="en-AU"/>
              </w:rPr>
              <w:t>adaptation</w:t>
            </w:r>
            <w:proofErr w:type="gramEnd"/>
            <w:r w:rsidRPr="00BB14B5">
              <w:rPr>
                <w:rFonts w:ascii="Times New Roman" w:eastAsia="Times New Roman" w:hAnsi="Times New Roman"/>
                <w:color w:val="000000"/>
                <w:sz w:val="16"/>
                <w:szCs w:val="16"/>
                <w:lang w:eastAsia="en-AU"/>
              </w:rPr>
              <w:t xml:space="preserve"> and vulnerability of internal forced migrants: a case study in Bogota, Colombia. PhD thesis, University of Pennsylvania)</w:t>
            </w:r>
          </w:p>
        </w:tc>
      </w:tr>
      <w:tr w:rsidR="00BB14B5" w:rsidRPr="00BB14B5" w14:paraId="681F09F5" w14:textId="77777777" w:rsidTr="00BB14B5">
        <w:trPr>
          <w:trHeight w:val="210"/>
        </w:trPr>
        <w:tc>
          <w:tcPr>
            <w:tcW w:w="4280" w:type="dxa"/>
            <w:tcBorders>
              <w:top w:val="nil"/>
              <w:left w:val="nil"/>
              <w:bottom w:val="nil"/>
              <w:right w:val="nil"/>
            </w:tcBorders>
            <w:shd w:val="clear" w:color="000000" w:fill="F2F2F2"/>
            <w:hideMark/>
          </w:tcPr>
          <w:p w14:paraId="504D4E51"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Repatriation rate displaced</w:t>
            </w:r>
          </w:p>
        </w:tc>
        <w:tc>
          <w:tcPr>
            <w:tcW w:w="1000" w:type="dxa"/>
            <w:tcBorders>
              <w:top w:val="nil"/>
              <w:left w:val="nil"/>
              <w:bottom w:val="nil"/>
              <w:right w:val="nil"/>
            </w:tcBorders>
            <w:shd w:val="clear" w:color="000000" w:fill="F2F2F2"/>
            <w:hideMark/>
          </w:tcPr>
          <w:p w14:paraId="40C25DC1"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0.004362565</w:t>
            </w:r>
          </w:p>
        </w:tc>
        <w:tc>
          <w:tcPr>
            <w:tcW w:w="8580" w:type="dxa"/>
            <w:tcBorders>
              <w:top w:val="nil"/>
              <w:left w:val="nil"/>
              <w:bottom w:val="nil"/>
              <w:right w:val="nil"/>
            </w:tcBorders>
            <w:shd w:val="clear" w:color="000000" w:fill="F2F2F2"/>
            <w:hideMark/>
          </w:tcPr>
          <w:p w14:paraId="7B939744"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Per capita rate per year.  Estimated via constrained optimisation.</w:t>
            </w:r>
          </w:p>
        </w:tc>
      </w:tr>
      <w:tr w:rsidR="00BB14B5" w:rsidRPr="00BB14B5" w14:paraId="276DCFB7" w14:textId="77777777" w:rsidTr="00BB14B5">
        <w:trPr>
          <w:trHeight w:val="210"/>
        </w:trPr>
        <w:tc>
          <w:tcPr>
            <w:tcW w:w="4280" w:type="dxa"/>
            <w:tcBorders>
              <w:top w:val="nil"/>
              <w:left w:val="nil"/>
              <w:bottom w:val="nil"/>
              <w:right w:val="nil"/>
            </w:tcBorders>
            <w:shd w:val="clear" w:color="auto" w:fill="auto"/>
            <w:hideMark/>
          </w:tcPr>
          <w:p w14:paraId="09CDD865"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p>
        </w:tc>
        <w:tc>
          <w:tcPr>
            <w:tcW w:w="1000" w:type="dxa"/>
            <w:tcBorders>
              <w:top w:val="nil"/>
              <w:left w:val="nil"/>
              <w:bottom w:val="nil"/>
              <w:right w:val="nil"/>
            </w:tcBorders>
            <w:shd w:val="clear" w:color="auto" w:fill="auto"/>
            <w:hideMark/>
          </w:tcPr>
          <w:p w14:paraId="38F34CBF" w14:textId="77777777" w:rsidR="00BB14B5" w:rsidRPr="00BB14B5" w:rsidRDefault="00BB14B5" w:rsidP="00BB14B5">
            <w:pPr>
              <w:spacing w:line="240" w:lineRule="auto"/>
              <w:rPr>
                <w:rFonts w:ascii="Times New Roman" w:eastAsia="Times New Roman" w:hAnsi="Times New Roman"/>
                <w:color w:val="auto"/>
                <w:sz w:val="20"/>
                <w:szCs w:val="20"/>
                <w:lang w:eastAsia="en-AU"/>
              </w:rPr>
            </w:pPr>
          </w:p>
        </w:tc>
        <w:tc>
          <w:tcPr>
            <w:tcW w:w="8580" w:type="dxa"/>
            <w:tcBorders>
              <w:top w:val="nil"/>
              <w:left w:val="nil"/>
              <w:bottom w:val="nil"/>
              <w:right w:val="nil"/>
            </w:tcBorders>
            <w:shd w:val="clear" w:color="auto" w:fill="auto"/>
            <w:hideMark/>
          </w:tcPr>
          <w:p w14:paraId="68D3FBBF" w14:textId="77777777" w:rsidR="00BB14B5" w:rsidRPr="00BB14B5" w:rsidRDefault="00BB14B5" w:rsidP="00BB14B5">
            <w:pPr>
              <w:spacing w:line="240" w:lineRule="auto"/>
              <w:rPr>
                <w:rFonts w:ascii="Times New Roman" w:eastAsia="Times New Roman" w:hAnsi="Times New Roman"/>
                <w:color w:val="auto"/>
                <w:sz w:val="20"/>
                <w:szCs w:val="20"/>
                <w:lang w:eastAsia="en-AU"/>
              </w:rPr>
            </w:pPr>
          </w:p>
        </w:tc>
      </w:tr>
      <w:tr w:rsidR="00BB14B5" w:rsidRPr="00BB14B5" w14:paraId="28E55783" w14:textId="77777777" w:rsidTr="00BB14B5">
        <w:trPr>
          <w:trHeight w:val="210"/>
        </w:trPr>
        <w:tc>
          <w:tcPr>
            <w:tcW w:w="4280" w:type="dxa"/>
            <w:tcBorders>
              <w:top w:val="nil"/>
              <w:left w:val="nil"/>
              <w:bottom w:val="nil"/>
              <w:right w:val="nil"/>
            </w:tcBorders>
            <w:shd w:val="clear" w:color="000000" w:fill="D9D9D9"/>
            <w:hideMark/>
          </w:tcPr>
          <w:p w14:paraId="3AC66697"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Mental health services sector</w:t>
            </w:r>
          </w:p>
        </w:tc>
        <w:tc>
          <w:tcPr>
            <w:tcW w:w="1000" w:type="dxa"/>
            <w:tcBorders>
              <w:top w:val="nil"/>
              <w:left w:val="nil"/>
              <w:bottom w:val="nil"/>
              <w:right w:val="nil"/>
            </w:tcBorders>
            <w:shd w:val="clear" w:color="000000" w:fill="D9D9D9"/>
            <w:hideMark/>
          </w:tcPr>
          <w:p w14:paraId="685A70CA"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 </w:t>
            </w:r>
          </w:p>
        </w:tc>
        <w:tc>
          <w:tcPr>
            <w:tcW w:w="8580" w:type="dxa"/>
            <w:tcBorders>
              <w:top w:val="nil"/>
              <w:left w:val="nil"/>
              <w:bottom w:val="nil"/>
              <w:right w:val="nil"/>
            </w:tcBorders>
            <w:shd w:val="clear" w:color="000000" w:fill="D9D9D9"/>
            <w:hideMark/>
          </w:tcPr>
          <w:p w14:paraId="70A5EF97"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 </w:t>
            </w:r>
          </w:p>
        </w:tc>
      </w:tr>
      <w:tr w:rsidR="00BB14B5" w:rsidRPr="00BB14B5" w14:paraId="6FF23C43" w14:textId="77777777" w:rsidTr="00BB14B5">
        <w:trPr>
          <w:trHeight w:val="210"/>
        </w:trPr>
        <w:tc>
          <w:tcPr>
            <w:tcW w:w="4280" w:type="dxa"/>
            <w:tcBorders>
              <w:top w:val="nil"/>
              <w:left w:val="nil"/>
              <w:bottom w:val="nil"/>
              <w:right w:val="nil"/>
            </w:tcBorders>
            <w:shd w:val="clear" w:color="auto" w:fill="auto"/>
            <w:hideMark/>
          </w:tcPr>
          <w:p w14:paraId="015B068C"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p>
        </w:tc>
        <w:tc>
          <w:tcPr>
            <w:tcW w:w="1000" w:type="dxa"/>
            <w:tcBorders>
              <w:top w:val="nil"/>
              <w:left w:val="nil"/>
              <w:bottom w:val="nil"/>
              <w:right w:val="nil"/>
            </w:tcBorders>
            <w:shd w:val="clear" w:color="auto" w:fill="auto"/>
            <w:hideMark/>
          </w:tcPr>
          <w:p w14:paraId="1C16E70D" w14:textId="77777777" w:rsidR="00BB14B5" w:rsidRPr="00BB14B5" w:rsidRDefault="00BB14B5" w:rsidP="00BB14B5">
            <w:pPr>
              <w:spacing w:line="240" w:lineRule="auto"/>
              <w:rPr>
                <w:rFonts w:ascii="Times New Roman" w:eastAsia="Times New Roman" w:hAnsi="Times New Roman"/>
                <w:color w:val="auto"/>
                <w:sz w:val="20"/>
                <w:szCs w:val="20"/>
                <w:lang w:eastAsia="en-AU"/>
              </w:rPr>
            </w:pPr>
          </w:p>
        </w:tc>
        <w:tc>
          <w:tcPr>
            <w:tcW w:w="8580" w:type="dxa"/>
            <w:tcBorders>
              <w:top w:val="nil"/>
              <w:left w:val="nil"/>
              <w:bottom w:val="nil"/>
              <w:right w:val="nil"/>
            </w:tcBorders>
            <w:shd w:val="clear" w:color="auto" w:fill="auto"/>
            <w:hideMark/>
          </w:tcPr>
          <w:p w14:paraId="35AAAE6C" w14:textId="77777777" w:rsidR="00BB14B5" w:rsidRPr="00BB14B5" w:rsidRDefault="00BB14B5" w:rsidP="00BB14B5">
            <w:pPr>
              <w:spacing w:line="240" w:lineRule="auto"/>
              <w:rPr>
                <w:rFonts w:ascii="Times New Roman" w:eastAsia="Times New Roman" w:hAnsi="Times New Roman"/>
                <w:color w:val="auto"/>
                <w:sz w:val="20"/>
                <w:szCs w:val="20"/>
                <w:lang w:eastAsia="en-AU"/>
              </w:rPr>
            </w:pPr>
          </w:p>
        </w:tc>
      </w:tr>
      <w:tr w:rsidR="00BB14B5" w:rsidRPr="00BB14B5" w14:paraId="52B1918D" w14:textId="77777777" w:rsidTr="00BB14B5">
        <w:trPr>
          <w:trHeight w:val="210"/>
        </w:trPr>
        <w:tc>
          <w:tcPr>
            <w:tcW w:w="4280" w:type="dxa"/>
            <w:tcBorders>
              <w:top w:val="nil"/>
              <w:left w:val="nil"/>
              <w:bottom w:val="nil"/>
              <w:right w:val="nil"/>
            </w:tcBorders>
            <w:shd w:val="clear" w:color="000000" w:fill="F2F2F2"/>
            <w:hideMark/>
          </w:tcPr>
          <w:p w14:paraId="3AFEC263"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Disengagement rate perceived need for services</w:t>
            </w:r>
          </w:p>
        </w:tc>
        <w:tc>
          <w:tcPr>
            <w:tcW w:w="1000" w:type="dxa"/>
            <w:tcBorders>
              <w:top w:val="nil"/>
              <w:left w:val="nil"/>
              <w:bottom w:val="nil"/>
              <w:right w:val="nil"/>
            </w:tcBorders>
            <w:shd w:val="clear" w:color="000000" w:fill="F2F2F2"/>
            <w:hideMark/>
          </w:tcPr>
          <w:p w14:paraId="5A74271B"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0.3095975</w:t>
            </w:r>
          </w:p>
        </w:tc>
        <w:tc>
          <w:tcPr>
            <w:tcW w:w="8580" w:type="dxa"/>
            <w:tcBorders>
              <w:top w:val="nil"/>
              <w:left w:val="nil"/>
              <w:bottom w:val="nil"/>
              <w:right w:val="nil"/>
            </w:tcBorders>
            <w:shd w:val="clear" w:color="000000" w:fill="F2F2F2"/>
            <w:hideMark/>
          </w:tcPr>
          <w:p w14:paraId="350D1A2A"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Derived from Goldberg et al. (1998, Br. J. Gen. Pract. 48, 1840-1844)</w:t>
            </w:r>
          </w:p>
        </w:tc>
      </w:tr>
      <w:tr w:rsidR="00BB14B5" w:rsidRPr="00BB14B5" w14:paraId="743D8343" w14:textId="77777777" w:rsidTr="00BB14B5">
        <w:trPr>
          <w:trHeight w:val="420"/>
        </w:trPr>
        <w:tc>
          <w:tcPr>
            <w:tcW w:w="4280" w:type="dxa"/>
            <w:tcBorders>
              <w:top w:val="nil"/>
              <w:left w:val="nil"/>
              <w:bottom w:val="nil"/>
              <w:right w:val="nil"/>
            </w:tcBorders>
            <w:shd w:val="clear" w:color="auto" w:fill="auto"/>
            <w:hideMark/>
          </w:tcPr>
          <w:p w14:paraId="0129B554"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Effect of disengagement on recovery rate</w:t>
            </w:r>
          </w:p>
        </w:tc>
        <w:tc>
          <w:tcPr>
            <w:tcW w:w="1000" w:type="dxa"/>
            <w:tcBorders>
              <w:top w:val="nil"/>
              <w:left w:val="nil"/>
              <w:bottom w:val="nil"/>
              <w:right w:val="nil"/>
            </w:tcBorders>
            <w:shd w:val="clear" w:color="auto" w:fill="auto"/>
            <w:hideMark/>
          </w:tcPr>
          <w:p w14:paraId="381E0898"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0.943196</w:t>
            </w:r>
          </w:p>
        </w:tc>
        <w:tc>
          <w:tcPr>
            <w:tcW w:w="8580" w:type="dxa"/>
            <w:tcBorders>
              <w:top w:val="nil"/>
              <w:left w:val="nil"/>
              <w:bottom w:val="nil"/>
              <w:right w:val="nil"/>
            </w:tcBorders>
            <w:shd w:val="clear" w:color="auto" w:fill="auto"/>
            <w:hideMark/>
          </w:tcPr>
          <w:p w14:paraId="733C8815"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Derived from Australian Bureau of Statistics (2012, Information paper. Use of the Kessler psychological distress scale in ABS health surveys, Australia, 2007-08. Cat. no. 4817.0.55.001. Australian Bureau of Statistics, Canberra)</w:t>
            </w:r>
          </w:p>
        </w:tc>
      </w:tr>
      <w:tr w:rsidR="00BB14B5" w:rsidRPr="00BB14B5" w14:paraId="361117BB" w14:textId="77777777" w:rsidTr="00BB14B5">
        <w:trPr>
          <w:trHeight w:val="420"/>
        </w:trPr>
        <w:tc>
          <w:tcPr>
            <w:tcW w:w="4280" w:type="dxa"/>
            <w:tcBorders>
              <w:top w:val="nil"/>
              <w:left w:val="nil"/>
              <w:bottom w:val="nil"/>
              <w:right w:val="nil"/>
            </w:tcBorders>
            <w:shd w:val="clear" w:color="000000" w:fill="F2F2F2"/>
            <w:hideMark/>
          </w:tcPr>
          <w:p w14:paraId="76E1A86F"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Effect of poverty on subsidised regime proportion</w:t>
            </w:r>
          </w:p>
        </w:tc>
        <w:tc>
          <w:tcPr>
            <w:tcW w:w="1000" w:type="dxa"/>
            <w:tcBorders>
              <w:top w:val="nil"/>
              <w:left w:val="nil"/>
              <w:bottom w:val="nil"/>
              <w:right w:val="nil"/>
            </w:tcBorders>
            <w:shd w:val="clear" w:color="000000" w:fill="F2F2F2"/>
            <w:hideMark/>
          </w:tcPr>
          <w:p w14:paraId="4A079758"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1.101172748</w:t>
            </w:r>
          </w:p>
        </w:tc>
        <w:tc>
          <w:tcPr>
            <w:tcW w:w="8580" w:type="dxa"/>
            <w:tcBorders>
              <w:top w:val="nil"/>
              <w:left w:val="nil"/>
              <w:bottom w:val="nil"/>
              <w:right w:val="nil"/>
            </w:tcBorders>
            <w:shd w:val="clear" w:color="000000" w:fill="F2F2F2"/>
            <w:hideMark/>
          </w:tcPr>
          <w:p w14:paraId="2045EFE6"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Effect of multidimensional poverty on the proportion of people affiliated with the subsidised health care regime.  Estimated via constrained optimisation.</w:t>
            </w:r>
          </w:p>
        </w:tc>
      </w:tr>
      <w:tr w:rsidR="00BB14B5" w:rsidRPr="00BB14B5" w14:paraId="00E97ACC" w14:textId="77777777" w:rsidTr="00BB14B5">
        <w:trPr>
          <w:trHeight w:val="420"/>
        </w:trPr>
        <w:tc>
          <w:tcPr>
            <w:tcW w:w="4280" w:type="dxa"/>
            <w:tcBorders>
              <w:top w:val="nil"/>
              <w:left w:val="nil"/>
              <w:bottom w:val="nil"/>
              <w:right w:val="nil"/>
            </w:tcBorders>
            <w:shd w:val="clear" w:color="auto" w:fill="auto"/>
            <w:hideMark/>
          </w:tcPr>
          <w:p w14:paraId="48C83E38"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Effect of waiting time on disengagement rate 7-17</w:t>
            </w:r>
          </w:p>
        </w:tc>
        <w:tc>
          <w:tcPr>
            <w:tcW w:w="1000" w:type="dxa"/>
            <w:tcBorders>
              <w:top w:val="nil"/>
              <w:left w:val="nil"/>
              <w:bottom w:val="nil"/>
              <w:right w:val="nil"/>
            </w:tcBorders>
            <w:shd w:val="clear" w:color="auto" w:fill="auto"/>
            <w:hideMark/>
          </w:tcPr>
          <w:p w14:paraId="4507C9A7"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7.693296261</w:t>
            </w:r>
          </w:p>
        </w:tc>
        <w:tc>
          <w:tcPr>
            <w:tcW w:w="8580" w:type="dxa"/>
            <w:tcBorders>
              <w:top w:val="nil"/>
              <w:left w:val="nil"/>
              <w:bottom w:val="nil"/>
              <w:right w:val="nil"/>
            </w:tcBorders>
            <w:shd w:val="clear" w:color="auto" w:fill="auto"/>
            <w:hideMark/>
          </w:tcPr>
          <w:p w14:paraId="56CFE74E"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Effect of waiting time on the proportion of people engaging with services disengaging immediately.  Estimated via constrained optimisation.</w:t>
            </w:r>
          </w:p>
        </w:tc>
      </w:tr>
      <w:tr w:rsidR="00BB14B5" w:rsidRPr="00BB14B5" w14:paraId="340A6843" w14:textId="77777777" w:rsidTr="00BB14B5">
        <w:trPr>
          <w:trHeight w:val="420"/>
        </w:trPr>
        <w:tc>
          <w:tcPr>
            <w:tcW w:w="4280" w:type="dxa"/>
            <w:tcBorders>
              <w:top w:val="nil"/>
              <w:left w:val="nil"/>
              <w:bottom w:val="nil"/>
              <w:right w:val="nil"/>
            </w:tcBorders>
            <w:shd w:val="clear" w:color="000000" w:fill="F2F2F2"/>
            <w:hideMark/>
          </w:tcPr>
          <w:p w14:paraId="1818A753"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Effect of waiting time on disengagement rate 18+</w:t>
            </w:r>
          </w:p>
        </w:tc>
        <w:tc>
          <w:tcPr>
            <w:tcW w:w="1000" w:type="dxa"/>
            <w:tcBorders>
              <w:top w:val="nil"/>
              <w:left w:val="nil"/>
              <w:bottom w:val="nil"/>
              <w:right w:val="nil"/>
            </w:tcBorders>
            <w:shd w:val="clear" w:color="000000" w:fill="F2F2F2"/>
            <w:hideMark/>
          </w:tcPr>
          <w:p w14:paraId="04D7CC03"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9.491460989</w:t>
            </w:r>
          </w:p>
        </w:tc>
        <w:tc>
          <w:tcPr>
            <w:tcW w:w="8580" w:type="dxa"/>
            <w:tcBorders>
              <w:top w:val="nil"/>
              <w:left w:val="nil"/>
              <w:bottom w:val="nil"/>
              <w:right w:val="nil"/>
            </w:tcBorders>
            <w:shd w:val="clear" w:color="000000" w:fill="F2F2F2"/>
            <w:hideMark/>
          </w:tcPr>
          <w:p w14:paraId="65BA3830"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Effect of waiting time on the proportion of people engaging with services disengaging immediately.  Estimated via constrained optimisation.</w:t>
            </w:r>
          </w:p>
        </w:tc>
      </w:tr>
      <w:tr w:rsidR="00BB14B5" w:rsidRPr="00BB14B5" w14:paraId="7642B699" w14:textId="77777777" w:rsidTr="00BB14B5">
        <w:trPr>
          <w:trHeight w:val="420"/>
        </w:trPr>
        <w:tc>
          <w:tcPr>
            <w:tcW w:w="4280" w:type="dxa"/>
            <w:tcBorders>
              <w:top w:val="nil"/>
              <w:left w:val="nil"/>
              <w:bottom w:val="nil"/>
              <w:right w:val="nil"/>
            </w:tcBorders>
            <w:shd w:val="clear" w:color="auto" w:fill="auto"/>
            <w:hideMark/>
          </w:tcPr>
          <w:p w14:paraId="0E4E93D5"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Emergency presentation rate multiplier increase per year</w:t>
            </w:r>
          </w:p>
        </w:tc>
        <w:tc>
          <w:tcPr>
            <w:tcW w:w="1000" w:type="dxa"/>
            <w:tcBorders>
              <w:top w:val="nil"/>
              <w:left w:val="nil"/>
              <w:bottom w:val="nil"/>
              <w:right w:val="nil"/>
            </w:tcBorders>
            <w:shd w:val="clear" w:color="auto" w:fill="auto"/>
            <w:hideMark/>
          </w:tcPr>
          <w:p w14:paraId="7789FC69"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0.004503678</w:t>
            </w:r>
          </w:p>
        </w:tc>
        <w:tc>
          <w:tcPr>
            <w:tcW w:w="8580" w:type="dxa"/>
            <w:tcBorders>
              <w:top w:val="nil"/>
              <w:left w:val="nil"/>
              <w:bottom w:val="nil"/>
              <w:right w:val="nil"/>
            </w:tcBorders>
            <w:shd w:val="clear" w:color="auto" w:fill="auto"/>
            <w:hideMark/>
          </w:tcPr>
          <w:p w14:paraId="03A54488"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Determines the rate of increase in the base per capita presentation rate for each age group.  Estimated via constrained optimisation.</w:t>
            </w:r>
          </w:p>
        </w:tc>
      </w:tr>
      <w:tr w:rsidR="00BB14B5" w:rsidRPr="00BB14B5" w14:paraId="542FAAD2" w14:textId="77777777" w:rsidTr="00BB14B5">
        <w:trPr>
          <w:trHeight w:val="420"/>
        </w:trPr>
        <w:tc>
          <w:tcPr>
            <w:tcW w:w="4280" w:type="dxa"/>
            <w:tcBorders>
              <w:top w:val="nil"/>
              <w:left w:val="nil"/>
              <w:bottom w:val="nil"/>
              <w:right w:val="nil"/>
            </w:tcBorders>
            <w:shd w:val="clear" w:color="000000" w:fill="F2F2F2"/>
            <w:hideMark/>
          </w:tcPr>
          <w:p w14:paraId="7863F753"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Emergency presentation rate no mental health problems initial 7-11</w:t>
            </w:r>
          </w:p>
        </w:tc>
        <w:tc>
          <w:tcPr>
            <w:tcW w:w="1000" w:type="dxa"/>
            <w:tcBorders>
              <w:top w:val="nil"/>
              <w:left w:val="nil"/>
              <w:bottom w:val="nil"/>
              <w:right w:val="nil"/>
            </w:tcBorders>
            <w:shd w:val="clear" w:color="000000" w:fill="F2F2F2"/>
            <w:hideMark/>
          </w:tcPr>
          <w:p w14:paraId="2E143326"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4.9838E-05</w:t>
            </w:r>
          </w:p>
        </w:tc>
        <w:tc>
          <w:tcPr>
            <w:tcW w:w="8580" w:type="dxa"/>
            <w:tcBorders>
              <w:top w:val="nil"/>
              <w:left w:val="nil"/>
              <w:bottom w:val="nil"/>
              <w:right w:val="nil"/>
            </w:tcBorders>
            <w:shd w:val="clear" w:color="000000" w:fill="F2F2F2"/>
            <w:hideMark/>
          </w:tcPr>
          <w:p w14:paraId="57FB065B"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Initial per capita presentation rate per year for 7-11-year-olds without significant mental health problems.  Estimated via constrained optimisation.</w:t>
            </w:r>
          </w:p>
        </w:tc>
      </w:tr>
      <w:tr w:rsidR="00BB14B5" w:rsidRPr="00BB14B5" w14:paraId="6220871A" w14:textId="77777777" w:rsidTr="00BB14B5">
        <w:trPr>
          <w:trHeight w:val="420"/>
        </w:trPr>
        <w:tc>
          <w:tcPr>
            <w:tcW w:w="4280" w:type="dxa"/>
            <w:tcBorders>
              <w:top w:val="nil"/>
              <w:left w:val="nil"/>
              <w:bottom w:val="nil"/>
              <w:right w:val="nil"/>
            </w:tcBorders>
            <w:shd w:val="clear" w:color="auto" w:fill="auto"/>
            <w:hideMark/>
          </w:tcPr>
          <w:p w14:paraId="43B92B5B"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Emergency presentation rate no mental health problems initial 12-17</w:t>
            </w:r>
          </w:p>
        </w:tc>
        <w:tc>
          <w:tcPr>
            <w:tcW w:w="1000" w:type="dxa"/>
            <w:tcBorders>
              <w:top w:val="nil"/>
              <w:left w:val="nil"/>
              <w:bottom w:val="nil"/>
              <w:right w:val="nil"/>
            </w:tcBorders>
            <w:shd w:val="clear" w:color="auto" w:fill="auto"/>
            <w:hideMark/>
          </w:tcPr>
          <w:p w14:paraId="31C11F92"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0.00039448</w:t>
            </w:r>
          </w:p>
        </w:tc>
        <w:tc>
          <w:tcPr>
            <w:tcW w:w="8580" w:type="dxa"/>
            <w:tcBorders>
              <w:top w:val="nil"/>
              <w:left w:val="nil"/>
              <w:bottom w:val="nil"/>
              <w:right w:val="nil"/>
            </w:tcBorders>
            <w:shd w:val="clear" w:color="auto" w:fill="auto"/>
            <w:hideMark/>
          </w:tcPr>
          <w:p w14:paraId="58E4F1E3"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Initial per capita presentation rate per year for 12-17-year-olds without significant mental health problems.  Estimated via constrained optimisation.</w:t>
            </w:r>
          </w:p>
        </w:tc>
      </w:tr>
      <w:tr w:rsidR="00BB14B5" w:rsidRPr="00BB14B5" w14:paraId="43D06946" w14:textId="77777777" w:rsidTr="00BB14B5">
        <w:trPr>
          <w:trHeight w:val="420"/>
        </w:trPr>
        <w:tc>
          <w:tcPr>
            <w:tcW w:w="4280" w:type="dxa"/>
            <w:tcBorders>
              <w:top w:val="nil"/>
              <w:left w:val="nil"/>
              <w:bottom w:val="nil"/>
              <w:right w:val="nil"/>
            </w:tcBorders>
            <w:shd w:val="clear" w:color="000000" w:fill="F2F2F2"/>
            <w:hideMark/>
          </w:tcPr>
          <w:p w14:paraId="14EBD108"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Emergency presentation rate no mental health problems initial 18+</w:t>
            </w:r>
          </w:p>
        </w:tc>
        <w:tc>
          <w:tcPr>
            <w:tcW w:w="1000" w:type="dxa"/>
            <w:tcBorders>
              <w:top w:val="nil"/>
              <w:left w:val="nil"/>
              <w:bottom w:val="nil"/>
              <w:right w:val="nil"/>
            </w:tcBorders>
            <w:shd w:val="clear" w:color="000000" w:fill="F2F2F2"/>
            <w:hideMark/>
          </w:tcPr>
          <w:p w14:paraId="35BED88E"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0.000454892</w:t>
            </w:r>
          </w:p>
        </w:tc>
        <w:tc>
          <w:tcPr>
            <w:tcW w:w="8580" w:type="dxa"/>
            <w:tcBorders>
              <w:top w:val="nil"/>
              <w:left w:val="nil"/>
              <w:bottom w:val="nil"/>
              <w:right w:val="nil"/>
            </w:tcBorders>
            <w:shd w:val="clear" w:color="000000" w:fill="F2F2F2"/>
            <w:hideMark/>
          </w:tcPr>
          <w:p w14:paraId="75867F59"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Initial per capita presentation rate per year for adults (aged 18 years and above) without significant mental health problems.  Estimated via constrained optimisation.</w:t>
            </w:r>
          </w:p>
        </w:tc>
      </w:tr>
      <w:tr w:rsidR="00BB14B5" w:rsidRPr="00BB14B5" w14:paraId="144FB7E2" w14:textId="77777777" w:rsidTr="00BB14B5">
        <w:trPr>
          <w:trHeight w:val="420"/>
        </w:trPr>
        <w:tc>
          <w:tcPr>
            <w:tcW w:w="4280" w:type="dxa"/>
            <w:tcBorders>
              <w:top w:val="nil"/>
              <w:left w:val="nil"/>
              <w:bottom w:val="nil"/>
              <w:right w:val="nil"/>
            </w:tcBorders>
            <w:shd w:val="clear" w:color="auto" w:fill="auto"/>
            <w:hideMark/>
          </w:tcPr>
          <w:p w14:paraId="2D638AA8"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Emergency presentation rate ratio mental health problems</w:t>
            </w:r>
          </w:p>
        </w:tc>
        <w:tc>
          <w:tcPr>
            <w:tcW w:w="1000" w:type="dxa"/>
            <w:tcBorders>
              <w:top w:val="nil"/>
              <w:left w:val="nil"/>
              <w:bottom w:val="nil"/>
              <w:right w:val="nil"/>
            </w:tcBorders>
            <w:shd w:val="clear" w:color="auto" w:fill="auto"/>
            <w:hideMark/>
          </w:tcPr>
          <w:p w14:paraId="5ECB1BE8"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9.090351924</w:t>
            </w:r>
          </w:p>
        </w:tc>
        <w:tc>
          <w:tcPr>
            <w:tcW w:w="8580" w:type="dxa"/>
            <w:tcBorders>
              <w:top w:val="nil"/>
              <w:left w:val="nil"/>
              <w:bottom w:val="nil"/>
              <w:right w:val="nil"/>
            </w:tcBorders>
            <w:shd w:val="clear" w:color="auto" w:fill="auto"/>
            <w:hideMark/>
          </w:tcPr>
          <w:p w14:paraId="30FA7B0F"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Derived from Australian Bureau of Statistics (2012, Information paper. Use of the Kessler psychological distress scale in ABS health surveys, Australia, 2007-08. Cat. no. 4817.0.55.001. Australian Bureau of Statistics, Canberra)</w:t>
            </w:r>
          </w:p>
        </w:tc>
      </w:tr>
      <w:tr w:rsidR="00BB14B5" w:rsidRPr="00BB14B5" w14:paraId="41B45B4D" w14:textId="77777777" w:rsidTr="00BB14B5">
        <w:trPr>
          <w:trHeight w:val="420"/>
        </w:trPr>
        <w:tc>
          <w:tcPr>
            <w:tcW w:w="4280" w:type="dxa"/>
            <w:tcBorders>
              <w:top w:val="nil"/>
              <w:left w:val="nil"/>
              <w:bottom w:val="nil"/>
              <w:right w:val="nil"/>
            </w:tcBorders>
            <w:shd w:val="clear" w:color="000000" w:fill="F2F2F2"/>
            <w:hideMark/>
          </w:tcPr>
          <w:p w14:paraId="514E0CE0"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Hospitalisation rate multiplier increase per year</w:t>
            </w:r>
          </w:p>
        </w:tc>
        <w:tc>
          <w:tcPr>
            <w:tcW w:w="1000" w:type="dxa"/>
            <w:tcBorders>
              <w:top w:val="nil"/>
              <w:left w:val="nil"/>
              <w:bottom w:val="nil"/>
              <w:right w:val="nil"/>
            </w:tcBorders>
            <w:shd w:val="clear" w:color="000000" w:fill="F2F2F2"/>
            <w:hideMark/>
          </w:tcPr>
          <w:p w14:paraId="3A50DAEC"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0.225987327</w:t>
            </w:r>
          </w:p>
        </w:tc>
        <w:tc>
          <w:tcPr>
            <w:tcW w:w="8580" w:type="dxa"/>
            <w:tcBorders>
              <w:top w:val="nil"/>
              <w:left w:val="nil"/>
              <w:bottom w:val="nil"/>
              <w:right w:val="nil"/>
            </w:tcBorders>
            <w:shd w:val="clear" w:color="000000" w:fill="F2F2F2"/>
            <w:hideMark/>
          </w:tcPr>
          <w:p w14:paraId="4AEB58A4"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Determines the rate of increase in the base per capita hospitalisation rate for each age group.  Estimated via constrained optimisation.</w:t>
            </w:r>
          </w:p>
        </w:tc>
      </w:tr>
      <w:tr w:rsidR="00BB14B5" w:rsidRPr="00BB14B5" w14:paraId="4577953D" w14:textId="77777777" w:rsidTr="00BB14B5">
        <w:trPr>
          <w:trHeight w:val="420"/>
        </w:trPr>
        <w:tc>
          <w:tcPr>
            <w:tcW w:w="4280" w:type="dxa"/>
            <w:tcBorders>
              <w:top w:val="nil"/>
              <w:left w:val="nil"/>
              <w:bottom w:val="nil"/>
              <w:right w:val="nil"/>
            </w:tcBorders>
            <w:shd w:val="clear" w:color="auto" w:fill="auto"/>
            <w:hideMark/>
          </w:tcPr>
          <w:p w14:paraId="3F1F7D01"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lastRenderedPageBreak/>
              <w:t>Hospitalisation rate no mental health problems initial 7-11</w:t>
            </w:r>
          </w:p>
        </w:tc>
        <w:tc>
          <w:tcPr>
            <w:tcW w:w="1000" w:type="dxa"/>
            <w:tcBorders>
              <w:top w:val="nil"/>
              <w:left w:val="nil"/>
              <w:bottom w:val="nil"/>
              <w:right w:val="nil"/>
            </w:tcBorders>
            <w:shd w:val="clear" w:color="auto" w:fill="auto"/>
            <w:hideMark/>
          </w:tcPr>
          <w:p w14:paraId="360B55A6"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2.48891E-05</w:t>
            </w:r>
          </w:p>
        </w:tc>
        <w:tc>
          <w:tcPr>
            <w:tcW w:w="8580" w:type="dxa"/>
            <w:tcBorders>
              <w:top w:val="nil"/>
              <w:left w:val="nil"/>
              <w:bottom w:val="nil"/>
              <w:right w:val="nil"/>
            </w:tcBorders>
            <w:shd w:val="clear" w:color="auto" w:fill="auto"/>
            <w:hideMark/>
          </w:tcPr>
          <w:p w14:paraId="6BE18350"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Initial per capita hospitalisation rate per year for 7-11-year-olds without significant mental health problems.  Estimated via constrained optimisation.</w:t>
            </w:r>
          </w:p>
        </w:tc>
      </w:tr>
      <w:tr w:rsidR="00BB14B5" w:rsidRPr="00BB14B5" w14:paraId="5446A602" w14:textId="77777777" w:rsidTr="00BB14B5">
        <w:trPr>
          <w:trHeight w:val="420"/>
        </w:trPr>
        <w:tc>
          <w:tcPr>
            <w:tcW w:w="4280" w:type="dxa"/>
            <w:tcBorders>
              <w:top w:val="nil"/>
              <w:left w:val="nil"/>
              <w:bottom w:val="nil"/>
              <w:right w:val="nil"/>
            </w:tcBorders>
            <w:shd w:val="clear" w:color="000000" w:fill="F2F2F2"/>
            <w:hideMark/>
          </w:tcPr>
          <w:p w14:paraId="17A524B2"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Hospitalisation rate no mental health problems initial 12-17</w:t>
            </w:r>
          </w:p>
        </w:tc>
        <w:tc>
          <w:tcPr>
            <w:tcW w:w="1000" w:type="dxa"/>
            <w:tcBorders>
              <w:top w:val="nil"/>
              <w:left w:val="nil"/>
              <w:bottom w:val="nil"/>
              <w:right w:val="nil"/>
            </w:tcBorders>
            <w:shd w:val="clear" w:color="000000" w:fill="F2F2F2"/>
            <w:hideMark/>
          </w:tcPr>
          <w:p w14:paraId="357D8AD8"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0.000321432</w:t>
            </w:r>
          </w:p>
        </w:tc>
        <w:tc>
          <w:tcPr>
            <w:tcW w:w="8580" w:type="dxa"/>
            <w:tcBorders>
              <w:top w:val="nil"/>
              <w:left w:val="nil"/>
              <w:bottom w:val="nil"/>
              <w:right w:val="nil"/>
            </w:tcBorders>
            <w:shd w:val="clear" w:color="000000" w:fill="F2F2F2"/>
            <w:hideMark/>
          </w:tcPr>
          <w:p w14:paraId="2C445391"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Initial per capita hospitalisation rate per year for 12-17-year-olds without significant mental health problems.  Estimated via constrained optimisation.</w:t>
            </w:r>
          </w:p>
        </w:tc>
      </w:tr>
      <w:tr w:rsidR="00BB14B5" w:rsidRPr="00BB14B5" w14:paraId="07B40E91" w14:textId="77777777" w:rsidTr="00BB14B5">
        <w:trPr>
          <w:trHeight w:val="420"/>
        </w:trPr>
        <w:tc>
          <w:tcPr>
            <w:tcW w:w="4280" w:type="dxa"/>
            <w:tcBorders>
              <w:top w:val="nil"/>
              <w:left w:val="nil"/>
              <w:bottom w:val="nil"/>
              <w:right w:val="nil"/>
            </w:tcBorders>
            <w:shd w:val="clear" w:color="auto" w:fill="auto"/>
            <w:hideMark/>
          </w:tcPr>
          <w:p w14:paraId="355B8DBE"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Hospitalisation rate no mental health problems initial 18+</w:t>
            </w:r>
          </w:p>
        </w:tc>
        <w:tc>
          <w:tcPr>
            <w:tcW w:w="1000" w:type="dxa"/>
            <w:tcBorders>
              <w:top w:val="nil"/>
              <w:left w:val="nil"/>
              <w:bottom w:val="nil"/>
              <w:right w:val="nil"/>
            </w:tcBorders>
            <w:shd w:val="clear" w:color="auto" w:fill="auto"/>
            <w:hideMark/>
          </w:tcPr>
          <w:p w14:paraId="145984E6"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0.000305055</w:t>
            </w:r>
          </w:p>
        </w:tc>
        <w:tc>
          <w:tcPr>
            <w:tcW w:w="8580" w:type="dxa"/>
            <w:tcBorders>
              <w:top w:val="nil"/>
              <w:left w:val="nil"/>
              <w:bottom w:val="nil"/>
              <w:right w:val="nil"/>
            </w:tcBorders>
            <w:shd w:val="clear" w:color="auto" w:fill="auto"/>
            <w:hideMark/>
          </w:tcPr>
          <w:p w14:paraId="494C1AFC"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Initial per capita hospitalisation rate per year for adults (aged 18 years and above) without significant mental health problems.  Estimated via constrained optimisation.</w:t>
            </w:r>
          </w:p>
        </w:tc>
      </w:tr>
      <w:tr w:rsidR="00BB14B5" w:rsidRPr="00BB14B5" w14:paraId="797C7289" w14:textId="77777777" w:rsidTr="00BB14B5">
        <w:trPr>
          <w:trHeight w:val="420"/>
        </w:trPr>
        <w:tc>
          <w:tcPr>
            <w:tcW w:w="4280" w:type="dxa"/>
            <w:tcBorders>
              <w:top w:val="nil"/>
              <w:left w:val="nil"/>
              <w:bottom w:val="nil"/>
              <w:right w:val="nil"/>
            </w:tcBorders>
            <w:shd w:val="clear" w:color="000000" w:fill="F2F2F2"/>
            <w:hideMark/>
          </w:tcPr>
          <w:p w14:paraId="219F7C10"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Hospitalisation rate ratio mental health problems</w:t>
            </w:r>
          </w:p>
        </w:tc>
        <w:tc>
          <w:tcPr>
            <w:tcW w:w="1000" w:type="dxa"/>
            <w:tcBorders>
              <w:top w:val="nil"/>
              <w:left w:val="nil"/>
              <w:bottom w:val="nil"/>
              <w:right w:val="nil"/>
            </w:tcBorders>
            <w:shd w:val="clear" w:color="000000" w:fill="F2F2F2"/>
            <w:hideMark/>
          </w:tcPr>
          <w:p w14:paraId="7E672BCE"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9.090351924</w:t>
            </w:r>
          </w:p>
        </w:tc>
        <w:tc>
          <w:tcPr>
            <w:tcW w:w="8580" w:type="dxa"/>
            <w:tcBorders>
              <w:top w:val="nil"/>
              <w:left w:val="nil"/>
              <w:bottom w:val="nil"/>
              <w:right w:val="nil"/>
            </w:tcBorders>
            <w:shd w:val="clear" w:color="000000" w:fill="F2F2F2"/>
            <w:hideMark/>
          </w:tcPr>
          <w:p w14:paraId="57086E4D"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Derived from Australian Bureau of Statistics (2012, Information paper. Use of the Kessler psychological distress scale in ABS health surveys, Australia, 2007-08. Cat. no. 4817.0.55.001. Australian Bureau of Statistics, Canberra)</w:t>
            </w:r>
          </w:p>
        </w:tc>
      </w:tr>
      <w:tr w:rsidR="00BB14B5" w:rsidRPr="00BB14B5" w14:paraId="0451F148" w14:textId="77777777" w:rsidTr="00BB14B5">
        <w:trPr>
          <w:trHeight w:val="210"/>
        </w:trPr>
        <w:tc>
          <w:tcPr>
            <w:tcW w:w="4280" w:type="dxa"/>
            <w:tcBorders>
              <w:top w:val="nil"/>
              <w:left w:val="nil"/>
              <w:bottom w:val="nil"/>
              <w:right w:val="nil"/>
            </w:tcBorders>
            <w:shd w:val="clear" w:color="auto" w:fill="auto"/>
            <w:hideMark/>
          </w:tcPr>
          <w:p w14:paraId="3642E78F"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Perceiving need for care base rate initial 7-11</w:t>
            </w:r>
          </w:p>
        </w:tc>
        <w:tc>
          <w:tcPr>
            <w:tcW w:w="1000" w:type="dxa"/>
            <w:tcBorders>
              <w:top w:val="nil"/>
              <w:left w:val="nil"/>
              <w:bottom w:val="nil"/>
              <w:right w:val="nil"/>
            </w:tcBorders>
            <w:shd w:val="clear" w:color="auto" w:fill="auto"/>
            <w:hideMark/>
          </w:tcPr>
          <w:p w14:paraId="3FBA211B"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0.019362313</w:t>
            </w:r>
          </w:p>
        </w:tc>
        <w:tc>
          <w:tcPr>
            <w:tcW w:w="8580" w:type="dxa"/>
            <w:tcBorders>
              <w:top w:val="nil"/>
              <w:left w:val="nil"/>
              <w:bottom w:val="nil"/>
              <w:right w:val="nil"/>
            </w:tcBorders>
            <w:shd w:val="clear" w:color="auto" w:fill="auto"/>
            <w:hideMark/>
          </w:tcPr>
          <w:p w14:paraId="6294DF93"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Initial base per capita rate per year.  Estimated via constrained optimisation.</w:t>
            </w:r>
          </w:p>
        </w:tc>
      </w:tr>
      <w:tr w:rsidR="00BB14B5" w:rsidRPr="00BB14B5" w14:paraId="1216F986" w14:textId="77777777" w:rsidTr="00BB14B5">
        <w:trPr>
          <w:trHeight w:val="210"/>
        </w:trPr>
        <w:tc>
          <w:tcPr>
            <w:tcW w:w="4280" w:type="dxa"/>
            <w:tcBorders>
              <w:top w:val="nil"/>
              <w:left w:val="nil"/>
              <w:bottom w:val="nil"/>
              <w:right w:val="nil"/>
            </w:tcBorders>
            <w:shd w:val="clear" w:color="000000" w:fill="F2F2F2"/>
            <w:hideMark/>
          </w:tcPr>
          <w:p w14:paraId="56A219B1"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Perceiving need for care base rate initial 12-17</w:t>
            </w:r>
          </w:p>
        </w:tc>
        <w:tc>
          <w:tcPr>
            <w:tcW w:w="1000" w:type="dxa"/>
            <w:tcBorders>
              <w:top w:val="nil"/>
              <w:left w:val="nil"/>
              <w:bottom w:val="nil"/>
              <w:right w:val="nil"/>
            </w:tcBorders>
            <w:shd w:val="clear" w:color="000000" w:fill="F2F2F2"/>
            <w:hideMark/>
          </w:tcPr>
          <w:p w14:paraId="23C08088"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0.004453998</w:t>
            </w:r>
          </w:p>
        </w:tc>
        <w:tc>
          <w:tcPr>
            <w:tcW w:w="8580" w:type="dxa"/>
            <w:tcBorders>
              <w:top w:val="nil"/>
              <w:left w:val="nil"/>
              <w:bottom w:val="nil"/>
              <w:right w:val="nil"/>
            </w:tcBorders>
            <w:shd w:val="clear" w:color="000000" w:fill="F2F2F2"/>
            <w:hideMark/>
          </w:tcPr>
          <w:p w14:paraId="2B0FA418"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Initial base per capita rate per year.  Estimated via constrained optimisation.</w:t>
            </w:r>
          </w:p>
        </w:tc>
      </w:tr>
      <w:tr w:rsidR="00BB14B5" w:rsidRPr="00BB14B5" w14:paraId="28D1D03E" w14:textId="77777777" w:rsidTr="00BB14B5">
        <w:trPr>
          <w:trHeight w:val="210"/>
        </w:trPr>
        <w:tc>
          <w:tcPr>
            <w:tcW w:w="4280" w:type="dxa"/>
            <w:tcBorders>
              <w:top w:val="nil"/>
              <w:left w:val="nil"/>
              <w:bottom w:val="nil"/>
              <w:right w:val="nil"/>
            </w:tcBorders>
            <w:shd w:val="clear" w:color="auto" w:fill="auto"/>
            <w:hideMark/>
          </w:tcPr>
          <w:p w14:paraId="166F4420"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Perceiving need for care base rate initial 18+</w:t>
            </w:r>
          </w:p>
        </w:tc>
        <w:tc>
          <w:tcPr>
            <w:tcW w:w="1000" w:type="dxa"/>
            <w:tcBorders>
              <w:top w:val="nil"/>
              <w:left w:val="nil"/>
              <w:bottom w:val="nil"/>
              <w:right w:val="nil"/>
            </w:tcBorders>
            <w:shd w:val="clear" w:color="auto" w:fill="auto"/>
            <w:hideMark/>
          </w:tcPr>
          <w:p w14:paraId="45954D2D"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0.000331779</w:t>
            </w:r>
          </w:p>
        </w:tc>
        <w:tc>
          <w:tcPr>
            <w:tcW w:w="8580" w:type="dxa"/>
            <w:tcBorders>
              <w:top w:val="nil"/>
              <w:left w:val="nil"/>
              <w:bottom w:val="nil"/>
              <w:right w:val="nil"/>
            </w:tcBorders>
            <w:shd w:val="clear" w:color="auto" w:fill="auto"/>
            <w:hideMark/>
          </w:tcPr>
          <w:p w14:paraId="0BBE911E"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Initial base per capita rate per year.  Estimated via constrained optimisation.</w:t>
            </w:r>
          </w:p>
        </w:tc>
      </w:tr>
      <w:tr w:rsidR="00BB14B5" w:rsidRPr="00BB14B5" w14:paraId="45A15B89" w14:textId="77777777" w:rsidTr="00BB14B5">
        <w:trPr>
          <w:trHeight w:val="420"/>
        </w:trPr>
        <w:tc>
          <w:tcPr>
            <w:tcW w:w="4280" w:type="dxa"/>
            <w:tcBorders>
              <w:top w:val="nil"/>
              <w:left w:val="nil"/>
              <w:bottom w:val="nil"/>
              <w:right w:val="nil"/>
            </w:tcBorders>
            <w:shd w:val="clear" w:color="000000" w:fill="F2F2F2"/>
            <w:hideMark/>
          </w:tcPr>
          <w:p w14:paraId="142E91AC"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 xml:space="preserve">Perceiving need for care rate multiplier </w:t>
            </w:r>
            <w:proofErr w:type="gramStart"/>
            <w:r w:rsidRPr="00BB14B5">
              <w:rPr>
                <w:rFonts w:ascii="Times New Roman" w:eastAsia="Times New Roman" w:hAnsi="Times New Roman"/>
                <w:color w:val="000000"/>
                <w:sz w:val="16"/>
                <w:szCs w:val="16"/>
                <w:lang w:eastAsia="en-AU"/>
              </w:rPr>
              <w:t>increase</w:t>
            </w:r>
            <w:proofErr w:type="gramEnd"/>
            <w:r w:rsidRPr="00BB14B5">
              <w:rPr>
                <w:rFonts w:ascii="Times New Roman" w:eastAsia="Times New Roman" w:hAnsi="Times New Roman"/>
                <w:color w:val="000000"/>
                <w:sz w:val="16"/>
                <w:szCs w:val="16"/>
                <w:lang w:eastAsia="en-AU"/>
              </w:rPr>
              <w:t xml:space="preserve"> per year 7-11</w:t>
            </w:r>
          </w:p>
        </w:tc>
        <w:tc>
          <w:tcPr>
            <w:tcW w:w="1000" w:type="dxa"/>
            <w:tcBorders>
              <w:top w:val="nil"/>
              <w:left w:val="nil"/>
              <w:bottom w:val="nil"/>
              <w:right w:val="nil"/>
            </w:tcBorders>
            <w:shd w:val="clear" w:color="000000" w:fill="F2F2F2"/>
            <w:hideMark/>
          </w:tcPr>
          <w:p w14:paraId="59974155"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0.101955532</w:t>
            </w:r>
          </w:p>
        </w:tc>
        <w:tc>
          <w:tcPr>
            <w:tcW w:w="8580" w:type="dxa"/>
            <w:tcBorders>
              <w:top w:val="nil"/>
              <w:left w:val="nil"/>
              <w:bottom w:val="nil"/>
              <w:right w:val="nil"/>
            </w:tcBorders>
            <w:shd w:val="clear" w:color="000000" w:fill="F2F2F2"/>
            <w:hideMark/>
          </w:tcPr>
          <w:p w14:paraId="1AB24F85"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Determines the rate of increase in the base per capita rate at which 7-11-year-olds transition to perceiving a need for care.  Estimated via constrained optimisation.</w:t>
            </w:r>
          </w:p>
        </w:tc>
      </w:tr>
      <w:tr w:rsidR="00BB14B5" w:rsidRPr="00BB14B5" w14:paraId="3D93ECA3" w14:textId="77777777" w:rsidTr="00BB14B5">
        <w:trPr>
          <w:trHeight w:val="420"/>
        </w:trPr>
        <w:tc>
          <w:tcPr>
            <w:tcW w:w="4280" w:type="dxa"/>
            <w:tcBorders>
              <w:top w:val="nil"/>
              <w:left w:val="nil"/>
              <w:bottom w:val="nil"/>
              <w:right w:val="nil"/>
            </w:tcBorders>
            <w:shd w:val="clear" w:color="auto" w:fill="auto"/>
            <w:hideMark/>
          </w:tcPr>
          <w:p w14:paraId="5A4175C7"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 xml:space="preserve">Perceiving need for care rate multiplier </w:t>
            </w:r>
            <w:proofErr w:type="gramStart"/>
            <w:r w:rsidRPr="00BB14B5">
              <w:rPr>
                <w:rFonts w:ascii="Times New Roman" w:eastAsia="Times New Roman" w:hAnsi="Times New Roman"/>
                <w:color w:val="000000"/>
                <w:sz w:val="16"/>
                <w:szCs w:val="16"/>
                <w:lang w:eastAsia="en-AU"/>
              </w:rPr>
              <w:t>increase</w:t>
            </w:r>
            <w:proofErr w:type="gramEnd"/>
            <w:r w:rsidRPr="00BB14B5">
              <w:rPr>
                <w:rFonts w:ascii="Times New Roman" w:eastAsia="Times New Roman" w:hAnsi="Times New Roman"/>
                <w:color w:val="000000"/>
                <w:sz w:val="16"/>
                <w:szCs w:val="16"/>
                <w:lang w:eastAsia="en-AU"/>
              </w:rPr>
              <w:t xml:space="preserve"> per year 12-17</w:t>
            </w:r>
          </w:p>
        </w:tc>
        <w:tc>
          <w:tcPr>
            <w:tcW w:w="1000" w:type="dxa"/>
            <w:tcBorders>
              <w:top w:val="nil"/>
              <w:left w:val="nil"/>
              <w:bottom w:val="nil"/>
              <w:right w:val="nil"/>
            </w:tcBorders>
            <w:shd w:val="clear" w:color="auto" w:fill="auto"/>
            <w:hideMark/>
          </w:tcPr>
          <w:p w14:paraId="1C50396C"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0.475071297</w:t>
            </w:r>
          </w:p>
        </w:tc>
        <w:tc>
          <w:tcPr>
            <w:tcW w:w="8580" w:type="dxa"/>
            <w:tcBorders>
              <w:top w:val="nil"/>
              <w:left w:val="nil"/>
              <w:bottom w:val="nil"/>
              <w:right w:val="nil"/>
            </w:tcBorders>
            <w:shd w:val="clear" w:color="auto" w:fill="auto"/>
            <w:hideMark/>
          </w:tcPr>
          <w:p w14:paraId="4CB7ADD0"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Determines the rate of increase in the base per capita rate at which 12-17-year-olds transition to perceiving a need for care.  Estimated via constrained optimisation.</w:t>
            </w:r>
          </w:p>
        </w:tc>
      </w:tr>
      <w:tr w:rsidR="00BB14B5" w:rsidRPr="00BB14B5" w14:paraId="784B09C4" w14:textId="77777777" w:rsidTr="00BB14B5">
        <w:trPr>
          <w:trHeight w:val="420"/>
        </w:trPr>
        <w:tc>
          <w:tcPr>
            <w:tcW w:w="4280" w:type="dxa"/>
            <w:tcBorders>
              <w:top w:val="nil"/>
              <w:left w:val="nil"/>
              <w:bottom w:val="nil"/>
              <w:right w:val="nil"/>
            </w:tcBorders>
            <w:shd w:val="clear" w:color="000000" w:fill="F2F2F2"/>
            <w:hideMark/>
          </w:tcPr>
          <w:p w14:paraId="6EEA0E84"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 xml:space="preserve">Perceiving need for care rate multiplier </w:t>
            </w:r>
            <w:proofErr w:type="gramStart"/>
            <w:r w:rsidRPr="00BB14B5">
              <w:rPr>
                <w:rFonts w:ascii="Times New Roman" w:eastAsia="Times New Roman" w:hAnsi="Times New Roman"/>
                <w:color w:val="000000"/>
                <w:sz w:val="16"/>
                <w:szCs w:val="16"/>
                <w:lang w:eastAsia="en-AU"/>
              </w:rPr>
              <w:t>increase</w:t>
            </w:r>
            <w:proofErr w:type="gramEnd"/>
            <w:r w:rsidRPr="00BB14B5">
              <w:rPr>
                <w:rFonts w:ascii="Times New Roman" w:eastAsia="Times New Roman" w:hAnsi="Times New Roman"/>
                <w:color w:val="000000"/>
                <w:sz w:val="16"/>
                <w:szCs w:val="16"/>
                <w:lang w:eastAsia="en-AU"/>
              </w:rPr>
              <w:t xml:space="preserve"> per year 18+</w:t>
            </w:r>
          </w:p>
        </w:tc>
        <w:tc>
          <w:tcPr>
            <w:tcW w:w="1000" w:type="dxa"/>
            <w:tcBorders>
              <w:top w:val="nil"/>
              <w:left w:val="nil"/>
              <w:bottom w:val="nil"/>
              <w:right w:val="nil"/>
            </w:tcBorders>
            <w:shd w:val="clear" w:color="000000" w:fill="F2F2F2"/>
            <w:hideMark/>
          </w:tcPr>
          <w:p w14:paraId="243BCDF9"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2.618241984</w:t>
            </w:r>
          </w:p>
        </w:tc>
        <w:tc>
          <w:tcPr>
            <w:tcW w:w="8580" w:type="dxa"/>
            <w:tcBorders>
              <w:top w:val="nil"/>
              <w:left w:val="nil"/>
              <w:bottom w:val="nil"/>
              <w:right w:val="nil"/>
            </w:tcBorders>
            <w:shd w:val="clear" w:color="000000" w:fill="F2F2F2"/>
            <w:hideMark/>
          </w:tcPr>
          <w:p w14:paraId="25599237"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Determines the rate of increase in the base per capita rate at which adults (aged 18 years and above) transition to perceiving a need for care.  Estimated via constrained optimisation.</w:t>
            </w:r>
          </w:p>
        </w:tc>
      </w:tr>
      <w:tr w:rsidR="00BB14B5" w:rsidRPr="00BB14B5" w14:paraId="0221A576" w14:textId="77777777" w:rsidTr="00BB14B5">
        <w:trPr>
          <w:trHeight w:val="420"/>
        </w:trPr>
        <w:tc>
          <w:tcPr>
            <w:tcW w:w="4280" w:type="dxa"/>
            <w:tcBorders>
              <w:top w:val="nil"/>
              <w:left w:val="nil"/>
              <w:bottom w:val="nil"/>
              <w:right w:val="nil"/>
            </w:tcBorders>
            <w:shd w:val="clear" w:color="auto" w:fill="auto"/>
            <w:hideMark/>
          </w:tcPr>
          <w:p w14:paraId="71C29079"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Perceiving need for care rate ratio mental health problems</w:t>
            </w:r>
          </w:p>
        </w:tc>
        <w:tc>
          <w:tcPr>
            <w:tcW w:w="1000" w:type="dxa"/>
            <w:tcBorders>
              <w:top w:val="nil"/>
              <w:left w:val="nil"/>
              <w:bottom w:val="nil"/>
              <w:right w:val="nil"/>
            </w:tcBorders>
            <w:shd w:val="clear" w:color="auto" w:fill="auto"/>
            <w:hideMark/>
          </w:tcPr>
          <w:p w14:paraId="502D5DEE"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6.967821517</w:t>
            </w:r>
          </w:p>
        </w:tc>
        <w:tc>
          <w:tcPr>
            <w:tcW w:w="8580" w:type="dxa"/>
            <w:tcBorders>
              <w:top w:val="nil"/>
              <w:left w:val="nil"/>
              <w:bottom w:val="nil"/>
              <w:right w:val="nil"/>
            </w:tcBorders>
            <w:shd w:val="clear" w:color="auto" w:fill="auto"/>
            <w:hideMark/>
          </w:tcPr>
          <w:p w14:paraId="7779438E"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Effect of mental health problems on the per capita rate at which people transition to perceiving a need for care.  Estimated via constrained optimisation.</w:t>
            </w:r>
          </w:p>
        </w:tc>
      </w:tr>
      <w:tr w:rsidR="00BB14B5" w:rsidRPr="00BB14B5" w14:paraId="64478FBF" w14:textId="77777777" w:rsidTr="00BB14B5">
        <w:trPr>
          <w:trHeight w:val="420"/>
        </w:trPr>
        <w:tc>
          <w:tcPr>
            <w:tcW w:w="4280" w:type="dxa"/>
            <w:tcBorders>
              <w:top w:val="nil"/>
              <w:left w:val="nil"/>
              <w:bottom w:val="nil"/>
              <w:right w:val="nil"/>
            </w:tcBorders>
            <w:shd w:val="clear" w:color="000000" w:fill="F2F2F2"/>
            <w:hideMark/>
          </w:tcPr>
          <w:p w14:paraId="5FD5518B"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Per service recovery rate</w:t>
            </w:r>
          </w:p>
        </w:tc>
        <w:tc>
          <w:tcPr>
            <w:tcW w:w="1000" w:type="dxa"/>
            <w:tcBorders>
              <w:top w:val="nil"/>
              <w:left w:val="nil"/>
              <w:bottom w:val="nil"/>
              <w:right w:val="nil"/>
            </w:tcBorders>
            <w:shd w:val="clear" w:color="000000" w:fill="F2F2F2"/>
            <w:hideMark/>
          </w:tcPr>
          <w:p w14:paraId="15A62BC0"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0.07433333</w:t>
            </w:r>
          </w:p>
        </w:tc>
        <w:tc>
          <w:tcPr>
            <w:tcW w:w="8580" w:type="dxa"/>
            <w:tcBorders>
              <w:top w:val="nil"/>
              <w:left w:val="nil"/>
              <w:bottom w:val="nil"/>
              <w:right w:val="nil"/>
            </w:tcBorders>
            <w:shd w:val="clear" w:color="000000" w:fill="F2F2F2"/>
            <w:hideMark/>
          </w:tcPr>
          <w:p w14:paraId="22E91E99" w14:textId="19EECD06"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Proportion of patients recovering with treatment (0.446; see Thase et al., 1997, Arch. Gen. Psychiatry 54, 1009−1015) divided by the minimally adequate number of consultations per treatment episode (6; see Wang et al., 2007, Lancet 370, 841-850)</w:t>
            </w:r>
          </w:p>
        </w:tc>
      </w:tr>
      <w:tr w:rsidR="00BB14B5" w:rsidRPr="00BB14B5" w14:paraId="185231C0" w14:textId="77777777" w:rsidTr="00BB14B5">
        <w:trPr>
          <w:trHeight w:val="420"/>
        </w:trPr>
        <w:tc>
          <w:tcPr>
            <w:tcW w:w="4280" w:type="dxa"/>
            <w:tcBorders>
              <w:top w:val="nil"/>
              <w:left w:val="nil"/>
              <w:bottom w:val="nil"/>
              <w:right w:val="nil"/>
            </w:tcBorders>
            <w:shd w:val="clear" w:color="auto" w:fill="auto"/>
            <w:hideMark/>
          </w:tcPr>
          <w:p w14:paraId="28628D1F"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Proportion disengaging immediately with unlimited capacity</w:t>
            </w:r>
          </w:p>
        </w:tc>
        <w:tc>
          <w:tcPr>
            <w:tcW w:w="1000" w:type="dxa"/>
            <w:tcBorders>
              <w:top w:val="nil"/>
              <w:left w:val="nil"/>
              <w:bottom w:val="nil"/>
              <w:right w:val="nil"/>
            </w:tcBorders>
            <w:shd w:val="clear" w:color="auto" w:fill="auto"/>
            <w:hideMark/>
          </w:tcPr>
          <w:p w14:paraId="67CCA5F7"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0.001</w:t>
            </w:r>
          </w:p>
        </w:tc>
        <w:tc>
          <w:tcPr>
            <w:tcW w:w="8580" w:type="dxa"/>
            <w:tcBorders>
              <w:top w:val="nil"/>
              <w:left w:val="nil"/>
              <w:bottom w:val="nil"/>
              <w:right w:val="nil"/>
            </w:tcBorders>
            <w:shd w:val="clear" w:color="auto" w:fill="auto"/>
            <w:hideMark/>
          </w:tcPr>
          <w:p w14:paraId="3107EE6A"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Proportion of people engaging with mental health services assumed to disengage immediately when services capacity is unlimited (no waiting time)</w:t>
            </w:r>
          </w:p>
        </w:tc>
      </w:tr>
      <w:tr w:rsidR="00BB14B5" w:rsidRPr="00BB14B5" w14:paraId="284A7D68" w14:textId="77777777" w:rsidTr="00BB14B5">
        <w:trPr>
          <w:trHeight w:val="420"/>
        </w:trPr>
        <w:tc>
          <w:tcPr>
            <w:tcW w:w="4280" w:type="dxa"/>
            <w:tcBorders>
              <w:top w:val="nil"/>
              <w:left w:val="nil"/>
              <w:bottom w:val="nil"/>
              <w:right w:val="nil"/>
            </w:tcBorders>
            <w:shd w:val="clear" w:color="000000" w:fill="F2F2F2"/>
            <w:hideMark/>
          </w:tcPr>
          <w:p w14:paraId="244B530A"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Proportion of capacity public initial 7-17</w:t>
            </w:r>
          </w:p>
        </w:tc>
        <w:tc>
          <w:tcPr>
            <w:tcW w:w="1000" w:type="dxa"/>
            <w:tcBorders>
              <w:top w:val="nil"/>
              <w:left w:val="nil"/>
              <w:bottom w:val="nil"/>
              <w:right w:val="nil"/>
            </w:tcBorders>
            <w:shd w:val="clear" w:color="000000" w:fill="F2F2F2"/>
            <w:hideMark/>
          </w:tcPr>
          <w:p w14:paraId="78BD7AA0"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0.213635541</w:t>
            </w:r>
          </w:p>
        </w:tc>
        <w:tc>
          <w:tcPr>
            <w:tcW w:w="8580" w:type="dxa"/>
            <w:tcBorders>
              <w:top w:val="nil"/>
              <w:left w:val="nil"/>
              <w:bottom w:val="nil"/>
              <w:right w:val="nil"/>
            </w:tcBorders>
            <w:shd w:val="clear" w:color="000000" w:fill="F2F2F2"/>
            <w:hideMark/>
          </w:tcPr>
          <w:p w14:paraId="18163DB8"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Initial proportion of total child and adolescent mental health services capacity available to patients affiliated with the subsidised health care regime (i.e., via the public services system).  Estimated via constrained optimisation.</w:t>
            </w:r>
          </w:p>
        </w:tc>
      </w:tr>
      <w:tr w:rsidR="00BB14B5" w:rsidRPr="00BB14B5" w14:paraId="19415804" w14:textId="77777777" w:rsidTr="00BB14B5">
        <w:trPr>
          <w:trHeight w:val="420"/>
        </w:trPr>
        <w:tc>
          <w:tcPr>
            <w:tcW w:w="4280" w:type="dxa"/>
            <w:tcBorders>
              <w:top w:val="nil"/>
              <w:left w:val="nil"/>
              <w:bottom w:val="nil"/>
              <w:right w:val="nil"/>
            </w:tcBorders>
            <w:shd w:val="clear" w:color="auto" w:fill="auto"/>
            <w:hideMark/>
          </w:tcPr>
          <w:p w14:paraId="4CB9D626"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Proportion of capacity public initial 18+</w:t>
            </w:r>
          </w:p>
        </w:tc>
        <w:tc>
          <w:tcPr>
            <w:tcW w:w="1000" w:type="dxa"/>
            <w:tcBorders>
              <w:top w:val="nil"/>
              <w:left w:val="nil"/>
              <w:bottom w:val="nil"/>
              <w:right w:val="nil"/>
            </w:tcBorders>
            <w:shd w:val="clear" w:color="auto" w:fill="auto"/>
            <w:hideMark/>
          </w:tcPr>
          <w:p w14:paraId="105941B4"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0.196296571</w:t>
            </w:r>
          </w:p>
        </w:tc>
        <w:tc>
          <w:tcPr>
            <w:tcW w:w="8580" w:type="dxa"/>
            <w:tcBorders>
              <w:top w:val="nil"/>
              <w:left w:val="nil"/>
              <w:bottom w:val="nil"/>
              <w:right w:val="nil"/>
            </w:tcBorders>
            <w:shd w:val="clear" w:color="auto" w:fill="auto"/>
            <w:hideMark/>
          </w:tcPr>
          <w:p w14:paraId="4B3A5E52"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Initial proportion of total adult mental health services capacity available to patients affiliated with the subsidised health care regime (i.e., via the public services system).  Estimated via constrained optimisation.</w:t>
            </w:r>
          </w:p>
        </w:tc>
      </w:tr>
      <w:tr w:rsidR="00BB14B5" w:rsidRPr="00BB14B5" w14:paraId="188598DC" w14:textId="77777777" w:rsidTr="00BB14B5">
        <w:trPr>
          <w:trHeight w:val="630"/>
        </w:trPr>
        <w:tc>
          <w:tcPr>
            <w:tcW w:w="4280" w:type="dxa"/>
            <w:tcBorders>
              <w:top w:val="nil"/>
              <w:left w:val="nil"/>
              <w:bottom w:val="nil"/>
              <w:right w:val="nil"/>
            </w:tcBorders>
            <w:shd w:val="clear" w:color="000000" w:fill="F2F2F2"/>
            <w:hideMark/>
          </w:tcPr>
          <w:p w14:paraId="7ADA5E54"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Services capacity increase per year 7-17</w:t>
            </w:r>
          </w:p>
        </w:tc>
        <w:tc>
          <w:tcPr>
            <w:tcW w:w="1000" w:type="dxa"/>
            <w:tcBorders>
              <w:top w:val="nil"/>
              <w:left w:val="nil"/>
              <w:bottom w:val="nil"/>
              <w:right w:val="nil"/>
            </w:tcBorders>
            <w:shd w:val="clear" w:color="000000" w:fill="F2F2F2"/>
            <w:hideMark/>
          </w:tcPr>
          <w:p w14:paraId="2661A44B"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2692.767661</w:t>
            </w:r>
          </w:p>
        </w:tc>
        <w:tc>
          <w:tcPr>
            <w:tcW w:w="8580" w:type="dxa"/>
            <w:tcBorders>
              <w:top w:val="nil"/>
              <w:left w:val="nil"/>
              <w:bottom w:val="nil"/>
              <w:right w:val="nil"/>
            </w:tcBorders>
            <w:shd w:val="clear" w:color="000000" w:fill="F2F2F2"/>
            <w:hideMark/>
          </w:tcPr>
          <w:p w14:paraId="0AE89AC1"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Annual increase in the total number of child and adolescent mental health consultations that can be provided per year.  Estimated using workforce and services provision data from the Registry of Human Talent in Health (RETHUS) and the Individual Registries for Health Service Provision (RIPS).</w:t>
            </w:r>
          </w:p>
        </w:tc>
      </w:tr>
      <w:tr w:rsidR="00BB14B5" w:rsidRPr="00BB14B5" w14:paraId="0C4586C5" w14:textId="77777777" w:rsidTr="00BB14B5">
        <w:trPr>
          <w:trHeight w:val="630"/>
        </w:trPr>
        <w:tc>
          <w:tcPr>
            <w:tcW w:w="4280" w:type="dxa"/>
            <w:tcBorders>
              <w:top w:val="nil"/>
              <w:left w:val="nil"/>
              <w:bottom w:val="nil"/>
              <w:right w:val="nil"/>
            </w:tcBorders>
            <w:shd w:val="clear" w:color="auto" w:fill="auto"/>
            <w:hideMark/>
          </w:tcPr>
          <w:p w14:paraId="5845F2FB"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Services capacity increase per year 18+</w:t>
            </w:r>
          </w:p>
        </w:tc>
        <w:tc>
          <w:tcPr>
            <w:tcW w:w="1000" w:type="dxa"/>
            <w:tcBorders>
              <w:top w:val="nil"/>
              <w:left w:val="nil"/>
              <w:bottom w:val="nil"/>
              <w:right w:val="nil"/>
            </w:tcBorders>
            <w:shd w:val="clear" w:color="auto" w:fill="auto"/>
            <w:hideMark/>
          </w:tcPr>
          <w:p w14:paraId="0E8776D5"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13196.01716</w:t>
            </w:r>
          </w:p>
        </w:tc>
        <w:tc>
          <w:tcPr>
            <w:tcW w:w="8580" w:type="dxa"/>
            <w:tcBorders>
              <w:top w:val="nil"/>
              <w:left w:val="nil"/>
              <w:bottom w:val="nil"/>
              <w:right w:val="nil"/>
            </w:tcBorders>
            <w:shd w:val="clear" w:color="auto" w:fill="auto"/>
            <w:hideMark/>
          </w:tcPr>
          <w:p w14:paraId="7DE66F37"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Annual increase in the total number of adult mental health consultations that can be provided per year.  Estimated using workforce and services provision data from the Registry of Human Talent in Health (RETHUS) and the Individual Registries for Health Service Provision (RIPS).</w:t>
            </w:r>
          </w:p>
        </w:tc>
      </w:tr>
      <w:tr w:rsidR="00BB14B5" w:rsidRPr="00BB14B5" w14:paraId="2E94CEC8" w14:textId="77777777" w:rsidTr="00BB14B5">
        <w:trPr>
          <w:trHeight w:val="630"/>
        </w:trPr>
        <w:tc>
          <w:tcPr>
            <w:tcW w:w="4280" w:type="dxa"/>
            <w:tcBorders>
              <w:top w:val="nil"/>
              <w:left w:val="nil"/>
              <w:bottom w:val="nil"/>
              <w:right w:val="nil"/>
            </w:tcBorders>
            <w:shd w:val="clear" w:color="000000" w:fill="F2F2F2"/>
            <w:hideMark/>
          </w:tcPr>
          <w:p w14:paraId="624FFBB8"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Services capacity initial 7-17</w:t>
            </w:r>
          </w:p>
        </w:tc>
        <w:tc>
          <w:tcPr>
            <w:tcW w:w="1000" w:type="dxa"/>
            <w:tcBorders>
              <w:top w:val="nil"/>
              <w:left w:val="nil"/>
              <w:bottom w:val="nil"/>
              <w:right w:val="nil"/>
            </w:tcBorders>
            <w:shd w:val="clear" w:color="000000" w:fill="F2F2F2"/>
            <w:hideMark/>
          </w:tcPr>
          <w:p w14:paraId="3178BEFA"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13216.42227</w:t>
            </w:r>
          </w:p>
        </w:tc>
        <w:tc>
          <w:tcPr>
            <w:tcW w:w="8580" w:type="dxa"/>
            <w:tcBorders>
              <w:top w:val="nil"/>
              <w:left w:val="nil"/>
              <w:bottom w:val="nil"/>
              <w:right w:val="nil"/>
            </w:tcBorders>
            <w:shd w:val="clear" w:color="000000" w:fill="F2F2F2"/>
            <w:hideMark/>
          </w:tcPr>
          <w:p w14:paraId="00433D56"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Initial total number of child and adolescent mental health consultations that can be provided per year.  Estimated using workforce and services provision data from the Registry of Human Talent in Health (RETHUS) and the Individual Registries for Health Service Provision (RIPS).</w:t>
            </w:r>
          </w:p>
        </w:tc>
      </w:tr>
      <w:tr w:rsidR="00BB14B5" w:rsidRPr="00BB14B5" w14:paraId="7D00602A" w14:textId="77777777" w:rsidTr="00BB14B5">
        <w:trPr>
          <w:trHeight w:val="630"/>
        </w:trPr>
        <w:tc>
          <w:tcPr>
            <w:tcW w:w="4280" w:type="dxa"/>
            <w:tcBorders>
              <w:top w:val="nil"/>
              <w:left w:val="nil"/>
              <w:bottom w:val="nil"/>
              <w:right w:val="nil"/>
            </w:tcBorders>
            <w:shd w:val="clear" w:color="auto" w:fill="auto"/>
            <w:hideMark/>
          </w:tcPr>
          <w:p w14:paraId="1DCD8D86"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Services capacity initial 18+</w:t>
            </w:r>
          </w:p>
        </w:tc>
        <w:tc>
          <w:tcPr>
            <w:tcW w:w="1000" w:type="dxa"/>
            <w:tcBorders>
              <w:top w:val="nil"/>
              <w:left w:val="nil"/>
              <w:bottom w:val="nil"/>
              <w:right w:val="nil"/>
            </w:tcBorders>
            <w:shd w:val="clear" w:color="auto" w:fill="auto"/>
            <w:hideMark/>
          </w:tcPr>
          <w:p w14:paraId="71BB1EC0"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64767.61347</w:t>
            </w:r>
          </w:p>
        </w:tc>
        <w:tc>
          <w:tcPr>
            <w:tcW w:w="8580" w:type="dxa"/>
            <w:tcBorders>
              <w:top w:val="nil"/>
              <w:left w:val="nil"/>
              <w:bottom w:val="nil"/>
              <w:right w:val="nil"/>
            </w:tcBorders>
            <w:shd w:val="clear" w:color="auto" w:fill="auto"/>
            <w:hideMark/>
          </w:tcPr>
          <w:p w14:paraId="32979A1F"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Initial total number of adult mental health consultations that can be provided per year.  Estimated using workforce and services provision data from the Registry of Human Talent in Health (RETHUS) and the Individual Registries for Health Service Provision (RIPS).</w:t>
            </w:r>
          </w:p>
        </w:tc>
      </w:tr>
      <w:tr w:rsidR="00BB14B5" w:rsidRPr="00BB14B5" w14:paraId="2173F989" w14:textId="77777777" w:rsidTr="00BB14B5">
        <w:trPr>
          <w:trHeight w:val="210"/>
        </w:trPr>
        <w:tc>
          <w:tcPr>
            <w:tcW w:w="4280" w:type="dxa"/>
            <w:tcBorders>
              <w:top w:val="nil"/>
              <w:left w:val="nil"/>
              <w:bottom w:val="nil"/>
              <w:right w:val="nil"/>
            </w:tcBorders>
            <w:shd w:val="clear" w:color="000000" w:fill="F2F2F2"/>
            <w:hideMark/>
          </w:tcPr>
          <w:p w14:paraId="12762159"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Services engagement rate 7-11</w:t>
            </w:r>
          </w:p>
        </w:tc>
        <w:tc>
          <w:tcPr>
            <w:tcW w:w="1000" w:type="dxa"/>
            <w:tcBorders>
              <w:top w:val="nil"/>
              <w:left w:val="nil"/>
              <w:bottom w:val="nil"/>
              <w:right w:val="nil"/>
            </w:tcBorders>
            <w:shd w:val="clear" w:color="000000" w:fill="F2F2F2"/>
            <w:hideMark/>
          </w:tcPr>
          <w:p w14:paraId="58EA10FF"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1.520335023</w:t>
            </w:r>
          </w:p>
        </w:tc>
        <w:tc>
          <w:tcPr>
            <w:tcW w:w="8580" w:type="dxa"/>
            <w:tcBorders>
              <w:top w:val="nil"/>
              <w:left w:val="nil"/>
              <w:bottom w:val="nil"/>
              <w:right w:val="nil"/>
            </w:tcBorders>
            <w:shd w:val="clear" w:color="000000" w:fill="F2F2F2"/>
            <w:hideMark/>
          </w:tcPr>
          <w:p w14:paraId="269AF349"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Per capita engagement rate per year.  Estimated via constrained optimisation.</w:t>
            </w:r>
          </w:p>
        </w:tc>
      </w:tr>
      <w:tr w:rsidR="00BB14B5" w:rsidRPr="00BB14B5" w14:paraId="60C9D756" w14:textId="77777777" w:rsidTr="00BB14B5">
        <w:trPr>
          <w:trHeight w:val="210"/>
        </w:trPr>
        <w:tc>
          <w:tcPr>
            <w:tcW w:w="4280" w:type="dxa"/>
            <w:tcBorders>
              <w:top w:val="nil"/>
              <w:left w:val="nil"/>
              <w:bottom w:val="nil"/>
              <w:right w:val="nil"/>
            </w:tcBorders>
            <w:shd w:val="clear" w:color="auto" w:fill="auto"/>
            <w:hideMark/>
          </w:tcPr>
          <w:p w14:paraId="7938B137"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Services engagement rate 12-17</w:t>
            </w:r>
          </w:p>
        </w:tc>
        <w:tc>
          <w:tcPr>
            <w:tcW w:w="1000" w:type="dxa"/>
            <w:tcBorders>
              <w:top w:val="nil"/>
              <w:left w:val="nil"/>
              <w:bottom w:val="nil"/>
              <w:right w:val="nil"/>
            </w:tcBorders>
            <w:shd w:val="clear" w:color="auto" w:fill="auto"/>
            <w:hideMark/>
          </w:tcPr>
          <w:p w14:paraId="0EF390E1"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2.823900658</w:t>
            </w:r>
          </w:p>
        </w:tc>
        <w:tc>
          <w:tcPr>
            <w:tcW w:w="8580" w:type="dxa"/>
            <w:tcBorders>
              <w:top w:val="nil"/>
              <w:left w:val="nil"/>
              <w:bottom w:val="nil"/>
              <w:right w:val="nil"/>
            </w:tcBorders>
            <w:shd w:val="clear" w:color="auto" w:fill="auto"/>
            <w:hideMark/>
          </w:tcPr>
          <w:p w14:paraId="3109D1FE"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Per capita engagement rate per year.  Estimated via constrained optimisation.</w:t>
            </w:r>
          </w:p>
        </w:tc>
      </w:tr>
      <w:tr w:rsidR="00BB14B5" w:rsidRPr="00BB14B5" w14:paraId="18AC1E7C" w14:textId="77777777" w:rsidTr="00BB14B5">
        <w:trPr>
          <w:trHeight w:val="210"/>
        </w:trPr>
        <w:tc>
          <w:tcPr>
            <w:tcW w:w="4280" w:type="dxa"/>
            <w:tcBorders>
              <w:top w:val="nil"/>
              <w:left w:val="nil"/>
              <w:bottom w:val="nil"/>
              <w:right w:val="nil"/>
            </w:tcBorders>
            <w:shd w:val="clear" w:color="000000" w:fill="F2F2F2"/>
            <w:hideMark/>
          </w:tcPr>
          <w:p w14:paraId="3A56E4D2"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Services engagement rate 18+</w:t>
            </w:r>
          </w:p>
        </w:tc>
        <w:tc>
          <w:tcPr>
            <w:tcW w:w="1000" w:type="dxa"/>
            <w:tcBorders>
              <w:top w:val="nil"/>
              <w:left w:val="nil"/>
              <w:bottom w:val="nil"/>
              <w:right w:val="nil"/>
            </w:tcBorders>
            <w:shd w:val="clear" w:color="000000" w:fill="F2F2F2"/>
            <w:hideMark/>
          </w:tcPr>
          <w:p w14:paraId="32951951"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0.837288471</w:t>
            </w:r>
          </w:p>
        </w:tc>
        <w:tc>
          <w:tcPr>
            <w:tcW w:w="8580" w:type="dxa"/>
            <w:tcBorders>
              <w:top w:val="nil"/>
              <w:left w:val="nil"/>
              <w:bottom w:val="nil"/>
              <w:right w:val="nil"/>
            </w:tcBorders>
            <w:shd w:val="clear" w:color="000000" w:fill="F2F2F2"/>
            <w:hideMark/>
          </w:tcPr>
          <w:p w14:paraId="1CF907C7"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Per capita engagement rate per year.  Estimated via constrained optimisation.</w:t>
            </w:r>
          </w:p>
        </w:tc>
      </w:tr>
      <w:tr w:rsidR="00BB14B5" w:rsidRPr="00BB14B5" w14:paraId="2FA73722" w14:textId="77777777" w:rsidTr="00BB14B5">
        <w:trPr>
          <w:trHeight w:val="210"/>
        </w:trPr>
        <w:tc>
          <w:tcPr>
            <w:tcW w:w="4280" w:type="dxa"/>
            <w:tcBorders>
              <w:top w:val="nil"/>
              <w:left w:val="nil"/>
              <w:bottom w:val="nil"/>
              <w:right w:val="nil"/>
            </w:tcBorders>
            <w:shd w:val="clear" w:color="auto" w:fill="auto"/>
            <w:hideMark/>
          </w:tcPr>
          <w:p w14:paraId="1E1A2F93"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lastRenderedPageBreak/>
              <w:t>Subsidised regime proportion initial</w:t>
            </w:r>
          </w:p>
        </w:tc>
        <w:tc>
          <w:tcPr>
            <w:tcW w:w="1000" w:type="dxa"/>
            <w:tcBorders>
              <w:top w:val="nil"/>
              <w:left w:val="nil"/>
              <w:bottom w:val="nil"/>
              <w:right w:val="nil"/>
            </w:tcBorders>
            <w:shd w:val="clear" w:color="auto" w:fill="auto"/>
            <w:hideMark/>
          </w:tcPr>
          <w:p w14:paraId="6D9FDA8A"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0.264013682</w:t>
            </w:r>
          </w:p>
        </w:tc>
        <w:tc>
          <w:tcPr>
            <w:tcW w:w="8580" w:type="dxa"/>
            <w:tcBorders>
              <w:top w:val="nil"/>
              <w:left w:val="nil"/>
              <w:bottom w:val="nil"/>
              <w:right w:val="nil"/>
            </w:tcBorders>
            <w:shd w:val="clear" w:color="auto" w:fill="auto"/>
            <w:hideMark/>
          </w:tcPr>
          <w:p w14:paraId="288FCC8E"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Initial proportion of the population affiliated with the subsidised health care regime.  Estimated via constrained optimisation.</w:t>
            </w:r>
          </w:p>
        </w:tc>
      </w:tr>
      <w:tr w:rsidR="00BB14B5" w:rsidRPr="00BB14B5" w14:paraId="40EDA4B1" w14:textId="77777777" w:rsidTr="00BB14B5">
        <w:trPr>
          <w:trHeight w:val="420"/>
        </w:trPr>
        <w:tc>
          <w:tcPr>
            <w:tcW w:w="4280" w:type="dxa"/>
            <w:tcBorders>
              <w:top w:val="nil"/>
              <w:left w:val="nil"/>
              <w:bottom w:val="nil"/>
              <w:right w:val="nil"/>
            </w:tcBorders>
            <w:shd w:val="clear" w:color="000000" w:fill="F2F2F2"/>
            <w:hideMark/>
          </w:tcPr>
          <w:p w14:paraId="3CFADB22"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Subsidised regime proportion ratio emergency care 7-11</w:t>
            </w:r>
          </w:p>
        </w:tc>
        <w:tc>
          <w:tcPr>
            <w:tcW w:w="1000" w:type="dxa"/>
            <w:tcBorders>
              <w:top w:val="nil"/>
              <w:left w:val="nil"/>
              <w:bottom w:val="nil"/>
              <w:right w:val="nil"/>
            </w:tcBorders>
            <w:shd w:val="clear" w:color="000000" w:fill="F2F2F2"/>
            <w:hideMark/>
          </w:tcPr>
          <w:p w14:paraId="7EB581A3"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0.335930305</w:t>
            </w:r>
          </w:p>
        </w:tc>
        <w:tc>
          <w:tcPr>
            <w:tcW w:w="8580" w:type="dxa"/>
            <w:tcBorders>
              <w:top w:val="nil"/>
              <w:left w:val="nil"/>
              <w:bottom w:val="nil"/>
              <w:right w:val="nil"/>
            </w:tcBorders>
            <w:shd w:val="clear" w:color="000000" w:fill="F2F2F2"/>
            <w:hideMark/>
          </w:tcPr>
          <w:p w14:paraId="143B45B3"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Proportion of 7-11-year-olds presenting for emergency care affiliated with the subsidised health care regime divided by the total proportion of 7-11-year-olds affiliated with the subsidised health care regime.  Estimated via constrained optimisation.</w:t>
            </w:r>
          </w:p>
        </w:tc>
      </w:tr>
      <w:tr w:rsidR="00BB14B5" w:rsidRPr="00BB14B5" w14:paraId="1178D6D5" w14:textId="77777777" w:rsidTr="00BB14B5">
        <w:trPr>
          <w:trHeight w:val="420"/>
        </w:trPr>
        <w:tc>
          <w:tcPr>
            <w:tcW w:w="4280" w:type="dxa"/>
            <w:tcBorders>
              <w:top w:val="nil"/>
              <w:left w:val="nil"/>
              <w:bottom w:val="nil"/>
              <w:right w:val="nil"/>
            </w:tcBorders>
            <w:shd w:val="clear" w:color="auto" w:fill="auto"/>
            <w:hideMark/>
          </w:tcPr>
          <w:p w14:paraId="77D3EAC5"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Subsidised regime proportion ratio emergency care 12-17</w:t>
            </w:r>
          </w:p>
        </w:tc>
        <w:tc>
          <w:tcPr>
            <w:tcW w:w="1000" w:type="dxa"/>
            <w:tcBorders>
              <w:top w:val="nil"/>
              <w:left w:val="nil"/>
              <w:bottom w:val="nil"/>
              <w:right w:val="nil"/>
            </w:tcBorders>
            <w:shd w:val="clear" w:color="auto" w:fill="auto"/>
            <w:hideMark/>
          </w:tcPr>
          <w:p w14:paraId="17E28AEB"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0.647857489</w:t>
            </w:r>
          </w:p>
        </w:tc>
        <w:tc>
          <w:tcPr>
            <w:tcW w:w="8580" w:type="dxa"/>
            <w:tcBorders>
              <w:top w:val="nil"/>
              <w:left w:val="nil"/>
              <w:bottom w:val="nil"/>
              <w:right w:val="nil"/>
            </w:tcBorders>
            <w:shd w:val="clear" w:color="auto" w:fill="auto"/>
            <w:hideMark/>
          </w:tcPr>
          <w:p w14:paraId="68F81CE1"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Proportion of 12-17-year-olds presenting for emergency care affiliated with the subsidised health care regime divided by the total proportion of 12-17-year-olds affiliated with the subsidised health care regime.  Estimated via constrained optimisation.</w:t>
            </w:r>
          </w:p>
        </w:tc>
      </w:tr>
      <w:tr w:rsidR="00BB14B5" w:rsidRPr="00BB14B5" w14:paraId="0E6923E1" w14:textId="77777777" w:rsidTr="00BB14B5">
        <w:trPr>
          <w:trHeight w:val="630"/>
        </w:trPr>
        <w:tc>
          <w:tcPr>
            <w:tcW w:w="4280" w:type="dxa"/>
            <w:tcBorders>
              <w:top w:val="nil"/>
              <w:left w:val="nil"/>
              <w:bottom w:val="nil"/>
              <w:right w:val="nil"/>
            </w:tcBorders>
            <w:shd w:val="clear" w:color="000000" w:fill="F2F2F2"/>
            <w:hideMark/>
          </w:tcPr>
          <w:p w14:paraId="63D65CDA"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Subsidised regime proportion ratio emergency care 18+</w:t>
            </w:r>
          </w:p>
        </w:tc>
        <w:tc>
          <w:tcPr>
            <w:tcW w:w="1000" w:type="dxa"/>
            <w:tcBorders>
              <w:top w:val="nil"/>
              <w:left w:val="nil"/>
              <w:bottom w:val="nil"/>
              <w:right w:val="nil"/>
            </w:tcBorders>
            <w:shd w:val="clear" w:color="000000" w:fill="F2F2F2"/>
            <w:hideMark/>
          </w:tcPr>
          <w:p w14:paraId="31B50F3B"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0.673955269</w:t>
            </w:r>
          </w:p>
        </w:tc>
        <w:tc>
          <w:tcPr>
            <w:tcW w:w="8580" w:type="dxa"/>
            <w:tcBorders>
              <w:top w:val="nil"/>
              <w:left w:val="nil"/>
              <w:bottom w:val="nil"/>
              <w:right w:val="nil"/>
            </w:tcBorders>
            <w:shd w:val="clear" w:color="000000" w:fill="F2F2F2"/>
            <w:hideMark/>
          </w:tcPr>
          <w:p w14:paraId="0A1623D4"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Proportion of adults (aged 18 years and above) presenting for emergency care affiliated with the subsidised health care regime divided by the total proportion of adults affiliated with the subsidised health care regime.  Estimated via constrained optimisation.</w:t>
            </w:r>
          </w:p>
        </w:tc>
      </w:tr>
      <w:tr w:rsidR="00BB14B5" w:rsidRPr="00BB14B5" w14:paraId="31B32030" w14:textId="77777777" w:rsidTr="00BB14B5">
        <w:trPr>
          <w:trHeight w:val="420"/>
        </w:trPr>
        <w:tc>
          <w:tcPr>
            <w:tcW w:w="4280" w:type="dxa"/>
            <w:tcBorders>
              <w:top w:val="nil"/>
              <w:left w:val="nil"/>
              <w:bottom w:val="nil"/>
              <w:right w:val="nil"/>
            </w:tcBorders>
            <w:shd w:val="clear" w:color="auto" w:fill="auto"/>
            <w:hideMark/>
          </w:tcPr>
          <w:p w14:paraId="72923A7D"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Subsidised regime proportion ratio hospital care 7-11</w:t>
            </w:r>
          </w:p>
        </w:tc>
        <w:tc>
          <w:tcPr>
            <w:tcW w:w="1000" w:type="dxa"/>
            <w:tcBorders>
              <w:top w:val="nil"/>
              <w:left w:val="nil"/>
              <w:bottom w:val="nil"/>
              <w:right w:val="nil"/>
            </w:tcBorders>
            <w:shd w:val="clear" w:color="auto" w:fill="auto"/>
            <w:hideMark/>
          </w:tcPr>
          <w:p w14:paraId="6EDABFC0"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0.600444141</w:t>
            </w:r>
          </w:p>
        </w:tc>
        <w:tc>
          <w:tcPr>
            <w:tcW w:w="8580" w:type="dxa"/>
            <w:tcBorders>
              <w:top w:val="nil"/>
              <w:left w:val="nil"/>
              <w:bottom w:val="nil"/>
              <w:right w:val="nil"/>
            </w:tcBorders>
            <w:shd w:val="clear" w:color="auto" w:fill="auto"/>
            <w:hideMark/>
          </w:tcPr>
          <w:p w14:paraId="58FB09C8"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Proportion of 7-11-year-olds admitted to hospital affiliated with the subsidised health care regime divided by the total proportion of 7-11-year-olds affiliated with the subsidised health care regime.  Estimated via constrained optimisation.</w:t>
            </w:r>
          </w:p>
        </w:tc>
      </w:tr>
      <w:tr w:rsidR="00BB14B5" w:rsidRPr="00BB14B5" w14:paraId="5A402D2F" w14:textId="77777777" w:rsidTr="00BB14B5">
        <w:trPr>
          <w:trHeight w:val="420"/>
        </w:trPr>
        <w:tc>
          <w:tcPr>
            <w:tcW w:w="4280" w:type="dxa"/>
            <w:tcBorders>
              <w:top w:val="nil"/>
              <w:left w:val="nil"/>
              <w:bottom w:val="nil"/>
              <w:right w:val="nil"/>
            </w:tcBorders>
            <w:shd w:val="clear" w:color="000000" w:fill="F2F2F2"/>
            <w:hideMark/>
          </w:tcPr>
          <w:p w14:paraId="3FE6A5CF"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Subsidised regime proportion ratio hospital care 12-17</w:t>
            </w:r>
          </w:p>
        </w:tc>
        <w:tc>
          <w:tcPr>
            <w:tcW w:w="1000" w:type="dxa"/>
            <w:tcBorders>
              <w:top w:val="nil"/>
              <w:left w:val="nil"/>
              <w:bottom w:val="nil"/>
              <w:right w:val="nil"/>
            </w:tcBorders>
            <w:shd w:val="clear" w:color="000000" w:fill="F2F2F2"/>
            <w:hideMark/>
          </w:tcPr>
          <w:p w14:paraId="0E73BDE9"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0.739756633</w:t>
            </w:r>
          </w:p>
        </w:tc>
        <w:tc>
          <w:tcPr>
            <w:tcW w:w="8580" w:type="dxa"/>
            <w:tcBorders>
              <w:top w:val="nil"/>
              <w:left w:val="nil"/>
              <w:bottom w:val="nil"/>
              <w:right w:val="nil"/>
            </w:tcBorders>
            <w:shd w:val="clear" w:color="000000" w:fill="F2F2F2"/>
            <w:hideMark/>
          </w:tcPr>
          <w:p w14:paraId="0949409B"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Proportion of 12-17-year-olds admitted to hospital affiliated with the subsidised health care regime divided by the total proportion of 12-17-year-olds affiliated with the subsidised health care regime.  Estimated via constrained optimisation.</w:t>
            </w:r>
          </w:p>
        </w:tc>
      </w:tr>
      <w:tr w:rsidR="00BB14B5" w:rsidRPr="00BB14B5" w14:paraId="61C1B3B6" w14:textId="77777777" w:rsidTr="00BB14B5">
        <w:trPr>
          <w:trHeight w:val="420"/>
        </w:trPr>
        <w:tc>
          <w:tcPr>
            <w:tcW w:w="4280" w:type="dxa"/>
            <w:tcBorders>
              <w:top w:val="nil"/>
              <w:left w:val="nil"/>
              <w:bottom w:val="nil"/>
              <w:right w:val="nil"/>
            </w:tcBorders>
            <w:shd w:val="clear" w:color="auto" w:fill="auto"/>
            <w:hideMark/>
          </w:tcPr>
          <w:p w14:paraId="6B124AB9"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Subsidised regime proportion ratio hospital care 18+</w:t>
            </w:r>
          </w:p>
        </w:tc>
        <w:tc>
          <w:tcPr>
            <w:tcW w:w="1000" w:type="dxa"/>
            <w:tcBorders>
              <w:top w:val="nil"/>
              <w:left w:val="nil"/>
              <w:bottom w:val="nil"/>
              <w:right w:val="nil"/>
            </w:tcBorders>
            <w:shd w:val="clear" w:color="auto" w:fill="auto"/>
            <w:hideMark/>
          </w:tcPr>
          <w:p w14:paraId="37C99591"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1.646377268</w:t>
            </w:r>
          </w:p>
        </w:tc>
        <w:tc>
          <w:tcPr>
            <w:tcW w:w="8580" w:type="dxa"/>
            <w:tcBorders>
              <w:top w:val="nil"/>
              <w:left w:val="nil"/>
              <w:bottom w:val="nil"/>
              <w:right w:val="nil"/>
            </w:tcBorders>
            <w:shd w:val="clear" w:color="auto" w:fill="auto"/>
            <w:hideMark/>
          </w:tcPr>
          <w:p w14:paraId="4B7BA6FA"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Proportion of adults (aged 18 years and above) admitted to hospital affiliated with the subsidised health care regime divided by the total proportion of adults affiliated with the subsidised health care regime.  Estimated via constrained optimisation.</w:t>
            </w:r>
          </w:p>
        </w:tc>
      </w:tr>
      <w:tr w:rsidR="00BB14B5" w:rsidRPr="00BB14B5" w14:paraId="1E693C5C" w14:textId="77777777" w:rsidTr="00BB14B5">
        <w:trPr>
          <w:trHeight w:val="210"/>
        </w:trPr>
        <w:tc>
          <w:tcPr>
            <w:tcW w:w="4280" w:type="dxa"/>
            <w:tcBorders>
              <w:top w:val="nil"/>
              <w:left w:val="nil"/>
              <w:bottom w:val="nil"/>
              <w:right w:val="nil"/>
            </w:tcBorders>
            <w:shd w:val="clear" w:color="auto" w:fill="auto"/>
            <w:hideMark/>
          </w:tcPr>
          <w:p w14:paraId="5F1846B9"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p>
        </w:tc>
        <w:tc>
          <w:tcPr>
            <w:tcW w:w="1000" w:type="dxa"/>
            <w:tcBorders>
              <w:top w:val="nil"/>
              <w:left w:val="nil"/>
              <w:bottom w:val="nil"/>
              <w:right w:val="nil"/>
            </w:tcBorders>
            <w:shd w:val="clear" w:color="auto" w:fill="auto"/>
            <w:hideMark/>
          </w:tcPr>
          <w:p w14:paraId="415E1FD8" w14:textId="77777777" w:rsidR="00BB14B5" w:rsidRPr="00BB14B5" w:rsidRDefault="00BB14B5" w:rsidP="00BB14B5">
            <w:pPr>
              <w:spacing w:line="240" w:lineRule="auto"/>
              <w:rPr>
                <w:rFonts w:ascii="Times New Roman" w:eastAsia="Times New Roman" w:hAnsi="Times New Roman"/>
                <w:color w:val="auto"/>
                <w:sz w:val="20"/>
                <w:szCs w:val="20"/>
                <w:lang w:eastAsia="en-AU"/>
              </w:rPr>
            </w:pPr>
          </w:p>
        </w:tc>
        <w:tc>
          <w:tcPr>
            <w:tcW w:w="8580" w:type="dxa"/>
            <w:tcBorders>
              <w:top w:val="nil"/>
              <w:left w:val="nil"/>
              <w:bottom w:val="nil"/>
              <w:right w:val="nil"/>
            </w:tcBorders>
            <w:shd w:val="clear" w:color="auto" w:fill="auto"/>
            <w:hideMark/>
          </w:tcPr>
          <w:p w14:paraId="52F865E1" w14:textId="77777777" w:rsidR="00BB14B5" w:rsidRPr="00BB14B5" w:rsidRDefault="00BB14B5" w:rsidP="00BB14B5">
            <w:pPr>
              <w:spacing w:line="240" w:lineRule="auto"/>
              <w:rPr>
                <w:rFonts w:ascii="Times New Roman" w:eastAsia="Times New Roman" w:hAnsi="Times New Roman"/>
                <w:color w:val="auto"/>
                <w:sz w:val="20"/>
                <w:szCs w:val="20"/>
                <w:lang w:eastAsia="en-AU"/>
              </w:rPr>
            </w:pPr>
          </w:p>
        </w:tc>
      </w:tr>
      <w:tr w:rsidR="00BB14B5" w:rsidRPr="00BB14B5" w14:paraId="246761E7" w14:textId="77777777" w:rsidTr="00BB14B5">
        <w:trPr>
          <w:trHeight w:val="210"/>
        </w:trPr>
        <w:tc>
          <w:tcPr>
            <w:tcW w:w="4280" w:type="dxa"/>
            <w:tcBorders>
              <w:top w:val="nil"/>
              <w:left w:val="nil"/>
              <w:bottom w:val="nil"/>
              <w:right w:val="nil"/>
            </w:tcBorders>
            <w:shd w:val="clear" w:color="000000" w:fill="D9D9D9"/>
            <w:hideMark/>
          </w:tcPr>
          <w:p w14:paraId="463D642C"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Suicidal behaviour sector</w:t>
            </w:r>
          </w:p>
        </w:tc>
        <w:tc>
          <w:tcPr>
            <w:tcW w:w="1000" w:type="dxa"/>
            <w:tcBorders>
              <w:top w:val="nil"/>
              <w:left w:val="nil"/>
              <w:bottom w:val="nil"/>
              <w:right w:val="nil"/>
            </w:tcBorders>
            <w:shd w:val="clear" w:color="000000" w:fill="D9D9D9"/>
            <w:hideMark/>
          </w:tcPr>
          <w:p w14:paraId="3C38C227"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 </w:t>
            </w:r>
          </w:p>
        </w:tc>
        <w:tc>
          <w:tcPr>
            <w:tcW w:w="8580" w:type="dxa"/>
            <w:tcBorders>
              <w:top w:val="nil"/>
              <w:left w:val="nil"/>
              <w:bottom w:val="nil"/>
              <w:right w:val="nil"/>
            </w:tcBorders>
            <w:shd w:val="clear" w:color="000000" w:fill="D9D9D9"/>
            <w:hideMark/>
          </w:tcPr>
          <w:p w14:paraId="687D27A9"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 </w:t>
            </w:r>
          </w:p>
        </w:tc>
      </w:tr>
      <w:tr w:rsidR="00BB14B5" w:rsidRPr="00BB14B5" w14:paraId="09C00249" w14:textId="77777777" w:rsidTr="00BB14B5">
        <w:trPr>
          <w:trHeight w:val="210"/>
        </w:trPr>
        <w:tc>
          <w:tcPr>
            <w:tcW w:w="4280" w:type="dxa"/>
            <w:tcBorders>
              <w:top w:val="nil"/>
              <w:left w:val="nil"/>
              <w:bottom w:val="nil"/>
              <w:right w:val="nil"/>
            </w:tcBorders>
            <w:shd w:val="clear" w:color="auto" w:fill="auto"/>
            <w:hideMark/>
          </w:tcPr>
          <w:p w14:paraId="2D2396CA"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p>
        </w:tc>
        <w:tc>
          <w:tcPr>
            <w:tcW w:w="1000" w:type="dxa"/>
            <w:tcBorders>
              <w:top w:val="nil"/>
              <w:left w:val="nil"/>
              <w:bottom w:val="nil"/>
              <w:right w:val="nil"/>
            </w:tcBorders>
            <w:shd w:val="clear" w:color="auto" w:fill="auto"/>
            <w:hideMark/>
          </w:tcPr>
          <w:p w14:paraId="495C7BE1" w14:textId="77777777" w:rsidR="00BB14B5" w:rsidRPr="00BB14B5" w:rsidRDefault="00BB14B5" w:rsidP="00BB14B5">
            <w:pPr>
              <w:spacing w:line="240" w:lineRule="auto"/>
              <w:rPr>
                <w:rFonts w:ascii="Times New Roman" w:eastAsia="Times New Roman" w:hAnsi="Times New Roman"/>
                <w:color w:val="auto"/>
                <w:sz w:val="20"/>
                <w:szCs w:val="20"/>
                <w:lang w:eastAsia="en-AU"/>
              </w:rPr>
            </w:pPr>
          </w:p>
        </w:tc>
        <w:tc>
          <w:tcPr>
            <w:tcW w:w="8580" w:type="dxa"/>
            <w:tcBorders>
              <w:top w:val="nil"/>
              <w:left w:val="nil"/>
              <w:bottom w:val="nil"/>
              <w:right w:val="nil"/>
            </w:tcBorders>
            <w:shd w:val="clear" w:color="auto" w:fill="auto"/>
            <w:hideMark/>
          </w:tcPr>
          <w:p w14:paraId="7C093EED" w14:textId="77777777" w:rsidR="00BB14B5" w:rsidRPr="00BB14B5" w:rsidRDefault="00BB14B5" w:rsidP="00BB14B5">
            <w:pPr>
              <w:spacing w:line="240" w:lineRule="auto"/>
              <w:rPr>
                <w:rFonts w:ascii="Times New Roman" w:eastAsia="Times New Roman" w:hAnsi="Times New Roman"/>
                <w:color w:val="auto"/>
                <w:sz w:val="20"/>
                <w:szCs w:val="20"/>
                <w:lang w:eastAsia="en-AU"/>
              </w:rPr>
            </w:pPr>
          </w:p>
        </w:tc>
      </w:tr>
      <w:tr w:rsidR="00BB14B5" w:rsidRPr="00BB14B5" w14:paraId="3D27AE14" w14:textId="77777777" w:rsidTr="00BB14B5">
        <w:trPr>
          <w:trHeight w:val="420"/>
        </w:trPr>
        <w:tc>
          <w:tcPr>
            <w:tcW w:w="4280" w:type="dxa"/>
            <w:tcBorders>
              <w:top w:val="nil"/>
              <w:left w:val="nil"/>
              <w:bottom w:val="nil"/>
              <w:right w:val="nil"/>
            </w:tcBorders>
            <w:shd w:val="clear" w:color="000000" w:fill="F2F2F2"/>
            <w:hideMark/>
          </w:tcPr>
          <w:p w14:paraId="26246B7C"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Initial suicide attempt rate 18+ no mental health problems</w:t>
            </w:r>
          </w:p>
        </w:tc>
        <w:tc>
          <w:tcPr>
            <w:tcW w:w="1000" w:type="dxa"/>
            <w:tcBorders>
              <w:top w:val="nil"/>
              <w:left w:val="nil"/>
              <w:bottom w:val="nil"/>
              <w:right w:val="nil"/>
            </w:tcBorders>
            <w:shd w:val="clear" w:color="000000" w:fill="F2F2F2"/>
            <w:hideMark/>
          </w:tcPr>
          <w:p w14:paraId="5E3C3A07"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9.02272E-05</w:t>
            </w:r>
          </w:p>
        </w:tc>
        <w:tc>
          <w:tcPr>
            <w:tcW w:w="8580" w:type="dxa"/>
            <w:tcBorders>
              <w:top w:val="nil"/>
              <w:left w:val="nil"/>
              <w:bottom w:val="nil"/>
              <w:right w:val="nil"/>
            </w:tcBorders>
            <w:shd w:val="clear" w:color="000000" w:fill="F2F2F2"/>
            <w:hideMark/>
          </w:tcPr>
          <w:p w14:paraId="478B1168"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Per capita initial suicide attempt rate per year for adults (aged 18 years and above) with no significant mental health problems.  Estimated via constrained optimisation.</w:t>
            </w:r>
          </w:p>
        </w:tc>
      </w:tr>
      <w:tr w:rsidR="00BB14B5" w:rsidRPr="00BB14B5" w14:paraId="51732A8E" w14:textId="77777777" w:rsidTr="00BB14B5">
        <w:trPr>
          <w:trHeight w:val="210"/>
        </w:trPr>
        <w:tc>
          <w:tcPr>
            <w:tcW w:w="4280" w:type="dxa"/>
            <w:tcBorders>
              <w:top w:val="nil"/>
              <w:left w:val="nil"/>
              <w:bottom w:val="nil"/>
              <w:right w:val="nil"/>
            </w:tcBorders>
            <w:shd w:val="clear" w:color="auto" w:fill="auto"/>
            <w:hideMark/>
          </w:tcPr>
          <w:p w14:paraId="364E134D"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Initial suicide attempt rate ratio 7-11</w:t>
            </w:r>
          </w:p>
        </w:tc>
        <w:tc>
          <w:tcPr>
            <w:tcW w:w="1000" w:type="dxa"/>
            <w:tcBorders>
              <w:top w:val="nil"/>
              <w:left w:val="nil"/>
              <w:bottom w:val="nil"/>
              <w:right w:val="nil"/>
            </w:tcBorders>
            <w:shd w:val="clear" w:color="auto" w:fill="auto"/>
            <w:hideMark/>
          </w:tcPr>
          <w:p w14:paraId="6C47493C"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0.320598541</w:t>
            </w:r>
          </w:p>
        </w:tc>
        <w:tc>
          <w:tcPr>
            <w:tcW w:w="8580" w:type="dxa"/>
            <w:tcBorders>
              <w:top w:val="nil"/>
              <w:left w:val="nil"/>
              <w:bottom w:val="nil"/>
              <w:right w:val="nil"/>
            </w:tcBorders>
            <w:shd w:val="clear" w:color="auto" w:fill="auto"/>
            <w:hideMark/>
          </w:tcPr>
          <w:p w14:paraId="05D181F4"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Per capita initial suicide attempt rate ratio.  Estimated via constrained optimisation.</w:t>
            </w:r>
          </w:p>
        </w:tc>
      </w:tr>
      <w:tr w:rsidR="00BB14B5" w:rsidRPr="00BB14B5" w14:paraId="378F6AAF" w14:textId="77777777" w:rsidTr="00BB14B5">
        <w:trPr>
          <w:trHeight w:val="210"/>
        </w:trPr>
        <w:tc>
          <w:tcPr>
            <w:tcW w:w="4280" w:type="dxa"/>
            <w:tcBorders>
              <w:top w:val="nil"/>
              <w:left w:val="nil"/>
              <w:bottom w:val="nil"/>
              <w:right w:val="nil"/>
            </w:tcBorders>
            <w:shd w:val="clear" w:color="000000" w:fill="F2F2F2"/>
            <w:hideMark/>
          </w:tcPr>
          <w:p w14:paraId="4A347D46"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Initial suicide attempt rate ratio 12-17</w:t>
            </w:r>
          </w:p>
        </w:tc>
        <w:tc>
          <w:tcPr>
            <w:tcW w:w="1000" w:type="dxa"/>
            <w:tcBorders>
              <w:top w:val="nil"/>
              <w:left w:val="nil"/>
              <w:bottom w:val="nil"/>
              <w:right w:val="nil"/>
            </w:tcBorders>
            <w:shd w:val="clear" w:color="000000" w:fill="F2F2F2"/>
            <w:hideMark/>
          </w:tcPr>
          <w:p w14:paraId="5AB6D1A7"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3.33856926</w:t>
            </w:r>
          </w:p>
        </w:tc>
        <w:tc>
          <w:tcPr>
            <w:tcW w:w="8580" w:type="dxa"/>
            <w:tcBorders>
              <w:top w:val="nil"/>
              <w:left w:val="nil"/>
              <w:bottom w:val="nil"/>
              <w:right w:val="nil"/>
            </w:tcBorders>
            <w:shd w:val="clear" w:color="000000" w:fill="F2F2F2"/>
            <w:hideMark/>
          </w:tcPr>
          <w:p w14:paraId="3295CABC"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Per capita initial suicide attempt rate ratio.  Estimated via constrained optimisation.</w:t>
            </w:r>
          </w:p>
        </w:tc>
      </w:tr>
      <w:tr w:rsidR="00BB14B5" w:rsidRPr="00BB14B5" w14:paraId="6E8B02D1" w14:textId="77777777" w:rsidTr="00BB14B5">
        <w:trPr>
          <w:trHeight w:val="210"/>
        </w:trPr>
        <w:tc>
          <w:tcPr>
            <w:tcW w:w="4280" w:type="dxa"/>
            <w:tcBorders>
              <w:top w:val="nil"/>
              <w:left w:val="nil"/>
              <w:bottom w:val="nil"/>
              <w:right w:val="nil"/>
            </w:tcBorders>
            <w:shd w:val="clear" w:color="auto" w:fill="auto"/>
            <w:hideMark/>
          </w:tcPr>
          <w:p w14:paraId="13FC93FE"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Recent suicidal behaviour duration</w:t>
            </w:r>
          </w:p>
        </w:tc>
        <w:tc>
          <w:tcPr>
            <w:tcW w:w="1000" w:type="dxa"/>
            <w:tcBorders>
              <w:top w:val="nil"/>
              <w:left w:val="nil"/>
              <w:bottom w:val="nil"/>
              <w:right w:val="nil"/>
            </w:tcBorders>
            <w:shd w:val="clear" w:color="auto" w:fill="auto"/>
            <w:hideMark/>
          </w:tcPr>
          <w:p w14:paraId="5BC637A3"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1</w:t>
            </w:r>
          </w:p>
        </w:tc>
        <w:tc>
          <w:tcPr>
            <w:tcW w:w="8580" w:type="dxa"/>
            <w:tcBorders>
              <w:top w:val="nil"/>
              <w:left w:val="nil"/>
              <w:bottom w:val="nil"/>
              <w:right w:val="nil"/>
            </w:tcBorders>
            <w:shd w:val="clear" w:color="auto" w:fill="auto"/>
            <w:hideMark/>
          </w:tcPr>
          <w:p w14:paraId="5E51432D"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Mean duration (in years) of increased risk of suicidal behaviour after an initial suicide attempt</w:t>
            </w:r>
          </w:p>
        </w:tc>
      </w:tr>
      <w:tr w:rsidR="00BB14B5" w:rsidRPr="00BB14B5" w14:paraId="0C9A4FB7" w14:textId="77777777" w:rsidTr="00BB14B5">
        <w:trPr>
          <w:trHeight w:val="420"/>
        </w:trPr>
        <w:tc>
          <w:tcPr>
            <w:tcW w:w="4280" w:type="dxa"/>
            <w:tcBorders>
              <w:top w:val="nil"/>
              <w:left w:val="nil"/>
              <w:bottom w:val="nil"/>
              <w:right w:val="nil"/>
            </w:tcBorders>
            <w:shd w:val="clear" w:color="000000" w:fill="F2F2F2"/>
            <w:hideMark/>
          </w:tcPr>
          <w:p w14:paraId="65F7F439"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Repeat suicide attempt rate per year</w:t>
            </w:r>
          </w:p>
        </w:tc>
        <w:tc>
          <w:tcPr>
            <w:tcW w:w="1000" w:type="dxa"/>
            <w:tcBorders>
              <w:top w:val="nil"/>
              <w:left w:val="nil"/>
              <w:bottom w:val="nil"/>
              <w:right w:val="nil"/>
            </w:tcBorders>
            <w:shd w:val="clear" w:color="000000" w:fill="F2F2F2"/>
            <w:hideMark/>
          </w:tcPr>
          <w:p w14:paraId="746128EA"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0.823055578</w:t>
            </w:r>
          </w:p>
        </w:tc>
        <w:tc>
          <w:tcPr>
            <w:tcW w:w="8580" w:type="dxa"/>
            <w:tcBorders>
              <w:top w:val="nil"/>
              <w:left w:val="nil"/>
              <w:bottom w:val="nil"/>
              <w:right w:val="nil"/>
            </w:tcBorders>
            <w:shd w:val="clear" w:color="000000" w:fill="F2F2F2"/>
            <w:hideMark/>
          </w:tcPr>
          <w:p w14:paraId="4E6B7CA9"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Per capita suicide attempt rate per year among people with a history of recent (</w:t>
            </w:r>
            <w:proofErr w:type="gramStart"/>
            <w:r w:rsidRPr="00BB14B5">
              <w:rPr>
                <w:rFonts w:ascii="Times New Roman" w:eastAsia="Times New Roman" w:hAnsi="Times New Roman"/>
                <w:color w:val="000000"/>
                <w:sz w:val="16"/>
                <w:szCs w:val="16"/>
                <w:lang w:eastAsia="en-AU"/>
              </w:rPr>
              <w:t>past-year</w:t>
            </w:r>
            <w:proofErr w:type="gramEnd"/>
            <w:r w:rsidRPr="00BB14B5">
              <w:rPr>
                <w:rFonts w:ascii="Times New Roman" w:eastAsia="Times New Roman" w:hAnsi="Times New Roman"/>
                <w:color w:val="000000"/>
                <w:sz w:val="16"/>
                <w:szCs w:val="16"/>
                <w:lang w:eastAsia="en-AU"/>
              </w:rPr>
              <w:t>) suicidal behaviour.  Estimated via constrained optimisation.</w:t>
            </w:r>
          </w:p>
        </w:tc>
      </w:tr>
      <w:tr w:rsidR="00BB14B5" w:rsidRPr="00BB14B5" w14:paraId="21408F62" w14:textId="77777777" w:rsidTr="00BB14B5">
        <w:trPr>
          <w:trHeight w:val="210"/>
        </w:trPr>
        <w:tc>
          <w:tcPr>
            <w:tcW w:w="4280" w:type="dxa"/>
            <w:tcBorders>
              <w:top w:val="nil"/>
              <w:left w:val="nil"/>
              <w:bottom w:val="nil"/>
              <w:right w:val="nil"/>
            </w:tcBorders>
            <w:shd w:val="clear" w:color="auto" w:fill="auto"/>
            <w:hideMark/>
          </w:tcPr>
          <w:p w14:paraId="16F0DDAC"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Suicide attempt lethality 7-17</w:t>
            </w:r>
          </w:p>
        </w:tc>
        <w:tc>
          <w:tcPr>
            <w:tcW w:w="1000" w:type="dxa"/>
            <w:tcBorders>
              <w:top w:val="nil"/>
              <w:left w:val="nil"/>
              <w:bottom w:val="nil"/>
              <w:right w:val="nil"/>
            </w:tcBorders>
            <w:shd w:val="clear" w:color="auto" w:fill="auto"/>
            <w:hideMark/>
          </w:tcPr>
          <w:p w14:paraId="3174E02F"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0.052038678</w:t>
            </w:r>
          </w:p>
        </w:tc>
        <w:tc>
          <w:tcPr>
            <w:tcW w:w="8580" w:type="dxa"/>
            <w:tcBorders>
              <w:top w:val="nil"/>
              <w:left w:val="nil"/>
              <w:bottom w:val="nil"/>
              <w:right w:val="nil"/>
            </w:tcBorders>
            <w:shd w:val="clear" w:color="auto" w:fill="auto"/>
            <w:hideMark/>
          </w:tcPr>
          <w:p w14:paraId="6BC93699"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Proportion of suicide attempts that are fatal.  Estimated via constrained optimisation.</w:t>
            </w:r>
          </w:p>
        </w:tc>
      </w:tr>
      <w:tr w:rsidR="00BB14B5" w:rsidRPr="00BB14B5" w14:paraId="3558FEC9" w14:textId="77777777" w:rsidTr="00BB14B5">
        <w:trPr>
          <w:trHeight w:val="210"/>
        </w:trPr>
        <w:tc>
          <w:tcPr>
            <w:tcW w:w="4280" w:type="dxa"/>
            <w:tcBorders>
              <w:top w:val="nil"/>
              <w:left w:val="nil"/>
              <w:bottom w:val="nil"/>
              <w:right w:val="nil"/>
            </w:tcBorders>
            <w:shd w:val="clear" w:color="000000" w:fill="F2F2F2"/>
            <w:hideMark/>
          </w:tcPr>
          <w:p w14:paraId="44C9698F"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Suicide attempt lethality 18+</w:t>
            </w:r>
          </w:p>
        </w:tc>
        <w:tc>
          <w:tcPr>
            <w:tcW w:w="1000" w:type="dxa"/>
            <w:tcBorders>
              <w:top w:val="nil"/>
              <w:left w:val="nil"/>
              <w:bottom w:val="nil"/>
              <w:right w:val="nil"/>
            </w:tcBorders>
            <w:shd w:val="clear" w:color="000000" w:fill="F2F2F2"/>
            <w:hideMark/>
          </w:tcPr>
          <w:p w14:paraId="7DE36D4F"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0.18716155</w:t>
            </w:r>
          </w:p>
        </w:tc>
        <w:tc>
          <w:tcPr>
            <w:tcW w:w="8580" w:type="dxa"/>
            <w:tcBorders>
              <w:top w:val="nil"/>
              <w:left w:val="nil"/>
              <w:bottom w:val="nil"/>
              <w:right w:val="nil"/>
            </w:tcBorders>
            <w:shd w:val="clear" w:color="000000" w:fill="F2F2F2"/>
            <w:hideMark/>
          </w:tcPr>
          <w:p w14:paraId="18E57227"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Proportion of suicide attempts that are fatal.  Estimated via constrained optimisation.</w:t>
            </w:r>
          </w:p>
        </w:tc>
      </w:tr>
      <w:tr w:rsidR="00BB14B5" w:rsidRPr="00BB14B5" w14:paraId="2090E093" w14:textId="77777777" w:rsidTr="00BB14B5">
        <w:trPr>
          <w:trHeight w:val="210"/>
        </w:trPr>
        <w:tc>
          <w:tcPr>
            <w:tcW w:w="4280" w:type="dxa"/>
            <w:tcBorders>
              <w:top w:val="nil"/>
              <w:left w:val="nil"/>
              <w:bottom w:val="nil"/>
              <w:right w:val="nil"/>
            </w:tcBorders>
            <w:shd w:val="clear" w:color="auto" w:fill="auto"/>
            <w:hideMark/>
          </w:tcPr>
          <w:p w14:paraId="32333CD6"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Suicide attempt rate ratio mental health problems</w:t>
            </w:r>
          </w:p>
        </w:tc>
        <w:tc>
          <w:tcPr>
            <w:tcW w:w="1000" w:type="dxa"/>
            <w:tcBorders>
              <w:top w:val="nil"/>
              <w:left w:val="nil"/>
              <w:bottom w:val="nil"/>
              <w:right w:val="nil"/>
            </w:tcBorders>
            <w:shd w:val="clear" w:color="auto" w:fill="auto"/>
            <w:hideMark/>
          </w:tcPr>
          <w:p w14:paraId="72B1B315"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7.5</w:t>
            </w:r>
          </w:p>
        </w:tc>
        <w:tc>
          <w:tcPr>
            <w:tcW w:w="8580" w:type="dxa"/>
            <w:tcBorders>
              <w:top w:val="nil"/>
              <w:left w:val="nil"/>
              <w:bottom w:val="nil"/>
              <w:right w:val="nil"/>
            </w:tcBorders>
            <w:shd w:val="clear" w:color="auto" w:fill="auto"/>
            <w:hideMark/>
          </w:tcPr>
          <w:p w14:paraId="26302890"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Per capita initial suicide attempt rate ratio.  Derived from Too et al. (2019, J. Affect. Disord. 259, 302-313).</w:t>
            </w:r>
          </w:p>
        </w:tc>
      </w:tr>
      <w:tr w:rsidR="00BB14B5" w:rsidRPr="00BB14B5" w14:paraId="15278B24" w14:textId="77777777" w:rsidTr="00BB14B5">
        <w:trPr>
          <w:trHeight w:val="210"/>
        </w:trPr>
        <w:tc>
          <w:tcPr>
            <w:tcW w:w="4280" w:type="dxa"/>
            <w:tcBorders>
              <w:top w:val="nil"/>
              <w:left w:val="nil"/>
              <w:bottom w:val="single" w:sz="4" w:space="0" w:color="auto"/>
              <w:right w:val="nil"/>
            </w:tcBorders>
            <w:shd w:val="clear" w:color="auto" w:fill="auto"/>
            <w:noWrap/>
            <w:vAlign w:val="bottom"/>
            <w:hideMark/>
          </w:tcPr>
          <w:p w14:paraId="71042D15"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 </w:t>
            </w:r>
          </w:p>
        </w:tc>
        <w:tc>
          <w:tcPr>
            <w:tcW w:w="1000" w:type="dxa"/>
            <w:tcBorders>
              <w:top w:val="nil"/>
              <w:left w:val="nil"/>
              <w:bottom w:val="single" w:sz="4" w:space="0" w:color="auto"/>
              <w:right w:val="nil"/>
            </w:tcBorders>
            <w:shd w:val="clear" w:color="auto" w:fill="auto"/>
            <w:noWrap/>
            <w:vAlign w:val="bottom"/>
            <w:hideMark/>
          </w:tcPr>
          <w:p w14:paraId="48427BFC"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 </w:t>
            </w:r>
          </w:p>
        </w:tc>
        <w:tc>
          <w:tcPr>
            <w:tcW w:w="8580" w:type="dxa"/>
            <w:tcBorders>
              <w:top w:val="nil"/>
              <w:left w:val="nil"/>
              <w:bottom w:val="single" w:sz="4" w:space="0" w:color="auto"/>
              <w:right w:val="nil"/>
            </w:tcBorders>
            <w:shd w:val="clear" w:color="auto" w:fill="auto"/>
            <w:noWrap/>
            <w:vAlign w:val="bottom"/>
            <w:hideMark/>
          </w:tcPr>
          <w:p w14:paraId="399B480A" w14:textId="77777777" w:rsidR="00BB14B5" w:rsidRPr="00BB14B5" w:rsidRDefault="00BB14B5" w:rsidP="00BB14B5">
            <w:pPr>
              <w:spacing w:line="240" w:lineRule="auto"/>
              <w:rPr>
                <w:rFonts w:ascii="Times New Roman" w:eastAsia="Times New Roman" w:hAnsi="Times New Roman"/>
                <w:color w:val="000000"/>
                <w:sz w:val="16"/>
                <w:szCs w:val="16"/>
                <w:lang w:eastAsia="en-AU"/>
              </w:rPr>
            </w:pPr>
            <w:r w:rsidRPr="00BB14B5">
              <w:rPr>
                <w:rFonts w:ascii="Times New Roman" w:eastAsia="Times New Roman" w:hAnsi="Times New Roman"/>
                <w:color w:val="000000"/>
                <w:sz w:val="16"/>
                <w:szCs w:val="16"/>
                <w:lang w:eastAsia="en-AU"/>
              </w:rPr>
              <w:t> </w:t>
            </w:r>
          </w:p>
        </w:tc>
      </w:tr>
    </w:tbl>
    <w:p w14:paraId="08DD2321" w14:textId="37F4CF0A" w:rsidR="00523F44" w:rsidRDefault="00BB14B5" w:rsidP="00BB14B5">
      <w:pPr>
        <w:spacing w:line="480" w:lineRule="auto"/>
        <w:rPr>
          <w:rFonts w:ascii="Times New Roman" w:hAnsi="Times New Roman"/>
          <w:sz w:val="20"/>
          <w:szCs w:val="20"/>
        </w:rPr>
      </w:pPr>
      <w:r>
        <w:rPr>
          <w:rFonts w:ascii="Times New Roman" w:hAnsi="Times New Roman"/>
          <w:sz w:val="20"/>
          <w:szCs w:val="20"/>
        </w:rPr>
        <w:t xml:space="preserve"> </w:t>
      </w:r>
    </w:p>
    <w:sectPr w:rsidR="00523F44" w:rsidSect="00523F44">
      <w:footnotePr>
        <w:numFmt w:val="chicago"/>
        <w:numStart w:val="2"/>
      </w:footnotePr>
      <w:pgSz w:w="16838" w:h="11906" w:orient="landscape" w:code="9"/>
      <w:pgMar w:top="1440" w:right="1440" w:bottom="1440" w:left="1440" w:header="28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BE63C9" w14:textId="77777777" w:rsidR="0093346A" w:rsidRDefault="0093346A" w:rsidP="00FD416A">
      <w:pPr>
        <w:spacing w:line="240" w:lineRule="auto"/>
      </w:pPr>
      <w:r>
        <w:separator/>
      </w:r>
    </w:p>
  </w:endnote>
  <w:endnote w:type="continuationSeparator" w:id="0">
    <w:p w14:paraId="50542CD1" w14:textId="77777777" w:rsidR="0093346A" w:rsidRDefault="0093346A" w:rsidP="00FD41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4744396"/>
      <w:docPartObj>
        <w:docPartGallery w:val="Page Numbers (Bottom of Page)"/>
        <w:docPartUnique/>
      </w:docPartObj>
    </w:sdtPr>
    <w:sdtEndPr>
      <w:rPr>
        <w:rFonts w:ascii="Times New Roman" w:hAnsi="Times New Roman"/>
        <w:noProof/>
        <w:sz w:val="20"/>
        <w:szCs w:val="20"/>
      </w:rPr>
    </w:sdtEndPr>
    <w:sdtContent>
      <w:p w14:paraId="78B57698" w14:textId="0F1E5355" w:rsidR="00C72605" w:rsidRPr="00C72605" w:rsidRDefault="00C72605">
        <w:pPr>
          <w:pStyle w:val="Footer"/>
          <w:jc w:val="right"/>
          <w:rPr>
            <w:rFonts w:ascii="Times New Roman" w:hAnsi="Times New Roman"/>
            <w:sz w:val="20"/>
            <w:szCs w:val="20"/>
          </w:rPr>
        </w:pPr>
        <w:r w:rsidRPr="00C72605">
          <w:rPr>
            <w:rFonts w:ascii="Times New Roman" w:hAnsi="Times New Roman"/>
            <w:sz w:val="20"/>
            <w:szCs w:val="20"/>
          </w:rPr>
          <w:fldChar w:fldCharType="begin"/>
        </w:r>
        <w:r w:rsidRPr="00C72605">
          <w:rPr>
            <w:rFonts w:ascii="Times New Roman" w:hAnsi="Times New Roman"/>
            <w:sz w:val="20"/>
            <w:szCs w:val="20"/>
          </w:rPr>
          <w:instrText xml:space="preserve"> PAGE   \* MERGEFORMAT </w:instrText>
        </w:r>
        <w:r w:rsidRPr="00C72605">
          <w:rPr>
            <w:rFonts w:ascii="Times New Roman" w:hAnsi="Times New Roman"/>
            <w:sz w:val="20"/>
            <w:szCs w:val="20"/>
          </w:rPr>
          <w:fldChar w:fldCharType="separate"/>
        </w:r>
        <w:r w:rsidRPr="00C72605">
          <w:rPr>
            <w:rFonts w:ascii="Times New Roman" w:hAnsi="Times New Roman"/>
            <w:noProof/>
            <w:sz w:val="20"/>
            <w:szCs w:val="20"/>
          </w:rPr>
          <w:t>2</w:t>
        </w:r>
        <w:r w:rsidRPr="00C72605">
          <w:rPr>
            <w:rFonts w:ascii="Times New Roman" w:hAnsi="Times New Roman"/>
            <w:noProof/>
            <w:sz w:val="20"/>
            <w:szCs w:val="20"/>
          </w:rPr>
          <w:fldChar w:fldCharType="end"/>
        </w:r>
      </w:p>
    </w:sdtContent>
  </w:sdt>
  <w:p w14:paraId="36110E0A" w14:textId="77777777" w:rsidR="00C72605" w:rsidRDefault="00C726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517B9" w14:textId="77777777" w:rsidR="0093346A" w:rsidRDefault="0093346A" w:rsidP="00FD416A">
      <w:pPr>
        <w:spacing w:line="240" w:lineRule="auto"/>
      </w:pPr>
      <w:r>
        <w:separator/>
      </w:r>
    </w:p>
  </w:footnote>
  <w:footnote w:type="continuationSeparator" w:id="0">
    <w:p w14:paraId="41787B9B" w14:textId="77777777" w:rsidR="0093346A" w:rsidRDefault="0093346A" w:rsidP="00FD416A">
      <w:pPr>
        <w:spacing w:line="240" w:lineRule="auto"/>
      </w:pPr>
      <w:r>
        <w:continuationSeparator/>
      </w:r>
    </w:p>
  </w:footnote>
  <w:footnote w:id="1">
    <w:p w14:paraId="2D27B316" w14:textId="3A3108AF" w:rsidR="008D48AB" w:rsidRDefault="008D48AB" w:rsidP="008D48AB">
      <w:pPr>
        <w:pStyle w:val="FootnoteText"/>
        <w:spacing w:line="480" w:lineRule="auto"/>
      </w:pPr>
      <w:r w:rsidRPr="008D48AB">
        <w:rPr>
          <w:rStyle w:val="FootnoteReference"/>
          <w:rFonts w:ascii="Times New Roman" w:hAnsi="Times New Roman"/>
        </w:rPr>
        <w:footnoteRef/>
      </w:r>
      <w:r w:rsidRPr="008D48AB">
        <w:rPr>
          <w:rFonts w:ascii="Times New Roman" w:hAnsi="Times New Roman"/>
        </w:rPr>
        <w:t xml:space="preserve"> E</w:t>
      </w:r>
      <w:r>
        <w:rPr>
          <w:rFonts w:ascii="Times New Roman" w:hAnsi="Times New Roman"/>
        </w:rPr>
        <w:t xml:space="preserve">lementary and basic secondary education (grades 1−9, ages 6−15 years) are compulsory.  According to data from the National Quality of Life Survey (ECV; available at: </w:t>
      </w:r>
      <w:r w:rsidRPr="008E7A2F">
        <w:rPr>
          <w:rFonts w:ascii="Times New Roman" w:hAnsi="Times New Roman"/>
        </w:rPr>
        <w:t>https://www.dane.gov.co/</w:t>
      </w:r>
      <w:r>
        <w:rPr>
          <w:rFonts w:ascii="Times New Roman" w:hAnsi="Times New Roman"/>
        </w:rPr>
        <w:t>), 97.3% of 5−11-year-olds and 92.1% of 12−17-year-olds were attending school in 2013.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3F5"/>
    <w:rsid w:val="0000018C"/>
    <w:rsid w:val="00000641"/>
    <w:rsid w:val="000013B0"/>
    <w:rsid w:val="000013C0"/>
    <w:rsid w:val="00001A12"/>
    <w:rsid w:val="00001CD2"/>
    <w:rsid w:val="00002518"/>
    <w:rsid w:val="00002FA4"/>
    <w:rsid w:val="0000351E"/>
    <w:rsid w:val="00003700"/>
    <w:rsid w:val="00003B8D"/>
    <w:rsid w:val="000040C9"/>
    <w:rsid w:val="00005269"/>
    <w:rsid w:val="0000546C"/>
    <w:rsid w:val="000056E3"/>
    <w:rsid w:val="0000595E"/>
    <w:rsid w:val="00005A78"/>
    <w:rsid w:val="0000687A"/>
    <w:rsid w:val="000103D4"/>
    <w:rsid w:val="00010EEC"/>
    <w:rsid w:val="000110D8"/>
    <w:rsid w:val="00011643"/>
    <w:rsid w:val="000119A9"/>
    <w:rsid w:val="000123BB"/>
    <w:rsid w:val="00013A90"/>
    <w:rsid w:val="000146DF"/>
    <w:rsid w:val="00014876"/>
    <w:rsid w:val="000150DC"/>
    <w:rsid w:val="000154BE"/>
    <w:rsid w:val="00015A09"/>
    <w:rsid w:val="00015CEF"/>
    <w:rsid w:val="00015D5D"/>
    <w:rsid w:val="00015E79"/>
    <w:rsid w:val="00016CE9"/>
    <w:rsid w:val="0001754A"/>
    <w:rsid w:val="00017C79"/>
    <w:rsid w:val="000210E5"/>
    <w:rsid w:val="000217FF"/>
    <w:rsid w:val="00021AAC"/>
    <w:rsid w:val="000222E9"/>
    <w:rsid w:val="00022F01"/>
    <w:rsid w:val="000232A3"/>
    <w:rsid w:val="00023DA5"/>
    <w:rsid w:val="00024748"/>
    <w:rsid w:val="00024E48"/>
    <w:rsid w:val="00026C8F"/>
    <w:rsid w:val="000276A9"/>
    <w:rsid w:val="00031250"/>
    <w:rsid w:val="00031419"/>
    <w:rsid w:val="00032669"/>
    <w:rsid w:val="00032E11"/>
    <w:rsid w:val="000332F7"/>
    <w:rsid w:val="00034DE6"/>
    <w:rsid w:val="0003506E"/>
    <w:rsid w:val="00035E80"/>
    <w:rsid w:val="000369DD"/>
    <w:rsid w:val="00037391"/>
    <w:rsid w:val="00040206"/>
    <w:rsid w:val="00040228"/>
    <w:rsid w:val="000405A0"/>
    <w:rsid w:val="00042461"/>
    <w:rsid w:val="00042777"/>
    <w:rsid w:val="00043082"/>
    <w:rsid w:val="00044931"/>
    <w:rsid w:val="00044C51"/>
    <w:rsid w:val="00044C81"/>
    <w:rsid w:val="00044CBB"/>
    <w:rsid w:val="00045A17"/>
    <w:rsid w:val="00046A1C"/>
    <w:rsid w:val="00047140"/>
    <w:rsid w:val="0004714B"/>
    <w:rsid w:val="0004729D"/>
    <w:rsid w:val="000473B4"/>
    <w:rsid w:val="00050E7F"/>
    <w:rsid w:val="00051880"/>
    <w:rsid w:val="00051E29"/>
    <w:rsid w:val="00051EF6"/>
    <w:rsid w:val="00052BA9"/>
    <w:rsid w:val="00053D19"/>
    <w:rsid w:val="00053D37"/>
    <w:rsid w:val="00053F09"/>
    <w:rsid w:val="00055746"/>
    <w:rsid w:val="00055C73"/>
    <w:rsid w:val="00055D81"/>
    <w:rsid w:val="000563E8"/>
    <w:rsid w:val="00056448"/>
    <w:rsid w:val="00060443"/>
    <w:rsid w:val="00060D08"/>
    <w:rsid w:val="000622EA"/>
    <w:rsid w:val="00062362"/>
    <w:rsid w:val="000623E8"/>
    <w:rsid w:val="0006240F"/>
    <w:rsid w:val="00062ADE"/>
    <w:rsid w:val="00062BD9"/>
    <w:rsid w:val="0006303E"/>
    <w:rsid w:val="000644FE"/>
    <w:rsid w:val="000649B7"/>
    <w:rsid w:val="00064B81"/>
    <w:rsid w:val="00066405"/>
    <w:rsid w:val="0006713F"/>
    <w:rsid w:val="000673B8"/>
    <w:rsid w:val="00067DB7"/>
    <w:rsid w:val="000701CA"/>
    <w:rsid w:val="0007036B"/>
    <w:rsid w:val="00070A29"/>
    <w:rsid w:val="00070B53"/>
    <w:rsid w:val="0007100B"/>
    <w:rsid w:val="0007233E"/>
    <w:rsid w:val="0007253B"/>
    <w:rsid w:val="0007278C"/>
    <w:rsid w:val="00072BAE"/>
    <w:rsid w:val="00073578"/>
    <w:rsid w:val="00073C23"/>
    <w:rsid w:val="00073E27"/>
    <w:rsid w:val="00074BFE"/>
    <w:rsid w:val="00074D9C"/>
    <w:rsid w:val="0007542D"/>
    <w:rsid w:val="00075B4A"/>
    <w:rsid w:val="0007642A"/>
    <w:rsid w:val="0007695B"/>
    <w:rsid w:val="00076A4A"/>
    <w:rsid w:val="000770EC"/>
    <w:rsid w:val="0008065F"/>
    <w:rsid w:val="000816B6"/>
    <w:rsid w:val="00082DAD"/>
    <w:rsid w:val="000838AF"/>
    <w:rsid w:val="00084541"/>
    <w:rsid w:val="00084641"/>
    <w:rsid w:val="00084921"/>
    <w:rsid w:val="00085BCF"/>
    <w:rsid w:val="00086264"/>
    <w:rsid w:val="00086561"/>
    <w:rsid w:val="000869F8"/>
    <w:rsid w:val="00086A6B"/>
    <w:rsid w:val="0008746C"/>
    <w:rsid w:val="0009010E"/>
    <w:rsid w:val="0009099F"/>
    <w:rsid w:val="00090EF0"/>
    <w:rsid w:val="00091853"/>
    <w:rsid w:val="00091935"/>
    <w:rsid w:val="00091EDA"/>
    <w:rsid w:val="00092311"/>
    <w:rsid w:val="000930E3"/>
    <w:rsid w:val="000934A3"/>
    <w:rsid w:val="0009395A"/>
    <w:rsid w:val="00094D21"/>
    <w:rsid w:val="000950E8"/>
    <w:rsid w:val="0009541D"/>
    <w:rsid w:val="0009574F"/>
    <w:rsid w:val="00095D08"/>
    <w:rsid w:val="0009644D"/>
    <w:rsid w:val="00096B58"/>
    <w:rsid w:val="00096FEF"/>
    <w:rsid w:val="00097384"/>
    <w:rsid w:val="000A0DA9"/>
    <w:rsid w:val="000A0F58"/>
    <w:rsid w:val="000A3B2A"/>
    <w:rsid w:val="000A3F90"/>
    <w:rsid w:val="000A4034"/>
    <w:rsid w:val="000A475C"/>
    <w:rsid w:val="000A4D9E"/>
    <w:rsid w:val="000A523E"/>
    <w:rsid w:val="000A5E7C"/>
    <w:rsid w:val="000A65EC"/>
    <w:rsid w:val="000B07AF"/>
    <w:rsid w:val="000B13B4"/>
    <w:rsid w:val="000B21D8"/>
    <w:rsid w:val="000B294E"/>
    <w:rsid w:val="000B3353"/>
    <w:rsid w:val="000B3467"/>
    <w:rsid w:val="000B592F"/>
    <w:rsid w:val="000B5FD0"/>
    <w:rsid w:val="000B5FD3"/>
    <w:rsid w:val="000B7426"/>
    <w:rsid w:val="000B76BB"/>
    <w:rsid w:val="000C043E"/>
    <w:rsid w:val="000C158C"/>
    <w:rsid w:val="000C1A13"/>
    <w:rsid w:val="000C317F"/>
    <w:rsid w:val="000C433A"/>
    <w:rsid w:val="000C4576"/>
    <w:rsid w:val="000C46E5"/>
    <w:rsid w:val="000C4901"/>
    <w:rsid w:val="000C4D7F"/>
    <w:rsid w:val="000C51D3"/>
    <w:rsid w:val="000C52A6"/>
    <w:rsid w:val="000C5B8D"/>
    <w:rsid w:val="000C6BB6"/>
    <w:rsid w:val="000C6C2E"/>
    <w:rsid w:val="000C6FDF"/>
    <w:rsid w:val="000C73F3"/>
    <w:rsid w:val="000C7AD1"/>
    <w:rsid w:val="000D0DB0"/>
    <w:rsid w:val="000D13CB"/>
    <w:rsid w:val="000D232A"/>
    <w:rsid w:val="000D3470"/>
    <w:rsid w:val="000D3F62"/>
    <w:rsid w:val="000D5C6E"/>
    <w:rsid w:val="000D611A"/>
    <w:rsid w:val="000E0136"/>
    <w:rsid w:val="000E06C6"/>
    <w:rsid w:val="000E0FB1"/>
    <w:rsid w:val="000E1689"/>
    <w:rsid w:val="000E172B"/>
    <w:rsid w:val="000E1FF5"/>
    <w:rsid w:val="000E20BD"/>
    <w:rsid w:val="000E21B6"/>
    <w:rsid w:val="000E27F1"/>
    <w:rsid w:val="000E2F23"/>
    <w:rsid w:val="000E34F8"/>
    <w:rsid w:val="000E3505"/>
    <w:rsid w:val="000E3771"/>
    <w:rsid w:val="000E3E70"/>
    <w:rsid w:val="000E4425"/>
    <w:rsid w:val="000E52D9"/>
    <w:rsid w:val="000E7887"/>
    <w:rsid w:val="000E7E40"/>
    <w:rsid w:val="000F0C17"/>
    <w:rsid w:val="000F182B"/>
    <w:rsid w:val="000F1E74"/>
    <w:rsid w:val="000F28F6"/>
    <w:rsid w:val="000F2AAE"/>
    <w:rsid w:val="000F3727"/>
    <w:rsid w:val="000F415D"/>
    <w:rsid w:val="000F4B23"/>
    <w:rsid w:val="000F5630"/>
    <w:rsid w:val="000F63EE"/>
    <w:rsid w:val="000F6CC7"/>
    <w:rsid w:val="00100941"/>
    <w:rsid w:val="001018E8"/>
    <w:rsid w:val="00101A63"/>
    <w:rsid w:val="00102B73"/>
    <w:rsid w:val="00102DBA"/>
    <w:rsid w:val="00103378"/>
    <w:rsid w:val="00103BA6"/>
    <w:rsid w:val="00104230"/>
    <w:rsid w:val="00104907"/>
    <w:rsid w:val="00105560"/>
    <w:rsid w:val="0010565D"/>
    <w:rsid w:val="00106CA5"/>
    <w:rsid w:val="00106F1C"/>
    <w:rsid w:val="001079A4"/>
    <w:rsid w:val="00107D03"/>
    <w:rsid w:val="00110870"/>
    <w:rsid w:val="00110D7E"/>
    <w:rsid w:val="00110E27"/>
    <w:rsid w:val="00111D65"/>
    <w:rsid w:val="00111E62"/>
    <w:rsid w:val="001121F7"/>
    <w:rsid w:val="0011233E"/>
    <w:rsid w:val="001137B2"/>
    <w:rsid w:val="00113C17"/>
    <w:rsid w:val="0011421A"/>
    <w:rsid w:val="00114314"/>
    <w:rsid w:val="001145CC"/>
    <w:rsid w:val="00115B6A"/>
    <w:rsid w:val="00116801"/>
    <w:rsid w:val="00117070"/>
    <w:rsid w:val="00117C27"/>
    <w:rsid w:val="00117CE7"/>
    <w:rsid w:val="0012029F"/>
    <w:rsid w:val="00121130"/>
    <w:rsid w:val="00122A10"/>
    <w:rsid w:val="001239B2"/>
    <w:rsid w:val="00123E66"/>
    <w:rsid w:val="00125078"/>
    <w:rsid w:val="0012604F"/>
    <w:rsid w:val="001263A6"/>
    <w:rsid w:val="00126E58"/>
    <w:rsid w:val="001278F4"/>
    <w:rsid w:val="00127A70"/>
    <w:rsid w:val="0013115A"/>
    <w:rsid w:val="0013172B"/>
    <w:rsid w:val="00132410"/>
    <w:rsid w:val="00132B33"/>
    <w:rsid w:val="00132ED4"/>
    <w:rsid w:val="00133777"/>
    <w:rsid w:val="00134B5B"/>
    <w:rsid w:val="00135B55"/>
    <w:rsid w:val="00135C49"/>
    <w:rsid w:val="00135E94"/>
    <w:rsid w:val="00136564"/>
    <w:rsid w:val="001368A3"/>
    <w:rsid w:val="0013780F"/>
    <w:rsid w:val="001400D0"/>
    <w:rsid w:val="00140805"/>
    <w:rsid w:val="001411DC"/>
    <w:rsid w:val="0014161D"/>
    <w:rsid w:val="001426A4"/>
    <w:rsid w:val="00142C73"/>
    <w:rsid w:val="00143164"/>
    <w:rsid w:val="001434C9"/>
    <w:rsid w:val="00143C09"/>
    <w:rsid w:val="0014540B"/>
    <w:rsid w:val="00145A72"/>
    <w:rsid w:val="00146A63"/>
    <w:rsid w:val="00146C2A"/>
    <w:rsid w:val="00147074"/>
    <w:rsid w:val="00147168"/>
    <w:rsid w:val="00147AB9"/>
    <w:rsid w:val="00150134"/>
    <w:rsid w:val="00151745"/>
    <w:rsid w:val="00151F7E"/>
    <w:rsid w:val="001522EC"/>
    <w:rsid w:val="0015267B"/>
    <w:rsid w:val="00152B5C"/>
    <w:rsid w:val="00152B92"/>
    <w:rsid w:val="00153762"/>
    <w:rsid w:val="001539B0"/>
    <w:rsid w:val="001557DC"/>
    <w:rsid w:val="001558DA"/>
    <w:rsid w:val="00155C55"/>
    <w:rsid w:val="001560D0"/>
    <w:rsid w:val="001601CF"/>
    <w:rsid w:val="00160486"/>
    <w:rsid w:val="001608D6"/>
    <w:rsid w:val="00160956"/>
    <w:rsid w:val="00160CCE"/>
    <w:rsid w:val="0016199D"/>
    <w:rsid w:val="00161BAF"/>
    <w:rsid w:val="001620F2"/>
    <w:rsid w:val="0016251A"/>
    <w:rsid w:val="00162DEF"/>
    <w:rsid w:val="00163AA2"/>
    <w:rsid w:val="00163BD1"/>
    <w:rsid w:val="00165279"/>
    <w:rsid w:val="001655D2"/>
    <w:rsid w:val="00165620"/>
    <w:rsid w:val="00165E28"/>
    <w:rsid w:val="0016683C"/>
    <w:rsid w:val="00166A0F"/>
    <w:rsid w:val="00167D1A"/>
    <w:rsid w:val="0017032E"/>
    <w:rsid w:val="00170714"/>
    <w:rsid w:val="00170833"/>
    <w:rsid w:val="001710DB"/>
    <w:rsid w:val="00171166"/>
    <w:rsid w:val="00171427"/>
    <w:rsid w:val="001719BF"/>
    <w:rsid w:val="001726F5"/>
    <w:rsid w:val="0017282A"/>
    <w:rsid w:val="0017327C"/>
    <w:rsid w:val="001747D5"/>
    <w:rsid w:val="00174DC4"/>
    <w:rsid w:val="001759C0"/>
    <w:rsid w:val="00175D51"/>
    <w:rsid w:val="00177B1C"/>
    <w:rsid w:val="001801D4"/>
    <w:rsid w:val="001807D2"/>
    <w:rsid w:val="00180D12"/>
    <w:rsid w:val="00181224"/>
    <w:rsid w:val="00181D5F"/>
    <w:rsid w:val="00182FA8"/>
    <w:rsid w:val="00183DE3"/>
    <w:rsid w:val="00184939"/>
    <w:rsid w:val="00185BC9"/>
    <w:rsid w:val="00185E02"/>
    <w:rsid w:val="00186D26"/>
    <w:rsid w:val="00186EAF"/>
    <w:rsid w:val="0018717F"/>
    <w:rsid w:val="00187DAE"/>
    <w:rsid w:val="0019197F"/>
    <w:rsid w:val="00191A3F"/>
    <w:rsid w:val="00191F92"/>
    <w:rsid w:val="0019268A"/>
    <w:rsid w:val="00192987"/>
    <w:rsid w:val="001931C9"/>
    <w:rsid w:val="00193A94"/>
    <w:rsid w:val="0019445B"/>
    <w:rsid w:val="00194A15"/>
    <w:rsid w:val="00194BA1"/>
    <w:rsid w:val="001957B5"/>
    <w:rsid w:val="00195D64"/>
    <w:rsid w:val="00197223"/>
    <w:rsid w:val="00197274"/>
    <w:rsid w:val="00197698"/>
    <w:rsid w:val="001A0076"/>
    <w:rsid w:val="001A0336"/>
    <w:rsid w:val="001A08D5"/>
    <w:rsid w:val="001A0E60"/>
    <w:rsid w:val="001A26B3"/>
    <w:rsid w:val="001A2D9C"/>
    <w:rsid w:val="001A3A43"/>
    <w:rsid w:val="001A3C09"/>
    <w:rsid w:val="001A447B"/>
    <w:rsid w:val="001A605B"/>
    <w:rsid w:val="001A765D"/>
    <w:rsid w:val="001A79A9"/>
    <w:rsid w:val="001A7D4A"/>
    <w:rsid w:val="001B01CE"/>
    <w:rsid w:val="001B0414"/>
    <w:rsid w:val="001B0A96"/>
    <w:rsid w:val="001B1093"/>
    <w:rsid w:val="001B1B1D"/>
    <w:rsid w:val="001B2E3B"/>
    <w:rsid w:val="001B3627"/>
    <w:rsid w:val="001B3AFB"/>
    <w:rsid w:val="001B445B"/>
    <w:rsid w:val="001B4BA7"/>
    <w:rsid w:val="001B4DF6"/>
    <w:rsid w:val="001B4DFC"/>
    <w:rsid w:val="001B56D8"/>
    <w:rsid w:val="001B57CC"/>
    <w:rsid w:val="001B6177"/>
    <w:rsid w:val="001C13D0"/>
    <w:rsid w:val="001C1997"/>
    <w:rsid w:val="001C1AC0"/>
    <w:rsid w:val="001C1BF3"/>
    <w:rsid w:val="001C210A"/>
    <w:rsid w:val="001C3FB1"/>
    <w:rsid w:val="001C54CA"/>
    <w:rsid w:val="001C5D47"/>
    <w:rsid w:val="001C5E13"/>
    <w:rsid w:val="001C7147"/>
    <w:rsid w:val="001C7613"/>
    <w:rsid w:val="001D111C"/>
    <w:rsid w:val="001D114F"/>
    <w:rsid w:val="001D138B"/>
    <w:rsid w:val="001D21DF"/>
    <w:rsid w:val="001D2210"/>
    <w:rsid w:val="001D242B"/>
    <w:rsid w:val="001D292F"/>
    <w:rsid w:val="001D29C4"/>
    <w:rsid w:val="001D2C71"/>
    <w:rsid w:val="001D2C98"/>
    <w:rsid w:val="001D3B36"/>
    <w:rsid w:val="001D40CF"/>
    <w:rsid w:val="001D44E1"/>
    <w:rsid w:val="001D4EA3"/>
    <w:rsid w:val="001D61A1"/>
    <w:rsid w:val="001D6287"/>
    <w:rsid w:val="001D678C"/>
    <w:rsid w:val="001D693B"/>
    <w:rsid w:val="001E07DF"/>
    <w:rsid w:val="001E0D6D"/>
    <w:rsid w:val="001E0D9C"/>
    <w:rsid w:val="001E12E3"/>
    <w:rsid w:val="001E15AB"/>
    <w:rsid w:val="001E1629"/>
    <w:rsid w:val="001E1928"/>
    <w:rsid w:val="001E34E3"/>
    <w:rsid w:val="001E3528"/>
    <w:rsid w:val="001E36E0"/>
    <w:rsid w:val="001E47AB"/>
    <w:rsid w:val="001E4BA9"/>
    <w:rsid w:val="001E53D1"/>
    <w:rsid w:val="001E5821"/>
    <w:rsid w:val="001E59DF"/>
    <w:rsid w:val="001E5B0F"/>
    <w:rsid w:val="001E6375"/>
    <w:rsid w:val="001F024F"/>
    <w:rsid w:val="001F050E"/>
    <w:rsid w:val="001F0C9E"/>
    <w:rsid w:val="001F15B9"/>
    <w:rsid w:val="001F2087"/>
    <w:rsid w:val="001F2316"/>
    <w:rsid w:val="001F2500"/>
    <w:rsid w:val="001F2774"/>
    <w:rsid w:val="001F30F8"/>
    <w:rsid w:val="001F32A8"/>
    <w:rsid w:val="001F3C08"/>
    <w:rsid w:val="001F41E3"/>
    <w:rsid w:val="001F4809"/>
    <w:rsid w:val="001F486A"/>
    <w:rsid w:val="001F4DDA"/>
    <w:rsid w:val="001F502B"/>
    <w:rsid w:val="002021B5"/>
    <w:rsid w:val="00202850"/>
    <w:rsid w:val="00202B12"/>
    <w:rsid w:val="0020307A"/>
    <w:rsid w:val="002030F5"/>
    <w:rsid w:val="00203264"/>
    <w:rsid w:val="00203E6E"/>
    <w:rsid w:val="002047AE"/>
    <w:rsid w:val="002055D8"/>
    <w:rsid w:val="0020576D"/>
    <w:rsid w:val="002061F1"/>
    <w:rsid w:val="00206637"/>
    <w:rsid w:val="00206A70"/>
    <w:rsid w:val="00206C4C"/>
    <w:rsid w:val="002072F2"/>
    <w:rsid w:val="002075A3"/>
    <w:rsid w:val="00207B3C"/>
    <w:rsid w:val="00210883"/>
    <w:rsid w:val="00210AA6"/>
    <w:rsid w:val="002118BD"/>
    <w:rsid w:val="0021280A"/>
    <w:rsid w:val="00212DCF"/>
    <w:rsid w:val="002140F5"/>
    <w:rsid w:val="00214E19"/>
    <w:rsid w:val="00215105"/>
    <w:rsid w:val="00215A7E"/>
    <w:rsid w:val="00215FE6"/>
    <w:rsid w:val="002165C2"/>
    <w:rsid w:val="002165EA"/>
    <w:rsid w:val="00220182"/>
    <w:rsid w:val="0022058A"/>
    <w:rsid w:val="00220AD2"/>
    <w:rsid w:val="0022184A"/>
    <w:rsid w:val="00223001"/>
    <w:rsid w:val="002235FD"/>
    <w:rsid w:val="00224FB8"/>
    <w:rsid w:val="00225A99"/>
    <w:rsid w:val="00226827"/>
    <w:rsid w:val="00227C07"/>
    <w:rsid w:val="0023254D"/>
    <w:rsid w:val="002334A7"/>
    <w:rsid w:val="00233B21"/>
    <w:rsid w:val="0023400C"/>
    <w:rsid w:val="0023419F"/>
    <w:rsid w:val="002345A4"/>
    <w:rsid w:val="0023601D"/>
    <w:rsid w:val="00236CAD"/>
    <w:rsid w:val="002377F6"/>
    <w:rsid w:val="00237810"/>
    <w:rsid w:val="00237E48"/>
    <w:rsid w:val="002401C7"/>
    <w:rsid w:val="00240B5F"/>
    <w:rsid w:val="0024117B"/>
    <w:rsid w:val="00242A7F"/>
    <w:rsid w:val="00242AA9"/>
    <w:rsid w:val="002430B3"/>
    <w:rsid w:val="002431B3"/>
    <w:rsid w:val="0024326D"/>
    <w:rsid w:val="00243D8A"/>
    <w:rsid w:val="00244086"/>
    <w:rsid w:val="00244166"/>
    <w:rsid w:val="00244E60"/>
    <w:rsid w:val="00245023"/>
    <w:rsid w:val="00245C1E"/>
    <w:rsid w:val="002461F0"/>
    <w:rsid w:val="002467DE"/>
    <w:rsid w:val="00246969"/>
    <w:rsid w:val="00246C80"/>
    <w:rsid w:val="00247BBB"/>
    <w:rsid w:val="002505C2"/>
    <w:rsid w:val="002529FA"/>
    <w:rsid w:val="00253019"/>
    <w:rsid w:val="00253910"/>
    <w:rsid w:val="00253AC4"/>
    <w:rsid w:val="00253BB6"/>
    <w:rsid w:val="00253BFE"/>
    <w:rsid w:val="002548B1"/>
    <w:rsid w:val="00254DF3"/>
    <w:rsid w:val="0025719B"/>
    <w:rsid w:val="00257852"/>
    <w:rsid w:val="00257A0A"/>
    <w:rsid w:val="00260733"/>
    <w:rsid w:val="00260749"/>
    <w:rsid w:val="00261D36"/>
    <w:rsid w:val="0026384D"/>
    <w:rsid w:val="00263F09"/>
    <w:rsid w:val="0026454A"/>
    <w:rsid w:val="00264957"/>
    <w:rsid w:val="00264CBE"/>
    <w:rsid w:val="00264FFF"/>
    <w:rsid w:val="00265125"/>
    <w:rsid w:val="002656C7"/>
    <w:rsid w:val="002657DA"/>
    <w:rsid w:val="002660AA"/>
    <w:rsid w:val="00266728"/>
    <w:rsid w:val="002670FA"/>
    <w:rsid w:val="00270328"/>
    <w:rsid w:val="00270374"/>
    <w:rsid w:val="00270B2D"/>
    <w:rsid w:val="00270B3D"/>
    <w:rsid w:val="0027117E"/>
    <w:rsid w:val="00271811"/>
    <w:rsid w:val="00272D1E"/>
    <w:rsid w:val="002734E7"/>
    <w:rsid w:val="00273AC5"/>
    <w:rsid w:val="00273BC0"/>
    <w:rsid w:val="002741E9"/>
    <w:rsid w:val="00274FE8"/>
    <w:rsid w:val="00276FBC"/>
    <w:rsid w:val="00277008"/>
    <w:rsid w:val="00277884"/>
    <w:rsid w:val="0027799E"/>
    <w:rsid w:val="00280C63"/>
    <w:rsid w:val="002816E9"/>
    <w:rsid w:val="00281B63"/>
    <w:rsid w:val="00281DE1"/>
    <w:rsid w:val="00282037"/>
    <w:rsid w:val="002824CB"/>
    <w:rsid w:val="002828EA"/>
    <w:rsid w:val="00282E6E"/>
    <w:rsid w:val="00283743"/>
    <w:rsid w:val="00283A13"/>
    <w:rsid w:val="002844E0"/>
    <w:rsid w:val="0028462B"/>
    <w:rsid w:val="00284D7D"/>
    <w:rsid w:val="00284E12"/>
    <w:rsid w:val="00284E64"/>
    <w:rsid w:val="0028648A"/>
    <w:rsid w:val="00286818"/>
    <w:rsid w:val="00286AF7"/>
    <w:rsid w:val="00286B78"/>
    <w:rsid w:val="002873F5"/>
    <w:rsid w:val="00287DEE"/>
    <w:rsid w:val="00287FC6"/>
    <w:rsid w:val="00291175"/>
    <w:rsid w:val="00291C26"/>
    <w:rsid w:val="00292838"/>
    <w:rsid w:val="00292D1F"/>
    <w:rsid w:val="0029508A"/>
    <w:rsid w:val="0029546F"/>
    <w:rsid w:val="00295DD4"/>
    <w:rsid w:val="00296236"/>
    <w:rsid w:val="0029680D"/>
    <w:rsid w:val="00296B4A"/>
    <w:rsid w:val="00296EEC"/>
    <w:rsid w:val="002976DF"/>
    <w:rsid w:val="00297E29"/>
    <w:rsid w:val="00297ED2"/>
    <w:rsid w:val="002A05D8"/>
    <w:rsid w:val="002A0B3F"/>
    <w:rsid w:val="002A194D"/>
    <w:rsid w:val="002A39C4"/>
    <w:rsid w:val="002A3CD1"/>
    <w:rsid w:val="002A4087"/>
    <w:rsid w:val="002A4A5B"/>
    <w:rsid w:val="002A57EF"/>
    <w:rsid w:val="002A59DD"/>
    <w:rsid w:val="002A701C"/>
    <w:rsid w:val="002A71AA"/>
    <w:rsid w:val="002A7822"/>
    <w:rsid w:val="002A78F1"/>
    <w:rsid w:val="002B065E"/>
    <w:rsid w:val="002B08F9"/>
    <w:rsid w:val="002B0F8E"/>
    <w:rsid w:val="002B1424"/>
    <w:rsid w:val="002B18F6"/>
    <w:rsid w:val="002B2403"/>
    <w:rsid w:val="002B2C23"/>
    <w:rsid w:val="002B30CE"/>
    <w:rsid w:val="002B3655"/>
    <w:rsid w:val="002B3E55"/>
    <w:rsid w:val="002B4A27"/>
    <w:rsid w:val="002B532B"/>
    <w:rsid w:val="002B72CE"/>
    <w:rsid w:val="002B7A69"/>
    <w:rsid w:val="002C1190"/>
    <w:rsid w:val="002C19DA"/>
    <w:rsid w:val="002C1F76"/>
    <w:rsid w:val="002C20EC"/>
    <w:rsid w:val="002C2941"/>
    <w:rsid w:val="002C308B"/>
    <w:rsid w:val="002C3552"/>
    <w:rsid w:val="002C390B"/>
    <w:rsid w:val="002C3DD1"/>
    <w:rsid w:val="002C53A3"/>
    <w:rsid w:val="002C7443"/>
    <w:rsid w:val="002C7800"/>
    <w:rsid w:val="002D0694"/>
    <w:rsid w:val="002D0797"/>
    <w:rsid w:val="002D161D"/>
    <w:rsid w:val="002D171B"/>
    <w:rsid w:val="002D1F1F"/>
    <w:rsid w:val="002D28E4"/>
    <w:rsid w:val="002D36E5"/>
    <w:rsid w:val="002D3889"/>
    <w:rsid w:val="002D4056"/>
    <w:rsid w:val="002D5100"/>
    <w:rsid w:val="002D58E4"/>
    <w:rsid w:val="002D5FB0"/>
    <w:rsid w:val="002D70FB"/>
    <w:rsid w:val="002D7C2F"/>
    <w:rsid w:val="002D7CA1"/>
    <w:rsid w:val="002E09CE"/>
    <w:rsid w:val="002E0DCF"/>
    <w:rsid w:val="002E0DE4"/>
    <w:rsid w:val="002E260A"/>
    <w:rsid w:val="002E4508"/>
    <w:rsid w:val="002E5336"/>
    <w:rsid w:val="002E5435"/>
    <w:rsid w:val="002E5AA1"/>
    <w:rsid w:val="002E716C"/>
    <w:rsid w:val="002E71EF"/>
    <w:rsid w:val="002E7D68"/>
    <w:rsid w:val="002F14BF"/>
    <w:rsid w:val="002F222B"/>
    <w:rsid w:val="002F2D28"/>
    <w:rsid w:val="002F36A5"/>
    <w:rsid w:val="002F3986"/>
    <w:rsid w:val="002F3ABC"/>
    <w:rsid w:val="002F3F14"/>
    <w:rsid w:val="002F4833"/>
    <w:rsid w:val="002F54B5"/>
    <w:rsid w:val="002F68B6"/>
    <w:rsid w:val="002F78C9"/>
    <w:rsid w:val="002F798C"/>
    <w:rsid w:val="002F7A7A"/>
    <w:rsid w:val="00300FFC"/>
    <w:rsid w:val="00301D46"/>
    <w:rsid w:val="0030217C"/>
    <w:rsid w:val="0030243D"/>
    <w:rsid w:val="00302FD7"/>
    <w:rsid w:val="003036DE"/>
    <w:rsid w:val="003041E9"/>
    <w:rsid w:val="00304AC5"/>
    <w:rsid w:val="00306423"/>
    <w:rsid w:val="00306605"/>
    <w:rsid w:val="003079E2"/>
    <w:rsid w:val="00307F6E"/>
    <w:rsid w:val="0031108C"/>
    <w:rsid w:val="0031130F"/>
    <w:rsid w:val="00311512"/>
    <w:rsid w:val="003115D3"/>
    <w:rsid w:val="00311D96"/>
    <w:rsid w:val="00312165"/>
    <w:rsid w:val="003121C7"/>
    <w:rsid w:val="003129A4"/>
    <w:rsid w:val="00313763"/>
    <w:rsid w:val="00313F54"/>
    <w:rsid w:val="003145D7"/>
    <w:rsid w:val="00314C4B"/>
    <w:rsid w:val="003150A5"/>
    <w:rsid w:val="003166EB"/>
    <w:rsid w:val="00316B7D"/>
    <w:rsid w:val="003173BE"/>
    <w:rsid w:val="003203E2"/>
    <w:rsid w:val="003232F2"/>
    <w:rsid w:val="00323D96"/>
    <w:rsid w:val="00323F6D"/>
    <w:rsid w:val="0032422C"/>
    <w:rsid w:val="00324A9A"/>
    <w:rsid w:val="00324AAA"/>
    <w:rsid w:val="00324CC4"/>
    <w:rsid w:val="00326291"/>
    <w:rsid w:val="00327216"/>
    <w:rsid w:val="0033011D"/>
    <w:rsid w:val="00330E9E"/>
    <w:rsid w:val="00330F6C"/>
    <w:rsid w:val="00331C0B"/>
    <w:rsid w:val="00331D22"/>
    <w:rsid w:val="00332440"/>
    <w:rsid w:val="0033267D"/>
    <w:rsid w:val="003329BB"/>
    <w:rsid w:val="00332AEC"/>
    <w:rsid w:val="003331C3"/>
    <w:rsid w:val="00334173"/>
    <w:rsid w:val="003343B8"/>
    <w:rsid w:val="00334C6E"/>
    <w:rsid w:val="00335DBD"/>
    <w:rsid w:val="00336AC7"/>
    <w:rsid w:val="00336BF0"/>
    <w:rsid w:val="00336D4C"/>
    <w:rsid w:val="00337161"/>
    <w:rsid w:val="003372D1"/>
    <w:rsid w:val="0033773D"/>
    <w:rsid w:val="00337803"/>
    <w:rsid w:val="00340267"/>
    <w:rsid w:val="00340BA5"/>
    <w:rsid w:val="00341503"/>
    <w:rsid w:val="00341B4E"/>
    <w:rsid w:val="003420B5"/>
    <w:rsid w:val="00343893"/>
    <w:rsid w:val="00343E01"/>
    <w:rsid w:val="0034458E"/>
    <w:rsid w:val="00344BA7"/>
    <w:rsid w:val="00345AA4"/>
    <w:rsid w:val="00346012"/>
    <w:rsid w:val="00346061"/>
    <w:rsid w:val="00346D6F"/>
    <w:rsid w:val="003475E7"/>
    <w:rsid w:val="003477E1"/>
    <w:rsid w:val="00347C35"/>
    <w:rsid w:val="00347D18"/>
    <w:rsid w:val="0035087F"/>
    <w:rsid w:val="00350B5B"/>
    <w:rsid w:val="00351A76"/>
    <w:rsid w:val="0035226C"/>
    <w:rsid w:val="00352D66"/>
    <w:rsid w:val="00352F7A"/>
    <w:rsid w:val="00353097"/>
    <w:rsid w:val="0035425C"/>
    <w:rsid w:val="003549F7"/>
    <w:rsid w:val="00355584"/>
    <w:rsid w:val="00355803"/>
    <w:rsid w:val="00356AB7"/>
    <w:rsid w:val="00357D97"/>
    <w:rsid w:val="00360D9C"/>
    <w:rsid w:val="00361FC9"/>
    <w:rsid w:val="00362337"/>
    <w:rsid w:val="00362B93"/>
    <w:rsid w:val="00363306"/>
    <w:rsid w:val="00363518"/>
    <w:rsid w:val="0036391B"/>
    <w:rsid w:val="00363B9B"/>
    <w:rsid w:val="00364296"/>
    <w:rsid w:val="00364588"/>
    <w:rsid w:val="00364673"/>
    <w:rsid w:val="00364A34"/>
    <w:rsid w:val="00364AE6"/>
    <w:rsid w:val="00365276"/>
    <w:rsid w:val="00366573"/>
    <w:rsid w:val="00366639"/>
    <w:rsid w:val="003668A7"/>
    <w:rsid w:val="003670BB"/>
    <w:rsid w:val="00370643"/>
    <w:rsid w:val="00370811"/>
    <w:rsid w:val="00370F08"/>
    <w:rsid w:val="00371053"/>
    <w:rsid w:val="00371C15"/>
    <w:rsid w:val="00371C76"/>
    <w:rsid w:val="003721A2"/>
    <w:rsid w:val="00372CB6"/>
    <w:rsid w:val="0037302B"/>
    <w:rsid w:val="0037393B"/>
    <w:rsid w:val="00373DD1"/>
    <w:rsid w:val="00373EFA"/>
    <w:rsid w:val="003750A6"/>
    <w:rsid w:val="003752E9"/>
    <w:rsid w:val="00375490"/>
    <w:rsid w:val="0037589C"/>
    <w:rsid w:val="0037703B"/>
    <w:rsid w:val="0037745D"/>
    <w:rsid w:val="00377725"/>
    <w:rsid w:val="003801DA"/>
    <w:rsid w:val="003816AB"/>
    <w:rsid w:val="00382587"/>
    <w:rsid w:val="00382797"/>
    <w:rsid w:val="003828BC"/>
    <w:rsid w:val="00382B73"/>
    <w:rsid w:val="00383BE9"/>
    <w:rsid w:val="003847E1"/>
    <w:rsid w:val="00384DBF"/>
    <w:rsid w:val="003853B4"/>
    <w:rsid w:val="003864DB"/>
    <w:rsid w:val="00386E73"/>
    <w:rsid w:val="00387182"/>
    <w:rsid w:val="00387593"/>
    <w:rsid w:val="00387618"/>
    <w:rsid w:val="003876EE"/>
    <w:rsid w:val="003878A8"/>
    <w:rsid w:val="00390B8A"/>
    <w:rsid w:val="00390EBD"/>
    <w:rsid w:val="00391E71"/>
    <w:rsid w:val="00392C21"/>
    <w:rsid w:val="0039354F"/>
    <w:rsid w:val="003939E7"/>
    <w:rsid w:val="0039420B"/>
    <w:rsid w:val="00394287"/>
    <w:rsid w:val="0039489C"/>
    <w:rsid w:val="00394F16"/>
    <w:rsid w:val="00395B19"/>
    <w:rsid w:val="003963A0"/>
    <w:rsid w:val="00396CC2"/>
    <w:rsid w:val="00396F79"/>
    <w:rsid w:val="00396FB3"/>
    <w:rsid w:val="00397237"/>
    <w:rsid w:val="003972A0"/>
    <w:rsid w:val="00397A0D"/>
    <w:rsid w:val="00397A34"/>
    <w:rsid w:val="00397C2C"/>
    <w:rsid w:val="003A006F"/>
    <w:rsid w:val="003A0383"/>
    <w:rsid w:val="003A0CA7"/>
    <w:rsid w:val="003A11C3"/>
    <w:rsid w:val="003A1726"/>
    <w:rsid w:val="003A1865"/>
    <w:rsid w:val="003A2286"/>
    <w:rsid w:val="003A2368"/>
    <w:rsid w:val="003A2B76"/>
    <w:rsid w:val="003A2C47"/>
    <w:rsid w:val="003A3CA1"/>
    <w:rsid w:val="003A4E2D"/>
    <w:rsid w:val="003A54A4"/>
    <w:rsid w:val="003A620D"/>
    <w:rsid w:val="003A646A"/>
    <w:rsid w:val="003A6474"/>
    <w:rsid w:val="003A66B0"/>
    <w:rsid w:val="003A69ED"/>
    <w:rsid w:val="003A6BD1"/>
    <w:rsid w:val="003B1000"/>
    <w:rsid w:val="003B2E7B"/>
    <w:rsid w:val="003B3C21"/>
    <w:rsid w:val="003B4041"/>
    <w:rsid w:val="003B42F5"/>
    <w:rsid w:val="003B4D3B"/>
    <w:rsid w:val="003B5425"/>
    <w:rsid w:val="003B5FA1"/>
    <w:rsid w:val="003B68CA"/>
    <w:rsid w:val="003B6A78"/>
    <w:rsid w:val="003B6AAC"/>
    <w:rsid w:val="003B6CE4"/>
    <w:rsid w:val="003B7893"/>
    <w:rsid w:val="003C01EB"/>
    <w:rsid w:val="003C06B3"/>
    <w:rsid w:val="003C0EDC"/>
    <w:rsid w:val="003C160E"/>
    <w:rsid w:val="003C2807"/>
    <w:rsid w:val="003C3116"/>
    <w:rsid w:val="003C3296"/>
    <w:rsid w:val="003C3DCE"/>
    <w:rsid w:val="003C3F59"/>
    <w:rsid w:val="003C4AC2"/>
    <w:rsid w:val="003C5CDB"/>
    <w:rsid w:val="003C60DE"/>
    <w:rsid w:val="003C6CEF"/>
    <w:rsid w:val="003C7432"/>
    <w:rsid w:val="003C7535"/>
    <w:rsid w:val="003D072A"/>
    <w:rsid w:val="003D2688"/>
    <w:rsid w:val="003D43E8"/>
    <w:rsid w:val="003D4E26"/>
    <w:rsid w:val="003D4F00"/>
    <w:rsid w:val="003D5A23"/>
    <w:rsid w:val="003D5CD9"/>
    <w:rsid w:val="003D68E4"/>
    <w:rsid w:val="003D6AA8"/>
    <w:rsid w:val="003E0F67"/>
    <w:rsid w:val="003E22C5"/>
    <w:rsid w:val="003E26B1"/>
    <w:rsid w:val="003E3BDA"/>
    <w:rsid w:val="003E3CB5"/>
    <w:rsid w:val="003E43B2"/>
    <w:rsid w:val="003E47E1"/>
    <w:rsid w:val="003E49C1"/>
    <w:rsid w:val="003E4E83"/>
    <w:rsid w:val="003E5CDA"/>
    <w:rsid w:val="003E656E"/>
    <w:rsid w:val="003E696F"/>
    <w:rsid w:val="003E6B00"/>
    <w:rsid w:val="003E7CDD"/>
    <w:rsid w:val="003F059B"/>
    <w:rsid w:val="003F0688"/>
    <w:rsid w:val="003F080B"/>
    <w:rsid w:val="003F0E9F"/>
    <w:rsid w:val="003F1068"/>
    <w:rsid w:val="003F1394"/>
    <w:rsid w:val="003F1482"/>
    <w:rsid w:val="003F2A51"/>
    <w:rsid w:val="003F2EB7"/>
    <w:rsid w:val="003F2F1F"/>
    <w:rsid w:val="003F4010"/>
    <w:rsid w:val="003F4253"/>
    <w:rsid w:val="003F453A"/>
    <w:rsid w:val="003F4557"/>
    <w:rsid w:val="003F4C5A"/>
    <w:rsid w:val="003F5480"/>
    <w:rsid w:val="003F68C0"/>
    <w:rsid w:val="003F6CCD"/>
    <w:rsid w:val="003F6FA5"/>
    <w:rsid w:val="00400D3A"/>
    <w:rsid w:val="00401172"/>
    <w:rsid w:val="004013F9"/>
    <w:rsid w:val="0040454A"/>
    <w:rsid w:val="00404674"/>
    <w:rsid w:val="00404825"/>
    <w:rsid w:val="004064DE"/>
    <w:rsid w:val="00406AB5"/>
    <w:rsid w:val="0040756B"/>
    <w:rsid w:val="0041033E"/>
    <w:rsid w:val="004103CB"/>
    <w:rsid w:val="004105E8"/>
    <w:rsid w:val="00411115"/>
    <w:rsid w:val="004111E9"/>
    <w:rsid w:val="004115E1"/>
    <w:rsid w:val="004137C9"/>
    <w:rsid w:val="00413DD3"/>
    <w:rsid w:val="0041580E"/>
    <w:rsid w:val="004172A5"/>
    <w:rsid w:val="0041766F"/>
    <w:rsid w:val="00417EC4"/>
    <w:rsid w:val="0042006F"/>
    <w:rsid w:val="00420327"/>
    <w:rsid w:val="00420650"/>
    <w:rsid w:val="0042082F"/>
    <w:rsid w:val="00420A1A"/>
    <w:rsid w:val="00421000"/>
    <w:rsid w:val="004229F1"/>
    <w:rsid w:val="00422F59"/>
    <w:rsid w:val="00423D2B"/>
    <w:rsid w:val="004247A1"/>
    <w:rsid w:val="00425299"/>
    <w:rsid w:val="00426B05"/>
    <w:rsid w:val="0042798E"/>
    <w:rsid w:val="004301A7"/>
    <w:rsid w:val="00430D5C"/>
    <w:rsid w:val="00430F0C"/>
    <w:rsid w:val="00431C41"/>
    <w:rsid w:val="00432D02"/>
    <w:rsid w:val="0043533C"/>
    <w:rsid w:val="00436391"/>
    <w:rsid w:val="0043664E"/>
    <w:rsid w:val="00436953"/>
    <w:rsid w:val="004378AE"/>
    <w:rsid w:val="00437C34"/>
    <w:rsid w:val="00437E01"/>
    <w:rsid w:val="00437E60"/>
    <w:rsid w:val="004402A3"/>
    <w:rsid w:val="004407E8"/>
    <w:rsid w:val="00441D75"/>
    <w:rsid w:val="0044227D"/>
    <w:rsid w:val="00442F8A"/>
    <w:rsid w:val="004433D8"/>
    <w:rsid w:val="00443AFA"/>
    <w:rsid w:val="00445733"/>
    <w:rsid w:val="00445966"/>
    <w:rsid w:val="00445DAF"/>
    <w:rsid w:val="00446FD4"/>
    <w:rsid w:val="00447770"/>
    <w:rsid w:val="00447F7A"/>
    <w:rsid w:val="004501AE"/>
    <w:rsid w:val="00450AE4"/>
    <w:rsid w:val="00452257"/>
    <w:rsid w:val="0045266B"/>
    <w:rsid w:val="00452CB6"/>
    <w:rsid w:val="00452EAF"/>
    <w:rsid w:val="004534D4"/>
    <w:rsid w:val="004537CA"/>
    <w:rsid w:val="00453E53"/>
    <w:rsid w:val="0045448C"/>
    <w:rsid w:val="004545CC"/>
    <w:rsid w:val="004563E7"/>
    <w:rsid w:val="00456564"/>
    <w:rsid w:val="00457FDF"/>
    <w:rsid w:val="004603A7"/>
    <w:rsid w:val="0046302D"/>
    <w:rsid w:val="00463E2C"/>
    <w:rsid w:val="00464EB7"/>
    <w:rsid w:val="00464ED0"/>
    <w:rsid w:val="00465AF0"/>
    <w:rsid w:val="00466034"/>
    <w:rsid w:val="00466235"/>
    <w:rsid w:val="004664A4"/>
    <w:rsid w:val="00466951"/>
    <w:rsid w:val="004671DD"/>
    <w:rsid w:val="0046723E"/>
    <w:rsid w:val="00470420"/>
    <w:rsid w:val="004718CA"/>
    <w:rsid w:val="004719E2"/>
    <w:rsid w:val="00471BC3"/>
    <w:rsid w:val="0047267C"/>
    <w:rsid w:val="00473A42"/>
    <w:rsid w:val="00473DC6"/>
    <w:rsid w:val="00474D46"/>
    <w:rsid w:val="0047541D"/>
    <w:rsid w:val="0047582C"/>
    <w:rsid w:val="00475F62"/>
    <w:rsid w:val="00476734"/>
    <w:rsid w:val="004769AC"/>
    <w:rsid w:val="0047717C"/>
    <w:rsid w:val="00477F0E"/>
    <w:rsid w:val="0048079D"/>
    <w:rsid w:val="00480A3C"/>
    <w:rsid w:val="00480C5A"/>
    <w:rsid w:val="004815DF"/>
    <w:rsid w:val="00481730"/>
    <w:rsid w:val="00481C77"/>
    <w:rsid w:val="004827F8"/>
    <w:rsid w:val="00482917"/>
    <w:rsid w:val="00482FBB"/>
    <w:rsid w:val="00483172"/>
    <w:rsid w:val="00483857"/>
    <w:rsid w:val="00483BBD"/>
    <w:rsid w:val="00483F5B"/>
    <w:rsid w:val="00484539"/>
    <w:rsid w:val="0048546B"/>
    <w:rsid w:val="00487840"/>
    <w:rsid w:val="00487C73"/>
    <w:rsid w:val="00490946"/>
    <w:rsid w:val="00490ADA"/>
    <w:rsid w:val="00490F59"/>
    <w:rsid w:val="004925BB"/>
    <w:rsid w:val="00492A0E"/>
    <w:rsid w:val="00492E42"/>
    <w:rsid w:val="0049378C"/>
    <w:rsid w:val="0049407C"/>
    <w:rsid w:val="00495494"/>
    <w:rsid w:val="00495750"/>
    <w:rsid w:val="00495850"/>
    <w:rsid w:val="00496012"/>
    <w:rsid w:val="00497EC6"/>
    <w:rsid w:val="004A0483"/>
    <w:rsid w:val="004A05F1"/>
    <w:rsid w:val="004A0893"/>
    <w:rsid w:val="004A0F42"/>
    <w:rsid w:val="004A127C"/>
    <w:rsid w:val="004A199E"/>
    <w:rsid w:val="004A2253"/>
    <w:rsid w:val="004A26AA"/>
    <w:rsid w:val="004A2760"/>
    <w:rsid w:val="004A39D1"/>
    <w:rsid w:val="004A4A96"/>
    <w:rsid w:val="004A5756"/>
    <w:rsid w:val="004A5DD2"/>
    <w:rsid w:val="004A5E5D"/>
    <w:rsid w:val="004A5EE0"/>
    <w:rsid w:val="004A76CA"/>
    <w:rsid w:val="004B09CE"/>
    <w:rsid w:val="004B0AF7"/>
    <w:rsid w:val="004B192A"/>
    <w:rsid w:val="004B2A12"/>
    <w:rsid w:val="004B2A1C"/>
    <w:rsid w:val="004B38A8"/>
    <w:rsid w:val="004B3E96"/>
    <w:rsid w:val="004B481C"/>
    <w:rsid w:val="004B4B18"/>
    <w:rsid w:val="004B5151"/>
    <w:rsid w:val="004B53ED"/>
    <w:rsid w:val="004B5963"/>
    <w:rsid w:val="004B5AC9"/>
    <w:rsid w:val="004B60E7"/>
    <w:rsid w:val="004B6A7B"/>
    <w:rsid w:val="004B7180"/>
    <w:rsid w:val="004B7576"/>
    <w:rsid w:val="004B795D"/>
    <w:rsid w:val="004B79D2"/>
    <w:rsid w:val="004C0F76"/>
    <w:rsid w:val="004C1A7B"/>
    <w:rsid w:val="004C1BEA"/>
    <w:rsid w:val="004C3285"/>
    <w:rsid w:val="004C3A97"/>
    <w:rsid w:val="004C43F9"/>
    <w:rsid w:val="004C474C"/>
    <w:rsid w:val="004C5121"/>
    <w:rsid w:val="004C5414"/>
    <w:rsid w:val="004C5540"/>
    <w:rsid w:val="004C560D"/>
    <w:rsid w:val="004C638E"/>
    <w:rsid w:val="004C725A"/>
    <w:rsid w:val="004D0B28"/>
    <w:rsid w:val="004D10C8"/>
    <w:rsid w:val="004D1758"/>
    <w:rsid w:val="004D2074"/>
    <w:rsid w:val="004D226C"/>
    <w:rsid w:val="004D2801"/>
    <w:rsid w:val="004D2878"/>
    <w:rsid w:val="004D30F4"/>
    <w:rsid w:val="004D33B4"/>
    <w:rsid w:val="004D4455"/>
    <w:rsid w:val="004D5FED"/>
    <w:rsid w:val="004D6A28"/>
    <w:rsid w:val="004D7258"/>
    <w:rsid w:val="004D735E"/>
    <w:rsid w:val="004D7410"/>
    <w:rsid w:val="004E04E2"/>
    <w:rsid w:val="004E1B9F"/>
    <w:rsid w:val="004E1C80"/>
    <w:rsid w:val="004E23A4"/>
    <w:rsid w:val="004E2D77"/>
    <w:rsid w:val="004E2F3B"/>
    <w:rsid w:val="004E43C1"/>
    <w:rsid w:val="004E49B3"/>
    <w:rsid w:val="004E4FA6"/>
    <w:rsid w:val="004E5249"/>
    <w:rsid w:val="004E6023"/>
    <w:rsid w:val="004E6051"/>
    <w:rsid w:val="004E78E6"/>
    <w:rsid w:val="004E7983"/>
    <w:rsid w:val="004E7DE5"/>
    <w:rsid w:val="004E7F6D"/>
    <w:rsid w:val="004F020C"/>
    <w:rsid w:val="004F1BEC"/>
    <w:rsid w:val="004F2635"/>
    <w:rsid w:val="004F2C02"/>
    <w:rsid w:val="004F3004"/>
    <w:rsid w:val="004F315E"/>
    <w:rsid w:val="004F31B3"/>
    <w:rsid w:val="004F358B"/>
    <w:rsid w:val="004F394C"/>
    <w:rsid w:val="004F5D84"/>
    <w:rsid w:val="004F65EB"/>
    <w:rsid w:val="004F68BF"/>
    <w:rsid w:val="004F7F48"/>
    <w:rsid w:val="004F7FC9"/>
    <w:rsid w:val="00500539"/>
    <w:rsid w:val="00500BB6"/>
    <w:rsid w:val="00501474"/>
    <w:rsid w:val="00501CE8"/>
    <w:rsid w:val="00501F14"/>
    <w:rsid w:val="00501F46"/>
    <w:rsid w:val="00501FB5"/>
    <w:rsid w:val="0050212A"/>
    <w:rsid w:val="005024EB"/>
    <w:rsid w:val="00502528"/>
    <w:rsid w:val="005028CC"/>
    <w:rsid w:val="00502C2A"/>
    <w:rsid w:val="00503261"/>
    <w:rsid w:val="00503D24"/>
    <w:rsid w:val="0050459A"/>
    <w:rsid w:val="005046E8"/>
    <w:rsid w:val="005058A6"/>
    <w:rsid w:val="00505B2E"/>
    <w:rsid w:val="00505FA1"/>
    <w:rsid w:val="0050673F"/>
    <w:rsid w:val="00506793"/>
    <w:rsid w:val="00506C2F"/>
    <w:rsid w:val="00507039"/>
    <w:rsid w:val="00507539"/>
    <w:rsid w:val="005104DF"/>
    <w:rsid w:val="005117D7"/>
    <w:rsid w:val="005132BA"/>
    <w:rsid w:val="0051469E"/>
    <w:rsid w:val="00514AA4"/>
    <w:rsid w:val="00514B9B"/>
    <w:rsid w:val="00514C8D"/>
    <w:rsid w:val="0051521B"/>
    <w:rsid w:val="005152AD"/>
    <w:rsid w:val="005155EA"/>
    <w:rsid w:val="00515FD4"/>
    <w:rsid w:val="00516F00"/>
    <w:rsid w:val="00517248"/>
    <w:rsid w:val="005173A9"/>
    <w:rsid w:val="00520274"/>
    <w:rsid w:val="00521092"/>
    <w:rsid w:val="00522425"/>
    <w:rsid w:val="00522E7C"/>
    <w:rsid w:val="00522F56"/>
    <w:rsid w:val="00523F44"/>
    <w:rsid w:val="00525DAD"/>
    <w:rsid w:val="00525ED9"/>
    <w:rsid w:val="00526847"/>
    <w:rsid w:val="00526E32"/>
    <w:rsid w:val="00527D65"/>
    <w:rsid w:val="0053034F"/>
    <w:rsid w:val="005303E9"/>
    <w:rsid w:val="00530BC6"/>
    <w:rsid w:val="00531037"/>
    <w:rsid w:val="00531204"/>
    <w:rsid w:val="00531454"/>
    <w:rsid w:val="00532D0B"/>
    <w:rsid w:val="00532D1B"/>
    <w:rsid w:val="00533B7C"/>
    <w:rsid w:val="00533DE3"/>
    <w:rsid w:val="005340D1"/>
    <w:rsid w:val="005344E4"/>
    <w:rsid w:val="005345B6"/>
    <w:rsid w:val="00534A05"/>
    <w:rsid w:val="00534BA0"/>
    <w:rsid w:val="00535C4F"/>
    <w:rsid w:val="00535DAA"/>
    <w:rsid w:val="0053638A"/>
    <w:rsid w:val="0053676B"/>
    <w:rsid w:val="00536785"/>
    <w:rsid w:val="005400D0"/>
    <w:rsid w:val="0054096B"/>
    <w:rsid w:val="00540F35"/>
    <w:rsid w:val="00541DE4"/>
    <w:rsid w:val="0054340A"/>
    <w:rsid w:val="00543816"/>
    <w:rsid w:val="00545207"/>
    <w:rsid w:val="00545243"/>
    <w:rsid w:val="00545344"/>
    <w:rsid w:val="00545AC0"/>
    <w:rsid w:val="00545F14"/>
    <w:rsid w:val="005465D0"/>
    <w:rsid w:val="00546CC1"/>
    <w:rsid w:val="00546E9A"/>
    <w:rsid w:val="00546EB6"/>
    <w:rsid w:val="00547344"/>
    <w:rsid w:val="005479EC"/>
    <w:rsid w:val="00547D95"/>
    <w:rsid w:val="00550121"/>
    <w:rsid w:val="00550DF8"/>
    <w:rsid w:val="005511D8"/>
    <w:rsid w:val="00551BF9"/>
    <w:rsid w:val="0055229F"/>
    <w:rsid w:val="005526F6"/>
    <w:rsid w:val="00553472"/>
    <w:rsid w:val="00554DA1"/>
    <w:rsid w:val="005550BF"/>
    <w:rsid w:val="00555272"/>
    <w:rsid w:val="005554FE"/>
    <w:rsid w:val="00557208"/>
    <w:rsid w:val="005574A4"/>
    <w:rsid w:val="005575A4"/>
    <w:rsid w:val="00557E47"/>
    <w:rsid w:val="00557EA1"/>
    <w:rsid w:val="0056039C"/>
    <w:rsid w:val="0056087D"/>
    <w:rsid w:val="00560EF8"/>
    <w:rsid w:val="00561A49"/>
    <w:rsid w:val="0056226B"/>
    <w:rsid w:val="00562E00"/>
    <w:rsid w:val="0056462B"/>
    <w:rsid w:val="005647B1"/>
    <w:rsid w:val="0056527D"/>
    <w:rsid w:val="00565C6F"/>
    <w:rsid w:val="005667C4"/>
    <w:rsid w:val="00566844"/>
    <w:rsid w:val="00566E46"/>
    <w:rsid w:val="0056717C"/>
    <w:rsid w:val="0056741E"/>
    <w:rsid w:val="00567C6B"/>
    <w:rsid w:val="00570AEA"/>
    <w:rsid w:val="00570C47"/>
    <w:rsid w:val="0057123E"/>
    <w:rsid w:val="00571567"/>
    <w:rsid w:val="00572ED3"/>
    <w:rsid w:val="00574A45"/>
    <w:rsid w:val="00575FDC"/>
    <w:rsid w:val="0057636B"/>
    <w:rsid w:val="005764CB"/>
    <w:rsid w:val="005806C5"/>
    <w:rsid w:val="005811D5"/>
    <w:rsid w:val="00581205"/>
    <w:rsid w:val="00582894"/>
    <w:rsid w:val="00582BD4"/>
    <w:rsid w:val="005836F3"/>
    <w:rsid w:val="005843AB"/>
    <w:rsid w:val="00584D76"/>
    <w:rsid w:val="00584E4C"/>
    <w:rsid w:val="0058549B"/>
    <w:rsid w:val="00585DA2"/>
    <w:rsid w:val="00586DC7"/>
    <w:rsid w:val="00587277"/>
    <w:rsid w:val="0058766A"/>
    <w:rsid w:val="00590578"/>
    <w:rsid w:val="00590A61"/>
    <w:rsid w:val="00590E60"/>
    <w:rsid w:val="005919C1"/>
    <w:rsid w:val="00591BDD"/>
    <w:rsid w:val="00591CE7"/>
    <w:rsid w:val="0059342D"/>
    <w:rsid w:val="00593965"/>
    <w:rsid w:val="00594E9E"/>
    <w:rsid w:val="005951C7"/>
    <w:rsid w:val="005952DB"/>
    <w:rsid w:val="005953A4"/>
    <w:rsid w:val="00596D28"/>
    <w:rsid w:val="00597073"/>
    <w:rsid w:val="00597B8E"/>
    <w:rsid w:val="00597CF4"/>
    <w:rsid w:val="005A09D2"/>
    <w:rsid w:val="005A0B60"/>
    <w:rsid w:val="005A1527"/>
    <w:rsid w:val="005A2DD0"/>
    <w:rsid w:val="005A308F"/>
    <w:rsid w:val="005A30B4"/>
    <w:rsid w:val="005A3407"/>
    <w:rsid w:val="005A3A86"/>
    <w:rsid w:val="005A4CFA"/>
    <w:rsid w:val="005A5218"/>
    <w:rsid w:val="005A5230"/>
    <w:rsid w:val="005A5805"/>
    <w:rsid w:val="005A5C67"/>
    <w:rsid w:val="005A66E0"/>
    <w:rsid w:val="005A6C8C"/>
    <w:rsid w:val="005A7F5B"/>
    <w:rsid w:val="005B008D"/>
    <w:rsid w:val="005B01B6"/>
    <w:rsid w:val="005B0349"/>
    <w:rsid w:val="005B0B79"/>
    <w:rsid w:val="005B13CA"/>
    <w:rsid w:val="005B2B63"/>
    <w:rsid w:val="005B2DD1"/>
    <w:rsid w:val="005B4083"/>
    <w:rsid w:val="005B442E"/>
    <w:rsid w:val="005B4DC1"/>
    <w:rsid w:val="005B4EEE"/>
    <w:rsid w:val="005B572A"/>
    <w:rsid w:val="005B64BD"/>
    <w:rsid w:val="005C02F0"/>
    <w:rsid w:val="005C0D80"/>
    <w:rsid w:val="005C0F09"/>
    <w:rsid w:val="005C1008"/>
    <w:rsid w:val="005C27F9"/>
    <w:rsid w:val="005C2DB9"/>
    <w:rsid w:val="005C3AF6"/>
    <w:rsid w:val="005C4628"/>
    <w:rsid w:val="005C49CD"/>
    <w:rsid w:val="005C4B77"/>
    <w:rsid w:val="005C573F"/>
    <w:rsid w:val="005C5B3F"/>
    <w:rsid w:val="005D0779"/>
    <w:rsid w:val="005D0B8E"/>
    <w:rsid w:val="005D122B"/>
    <w:rsid w:val="005D1D53"/>
    <w:rsid w:val="005D23F8"/>
    <w:rsid w:val="005D28A9"/>
    <w:rsid w:val="005D3742"/>
    <w:rsid w:val="005D3AA8"/>
    <w:rsid w:val="005D456B"/>
    <w:rsid w:val="005D4A90"/>
    <w:rsid w:val="005D55A9"/>
    <w:rsid w:val="005D593E"/>
    <w:rsid w:val="005D60CA"/>
    <w:rsid w:val="005D69DB"/>
    <w:rsid w:val="005D7243"/>
    <w:rsid w:val="005D7484"/>
    <w:rsid w:val="005D7808"/>
    <w:rsid w:val="005D784F"/>
    <w:rsid w:val="005D78C1"/>
    <w:rsid w:val="005D7B47"/>
    <w:rsid w:val="005E0229"/>
    <w:rsid w:val="005E05A5"/>
    <w:rsid w:val="005E155E"/>
    <w:rsid w:val="005E1652"/>
    <w:rsid w:val="005E185B"/>
    <w:rsid w:val="005E199F"/>
    <w:rsid w:val="005E20BE"/>
    <w:rsid w:val="005E242F"/>
    <w:rsid w:val="005E25F2"/>
    <w:rsid w:val="005E2A82"/>
    <w:rsid w:val="005E37CB"/>
    <w:rsid w:val="005E3ADD"/>
    <w:rsid w:val="005E4E78"/>
    <w:rsid w:val="005E4F6A"/>
    <w:rsid w:val="005E54F9"/>
    <w:rsid w:val="005E5FE2"/>
    <w:rsid w:val="005E6E44"/>
    <w:rsid w:val="005E6FB2"/>
    <w:rsid w:val="005F0D8C"/>
    <w:rsid w:val="005F1FFE"/>
    <w:rsid w:val="005F2872"/>
    <w:rsid w:val="005F3B00"/>
    <w:rsid w:val="005F5B68"/>
    <w:rsid w:val="005F6A73"/>
    <w:rsid w:val="005F719C"/>
    <w:rsid w:val="006006A2"/>
    <w:rsid w:val="00600E34"/>
    <w:rsid w:val="00601A0B"/>
    <w:rsid w:val="00601A77"/>
    <w:rsid w:val="006020B1"/>
    <w:rsid w:val="00603D60"/>
    <w:rsid w:val="006048F7"/>
    <w:rsid w:val="006054FB"/>
    <w:rsid w:val="00605BC5"/>
    <w:rsid w:val="006066C8"/>
    <w:rsid w:val="00606D66"/>
    <w:rsid w:val="0060708B"/>
    <w:rsid w:val="00607A2C"/>
    <w:rsid w:val="00607D03"/>
    <w:rsid w:val="00610787"/>
    <w:rsid w:val="0061109D"/>
    <w:rsid w:val="0061211C"/>
    <w:rsid w:val="0061341E"/>
    <w:rsid w:val="00613EAD"/>
    <w:rsid w:val="00614773"/>
    <w:rsid w:val="00614794"/>
    <w:rsid w:val="0061515A"/>
    <w:rsid w:val="006158FE"/>
    <w:rsid w:val="0061598B"/>
    <w:rsid w:val="00615E15"/>
    <w:rsid w:val="0061619E"/>
    <w:rsid w:val="0061633C"/>
    <w:rsid w:val="006165CF"/>
    <w:rsid w:val="00616CC6"/>
    <w:rsid w:val="0061793E"/>
    <w:rsid w:val="00617E71"/>
    <w:rsid w:val="00621DC0"/>
    <w:rsid w:val="006222F0"/>
    <w:rsid w:val="00623C51"/>
    <w:rsid w:val="00624777"/>
    <w:rsid w:val="006248BB"/>
    <w:rsid w:val="00624ADC"/>
    <w:rsid w:val="00625120"/>
    <w:rsid w:val="0062648C"/>
    <w:rsid w:val="006264BA"/>
    <w:rsid w:val="00626D48"/>
    <w:rsid w:val="00627F05"/>
    <w:rsid w:val="00630C52"/>
    <w:rsid w:val="00631CFF"/>
    <w:rsid w:val="0063260F"/>
    <w:rsid w:val="00632F63"/>
    <w:rsid w:val="00633A94"/>
    <w:rsid w:val="00634C95"/>
    <w:rsid w:val="00634F72"/>
    <w:rsid w:val="00637545"/>
    <w:rsid w:val="0064044F"/>
    <w:rsid w:val="00640489"/>
    <w:rsid w:val="00640AF7"/>
    <w:rsid w:val="00642A3A"/>
    <w:rsid w:val="00642D76"/>
    <w:rsid w:val="00643F02"/>
    <w:rsid w:val="006444B9"/>
    <w:rsid w:val="0064470F"/>
    <w:rsid w:val="00644D1A"/>
    <w:rsid w:val="00645530"/>
    <w:rsid w:val="00645BA1"/>
    <w:rsid w:val="00645EAD"/>
    <w:rsid w:val="0064641D"/>
    <w:rsid w:val="00647073"/>
    <w:rsid w:val="00647225"/>
    <w:rsid w:val="006474C5"/>
    <w:rsid w:val="006475C1"/>
    <w:rsid w:val="006478A2"/>
    <w:rsid w:val="00650238"/>
    <w:rsid w:val="00651440"/>
    <w:rsid w:val="00651AE9"/>
    <w:rsid w:val="00651D51"/>
    <w:rsid w:val="00654D0F"/>
    <w:rsid w:val="006555F8"/>
    <w:rsid w:val="00656C01"/>
    <w:rsid w:val="006603F1"/>
    <w:rsid w:val="00660553"/>
    <w:rsid w:val="006615D9"/>
    <w:rsid w:val="006624E4"/>
    <w:rsid w:val="006632A6"/>
    <w:rsid w:val="00663A19"/>
    <w:rsid w:val="00663A1A"/>
    <w:rsid w:val="00663FC7"/>
    <w:rsid w:val="00665172"/>
    <w:rsid w:val="00665963"/>
    <w:rsid w:val="00665B3A"/>
    <w:rsid w:val="00665D02"/>
    <w:rsid w:val="00665FA0"/>
    <w:rsid w:val="006671CC"/>
    <w:rsid w:val="006672D4"/>
    <w:rsid w:val="0066749A"/>
    <w:rsid w:val="00667674"/>
    <w:rsid w:val="00667A2F"/>
    <w:rsid w:val="006701B3"/>
    <w:rsid w:val="0067075F"/>
    <w:rsid w:val="00670934"/>
    <w:rsid w:val="0067131C"/>
    <w:rsid w:val="00673252"/>
    <w:rsid w:val="006735C3"/>
    <w:rsid w:val="006746AF"/>
    <w:rsid w:val="00674C75"/>
    <w:rsid w:val="006750C9"/>
    <w:rsid w:val="00675864"/>
    <w:rsid w:val="00675DF4"/>
    <w:rsid w:val="00676710"/>
    <w:rsid w:val="0067696C"/>
    <w:rsid w:val="00676A42"/>
    <w:rsid w:val="00676F8C"/>
    <w:rsid w:val="0067721E"/>
    <w:rsid w:val="006775BE"/>
    <w:rsid w:val="0068003E"/>
    <w:rsid w:val="00680F9B"/>
    <w:rsid w:val="00681F9A"/>
    <w:rsid w:val="0068228F"/>
    <w:rsid w:val="00682FCA"/>
    <w:rsid w:val="006839E4"/>
    <w:rsid w:val="00684632"/>
    <w:rsid w:val="0068535A"/>
    <w:rsid w:val="00685658"/>
    <w:rsid w:val="00685862"/>
    <w:rsid w:val="006864AF"/>
    <w:rsid w:val="00686A0B"/>
    <w:rsid w:val="006870CA"/>
    <w:rsid w:val="00687F35"/>
    <w:rsid w:val="006902F8"/>
    <w:rsid w:val="00690350"/>
    <w:rsid w:val="00690AA8"/>
    <w:rsid w:val="00691A29"/>
    <w:rsid w:val="00691CD2"/>
    <w:rsid w:val="00691CDE"/>
    <w:rsid w:val="006932C1"/>
    <w:rsid w:val="00693934"/>
    <w:rsid w:val="0069537A"/>
    <w:rsid w:val="006958D3"/>
    <w:rsid w:val="00695D4E"/>
    <w:rsid w:val="006962CA"/>
    <w:rsid w:val="006963DD"/>
    <w:rsid w:val="0069723F"/>
    <w:rsid w:val="00697752"/>
    <w:rsid w:val="006978C2"/>
    <w:rsid w:val="00697AEB"/>
    <w:rsid w:val="006A08FE"/>
    <w:rsid w:val="006A0B75"/>
    <w:rsid w:val="006A0DC3"/>
    <w:rsid w:val="006A1AB5"/>
    <w:rsid w:val="006A1CCD"/>
    <w:rsid w:val="006A1EB3"/>
    <w:rsid w:val="006A227C"/>
    <w:rsid w:val="006A22D9"/>
    <w:rsid w:val="006A25B0"/>
    <w:rsid w:val="006A2E6B"/>
    <w:rsid w:val="006A440A"/>
    <w:rsid w:val="006A4D9C"/>
    <w:rsid w:val="006A507D"/>
    <w:rsid w:val="006A586E"/>
    <w:rsid w:val="006A5AC2"/>
    <w:rsid w:val="006A5CE8"/>
    <w:rsid w:val="006A601E"/>
    <w:rsid w:val="006A6D38"/>
    <w:rsid w:val="006A7266"/>
    <w:rsid w:val="006A7336"/>
    <w:rsid w:val="006A73A5"/>
    <w:rsid w:val="006A77CB"/>
    <w:rsid w:val="006B19EB"/>
    <w:rsid w:val="006B239A"/>
    <w:rsid w:val="006B28DF"/>
    <w:rsid w:val="006B330C"/>
    <w:rsid w:val="006B3823"/>
    <w:rsid w:val="006B5062"/>
    <w:rsid w:val="006B5B86"/>
    <w:rsid w:val="006B6CB9"/>
    <w:rsid w:val="006B7E6B"/>
    <w:rsid w:val="006C0631"/>
    <w:rsid w:val="006C096D"/>
    <w:rsid w:val="006C1954"/>
    <w:rsid w:val="006C1CA2"/>
    <w:rsid w:val="006C1E5A"/>
    <w:rsid w:val="006C280D"/>
    <w:rsid w:val="006C2C3C"/>
    <w:rsid w:val="006C3E23"/>
    <w:rsid w:val="006C59A9"/>
    <w:rsid w:val="006C5FE1"/>
    <w:rsid w:val="006C6789"/>
    <w:rsid w:val="006C6E39"/>
    <w:rsid w:val="006D063D"/>
    <w:rsid w:val="006D064F"/>
    <w:rsid w:val="006D0A49"/>
    <w:rsid w:val="006D0FEC"/>
    <w:rsid w:val="006D14CC"/>
    <w:rsid w:val="006D217F"/>
    <w:rsid w:val="006D2EB4"/>
    <w:rsid w:val="006D34F4"/>
    <w:rsid w:val="006D4439"/>
    <w:rsid w:val="006D5E26"/>
    <w:rsid w:val="006D6142"/>
    <w:rsid w:val="006D6477"/>
    <w:rsid w:val="006D7AE6"/>
    <w:rsid w:val="006E0E2D"/>
    <w:rsid w:val="006E19A5"/>
    <w:rsid w:val="006E1B24"/>
    <w:rsid w:val="006E3149"/>
    <w:rsid w:val="006E3802"/>
    <w:rsid w:val="006E3AED"/>
    <w:rsid w:val="006E3EA5"/>
    <w:rsid w:val="006E3F3D"/>
    <w:rsid w:val="006E48E2"/>
    <w:rsid w:val="006E4DD9"/>
    <w:rsid w:val="006E5304"/>
    <w:rsid w:val="006E63A4"/>
    <w:rsid w:val="006E6D5E"/>
    <w:rsid w:val="006E6F83"/>
    <w:rsid w:val="006F0DC2"/>
    <w:rsid w:val="006F1050"/>
    <w:rsid w:val="006F1416"/>
    <w:rsid w:val="006F1914"/>
    <w:rsid w:val="006F1D24"/>
    <w:rsid w:val="006F3355"/>
    <w:rsid w:val="006F35B8"/>
    <w:rsid w:val="006F59B1"/>
    <w:rsid w:val="006F646B"/>
    <w:rsid w:val="006F68DA"/>
    <w:rsid w:val="006F7AB2"/>
    <w:rsid w:val="006F7AB7"/>
    <w:rsid w:val="006F7F0D"/>
    <w:rsid w:val="00700D7A"/>
    <w:rsid w:val="0070133F"/>
    <w:rsid w:val="00701CAF"/>
    <w:rsid w:val="0070270E"/>
    <w:rsid w:val="00702F1B"/>
    <w:rsid w:val="00703300"/>
    <w:rsid w:val="00703F47"/>
    <w:rsid w:val="00704635"/>
    <w:rsid w:val="00704A00"/>
    <w:rsid w:val="00704FE2"/>
    <w:rsid w:val="00705BAE"/>
    <w:rsid w:val="00706F81"/>
    <w:rsid w:val="00707195"/>
    <w:rsid w:val="0071073D"/>
    <w:rsid w:val="00710CF2"/>
    <w:rsid w:val="00710D4C"/>
    <w:rsid w:val="00711611"/>
    <w:rsid w:val="007119BD"/>
    <w:rsid w:val="00711A81"/>
    <w:rsid w:val="0071253E"/>
    <w:rsid w:val="007128D9"/>
    <w:rsid w:val="00712E9C"/>
    <w:rsid w:val="00713293"/>
    <w:rsid w:val="00713B27"/>
    <w:rsid w:val="00713EDB"/>
    <w:rsid w:val="0071451F"/>
    <w:rsid w:val="00714523"/>
    <w:rsid w:val="0071489B"/>
    <w:rsid w:val="007149A7"/>
    <w:rsid w:val="007159F6"/>
    <w:rsid w:val="00715A10"/>
    <w:rsid w:val="00715E09"/>
    <w:rsid w:val="0071635F"/>
    <w:rsid w:val="007170C3"/>
    <w:rsid w:val="00717D32"/>
    <w:rsid w:val="00720017"/>
    <w:rsid w:val="007220C2"/>
    <w:rsid w:val="007229BF"/>
    <w:rsid w:val="00723A8C"/>
    <w:rsid w:val="00723DCC"/>
    <w:rsid w:val="00724917"/>
    <w:rsid w:val="0072660A"/>
    <w:rsid w:val="007269C3"/>
    <w:rsid w:val="00726AFB"/>
    <w:rsid w:val="0072706A"/>
    <w:rsid w:val="0073010C"/>
    <w:rsid w:val="00730964"/>
    <w:rsid w:val="00730F4C"/>
    <w:rsid w:val="00731754"/>
    <w:rsid w:val="00732D68"/>
    <w:rsid w:val="00733586"/>
    <w:rsid w:val="00733F37"/>
    <w:rsid w:val="00735F5D"/>
    <w:rsid w:val="0073624B"/>
    <w:rsid w:val="007363DA"/>
    <w:rsid w:val="00736E25"/>
    <w:rsid w:val="00740073"/>
    <w:rsid w:val="007405FC"/>
    <w:rsid w:val="00740C6A"/>
    <w:rsid w:val="00741237"/>
    <w:rsid w:val="0074158D"/>
    <w:rsid w:val="007416ED"/>
    <w:rsid w:val="00741CD1"/>
    <w:rsid w:val="007420B8"/>
    <w:rsid w:val="00742CE3"/>
    <w:rsid w:val="007431F9"/>
    <w:rsid w:val="00743CE8"/>
    <w:rsid w:val="007450DA"/>
    <w:rsid w:val="0074517D"/>
    <w:rsid w:val="00745BDC"/>
    <w:rsid w:val="007461FF"/>
    <w:rsid w:val="0074668A"/>
    <w:rsid w:val="0074689A"/>
    <w:rsid w:val="00750307"/>
    <w:rsid w:val="0075058C"/>
    <w:rsid w:val="00752204"/>
    <w:rsid w:val="00752F93"/>
    <w:rsid w:val="0075310A"/>
    <w:rsid w:val="00753291"/>
    <w:rsid w:val="007542A3"/>
    <w:rsid w:val="00754D07"/>
    <w:rsid w:val="0075552F"/>
    <w:rsid w:val="0075729B"/>
    <w:rsid w:val="00757C9C"/>
    <w:rsid w:val="00757E25"/>
    <w:rsid w:val="00761959"/>
    <w:rsid w:val="00762DB3"/>
    <w:rsid w:val="007632F0"/>
    <w:rsid w:val="00763CDE"/>
    <w:rsid w:val="00764672"/>
    <w:rsid w:val="007650A7"/>
    <w:rsid w:val="00766101"/>
    <w:rsid w:val="007665D3"/>
    <w:rsid w:val="00766D44"/>
    <w:rsid w:val="0076715D"/>
    <w:rsid w:val="007676AD"/>
    <w:rsid w:val="0076780D"/>
    <w:rsid w:val="00770652"/>
    <w:rsid w:val="00770744"/>
    <w:rsid w:val="007707EA"/>
    <w:rsid w:val="0077103D"/>
    <w:rsid w:val="007729BE"/>
    <w:rsid w:val="00772DDC"/>
    <w:rsid w:val="00773FED"/>
    <w:rsid w:val="007740A1"/>
    <w:rsid w:val="00774607"/>
    <w:rsid w:val="00774841"/>
    <w:rsid w:val="007749E8"/>
    <w:rsid w:val="00774B70"/>
    <w:rsid w:val="00775281"/>
    <w:rsid w:val="007779B1"/>
    <w:rsid w:val="00777A48"/>
    <w:rsid w:val="00781AF4"/>
    <w:rsid w:val="00781F81"/>
    <w:rsid w:val="00782591"/>
    <w:rsid w:val="00783099"/>
    <w:rsid w:val="00783741"/>
    <w:rsid w:val="00783D85"/>
    <w:rsid w:val="0078449C"/>
    <w:rsid w:val="00785570"/>
    <w:rsid w:val="007859CE"/>
    <w:rsid w:val="00785ABB"/>
    <w:rsid w:val="00785C99"/>
    <w:rsid w:val="00785F42"/>
    <w:rsid w:val="00787E1B"/>
    <w:rsid w:val="0079060A"/>
    <w:rsid w:val="00791987"/>
    <w:rsid w:val="007921C8"/>
    <w:rsid w:val="00792AF0"/>
    <w:rsid w:val="007931C5"/>
    <w:rsid w:val="00793418"/>
    <w:rsid w:val="0079354D"/>
    <w:rsid w:val="00793913"/>
    <w:rsid w:val="0079402A"/>
    <w:rsid w:val="00794554"/>
    <w:rsid w:val="007945D0"/>
    <w:rsid w:val="0079560A"/>
    <w:rsid w:val="007962F1"/>
    <w:rsid w:val="00796DC9"/>
    <w:rsid w:val="00797981"/>
    <w:rsid w:val="007A050F"/>
    <w:rsid w:val="007A0C47"/>
    <w:rsid w:val="007A0D7A"/>
    <w:rsid w:val="007A0F99"/>
    <w:rsid w:val="007A152F"/>
    <w:rsid w:val="007A1E44"/>
    <w:rsid w:val="007A2222"/>
    <w:rsid w:val="007A3302"/>
    <w:rsid w:val="007A3A87"/>
    <w:rsid w:val="007A44D5"/>
    <w:rsid w:val="007A49E8"/>
    <w:rsid w:val="007A4B58"/>
    <w:rsid w:val="007A558B"/>
    <w:rsid w:val="007A6184"/>
    <w:rsid w:val="007A65AB"/>
    <w:rsid w:val="007A6F53"/>
    <w:rsid w:val="007A72C3"/>
    <w:rsid w:val="007B1F33"/>
    <w:rsid w:val="007B23EA"/>
    <w:rsid w:val="007B292F"/>
    <w:rsid w:val="007B401E"/>
    <w:rsid w:val="007B49FB"/>
    <w:rsid w:val="007B4F26"/>
    <w:rsid w:val="007B50DD"/>
    <w:rsid w:val="007B510B"/>
    <w:rsid w:val="007B5580"/>
    <w:rsid w:val="007B5812"/>
    <w:rsid w:val="007B5831"/>
    <w:rsid w:val="007B67D8"/>
    <w:rsid w:val="007B6F5D"/>
    <w:rsid w:val="007B7A6B"/>
    <w:rsid w:val="007C059F"/>
    <w:rsid w:val="007C05FD"/>
    <w:rsid w:val="007C2274"/>
    <w:rsid w:val="007C2E92"/>
    <w:rsid w:val="007C308C"/>
    <w:rsid w:val="007C31FD"/>
    <w:rsid w:val="007C32D1"/>
    <w:rsid w:val="007C4056"/>
    <w:rsid w:val="007C4CF7"/>
    <w:rsid w:val="007C5640"/>
    <w:rsid w:val="007C6AB9"/>
    <w:rsid w:val="007D0EBA"/>
    <w:rsid w:val="007D1C0C"/>
    <w:rsid w:val="007D200F"/>
    <w:rsid w:val="007D365A"/>
    <w:rsid w:val="007D3892"/>
    <w:rsid w:val="007D46E4"/>
    <w:rsid w:val="007E00B8"/>
    <w:rsid w:val="007E0270"/>
    <w:rsid w:val="007E0B99"/>
    <w:rsid w:val="007E0DC6"/>
    <w:rsid w:val="007E18F5"/>
    <w:rsid w:val="007E1FA7"/>
    <w:rsid w:val="007E2467"/>
    <w:rsid w:val="007E2A8A"/>
    <w:rsid w:val="007E3A7C"/>
    <w:rsid w:val="007E3DF3"/>
    <w:rsid w:val="007E537A"/>
    <w:rsid w:val="007E7681"/>
    <w:rsid w:val="007F012D"/>
    <w:rsid w:val="007F1677"/>
    <w:rsid w:val="007F2542"/>
    <w:rsid w:val="007F25B5"/>
    <w:rsid w:val="007F2B64"/>
    <w:rsid w:val="007F2FE6"/>
    <w:rsid w:val="007F3C85"/>
    <w:rsid w:val="007F42A4"/>
    <w:rsid w:val="007F53B9"/>
    <w:rsid w:val="007F6184"/>
    <w:rsid w:val="007F7693"/>
    <w:rsid w:val="007F79CF"/>
    <w:rsid w:val="007F7AB1"/>
    <w:rsid w:val="007F7C8C"/>
    <w:rsid w:val="007F7E8F"/>
    <w:rsid w:val="008006BD"/>
    <w:rsid w:val="008006DD"/>
    <w:rsid w:val="00800A5E"/>
    <w:rsid w:val="00801DAD"/>
    <w:rsid w:val="00802030"/>
    <w:rsid w:val="00802489"/>
    <w:rsid w:val="008024D3"/>
    <w:rsid w:val="00802A55"/>
    <w:rsid w:val="00803234"/>
    <w:rsid w:val="00803743"/>
    <w:rsid w:val="008038D3"/>
    <w:rsid w:val="0080392C"/>
    <w:rsid w:val="00804042"/>
    <w:rsid w:val="008045C7"/>
    <w:rsid w:val="00804848"/>
    <w:rsid w:val="008056B6"/>
    <w:rsid w:val="00806140"/>
    <w:rsid w:val="00806322"/>
    <w:rsid w:val="008065C6"/>
    <w:rsid w:val="0080758A"/>
    <w:rsid w:val="00807B93"/>
    <w:rsid w:val="0081098B"/>
    <w:rsid w:val="00810E33"/>
    <w:rsid w:val="00811386"/>
    <w:rsid w:val="00811DB8"/>
    <w:rsid w:val="00811F00"/>
    <w:rsid w:val="00811FB2"/>
    <w:rsid w:val="008126D1"/>
    <w:rsid w:val="00812A42"/>
    <w:rsid w:val="00814E3B"/>
    <w:rsid w:val="00814E70"/>
    <w:rsid w:val="008153FD"/>
    <w:rsid w:val="0081563D"/>
    <w:rsid w:val="00815A13"/>
    <w:rsid w:val="00816726"/>
    <w:rsid w:val="00817102"/>
    <w:rsid w:val="00820174"/>
    <w:rsid w:val="008209F1"/>
    <w:rsid w:val="00820AAA"/>
    <w:rsid w:val="00820F5F"/>
    <w:rsid w:val="00821153"/>
    <w:rsid w:val="00822101"/>
    <w:rsid w:val="00822620"/>
    <w:rsid w:val="00822C9F"/>
    <w:rsid w:val="00823134"/>
    <w:rsid w:val="008244EA"/>
    <w:rsid w:val="00824578"/>
    <w:rsid w:val="0082547E"/>
    <w:rsid w:val="00825591"/>
    <w:rsid w:val="008265A2"/>
    <w:rsid w:val="00827374"/>
    <w:rsid w:val="00830210"/>
    <w:rsid w:val="0083041A"/>
    <w:rsid w:val="008307B6"/>
    <w:rsid w:val="00830B6D"/>
    <w:rsid w:val="008317B9"/>
    <w:rsid w:val="00832026"/>
    <w:rsid w:val="00832F66"/>
    <w:rsid w:val="00833DE0"/>
    <w:rsid w:val="008343D8"/>
    <w:rsid w:val="00834B43"/>
    <w:rsid w:val="00834F1E"/>
    <w:rsid w:val="00834FF2"/>
    <w:rsid w:val="008350F6"/>
    <w:rsid w:val="00835CE9"/>
    <w:rsid w:val="0083629A"/>
    <w:rsid w:val="00837A2D"/>
    <w:rsid w:val="00837DE5"/>
    <w:rsid w:val="008412D6"/>
    <w:rsid w:val="00842F77"/>
    <w:rsid w:val="008430B1"/>
    <w:rsid w:val="008434FC"/>
    <w:rsid w:val="008435A1"/>
    <w:rsid w:val="00843757"/>
    <w:rsid w:val="00843A26"/>
    <w:rsid w:val="00843F12"/>
    <w:rsid w:val="0084474E"/>
    <w:rsid w:val="0084482C"/>
    <w:rsid w:val="00844B26"/>
    <w:rsid w:val="00844D8F"/>
    <w:rsid w:val="00845666"/>
    <w:rsid w:val="008456D4"/>
    <w:rsid w:val="00845E81"/>
    <w:rsid w:val="00846FF9"/>
    <w:rsid w:val="00847A1B"/>
    <w:rsid w:val="00847DE5"/>
    <w:rsid w:val="00850741"/>
    <w:rsid w:val="00851766"/>
    <w:rsid w:val="008518BA"/>
    <w:rsid w:val="00851CEB"/>
    <w:rsid w:val="00852350"/>
    <w:rsid w:val="008530FA"/>
    <w:rsid w:val="00854231"/>
    <w:rsid w:val="00854C9C"/>
    <w:rsid w:val="0085508E"/>
    <w:rsid w:val="00855571"/>
    <w:rsid w:val="008561D3"/>
    <w:rsid w:val="00856296"/>
    <w:rsid w:val="0085677B"/>
    <w:rsid w:val="00856D06"/>
    <w:rsid w:val="00856EC1"/>
    <w:rsid w:val="00856EDD"/>
    <w:rsid w:val="00860708"/>
    <w:rsid w:val="00860A5D"/>
    <w:rsid w:val="00860C46"/>
    <w:rsid w:val="00862002"/>
    <w:rsid w:val="00863A21"/>
    <w:rsid w:val="00863DC0"/>
    <w:rsid w:val="00864CAF"/>
    <w:rsid w:val="008654F1"/>
    <w:rsid w:val="00865993"/>
    <w:rsid w:val="00865D47"/>
    <w:rsid w:val="00865F53"/>
    <w:rsid w:val="00866473"/>
    <w:rsid w:val="00866A98"/>
    <w:rsid w:val="00866F04"/>
    <w:rsid w:val="0086708B"/>
    <w:rsid w:val="00867FE5"/>
    <w:rsid w:val="0087002F"/>
    <w:rsid w:val="00870E7A"/>
    <w:rsid w:val="008716A6"/>
    <w:rsid w:val="0087191A"/>
    <w:rsid w:val="00872E50"/>
    <w:rsid w:val="00872ECE"/>
    <w:rsid w:val="00873B8C"/>
    <w:rsid w:val="00874C5C"/>
    <w:rsid w:val="0087672E"/>
    <w:rsid w:val="0087697F"/>
    <w:rsid w:val="00876B7E"/>
    <w:rsid w:val="0087712B"/>
    <w:rsid w:val="0087743D"/>
    <w:rsid w:val="008801E8"/>
    <w:rsid w:val="0088098C"/>
    <w:rsid w:val="008811C8"/>
    <w:rsid w:val="008818C8"/>
    <w:rsid w:val="00882781"/>
    <w:rsid w:val="00882C59"/>
    <w:rsid w:val="00882D17"/>
    <w:rsid w:val="00882D8D"/>
    <w:rsid w:val="0088545D"/>
    <w:rsid w:val="00885563"/>
    <w:rsid w:val="008855AC"/>
    <w:rsid w:val="008856AA"/>
    <w:rsid w:val="00885B56"/>
    <w:rsid w:val="0088687E"/>
    <w:rsid w:val="00886FA5"/>
    <w:rsid w:val="00887F99"/>
    <w:rsid w:val="00890145"/>
    <w:rsid w:val="008905F1"/>
    <w:rsid w:val="008906AE"/>
    <w:rsid w:val="00891472"/>
    <w:rsid w:val="00891C19"/>
    <w:rsid w:val="00892023"/>
    <w:rsid w:val="0089321E"/>
    <w:rsid w:val="0089339E"/>
    <w:rsid w:val="00893AC0"/>
    <w:rsid w:val="00893FEB"/>
    <w:rsid w:val="00893FFE"/>
    <w:rsid w:val="0089496F"/>
    <w:rsid w:val="008949FA"/>
    <w:rsid w:val="00894BE8"/>
    <w:rsid w:val="00894F34"/>
    <w:rsid w:val="00895199"/>
    <w:rsid w:val="00895C42"/>
    <w:rsid w:val="0089610E"/>
    <w:rsid w:val="0089637E"/>
    <w:rsid w:val="008963C6"/>
    <w:rsid w:val="0089640E"/>
    <w:rsid w:val="008964CC"/>
    <w:rsid w:val="00896CCC"/>
    <w:rsid w:val="008977FE"/>
    <w:rsid w:val="008A00BD"/>
    <w:rsid w:val="008A021C"/>
    <w:rsid w:val="008A0266"/>
    <w:rsid w:val="008A0EF9"/>
    <w:rsid w:val="008A10AC"/>
    <w:rsid w:val="008A1107"/>
    <w:rsid w:val="008A1B0C"/>
    <w:rsid w:val="008A27D2"/>
    <w:rsid w:val="008A292D"/>
    <w:rsid w:val="008A2CF0"/>
    <w:rsid w:val="008A3E29"/>
    <w:rsid w:val="008A3FB6"/>
    <w:rsid w:val="008A58C9"/>
    <w:rsid w:val="008A5DD7"/>
    <w:rsid w:val="008A6240"/>
    <w:rsid w:val="008A655F"/>
    <w:rsid w:val="008A78ED"/>
    <w:rsid w:val="008A7B85"/>
    <w:rsid w:val="008B02D0"/>
    <w:rsid w:val="008B0407"/>
    <w:rsid w:val="008B07D1"/>
    <w:rsid w:val="008B08BA"/>
    <w:rsid w:val="008B08D6"/>
    <w:rsid w:val="008B0BBE"/>
    <w:rsid w:val="008B29B5"/>
    <w:rsid w:val="008B2B1A"/>
    <w:rsid w:val="008B2C4A"/>
    <w:rsid w:val="008B2EEF"/>
    <w:rsid w:val="008B35BE"/>
    <w:rsid w:val="008B4020"/>
    <w:rsid w:val="008B4859"/>
    <w:rsid w:val="008B4AC0"/>
    <w:rsid w:val="008B4AE2"/>
    <w:rsid w:val="008B4D17"/>
    <w:rsid w:val="008B4E67"/>
    <w:rsid w:val="008B597D"/>
    <w:rsid w:val="008B5F2E"/>
    <w:rsid w:val="008B5FC6"/>
    <w:rsid w:val="008B6447"/>
    <w:rsid w:val="008B6A4E"/>
    <w:rsid w:val="008B6A7F"/>
    <w:rsid w:val="008B6FEF"/>
    <w:rsid w:val="008B70E8"/>
    <w:rsid w:val="008B7237"/>
    <w:rsid w:val="008B7295"/>
    <w:rsid w:val="008B7866"/>
    <w:rsid w:val="008B7A3B"/>
    <w:rsid w:val="008B7D8C"/>
    <w:rsid w:val="008C0355"/>
    <w:rsid w:val="008C1047"/>
    <w:rsid w:val="008C156A"/>
    <w:rsid w:val="008C1979"/>
    <w:rsid w:val="008C31BF"/>
    <w:rsid w:val="008C4B67"/>
    <w:rsid w:val="008C6FDF"/>
    <w:rsid w:val="008D095A"/>
    <w:rsid w:val="008D181B"/>
    <w:rsid w:val="008D18F3"/>
    <w:rsid w:val="008D1BD7"/>
    <w:rsid w:val="008D2CEF"/>
    <w:rsid w:val="008D3356"/>
    <w:rsid w:val="008D3658"/>
    <w:rsid w:val="008D3754"/>
    <w:rsid w:val="008D3C2F"/>
    <w:rsid w:val="008D3D6B"/>
    <w:rsid w:val="008D48AB"/>
    <w:rsid w:val="008D548C"/>
    <w:rsid w:val="008D64FF"/>
    <w:rsid w:val="008D6FA8"/>
    <w:rsid w:val="008D762F"/>
    <w:rsid w:val="008E0599"/>
    <w:rsid w:val="008E1937"/>
    <w:rsid w:val="008E1F81"/>
    <w:rsid w:val="008E3551"/>
    <w:rsid w:val="008E3D7A"/>
    <w:rsid w:val="008E3E9E"/>
    <w:rsid w:val="008E56D9"/>
    <w:rsid w:val="008E69B3"/>
    <w:rsid w:val="008E75CE"/>
    <w:rsid w:val="008E79DE"/>
    <w:rsid w:val="008E7A2F"/>
    <w:rsid w:val="008F199A"/>
    <w:rsid w:val="008F1A4E"/>
    <w:rsid w:val="008F250A"/>
    <w:rsid w:val="008F3C75"/>
    <w:rsid w:val="008F4874"/>
    <w:rsid w:val="008F4D68"/>
    <w:rsid w:val="008F6337"/>
    <w:rsid w:val="008F7400"/>
    <w:rsid w:val="008F7839"/>
    <w:rsid w:val="008F7FF7"/>
    <w:rsid w:val="009004FC"/>
    <w:rsid w:val="00900A01"/>
    <w:rsid w:val="009027E8"/>
    <w:rsid w:val="009034D0"/>
    <w:rsid w:val="009041FE"/>
    <w:rsid w:val="00904ED8"/>
    <w:rsid w:val="00905421"/>
    <w:rsid w:val="00906196"/>
    <w:rsid w:val="00906500"/>
    <w:rsid w:val="00906DCC"/>
    <w:rsid w:val="00906F75"/>
    <w:rsid w:val="009108C2"/>
    <w:rsid w:val="009115DF"/>
    <w:rsid w:val="00913D30"/>
    <w:rsid w:val="0091418B"/>
    <w:rsid w:val="009149F7"/>
    <w:rsid w:val="00916744"/>
    <w:rsid w:val="00916A30"/>
    <w:rsid w:val="00916B1D"/>
    <w:rsid w:val="00917A71"/>
    <w:rsid w:val="00917EE1"/>
    <w:rsid w:val="00920153"/>
    <w:rsid w:val="009205B3"/>
    <w:rsid w:val="00920644"/>
    <w:rsid w:val="00920CFB"/>
    <w:rsid w:val="00921BE4"/>
    <w:rsid w:val="009226AF"/>
    <w:rsid w:val="00922759"/>
    <w:rsid w:val="00923F29"/>
    <w:rsid w:val="009244DF"/>
    <w:rsid w:val="009259A3"/>
    <w:rsid w:val="009259D3"/>
    <w:rsid w:val="00926369"/>
    <w:rsid w:val="0092654E"/>
    <w:rsid w:val="009266A3"/>
    <w:rsid w:val="0092680C"/>
    <w:rsid w:val="0092790C"/>
    <w:rsid w:val="00930D51"/>
    <w:rsid w:val="00931044"/>
    <w:rsid w:val="0093110C"/>
    <w:rsid w:val="00931E1E"/>
    <w:rsid w:val="00932512"/>
    <w:rsid w:val="009330D3"/>
    <w:rsid w:val="0093346A"/>
    <w:rsid w:val="00933A5B"/>
    <w:rsid w:val="00933AEB"/>
    <w:rsid w:val="00934B9C"/>
    <w:rsid w:val="00934C8E"/>
    <w:rsid w:val="00935FD8"/>
    <w:rsid w:val="00936439"/>
    <w:rsid w:val="009371DE"/>
    <w:rsid w:val="009373D1"/>
    <w:rsid w:val="009376B9"/>
    <w:rsid w:val="00940448"/>
    <w:rsid w:val="00940BDD"/>
    <w:rsid w:val="00940F48"/>
    <w:rsid w:val="00942685"/>
    <w:rsid w:val="00943009"/>
    <w:rsid w:val="00943FB6"/>
    <w:rsid w:val="00944152"/>
    <w:rsid w:val="00944428"/>
    <w:rsid w:val="0094477D"/>
    <w:rsid w:val="00944E56"/>
    <w:rsid w:val="009454A3"/>
    <w:rsid w:val="00945758"/>
    <w:rsid w:val="00945ECB"/>
    <w:rsid w:val="0094789C"/>
    <w:rsid w:val="009479A4"/>
    <w:rsid w:val="00947CE2"/>
    <w:rsid w:val="00950502"/>
    <w:rsid w:val="00950898"/>
    <w:rsid w:val="00951184"/>
    <w:rsid w:val="00952370"/>
    <w:rsid w:val="0095262D"/>
    <w:rsid w:val="00953CA7"/>
    <w:rsid w:val="009543E1"/>
    <w:rsid w:val="0095586B"/>
    <w:rsid w:val="009558E8"/>
    <w:rsid w:val="00955B2B"/>
    <w:rsid w:val="00956C6C"/>
    <w:rsid w:val="00960A21"/>
    <w:rsid w:val="00960A53"/>
    <w:rsid w:val="0096157A"/>
    <w:rsid w:val="00961645"/>
    <w:rsid w:val="00961B83"/>
    <w:rsid w:val="009625B9"/>
    <w:rsid w:val="00963041"/>
    <w:rsid w:val="009633B3"/>
    <w:rsid w:val="00963DB8"/>
    <w:rsid w:val="009640A8"/>
    <w:rsid w:val="0096418A"/>
    <w:rsid w:val="009641C7"/>
    <w:rsid w:val="00965A78"/>
    <w:rsid w:val="00965D1E"/>
    <w:rsid w:val="009662D8"/>
    <w:rsid w:val="00966E2C"/>
    <w:rsid w:val="00967A4B"/>
    <w:rsid w:val="009705CB"/>
    <w:rsid w:val="00970E2A"/>
    <w:rsid w:val="00970E9E"/>
    <w:rsid w:val="00971B7F"/>
    <w:rsid w:val="00971B80"/>
    <w:rsid w:val="00971EF7"/>
    <w:rsid w:val="00971F1D"/>
    <w:rsid w:val="00973152"/>
    <w:rsid w:val="00973AD2"/>
    <w:rsid w:val="009747D7"/>
    <w:rsid w:val="0097504A"/>
    <w:rsid w:val="009756D4"/>
    <w:rsid w:val="0097612F"/>
    <w:rsid w:val="0097683A"/>
    <w:rsid w:val="009808C9"/>
    <w:rsid w:val="009820DD"/>
    <w:rsid w:val="00982305"/>
    <w:rsid w:val="00982CC9"/>
    <w:rsid w:val="00982F84"/>
    <w:rsid w:val="00983AE7"/>
    <w:rsid w:val="00983C9F"/>
    <w:rsid w:val="009844CD"/>
    <w:rsid w:val="009858D1"/>
    <w:rsid w:val="00985BC2"/>
    <w:rsid w:val="00986BAC"/>
    <w:rsid w:val="00986EA3"/>
    <w:rsid w:val="0098700B"/>
    <w:rsid w:val="00987EE1"/>
    <w:rsid w:val="00990088"/>
    <w:rsid w:val="00990480"/>
    <w:rsid w:val="0099078D"/>
    <w:rsid w:val="009913F2"/>
    <w:rsid w:val="00991A9D"/>
    <w:rsid w:val="00992BF6"/>
    <w:rsid w:val="00992FAA"/>
    <w:rsid w:val="00993922"/>
    <w:rsid w:val="009948A8"/>
    <w:rsid w:val="00995EBE"/>
    <w:rsid w:val="00996A6E"/>
    <w:rsid w:val="00996B5E"/>
    <w:rsid w:val="009A058B"/>
    <w:rsid w:val="009A1CE4"/>
    <w:rsid w:val="009A2C4B"/>
    <w:rsid w:val="009A302E"/>
    <w:rsid w:val="009A36A1"/>
    <w:rsid w:val="009A4E26"/>
    <w:rsid w:val="009A5768"/>
    <w:rsid w:val="009A5F9E"/>
    <w:rsid w:val="009A7D0C"/>
    <w:rsid w:val="009B0223"/>
    <w:rsid w:val="009B0387"/>
    <w:rsid w:val="009B08D1"/>
    <w:rsid w:val="009B1238"/>
    <w:rsid w:val="009B1ED6"/>
    <w:rsid w:val="009B219B"/>
    <w:rsid w:val="009B2BCA"/>
    <w:rsid w:val="009B2EE2"/>
    <w:rsid w:val="009B2F0F"/>
    <w:rsid w:val="009B2F17"/>
    <w:rsid w:val="009B316E"/>
    <w:rsid w:val="009B3C30"/>
    <w:rsid w:val="009B41AF"/>
    <w:rsid w:val="009B4588"/>
    <w:rsid w:val="009B4756"/>
    <w:rsid w:val="009B506A"/>
    <w:rsid w:val="009B723F"/>
    <w:rsid w:val="009B72AC"/>
    <w:rsid w:val="009B7A79"/>
    <w:rsid w:val="009C1421"/>
    <w:rsid w:val="009C1915"/>
    <w:rsid w:val="009C2132"/>
    <w:rsid w:val="009C3DDD"/>
    <w:rsid w:val="009C40CC"/>
    <w:rsid w:val="009C4800"/>
    <w:rsid w:val="009C7C38"/>
    <w:rsid w:val="009D000F"/>
    <w:rsid w:val="009D0198"/>
    <w:rsid w:val="009D0258"/>
    <w:rsid w:val="009D0849"/>
    <w:rsid w:val="009D1129"/>
    <w:rsid w:val="009D1D18"/>
    <w:rsid w:val="009D2389"/>
    <w:rsid w:val="009D2627"/>
    <w:rsid w:val="009D3C84"/>
    <w:rsid w:val="009D3D09"/>
    <w:rsid w:val="009D441E"/>
    <w:rsid w:val="009D481A"/>
    <w:rsid w:val="009D4866"/>
    <w:rsid w:val="009D583E"/>
    <w:rsid w:val="009D5C85"/>
    <w:rsid w:val="009D6865"/>
    <w:rsid w:val="009D6F26"/>
    <w:rsid w:val="009E065D"/>
    <w:rsid w:val="009E14AC"/>
    <w:rsid w:val="009E2413"/>
    <w:rsid w:val="009E2A85"/>
    <w:rsid w:val="009E33D3"/>
    <w:rsid w:val="009E3F0E"/>
    <w:rsid w:val="009E40D7"/>
    <w:rsid w:val="009E4824"/>
    <w:rsid w:val="009E61FD"/>
    <w:rsid w:val="009E6A3F"/>
    <w:rsid w:val="009E6B28"/>
    <w:rsid w:val="009E7CF5"/>
    <w:rsid w:val="009F080B"/>
    <w:rsid w:val="009F0D04"/>
    <w:rsid w:val="009F0D75"/>
    <w:rsid w:val="009F19A9"/>
    <w:rsid w:val="009F1E71"/>
    <w:rsid w:val="009F23D8"/>
    <w:rsid w:val="009F27DC"/>
    <w:rsid w:val="009F2BDC"/>
    <w:rsid w:val="009F2E70"/>
    <w:rsid w:val="009F31DF"/>
    <w:rsid w:val="009F59D3"/>
    <w:rsid w:val="009F5DB4"/>
    <w:rsid w:val="009F5DE2"/>
    <w:rsid w:val="009F616A"/>
    <w:rsid w:val="009F619F"/>
    <w:rsid w:val="009F6538"/>
    <w:rsid w:val="009F69E7"/>
    <w:rsid w:val="009F71CF"/>
    <w:rsid w:val="009F766F"/>
    <w:rsid w:val="00A00736"/>
    <w:rsid w:val="00A00B1A"/>
    <w:rsid w:val="00A0121C"/>
    <w:rsid w:val="00A023B3"/>
    <w:rsid w:val="00A02743"/>
    <w:rsid w:val="00A032D9"/>
    <w:rsid w:val="00A0355F"/>
    <w:rsid w:val="00A03E25"/>
    <w:rsid w:val="00A04FE9"/>
    <w:rsid w:val="00A05490"/>
    <w:rsid w:val="00A06060"/>
    <w:rsid w:val="00A0643E"/>
    <w:rsid w:val="00A065A4"/>
    <w:rsid w:val="00A067E8"/>
    <w:rsid w:val="00A07539"/>
    <w:rsid w:val="00A1039D"/>
    <w:rsid w:val="00A10569"/>
    <w:rsid w:val="00A109B7"/>
    <w:rsid w:val="00A1388E"/>
    <w:rsid w:val="00A140CE"/>
    <w:rsid w:val="00A141E7"/>
    <w:rsid w:val="00A14635"/>
    <w:rsid w:val="00A14781"/>
    <w:rsid w:val="00A149FE"/>
    <w:rsid w:val="00A14EED"/>
    <w:rsid w:val="00A1508C"/>
    <w:rsid w:val="00A152B4"/>
    <w:rsid w:val="00A157F2"/>
    <w:rsid w:val="00A173D3"/>
    <w:rsid w:val="00A17F67"/>
    <w:rsid w:val="00A205CB"/>
    <w:rsid w:val="00A21153"/>
    <w:rsid w:val="00A212D3"/>
    <w:rsid w:val="00A21969"/>
    <w:rsid w:val="00A23188"/>
    <w:rsid w:val="00A241B7"/>
    <w:rsid w:val="00A241E2"/>
    <w:rsid w:val="00A252A1"/>
    <w:rsid w:val="00A25A39"/>
    <w:rsid w:val="00A2631F"/>
    <w:rsid w:val="00A26652"/>
    <w:rsid w:val="00A26996"/>
    <w:rsid w:val="00A26F7F"/>
    <w:rsid w:val="00A27308"/>
    <w:rsid w:val="00A3018B"/>
    <w:rsid w:val="00A30E21"/>
    <w:rsid w:val="00A32A35"/>
    <w:rsid w:val="00A33D9D"/>
    <w:rsid w:val="00A33E46"/>
    <w:rsid w:val="00A36352"/>
    <w:rsid w:val="00A367F9"/>
    <w:rsid w:val="00A36982"/>
    <w:rsid w:val="00A36BE9"/>
    <w:rsid w:val="00A36D5D"/>
    <w:rsid w:val="00A37C21"/>
    <w:rsid w:val="00A412DF"/>
    <w:rsid w:val="00A42E50"/>
    <w:rsid w:val="00A436CD"/>
    <w:rsid w:val="00A43BCC"/>
    <w:rsid w:val="00A4404B"/>
    <w:rsid w:val="00A440A8"/>
    <w:rsid w:val="00A44750"/>
    <w:rsid w:val="00A4514C"/>
    <w:rsid w:val="00A4646C"/>
    <w:rsid w:val="00A466B5"/>
    <w:rsid w:val="00A47043"/>
    <w:rsid w:val="00A47A1E"/>
    <w:rsid w:val="00A47A5A"/>
    <w:rsid w:val="00A47D53"/>
    <w:rsid w:val="00A50086"/>
    <w:rsid w:val="00A511B3"/>
    <w:rsid w:val="00A511D3"/>
    <w:rsid w:val="00A515A8"/>
    <w:rsid w:val="00A5195E"/>
    <w:rsid w:val="00A51BD7"/>
    <w:rsid w:val="00A51C38"/>
    <w:rsid w:val="00A52BF8"/>
    <w:rsid w:val="00A53C0F"/>
    <w:rsid w:val="00A547D4"/>
    <w:rsid w:val="00A54CE0"/>
    <w:rsid w:val="00A5533B"/>
    <w:rsid w:val="00A55AE8"/>
    <w:rsid w:val="00A56045"/>
    <w:rsid w:val="00A56BD1"/>
    <w:rsid w:val="00A56CD4"/>
    <w:rsid w:val="00A57D59"/>
    <w:rsid w:val="00A6091E"/>
    <w:rsid w:val="00A625DE"/>
    <w:rsid w:val="00A63E31"/>
    <w:rsid w:val="00A63E65"/>
    <w:rsid w:val="00A6422A"/>
    <w:rsid w:val="00A647D8"/>
    <w:rsid w:val="00A64A13"/>
    <w:rsid w:val="00A663F0"/>
    <w:rsid w:val="00A674B0"/>
    <w:rsid w:val="00A70E89"/>
    <w:rsid w:val="00A730A5"/>
    <w:rsid w:val="00A74F2F"/>
    <w:rsid w:val="00A75041"/>
    <w:rsid w:val="00A75EE7"/>
    <w:rsid w:val="00A76040"/>
    <w:rsid w:val="00A7654D"/>
    <w:rsid w:val="00A77091"/>
    <w:rsid w:val="00A8112F"/>
    <w:rsid w:val="00A811F0"/>
    <w:rsid w:val="00A820BA"/>
    <w:rsid w:val="00A821DA"/>
    <w:rsid w:val="00A82991"/>
    <w:rsid w:val="00A8377C"/>
    <w:rsid w:val="00A8395A"/>
    <w:rsid w:val="00A83D08"/>
    <w:rsid w:val="00A842E8"/>
    <w:rsid w:val="00A847BE"/>
    <w:rsid w:val="00A84A8E"/>
    <w:rsid w:val="00A85380"/>
    <w:rsid w:val="00A86813"/>
    <w:rsid w:val="00A869D0"/>
    <w:rsid w:val="00A86CA2"/>
    <w:rsid w:val="00A86D19"/>
    <w:rsid w:val="00A8767F"/>
    <w:rsid w:val="00A90540"/>
    <w:rsid w:val="00A90FBF"/>
    <w:rsid w:val="00A913F0"/>
    <w:rsid w:val="00A91AEF"/>
    <w:rsid w:val="00A91B69"/>
    <w:rsid w:val="00A92221"/>
    <w:rsid w:val="00A92660"/>
    <w:rsid w:val="00A92D68"/>
    <w:rsid w:val="00A933F6"/>
    <w:rsid w:val="00A93667"/>
    <w:rsid w:val="00A93E3F"/>
    <w:rsid w:val="00A94D2E"/>
    <w:rsid w:val="00A9538D"/>
    <w:rsid w:val="00A957EB"/>
    <w:rsid w:val="00A959F3"/>
    <w:rsid w:val="00A95A88"/>
    <w:rsid w:val="00A96132"/>
    <w:rsid w:val="00A96E0C"/>
    <w:rsid w:val="00AA197A"/>
    <w:rsid w:val="00AA222A"/>
    <w:rsid w:val="00AA2298"/>
    <w:rsid w:val="00AA29E6"/>
    <w:rsid w:val="00AA2A50"/>
    <w:rsid w:val="00AA2F05"/>
    <w:rsid w:val="00AA3108"/>
    <w:rsid w:val="00AA31EF"/>
    <w:rsid w:val="00AA398E"/>
    <w:rsid w:val="00AA440C"/>
    <w:rsid w:val="00AA545F"/>
    <w:rsid w:val="00AA5615"/>
    <w:rsid w:val="00AA5E77"/>
    <w:rsid w:val="00AA64B1"/>
    <w:rsid w:val="00AA64E4"/>
    <w:rsid w:val="00AA72B9"/>
    <w:rsid w:val="00AB0AF1"/>
    <w:rsid w:val="00AB0E0B"/>
    <w:rsid w:val="00AB16CE"/>
    <w:rsid w:val="00AB23DD"/>
    <w:rsid w:val="00AB24B0"/>
    <w:rsid w:val="00AB2EEB"/>
    <w:rsid w:val="00AB508F"/>
    <w:rsid w:val="00AB5832"/>
    <w:rsid w:val="00AB593E"/>
    <w:rsid w:val="00AB6D1D"/>
    <w:rsid w:val="00AB7E01"/>
    <w:rsid w:val="00AB7F16"/>
    <w:rsid w:val="00AC096B"/>
    <w:rsid w:val="00AC09DE"/>
    <w:rsid w:val="00AC1E22"/>
    <w:rsid w:val="00AC1E71"/>
    <w:rsid w:val="00AC3070"/>
    <w:rsid w:val="00AC35CD"/>
    <w:rsid w:val="00AC387F"/>
    <w:rsid w:val="00AC3BC2"/>
    <w:rsid w:val="00AC48C4"/>
    <w:rsid w:val="00AC52BE"/>
    <w:rsid w:val="00AC6502"/>
    <w:rsid w:val="00AC6D4C"/>
    <w:rsid w:val="00AC6F43"/>
    <w:rsid w:val="00AC79E7"/>
    <w:rsid w:val="00AD0726"/>
    <w:rsid w:val="00AD07B2"/>
    <w:rsid w:val="00AD0F6F"/>
    <w:rsid w:val="00AD1BF8"/>
    <w:rsid w:val="00AD21A0"/>
    <w:rsid w:val="00AD240F"/>
    <w:rsid w:val="00AD2986"/>
    <w:rsid w:val="00AD2D2F"/>
    <w:rsid w:val="00AD3A85"/>
    <w:rsid w:val="00AD458A"/>
    <w:rsid w:val="00AD4DF7"/>
    <w:rsid w:val="00AD4F23"/>
    <w:rsid w:val="00AD4F96"/>
    <w:rsid w:val="00AD5D2D"/>
    <w:rsid w:val="00AD5D7B"/>
    <w:rsid w:val="00AD639F"/>
    <w:rsid w:val="00AD6A4B"/>
    <w:rsid w:val="00AD6B66"/>
    <w:rsid w:val="00AE00E1"/>
    <w:rsid w:val="00AE0AE9"/>
    <w:rsid w:val="00AE155E"/>
    <w:rsid w:val="00AE208C"/>
    <w:rsid w:val="00AE208D"/>
    <w:rsid w:val="00AE249F"/>
    <w:rsid w:val="00AE2550"/>
    <w:rsid w:val="00AE298A"/>
    <w:rsid w:val="00AE2AF7"/>
    <w:rsid w:val="00AE332E"/>
    <w:rsid w:val="00AE3762"/>
    <w:rsid w:val="00AE3FCC"/>
    <w:rsid w:val="00AE491D"/>
    <w:rsid w:val="00AE4B42"/>
    <w:rsid w:val="00AE6295"/>
    <w:rsid w:val="00AE6E3E"/>
    <w:rsid w:val="00AE760D"/>
    <w:rsid w:val="00AE775C"/>
    <w:rsid w:val="00AF00BB"/>
    <w:rsid w:val="00AF01C5"/>
    <w:rsid w:val="00AF047D"/>
    <w:rsid w:val="00AF0D9A"/>
    <w:rsid w:val="00AF183D"/>
    <w:rsid w:val="00AF24A0"/>
    <w:rsid w:val="00AF29C6"/>
    <w:rsid w:val="00AF2D85"/>
    <w:rsid w:val="00AF4218"/>
    <w:rsid w:val="00AF4981"/>
    <w:rsid w:val="00AF4ACA"/>
    <w:rsid w:val="00AF5666"/>
    <w:rsid w:val="00AF696A"/>
    <w:rsid w:val="00B0008D"/>
    <w:rsid w:val="00B010D7"/>
    <w:rsid w:val="00B015BE"/>
    <w:rsid w:val="00B0210F"/>
    <w:rsid w:val="00B023ED"/>
    <w:rsid w:val="00B03923"/>
    <w:rsid w:val="00B03BFB"/>
    <w:rsid w:val="00B03D0E"/>
    <w:rsid w:val="00B04346"/>
    <w:rsid w:val="00B04407"/>
    <w:rsid w:val="00B04862"/>
    <w:rsid w:val="00B057AC"/>
    <w:rsid w:val="00B06BB9"/>
    <w:rsid w:val="00B06D67"/>
    <w:rsid w:val="00B07891"/>
    <w:rsid w:val="00B07AD3"/>
    <w:rsid w:val="00B10F84"/>
    <w:rsid w:val="00B113CD"/>
    <w:rsid w:val="00B11427"/>
    <w:rsid w:val="00B11AAB"/>
    <w:rsid w:val="00B11FA1"/>
    <w:rsid w:val="00B1384A"/>
    <w:rsid w:val="00B14115"/>
    <w:rsid w:val="00B141B1"/>
    <w:rsid w:val="00B14F38"/>
    <w:rsid w:val="00B15913"/>
    <w:rsid w:val="00B15F5F"/>
    <w:rsid w:val="00B16919"/>
    <w:rsid w:val="00B16C80"/>
    <w:rsid w:val="00B17100"/>
    <w:rsid w:val="00B21344"/>
    <w:rsid w:val="00B22200"/>
    <w:rsid w:val="00B2299C"/>
    <w:rsid w:val="00B22D11"/>
    <w:rsid w:val="00B22F16"/>
    <w:rsid w:val="00B23B18"/>
    <w:rsid w:val="00B2442F"/>
    <w:rsid w:val="00B25B7B"/>
    <w:rsid w:val="00B26589"/>
    <w:rsid w:val="00B26A58"/>
    <w:rsid w:val="00B30085"/>
    <w:rsid w:val="00B30301"/>
    <w:rsid w:val="00B3050B"/>
    <w:rsid w:val="00B3084D"/>
    <w:rsid w:val="00B30A23"/>
    <w:rsid w:val="00B30AB1"/>
    <w:rsid w:val="00B30AE8"/>
    <w:rsid w:val="00B30D9C"/>
    <w:rsid w:val="00B31641"/>
    <w:rsid w:val="00B322D9"/>
    <w:rsid w:val="00B337CC"/>
    <w:rsid w:val="00B34001"/>
    <w:rsid w:val="00B3414C"/>
    <w:rsid w:val="00B34BB9"/>
    <w:rsid w:val="00B34E20"/>
    <w:rsid w:val="00B35376"/>
    <w:rsid w:val="00B35423"/>
    <w:rsid w:val="00B3551E"/>
    <w:rsid w:val="00B3780B"/>
    <w:rsid w:val="00B400C7"/>
    <w:rsid w:val="00B401B6"/>
    <w:rsid w:val="00B40276"/>
    <w:rsid w:val="00B40E87"/>
    <w:rsid w:val="00B413F2"/>
    <w:rsid w:val="00B414F5"/>
    <w:rsid w:val="00B425C1"/>
    <w:rsid w:val="00B429B8"/>
    <w:rsid w:val="00B42BF0"/>
    <w:rsid w:val="00B42EDC"/>
    <w:rsid w:val="00B4306C"/>
    <w:rsid w:val="00B43A6F"/>
    <w:rsid w:val="00B44349"/>
    <w:rsid w:val="00B4438A"/>
    <w:rsid w:val="00B44789"/>
    <w:rsid w:val="00B44BB0"/>
    <w:rsid w:val="00B45D92"/>
    <w:rsid w:val="00B4643C"/>
    <w:rsid w:val="00B47FE4"/>
    <w:rsid w:val="00B505DC"/>
    <w:rsid w:val="00B50AD3"/>
    <w:rsid w:val="00B5169E"/>
    <w:rsid w:val="00B52143"/>
    <w:rsid w:val="00B533AD"/>
    <w:rsid w:val="00B5621C"/>
    <w:rsid w:val="00B56FCD"/>
    <w:rsid w:val="00B572A8"/>
    <w:rsid w:val="00B57DDF"/>
    <w:rsid w:val="00B6123B"/>
    <w:rsid w:val="00B61C01"/>
    <w:rsid w:val="00B61D5E"/>
    <w:rsid w:val="00B6265A"/>
    <w:rsid w:val="00B628AB"/>
    <w:rsid w:val="00B63059"/>
    <w:rsid w:val="00B63745"/>
    <w:rsid w:val="00B63F13"/>
    <w:rsid w:val="00B642F1"/>
    <w:rsid w:val="00B64D3D"/>
    <w:rsid w:val="00B65332"/>
    <w:rsid w:val="00B6616D"/>
    <w:rsid w:val="00B66B2B"/>
    <w:rsid w:val="00B70758"/>
    <w:rsid w:val="00B70772"/>
    <w:rsid w:val="00B70C6F"/>
    <w:rsid w:val="00B71446"/>
    <w:rsid w:val="00B740D9"/>
    <w:rsid w:val="00B744A9"/>
    <w:rsid w:val="00B7465E"/>
    <w:rsid w:val="00B74BEC"/>
    <w:rsid w:val="00B74FC5"/>
    <w:rsid w:val="00B7536E"/>
    <w:rsid w:val="00B75A9F"/>
    <w:rsid w:val="00B75BA0"/>
    <w:rsid w:val="00B76C86"/>
    <w:rsid w:val="00B7716D"/>
    <w:rsid w:val="00B776F9"/>
    <w:rsid w:val="00B8177E"/>
    <w:rsid w:val="00B82DDF"/>
    <w:rsid w:val="00B831A7"/>
    <w:rsid w:val="00B83D4B"/>
    <w:rsid w:val="00B83D80"/>
    <w:rsid w:val="00B84C3B"/>
    <w:rsid w:val="00B84F7A"/>
    <w:rsid w:val="00B855AA"/>
    <w:rsid w:val="00B857E7"/>
    <w:rsid w:val="00B86E7C"/>
    <w:rsid w:val="00B878AB"/>
    <w:rsid w:val="00B90087"/>
    <w:rsid w:val="00B9048F"/>
    <w:rsid w:val="00B90B5E"/>
    <w:rsid w:val="00B90B7C"/>
    <w:rsid w:val="00B91204"/>
    <w:rsid w:val="00B9173D"/>
    <w:rsid w:val="00B920ED"/>
    <w:rsid w:val="00B93F80"/>
    <w:rsid w:val="00B94D35"/>
    <w:rsid w:val="00B94F64"/>
    <w:rsid w:val="00B952BD"/>
    <w:rsid w:val="00B959FD"/>
    <w:rsid w:val="00B95AAB"/>
    <w:rsid w:val="00B96104"/>
    <w:rsid w:val="00B969F1"/>
    <w:rsid w:val="00B96B53"/>
    <w:rsid w:val="00B97482"/>
    <w:rsid w:val="00B97B79"/>
    <w:rsid w:val="00BA236A"/>
    <w:rsid w:val="00BA2438"/>
    <w:rsid w:val="00BA2643"/>
    <w:rsid w:val="00BA4775"/>
    <w:rsid w:val="00BA56E9"/>
    <w:rsid w:val="00BA69BE"/>
    <w:rsid w:val="00BA736B"/>
    <w:rsid w:val="00BB019B"/>
    <w:rsid w:val="00BB14B5"/>
    <w:rsid w:val="00BB16F4"/>
    <w:rsid w:val="00BB1993"/>
    <w:rsid w:val="00BB1D8E"/>
    <w:rsid w:val="00BB2395"/>
    <w:rsid w:val="00BB263A"/>
    <w:rsid w:val="00BB278D"/>
    <w:rsid w:val="00BB303F"/>
    <w:rsid w:val="00BB30D4"/>
    <w:rsid w:val="00BB3B94"/>
    <w:rsid w:val="00BB3D01"/>
    <w:rsid w:val="00BB3D99"/>
    <w:rsid w:val="00BB3E42"/>
    <w:rsid w:val="00BB433A"/>
    <w:rsid w:val="00BB518F"/>
    <w:rsid w:val="00BB5226"/>
    <w:rsid w:val="00BB52BE"/>
    <w:rsid w:val="00BB56E8"/>
    <w:rsid w:val="00BB582E"/>
    <w:rsid w:val="00BB7626"/>
    <w:rsid w:val="00BB77F3"/>
    <w:rsid w:val="00BB7EAF"/>
    <w:rsid w:val="00BC008C"/>
    <w:rsid w:val="00BC1839"/>
    <w:rsid w:val="00BC1B66"/>
    <w:rsid w:val="00BC268D"/>
    <w:rsid w:val="00BC2766"/>
    <w:rsid w:val="00BC37E2"/>
    <w:rsid w:val="00BC404B"/>
    <w:rsid w:val="00BC4931"/>
    <w:rsid w:val="00BC589F"/>
    <w:rsid w:val="00BC5BDC"/>
    <w:rsid w:val="00BC7101"/>
    <w:rsid w:val="00BC73B7"/>
    <w:rsid w:val="00BD0814"/>
    <w:rsid w:val="00BD1164"/>
    <w:rsid w:val="00BD143A"/>
    <w:rsid w:val="00BD1B1F"/>
    <w:rsid w:val="00BD1D6A"/>
    <w:rsid w:val="00BD24C6"/>
    <w:rsid w:val="00BD27DE"/>
    <w:rsid w:val="00BD2E20"/>
    <w:rsid w:val="00BD3459"/>
    <w:rsid w:val="00BD374A"/>
    <w:rsid w:val="00BD3AFD"/>
    <w:rsid w:val="00BD3CA7"/>
    <w:rsid w:val="00BD3CFA"/>
    <w:rsid w:val="00BD565B"/>
    <w:rsid w:val="00BD5EA4"/>
    <w:rsid w:val="00BD6BB9"/>
    <w:rsid w:val="00BD6E97"/>
    <w:rsid w:val="00BD75C2"/>
    <w:rsid w:val="00BE09AB"/>
    <w:rsid w:val="00BE1026"/>
    <w:rsid w:val="00BE13B1"/>
    <w:rsid w:val="00BE174F"/>
    <w:rsid w:val="00BE29CB"/>
    <w:rsid w:val="00BE62A7"/>
    <w:rsid w:val="00BE6404"/>
    <w:rsid w:val="00BE6421"/>
    <w:rsid w:val="00BE69B8"/>
    <w:rsid w:val="00BE6B4F"/>
    <w:rsid w:val="00BE7094"/>
    <w:rsid w:val="00BE7123"/>
    <w:rsid w:val="00BE7C34"/>
    <w:rsid w:val="00BF0DD7"/>
    <w:rsid w:val="00BF0DDB"/>
    <w:rsid w:val="00BF21CB"/>
    <w:rsid w:val="00BF2C6D"/>
    <w:rsid w:val="00BF37DC"/>
    <w:rsid w:val="00BF4D04"/>
    <w:rsid w:val="00BF518D"/>
    <w:rsid w:val="00BF529A"/>
    <w:rsid w:val="00BF5E2F"/>
    <w:rsid w:val="00BF66F9"/>
    <w:rsid w:val="00BF68E9"/>
    <w:rsid w:val="00BF6E4C"/>
    <w:rsid w:val="00BF7090"/>
    <w:rsid w:val="00BF7604"/>
    <w:rsid w:val="00BF79B1"/>
    <w:rsid w:val="00BF7FB1"/>
    <w:rsid w:val="00C00B6D"/>
    <w:rsid w:val="00C00B71"/>
    <w:rsid w:val="00C00E75"/>
    <w:rsid w:val="00C012D1"/>
    <w:rsid w:val="00C012DF"/>
    <w:rsid w:val="00C01611"/>
    <w:rsid w:val="00C02CCA"/>
    <w:rsid w:val="00C03194"/>
    <w:rsid w:val="00C04E08"/>
    <w:rsid w:val="00C0524C"/>
    <w:rsid w:val="00C053E5"/>
    <w:rsid w:val="00C05BA5"/>
    <w:rsid w:val="00C0632F"/>
    <w:rsid w:val="00C0699E"/>
    <w:rsid w:val="00C074EF"/>
    <w:rsid w:val="00C07C70"/>
    <w:rsid w:val="00C10598"/>
    <w:rsid w:val="00C10AEC"/>
    <w:rsid w:val="00C10C21"/>
    <w:rsid w:val="00C11CEE"/>
    <w:rsid w:val="00C1321C"/>
    <w:rsid w:val="00C132EF"/>
    <w:rsid w:val="00C13471"/>
    <w:rsid w:val="00C15328"/>
    <w:rsid w:val="00C154F3"/>
    <w:rsid w:val="00C1573F"/>
    <w:rsid w:val="00C15D9B"/>
    <w:rsid w:val="00C16775"/>
    <w:rsid w:val="00C17179"/>
    <w:rsid w:val="00C17E97"/>
    <w:rsid w:val="00C20421"/>
    <w:rsid w:val="00C207E3"/>
    <w:rsid w:val="00C20A51"/>
    <w:rsid w:val="00C20DE5"/>
    <w:rsid w:val="00C21922"/>
    <w:rsid w:val="00C21FC8"/>
    <w:rsid w:val="00C226CA"/>
    <w:rsid w:val="00C22B4A"/>
    <w:rsid w:val="00C23108"/>
    <w:rsid w:val="00C23236"/>
    <w:rsid w:val="00C24542"/>
    <w:rsid w:val="00C2455E"/>
    <w:rsid w:val="00C245E2"/>
    <w:rsid w:val="00C259F6"/>
    <w:rsid w:val="00C262FD"/>
    <w:rsid w:val="00C2649C"/>
    <w:rsid w:val="00C269E8"/>
    <w:rsid w:val="00C31AB5"/>
    <w:rsid w:val="00C31BA0"/>
    <w:rsid w:val="00C3208E"/>
    <w:rsid w:val="00C3212D"/>
    <w:rsid w:val="00C323C6"/>
    <w:rsid w:val="00C323F7"/>
    <w:rsid w:val="00C32507"/>
    <w:rsid w:val="00C325AF"/>
    <w:rsid w:val="00C32A05"/>
    <w:rsid w:val="00C32A85"/>
    <w:rsid w:val="00C32D96"/>
    <w:rsid w:val="00C3544B"/>
    <w:rsid w:val="00C354D4"/>
    <w:rsid w:val="00C37105"/>
    <w:rsid w:val="00C37A04"/>
    <w:rsid w:val="00C37ECA"/>
    <w:rsid w:val="00C37FC0"/>
    <w:rsid w:val="00C41372"/>
    <w:rsid w:val="00C414E0"/>
    <w:rsid w:val="00C42B38"/>
    <w:rsid w:val="00C4392E"/>
    <w:rsid w:val="00C44911"/>
    <w:rsid w:val="00C450E9"/>
    <w:rsid w:val="00C4564B"/>
    <w:rsid w:val="00C4600B"/>
    <w:rsid w:val="00C463F3"/>
    <w:rsid w:val="00C474DB"/>
    <w:rsid w:val="00C50739"/>
    <w:rsid w:val="00C5091A"/>
    <w:rsid w:val="00C51ED1"/>
    <w:rsid w:val="00C527E5"/>
    <w:rsid w:val="00C52C43"/>
    <w:rsid w:val="00C52DB7"/>
    <w:rsid w:val="00C53040"/>
    <w:rsid w:val="00C5316C"/>
    <w:rsid w:val="00C537FD"/>
    <w:rsid w:val="00C54916"/>
    <w:rsid w:val="00C54A33"/>
    <w:rsid w:val="00C54DD2"/>
    <w:rsid w:val="00C55882"/>
    <w:rsid w:val="00C55EAD"/>
    <w:rsid w:val="00C5752A"/>
    <w:rsid w:val="00C57DA6"/>
    <w:rsid w:val="00C57E55"/>
    <w:rsid w:val="00C6053C"/>
    <w:rsid w:val="00C613DF"/>
    <w:rsid w:val="00C61D35"/>
    <w:rsid w:val="00C62293"/>
    <w:rsid w:val="00C62BFF"/>
    <w:rsid w:val="00C67532"/>
    <w:rsid w:val="00C67846"/>
    <w:rsid w:val="00C67A81"/>
    <w:rsid w:val="00C67BE8"/>
    <w:rsid w:val="00C7252A"/>
    <w:rsid w:val="00C72605"/>
    <w:rsid w:val="00C72B3F"/>
    <w:rsid w:val="00C73EAD"/>
    <w:rsid w:val="00C752DE"/>
    <w:rsid w:val="00C7566C"/>
    <w:rsid w:val="00C760B5"/>
    <w:rsid w:val="00C7656E"/>
    <w:rsid w:val="00C76649"/>
    <w:rsid w:val="00C76E88"/>
    <w:rsid w:val="00C802B7"/>
    <w:rsid w:val="00C8149B"/>
    <w:rsid w:val="00C8241F"/>
    <w:rsid w:val="00C827D2"/>
    <w:rsid w:val="00C84025"/>
    <w:rsid w:val="00C84646"/>
    <w:rsid w:val="00C84AD7"/>
    <w:rsid w:val="00C85631"/>
    <w:rsid w:val="00C85B22"/>
    <w:rsid w:val="00C868BA"/>
    <w:rsid w:val="00C86E07"/>
    <w:rsid w:val="00C90612"/>
    <w:rsid w:val="00C90865"/>
    <w:rsid w:val="00C91066"/>
    <w:rsid w:val="00C91BCF"/>
    <w:rsid w:val="00C91D05"/>
    <w:rsid w:val="00C922A9"/>
    <w:rsid w:val="00C9273C"/>
    <w:rsid w:val="00C927A4"/>
    <w:rsid w:val="00C92952"/>
    <w:rsid w:val="00C93C95"/>
    <w:rsid w:val="00C93F1E"/>
    <w:rsid w:val="00C9447C"/>
    <w:rsid w:val="00C946F8"/>
    <w:rsid w:val="00C94B3F"/>
    <w:rsid w:val="00C9557F"/>
    <w:rsid w:val="00C96022"/>
    <w:rsid w:val="00C96C5C"/>
    <w:rsid w:val="00C97370"/>
    <w:rsid w:val="00C97E14"/>
    <w:rsid w:val="00CA0EB0"/>
    <w:rsid w:val="00CA1176"/>
    <w:rsid w:val="00CA1CC8"/>
    <w:rsid w:val="00CA3783"/>
    <w:rsid w:val="00CA3812"/>
    <w:rsid w:val="00CA390D"/>
    <w:rsid w:val="00CA5207"/>
    <w:rsid w:val="00CA56E3"/>
    <w:rsid w:val="00CA58F1"/>
    <w:rsid w:val="00CA59A7"/>
    <w:rsid w:val="00CA646D"/>
    <w:rsid w:val="00CA7045"/>
    <w:rsid w:val="00CA70C5"/>
    <w:rsid w:val="00CA71C6"/>
    <w:rsid w:val="00CB0029"/>
    <w:rsid w:val="00CB033A"/>
    <w:rsid w:val="00CB0480"/>
    <w:rsid w:val="00CB06AE"/>
    <w:rsid w:val="00CB0A8A"/>
    <w:rsid w:val="00CB18B2"/>
    <w:rsid w:val="00CB219B"/>
    <w:rsid w:val="00CB2F8A"/>
    <w:rsid w:val="00CB355A"/>
    <w:rsid w:val="00CB4B7B"/>
    <w:rsid w:val="00CB50B6"/>
    <w:rsid w:val="00CB5F4A"/>
    <w:rsid w:val="00CB63F5"/>
    <w:rsid w:val="00CB69FB"/>
    <w:rsid w:val="00CB6CD1"/>
    <w:rsid w:val="00CB7A55"/>
    <w:rsid w:val="00CC050C"/>
    <w:rsid w:val="00CC0A7F"/>
    <w:rsid w:val="00CC11D2"/>
    <w:rsid w:val="00CC12F6"/>
    <w:rsid w:val="00CC273C"/>
    <w:rsid w:val="00CC2F1A"/>
    <w:rsid w:val="00CC3156"/>
    <w:rsid w:val="00CC36A3"/>
    <w:rsid w:val="00CC3D68"/>
    <w:rsid w:val="00CC3EEA"/>
    <w:rsid w:val="00CC42AD"/>
    <w:rsid w:val="00CC50D9"/>
    <w:rsid w:val="00CC6427"/>
    <w:rsid w:val="00CC68E5"/>
    <w:rsid w:val="00CC69BC"/>
    <w:rsid w:val="00CC6AE9"/>
    <w:rsid w:val="00CC6D1E"/>
    <w:rsid w:val="00CC6F0F"/>
    <w:rsid w:val="00CC76A9"/>
    <w:rsid w:val="00CC7B6D"/>
    <w:rsid w:val="00CD0A61"/>
    <w:rsid w:val="00CD1159"/>
    <w:rsid w:val="00CD12F7"/>
    <w:rsid w:val="00CD1E4B"/>
    <w:rsid w:val="00CD1F1A"/>
    <w:rsid w:val="00CD2791"/>
    <w:rsid w:val="00CD388A"/>
    <w:rsid w:val="00CD3C1B"/>
    <w:rsid w:val="00CD3C53"/>
    <w:rsid w:val="00CD451A"/>
    <w:rsid w:val="00CD4641"/>
    <w:rsid w:val="00CD70AC"/>
    <w:rsid w:val="00CD733E"/>
    <w:rsid w:val="00CE0F4F"/>
    <w:rsid w:val="00CE0F90"/>
    <w:rsid w:val="00CE2688"/>
    <w:rsid w:val="00CE2981"/>
    <w:rsid w:val="00CE4715"/>
    <w:rsid w:val="00CE499B"/>
    <w:rsid w:val="00CE49D7"/>
    <w:rsid w:val="00CE4C96"/>
    <w:rsid w:val="00CE4FFF"/>
    <w:rsid w:val="00CE5394"/>
    <w:rsid w:val="00CE5576"/>
    <w:rsid w:val="00CE6C17"/>
    <w:rsid w:val="00CE7379"/>
    <w:rsid w:val="00CF04AE"/>
    <w:rsid w:val="00CF0574"/>
    <w:rsid w:val="00CF0826"/>
    <w:rsid w:val="00CF0A2C"/>
    <w:rsid w:val="00CF0FFD"/>
    <w:rsid w:val="00CF2555"/>
    <w:rsid w:val="00CF2A40"/>
    <w:rsid w:val="00CF2B72"/>
    <w:rsid w:val="00CF4078"/>
    <w:rsid w:val="00CF5005"/>
    <w:rsid w:val="00CF534B"/>
    <w:rsid w:val="00CF55F5"/>
    <w:rsid w:val="00CF5D4F"/>
    <w:rsid w:val="00CF6703"/>
    <w:rsid w:val="00CF678A"/>
    <w:rsid w:val="00CF6F8D"/>
    <w:rsid w:val="00CF7156"/>
    <w:rsid w:val="00D004CF"/>
    <w:rsid w:val="00D00FFB"/>
    <w:rsid w:val="00D01B81"/>
    <w:rsid w:val="00D01C95"/>
    <w:rsid w:val="00D02585"/>
    <w:rsid w:val="00D02E01"/>
    <w:rsid w:val="00D03054"/>
    <w:rsid w:val="00D033A8"/>
    <w:rsid w:val="00D0365F"/>
    <w:rsid w:val="00D039F7"/>
    <w:rsid w:val="00D041BF"/>
    <w:rsid w:val="00D0476F"/>
    <w:rsid w:val="00D04EE4"/>
    <w:rsid w:val="00D05F95"/>
    <w:rsid w:val="00D06234"/>
    <w:rsid w:val="00D065AC"/>
    <w:rsid w:val="00D066BC"/>
    <w:rsid w:val="00D07AF3"/>
    <w:rsid w:val="00D07B78"/>
    <w:rsid w:val="00D116D6"/>
    <w:rsid w:val="00D11D0E"/>
    <w:rsid w:val="00D12115"/>
    <w:rsid w:val="00D125C7"/>
    <w:rsid w:val="00D1342E"/>
    <w:rsid w:val="00D140D9"/>
    <w:rsid w:val="00D141EF"/>
    <w:rsid w:val="00D14A9B"/>
    <w:rsid w:val="00D1500A"/>
    <w:rsid w:val="00D15D5B"/>
    <w:rsid w:val="00D16057"/>
    <w:rsid w:val="00D1721D"/>
    <w:rsid w:val="00D17245"/>
    <w:rsid w:val="00D17295"/>
    <w:rsid w:val="00D173E2"/>
    <w:rsid w:val="00D17C38"/>
    <w:rsid w:val="00D21776"/>
    <w:rsid w:val="00D22054"/>
    <w:rsid w:val="00D220FE"/>
    <w:rsid w:val="00D22A64"/>
    <w:rsid w:val="00D22B51"/>
    <w:rsid w:val="00D23698"/>
    <w:rsid w:val="00D24265"/>
    <w:rsid w:val="00D268D0"/>
    <w:rsid w:val="00D27B89"/>
    <w:rsid w:val="00D27DFD"/>
    <w:rsid w:val="00D30039"/>
    <w:rsid w:val="00D30926"/>
    <w:rsid w:val="00D30E93"/>
    <w:rsid w:val="00D319E1"/>
    <w:rsid w:val="00D31CF5"/>
    <w:rsid w:val="00D321E7"/>
    <w:rsid w:val="00D32489"/>
    <w:rsid w:val="00D32E2A"/>
    <w:rsid w:val="00D34112"/>
    <w:rsid w:val="00D3489C"/>
    <w:rsid w:val="00D35EFF"/>
    <w:rsid w:val="00D36308"/>
    <w:rsid w:val="00D36675"/>
    <w:rsid w:val="00D36F8E"/>
    <w:rsid w:val="00D370AE"/>
    <w:rsid w:val="00D40B97"/>
    <w:rsid w:val="00D41588"/>
    <w:rsid w:val="00D41A04"/>
    <w:rsid w:val="00D41CC1"/>
    <w:rsid w:val="00D425A2"/>
    <w:rsid w:val="00D42614"/>
    <w:rsid w:val="00D43B82"/>
    <w:rsid w:val="00D44054"/>
    <w:rsid w:val="00D44941"/>
    <w:rsid w:val="00D44B41"/>
    <w:rsid w:val="00D44E09"/>
    <w:rsid w:val="00D44E44"/>
    <w:rsid w:val="00D4517A"/>
    <w:rsid w:val="00D4548C"/>
    <w:rsid w:val="00D463FF"/>
    <w:rsid w:val="00D4672A"/>
    <w:rsid w:val="00D46A70"/>
    <w:rsid w:val="00D46C29"/>
    <w:rsid w:val="00D46CDF"/>
    <w:rsid w:val="00D472AB"/>
    <w:rsid w:val="00D47DDD"/>
    <w:rsid w:val="00D51065"/>
    <w:rsid w:val="00D51CB1"/>
    <w:rsid w:val="00D528B0"/>
    <w:rsid w:val="00D52E12"/>
    <w:rsid w:val="00D52EF9"/>
    <w:rsid w:val="00D5337B"/>
    <w:rsid w:val="00D54CD5"/>
    <w:rsid w:val="00D5590C"/>
    <w:rsid w:val="00D56BC0"/>
    <w:rsid w:val="00D56C00"/>
    <w:rsid w:val="00D56D26"/>
    <w:rsid w:val="00D57BF7"/>
    <w:rsid w:val="00D618ED"/>
    <w:rsid w:val="00D61D19"/>
    <w:rsid w:val="00D622FD"/>
    <w:rsid w:val="00D62590"/>
    <w:rsid w:val="00D62986"/>
    <w:rsid w:val="00D62B53"/>
    <w:rsid w:val="00D62E7A"/>
    <w:rsid w:val="00D65BE4"/>
    <w:rsid w:val="00D660FA"/>
    <w:rsid w:val="00D676FA"/>
    <w:rsid w:val="00D67F9A"/>
    <w:rsid w:val="00D70455"/>
    <w:rsid w:val="00D70FE8"/>
    <w:rsid w:val="00D71047"/>
    <w:rsid w:val="00D715B2"/>
    <w:rsid w:val="00D721A8"/>
    <w:rsid w:val="00D7231C"/>
    <w:rsid w:val="00D72B44"/>
    <w:rsid w:val="00D72B4C"/>
    <w:rsid w:val="00D7319E"/>
    <w:rsid w:val="00D73235"/>
    <w:rsid w:val="00D739B3"/>
    <w:rsid w:val="00D73C26"/>
    <w:rsid w:val="00D75283"/>
    <w:rsid w:val="00D75FE1"/>
    <w:rsid w:val="00D76CBA"/>
    <w:rsid w:val="00D76CDE"/>
    <w:rsid w:val="00D77FAA"/>
    <w:rsid w:val="00D80520"/>
    <w:rsid w:val="00D80ADE"/>
    <w:rsid w:val="00D80CE9"/>
    <w:rsid w:val="00D818EB"/>
    <w:rsid w:val="00D83860"/>
    <w:rsid w:val="00D8422B"/>
    <w:rsid w:val="00D85DBF"/>
    <w:rsid w:val="00D8615A"/>
    <w:rsid w:val="00D8629E"/>
    <w:rsid w:val="00D86542"/>
    <w:rsid w:val="00D877F9"/>
    <w:rsid w:val="00D90083"/>
    <w:rsid w:val="00D9148C"/>
    <w:rsid w:val="00D9189C"/>
    <w:rsid w:val="00D91B68"/>
    <w:rsid w:val="00D9295B"/>
    <w:rsid w:val="00D92DB5"/>
    <w:rsid w:val="00D9339A"/>
    <w:rsid w:val="00D93748"/>
    <w:rsid w:val="00D93F1F"/>
    <w:rsid w:val="00D93F98"/>
    <w:rsid w:val="00D96681"/>
    <w:rsid w:val="00D96B9C"/>
    <w:rsid w:val="00D976FA"/>
    <w:rsid w:val="00DA0076"/>
    <w:rsid w:val="00DA0862"/>
    <w:rsid w:val="00DA108B"/>
    <w:rsid w:val="00DA1EC8"/>
    <w:rsid w:val="00DA2564"/>
    <w:rsid w:val="00DA3B42"/>
    <w:rsid w:val="00DA40CF"/>
    <w:rsid w:val="00DA4C2A"/>
    <w:rsid w:val="00DA5396"/>
    <w:rsid w:val="00DA5539"/>
    <w:rsid w:val="00DA5A3C"/>
    <w:rsid w:val="00DA5EC7"/>
    <w:rsid w:val="00DA60DB"/>
    <w:rsid w:val="00DA63AF"/>
    <w:rsid w:val="00DA69C4"/>
    <w:rsid w:val="00DA6EC7"/>
    <w:rsid w:val="00DA785D"/>
    <w:rsid w:val="00DB00C0"/>
    <w:rsid w:val="00DB127F"/>
    <w:rsid w:val="00DB1509"/>
    <w:rsid w:val="00DB22BE"/>
    <w:rsid w:val="00DB2504"/>
    <w:rsid w:val="00DB3AF3"/>
    <w:rsid w:val="00DB3F0D"/>
    <w:rsid w:val="00DB4994"/>
    <w:rsid w:val="00DB501F"/>
    <w:rsid w:val="00DB5989"/>
    <w:rsid w:val="00DB5B56"/>
    <w:rsid w:val="00DB6737"/>
    <w:rsid w:val="00DC0259"/>
    <w:rsid w:val="00DC0CD0"/>
    <w:rsid w:val="00DC1582"/>
    <w:rsid w:val="00DC1644"/>
    <w:rsid w:val="00DC22BD"/>
    <w:rsid w:val="00DC2738"/>
    <w:rsid w:val="00DC2970"/>
    <w:rsid w:val="00DC3A0E"/>
    <w:rsid w:val="00DC47DC"/>
    <w:rsid w:val="00DC4D45"/>
    <w:rsid w:val="00DC525B"/>
    <w:rsid w:val="00DC6326"/>
    <w:rsid w:val="00DC6F29"/>
    <w:rsid w:val="00DC7528"/>
    <w:rsid w:val="00DC789B"/>
    <w:rsid w:val="00DC7BC0"/>
    <w:rsid w:val="00DD0038"/>
    <w:rsid w:val="00DD1300"/>
    <w:rsid w:val="00DD1FB7"/>
    <w:rsid w:val="00DD2380"/>
    <w:rsid w:val="00DD2933"/>
    <w:rsid w:val="00DD2D28"/>
    <w:rsid w:val="00DD36FC"/>
    <w:rsid w:val="00DD423C"/>
    <w:rsid w:val="00DD4CD4"/>
    <w:rsid w:val="00DD55C0"/>
    <w:rsid w:val="00DD57AB"/>
    <w:rsid w:val="00DD5C94"/>
    <w:rsid w:val="00DD5E57"/>
    <w:rsid w:val="00DD5F24"/>
    <w:rsid w:val="00DD6520"/>
    <w:rsid w:val="00DD69D8"/>
    <w:rsid w:val="00DD77FB"/>
    <w:rsid w:val="00DD7DFF"/>
    <w:rsid w:val="00DE00C2"/>
    <w:rsid w:val="00DE1965"/>
    <w:rsid w:val="00DE19BC"/>
    <w:rsid w:val="00DE1D57"/>
    <w:rsid w:val="00DE24A9"/>
    <w:rsid w:val="00DE302B"/>
    <w:rsid w:val="00DE3192"/>
    <w:rsid w:val="00DE39C6"/>
    <w:rsid w:val="00DE4E7D"/>
    <w:rsid w:val="00DE5495"/>
    <w:rsid w:val="00DE5609"/>
    <w:rsid w:val="00DE58A3"/>
    <w:rsid w:val="00DE5CDE"/>
    <w:rsid w:val="00DE5CE7"/>
    <w:rsid w:val="00DE78E0"/>
    <w:rsid w:val="00DE7F1B"/>
    <w:rsid w:val="00DF02CA"/>
    <w:rsid w:val="00DF0463"/>
    <w:rsid w:val="00DF0AC0"/>
    <w:rsid w:val="00DF0BB4"/>
    <w:rsid w:val="00DF0DB5"/>
    <w:rsid w:val="00DF1555"/>
    <w:rsid w:val="00DF22F3"/>
    <w:rsid w:val="00DF2606"/>
    <w:rsid w:val="00DF268D"/>
    <w:rsid w:val="00DF2CC2"/>
    <w:rsid w:val="00DF4377"/>
    <w:rsid w:val="00DF4533"/>
    <w:rsid w:val="00DF4AB2"/>
    <w:rsid w:val="00DF4B67"/>
    <w:rsid w:val="00DF6E09"/>
    <w:rsid w:val="00DF6F66"/>
    <w:rsid w:val="00DF6F8B"/>
    <w:rsid w:val="00DF74DA"/>
    <w:rsid w:val="00DF7927"/>
    <w:rsid w:val="00DF7B4E"/>
    <w:rsid w:val="00E0026E"/>
    <w:rsid w:val="00E00B72"/>
    <w:rsid w:val="00E00F08"/>
    <w:rsid w:val="00E0184D"/>
    <w:rsid w:val="00E01898"/>
    <w:rsid w:val="00E029FB"/>
    <w:rsid w:val="00E0362A"/>
    <w:rsid w:val="00E03829"/>
    <w:rsid w:val="00E04100"/>
    <w:rsid w:val="00E045A6"/>
    <w:rsid w:val="00E05604"/>
    <w:rsid w:val="00E05A1B"/>
    <w:rsid w:val="00E05DBD"/>
    <w:rsid w:val="00E05FEB"/>
    <w:rsid w:val="00E060D7"/>
    <w:rsid w:val="00E069AF"/>
    <w:rsid w:val="00E069B7"/>
    <w:rsid w:val="00E06B62"/>
    <w:rsid w:val="00E07927"/>
    <w:rsid w:val="00E07949"/>
    <w:rsid w:val="00E1034F"/>
    <w:rsid w:val="00E106E2"/>
    <w:rsid w:val="00E10805"/>
    <w:rsid w:val="00E11304"/>
    <w:rsid w:val="00E11309"/>
    <w:rsid w:val="00E13C0D"/>
    <w:rsid w:val="00E13F3E"/>
    <w:rsid w:val="00E14DE4"/>
    <w:rsid w:val="00E155FB"/>
    <w:rsid w:val="00E15624"/>
    <w:rsid w:val="00E1582A"/>
    <w:rsid w:val="00E173EB"/>
    <w:rsid w:val="00E1745B"/>
    <w:rsid w:val="00E17AE0"/>
    <w:rsid w:val="00E17EE5"/>
    <w:rsid w:val="00E20D42"/>
    <w:rsid w:val="00E20D44"/>
    <w:rsid w:val="00E2116A"/>
    <w:rsid w:val="00E212A6"/>
    <w:rsid w:val="00E21BE2"/>
    <w:rsid w:val="00E23007"/>
    <w:rsid w:val="00E231D6"/>
    <w:rsid w:val="00E23913"/>
    <w:rsid w:val="00E2392A"/>
    <w:rsid w:val="00E2397D"/>
    <w:rsid w:val="00E23A9C"/>
    <w:rsid w:val="00E23BD7"/>
    <w:rsid w:val="00E23C7E"/>
    <w:rsid w:val="00E23F55"/>
    <w:rsid w:val="00E249FA"/>
    <w:rsid w:val="00E25902"/>
    <w:rsid w:val="00E25AF3"/>
    <w:rsid w:val="00E25EB5"/>
    <w:rsid w:val="00E26B87"/>
    <w:rsid w:val="00E26F8E"/>
    <w:rsid w:val="00E2713F"/>
    <w:rsid w:val="00E27715"/>
    <w:rsid w:val="00E27934"/>
    <w:rsid w:val="00E30336"/>
    <w:rsid w:val="00E30C1D"/>
    <w:rsid w:val="00E314D5"/>
    <w:rsid w:val="00E317E4"/>
    <w:rsid w:val="00E32991"/>
    <w:rsid w:val="00E34171"/>
    <w:rsid w:val="00E3453A"/>
    <w:rsid w:val="00E350C3"/>
    <w:rsid w:val="00E3618C"/>
    <w:rsid w:val="00E36298"/>
    <w:rsid w:val="00E374BE"/>
    <w:rsid w:val="00E378E8"/>
    <w:rsid w:val="00E37C50"/>
    <w:rsid w:val="00E37E59"/>
    <w:rsid w:val="00E40670"/>
    <w:rsid w:val="00E40F31"/>
    <w:rsid w:val="00E41874"/>
    <w:rsid w:val="00E41B61"/>
    <w:rsid w:val="00E43A56"/>
    <w:rsid w:val="00E45728"/>
    <w:rsid w:val="00E45975"/>
    <w:rsid w:val="00E468D9"/>
    <w:rsid w:val="00E46A22"/>
    <w:rsid w:val="00E4710A"/>
    <w:rsid w:val="00E47CC6"/>
    <w:rsid w:val="00E50E61"/>
    <w:rsid w:val="00E5105C"/>
    <w:rsid w:val="00E51FD5"/>
    <w:rsid w:val="00E52F81"/>
    <w:rsid w:val="00E532C4"/>
    <w:rsid w:val="00E537BB"/>
    <w:rsid w:val="00E5408C"/>
    <w:rsid w:val="00E5468D"/>
    <w:rsid w:val="00E56611"/>
    <w:rsid w:val="00E5695E"/>
    <w:rsid w:val="00E56EA1"/>
    <w:rsid w:val="00E57338"/>
    <w:rsid w:val="00E5764E"/>
    <w:rsid w:val="00E60703"/>
    <w:rsid w:val="00E60DCA"/>
    <w:rsid w:val="00E6113C"/>
    <w:rsid w:val="00E61398"/>
    <w:rsid w:val="00E626B1"/>
    <w:rsid w:val="00E62D0D"/>
    <w:rsid w:val="00E63B04"/>
    <w:rsid w:val="00E64BB4"/>
    <w:rsid w:val="00E64D5F"/>
    <w:rsid w:val="00E65AED"/>
    <w:rsid w:val="00E66CEC"/>
    <w:rsid w:val="00E67B3D"/>
    <w:rsid w:val="00E67D70"/>
    <w:rsid w:val="00E67D92"/>
    <w:rsid w:val="00E70686"/>
    <w:rsid w:val="00E708D6"/>
    <w:rsid w:val="00E713B6"/>
    <w:rsid w:val="00E71405"/>
    <w:rsid w:val="00E714C7"/>
    <w:rsid w:val="00E714F8"/>
    <w:rsid w:val="00E7151A"/>
    <w:rsid w:val="00E729BC"/>
    <w:rsid w:val="00E72F71"/>
    <w:rsid w:val="00E738C8"/>
    <w:rsid w:val="00E73A35"/>
    <w:rsid w:val="00E74EB9"/>
    <w:rsid w:val="00E75254"/>
    <w:rsid w:val="00E756C7"/>
    <w:rsid w:val="00E757DE"/>
    <w:rsid w:val="00E760C0"/>
    <w:rsid w:val="00E775E6"/>
    <w:rsid w:val="00E77B0F"/>
    <w:rsid w:val="00E77F24"/>
    <w:rsid w:val="00E8085F"/>
    <w:rsid w:val="00E81081"/>
    <w:rsid w:val="00E81B04"/>
    <w:rsid w:val="00E81E02"/>
    <w:rsid w:val="00E826CC"/>
    <w:rsid w:val="00E82FED"/>
    <w:rsid w:val="00E83462"/>
    <w:rsid w:val="00E8388E"/>
    <w:rsid w:val="00E83AE3"/>
    <w:rsid w:val="00E85D6A"/>
    <w:rsid w:val="00E8679A"/>
    <w:rsid w:val="00E86C50"/>
    <w:rsid w:val="00E907EF"/>
    <w:rsid w:val="00E90838"/>
    <w:rsid w:val="00E90E34"/>
    <w:rsid w:val="00E91416"/>
    <w:rsid w:val="00E9152D"/>
    <w:rsid w:val="00E91892"/>
    <w:rsid w:val="00E92AE9"/>
    <w:rsid w:val="00E94416"/>
    <w:rsid w:val="00E9613D"/>
    <w:rsid w:val="00E966E4"/>
    <w:rsid w:val="00E96861"/>
    <w:rsid w:val="00EA1634"/>
    <w:rsid w:val="00EA2B00"/>
    <w:rsid w:val="00EA38E2"/>
    <w:rsid w:val="00EA40E6"/>
    <w:rsid w:val="00EA476C"/>
    <w:rsid w:val="00EA4D40"/>
    <w:rsid w:val="00EA5D5D"/>
    <w:rsid w:val="00EA7BCA"/>
    <w:rsid w:val="00EA7F82"/>
    <w:rsid w:val="00EB02FE"/>
    <w:rsid w:val="00EB06B3"/>
    <w:rsid w:val="00EB0A20"/>
    <w:rsid w:val="00EB0F1E"/>
    <w:rsid w:val="00EB27C3"/>
    <w:rsid w:val="00EB2B18"/>
    <w:rsid w:val="00EB3657"/>
    <w:rsid w:val="00EB3691"/>
    <w:rsid w:val="00EB4109"/>
    <w:rsid w:val="00EB41BF"/>
    <w:rsid w:val="00EB4847"/>
    <w:rsid w:val="00EB49A3"/>
    <w:rsid w:val="00EB4A4F"/>
    <w:rsid w:val="00EB4B92"/>
    <w:rsid w:val="00EB4DB0"/>
    <w:rsid w:val="00EB5C98"/>
    <w:rsid w:val="00EB67E0"/>
    <w:rsid w:val="00EB6D9B"/>
    <w:rsid w:val="00EB72AB"/>
    <w:rsid w:val="00EB72BF"/>
    <w:rsid w:val="00EC0632"/>
    <w:rsid w:val="00EC0A02"/>
    <w:rsid w:val="00EC3A00"/>
    <w:rsid w:val="00EC4B9F"/>
    <w:rsid w:val="00EC4C7D"/>
    <w:rsid w:val="00EC55AA"/>
    <w:rsid w:val="00EC5683"/>
    <w:rsid w:val="00EC5B53"/>
    <w:rsid w:val="00EC6392"/>
    <w:rsid w:val="00EC6A2F"/>
    <w:rsid w:val="00EC7DB2"/>
    <w:rsid w:val="00ED012E"/>
    <w:rsid w:val="00ED0707"/>
    <w:rsid w:val="00ED1858"/>
    <w:rsid w:val="00ED1979"/>
    <w:rsid w:val="00ED1C8E"/>
    <w:rsid w:val="00ED3227"/>
    <w:rsid w:val="00ED402B"/>
    <w:rsid w:val="00ED40CD"/>
    <w:rsid w:val="00ED4282"/>
    <w:rsid w:val="00ED69E5"/>
    <w:rsid w:val="00ED77A0"/>
    <w:rsid w:val="00ED7840"/>
    <w:rsid w:val="00EE057E"/>
    <w:rsid w:val="00EE24D1"/>
    <w:rsid w:val="00EE28A3"/>
    <w:rsid w:val="00EE36C1"/>
    <w:rsid w:val="00EE3EA2"/>
    <w:rsid w:val="00EE468E"/>
    <w:rsid w:val="00EE4EC3"/>
    <w:rsid w:val="00EE5067"/>
    <w:rsid w:val="00EE551D"/>
    <w:rsid w:val="00EE5A86"/>
    <w:rsid w:val="00EE5D28"/>
    <w:rsid w:val="00EE5EF9"/>
    <w:rsid w:val="00EE6CEF"/>
    <w:rsid w:val="00EE6EF3"/>
    <w:rsid w:val="00EE754E"/>
    <w:rsid w:val="00EF0850"/>
    <w:rsid w:val="00EF0861"/>
    <w:rsid w:val="00EF0995"/>
    <w:rsid w:val="00EF0F40"/>
    <w:rsid w:val="00EF145A"/>
    <w:rsid w:val="00EF1824"/>
    <w:rsid w:val="00EF223D"/>
    <w:rsid w:val="00EF26BA"/>
    <w:rsid w:val="00EF3AC2"/>
    <w:rsid w:val="00EF43B8"/>
    <w:rsid w:val="00EF49FB"/>
    <w:rsid w:val="00EF4B8D"/>
    <w:rsid w:val="00EF560B"/>
    <w:rsid w:val="00EF6114"/>
    <w:rsid w:val="00EF630C"/>
    <w:rsid w:val="00EF6ED6"/>
    <w:rsid w:val="00EF71B8"/>
    <w:rsid w:val="00EF7852"/>
    <w:rsid w:val="00EF7F7D"/>
    <w:rsid w:val="00F01E0F"/>
    <w:rsid w:val="00F029ED"/>
    <w:rsid w:val="00F02C38"/>
    <w:rsid w:val="00F042D0"/>
    <w:rsid w:val="00F05ECA"/>
    <w:rsid w:val="00F066AA"/>
    <w:rsid w:val="00F0754C"/>
    <w:rsid w:val="00F0783E"/>
    <w:rsid w:val="00F07DDC"/>
    <w:rsid w:val="00F1077D"/>
    <w:rsid w:val="00F10F2C"/>
    <w:rsid w:val="00F11A1E"/>
    <w:rsid w:val="00F11DDD"/>
    <w:rsid w:val="00F11F49"/>
    <w:rsid w:val="00F12E34"/>
    <w:rsid w:val="00F1307B"/>
    <w:rsid w:val="00F133AB"/>
    <w:rsid w:val="00F1365D"/>
    <w:rsid w:val="00F137DF"/>
    <w:rsid w:val="00F15EC3"/>
    <w:rsid w:val="00F160CE"/>
    <w:rsid w:val="00F16353"/>
    <w:rsid w:val="00F16459"/>
    <w:rsid w:val="00F168CA"/>
    <w:rsid w:val="00F17031"/>
    <w:rsid w:val="00F1708A"/>
    <w:rsid w:val="00F178F6"/>
    <w:rsid w:val="00F17966"/>
    <w:rsid w:val="00F2162D"/>
    <w:rsid w:val="00F21B8C"/>
    <w:rsid w:val="00F22907"/>
    <w:rsid w:val="00F234C3"/>
    <w:rsid w:val="00F2380C"/>
    <w:rsid w:val="00F23850"/>
    <w:rsid w:val="00F24855"/>
    <w:rsid w:val="00F24F05"/>
    <w:rsid w:val="00F25603"/>
    <w:rsid w:val="00F26995"/>
    <w:rsid w:val="00F27448"/>
    <w:rsid w:val="00F27AA6"/>
    <w:rsid w:val="00F27EE5"/>
    <w:rsid w:val="00F30B10"/>
    <w:rsid w:val="00F30ECE"/>
    <w:rsid w:val="00F3102E"/>
    <w:rsid w:val="00F314FD"/>
    <w:rsid w:val="00F32081"/>
    <w:rsid w:val="00F33330"/>
    <w:rsid w:val="00F33EE3"/>
    <w:rsid w:val="00F34640"/>
    <w:rsid w:val="00F34F51"/>
    <w:rsid w:val="00F35420"/>
    <w:rsid w:val="00F3579D"/>
    <w:rsid w:val="00F359A6"/>
    <w:rsid w:val="00F360EF"/>
    <w:rsid w:val="00F363F2"/>
    <w:rsid w:val="00F36693"/>
    <w:rsid w:val="00F36E1E"/>
    <w:rsid w:val="00F37282"/>
    <w:rsid w:val="00F37DB3"/>
    <w:rsid w:val="00F4068E"/>
    <w:rsid w:val="00F41FE5"/>
    <w:rsid w:val="00F42C40"/>
    <w:rsid w:val="00F42CFF"/>
    <w:rsid w:val="00F43200"/>
    <w:rsid w:val="00F43B44"/>
    <w:rsid w:val="00F43B7D"/>
    <w:rsid w:val="00F43D98"/>
    <w:rsid w:val="00F442AA"/>
    <w:rsid w:val="00F45BF2"/>
    <w:rsid w:val="00F45C3D"/>
    <w:rsid w:val="00F46147"/>
    <w:rsid w:val="00F46AFD"/>
    <w:rsid w:val="00F46D2E"/>
    <w:rsid w:val="00F47454"/>
    <w:rsid w:val="00F47B20"/>
    <w:rsid w:val="00F5015A"/>
    <w:rsid w:val="00F502A0"/>
    <w:rsid w:val="00F5054A"/>
    <w:rsid w:val="00F51B89"/>
    <w:rsid w:val="00F5205D"/>
    <w:rsid w:val="00F52236"/>
    <w:rsid w:val="00F52E5C"/>
    <w:rsid w:val="00F52EA9"/>
    <w:rsid w:val="00F530A8"/>
    <w:rsid w:val="00F537EB"/>
    <w:rsid w:val="00F5394E"/>
    <w:rsid w:val="00F54786"/>
    <w:rsid w:val="00F54935"/>
    <w:rsid w:val="00F568E5"/>
    <w:rsid w:val="00F57106"/>
    <w:rsid w:val="00F57452"/>
    <w:rsid w:val="00F5784B"/>
    <w:rsid w:val="00F578E3"/>
    <w:rsid w:val="00F61B3C"/>
    <w:rsid w:val="00F62034"/>
    <w:rsid w:val="00F63063"/>
    <w:rsid w:val="00F63795"/>
    <w:rsid w:val="00F63F28"/>
    <w:rsid w:val="00F63F79"/>
    <w:rsid w:val="00F647CB"/>
    <w:rsid w:val="00F65122"/>
    <w:rsid w:val="00F6557A"/>
    <w:rsid w:val="00F66E80"/>
    <w:rsid w:val="00F673AA"/>
    <w:rsid w:val="00F676AD"/>
    <w:rsid w:val="00F67D9C"/>
    <w:rsid w:val="00F71A89"/>
    <w:rsid w:val="00F72185"/>
    <w:rsid w:val="00F72BBD"/>
    <w:rsid w:val="00F7367D"/>
    <w:rsid w:val="00F7433B"/>
    <w:rsid w:val="00F75087"/>
    <w:rsid w:val="00F75349"/>
    <w:rsid w:val="00F75706"/>
    <w:rsid w:val="00F757F5"/>
    <w:rsid w:val="00F77162"/>
    <w:rsid w:val="00F77164"/>
    <w:rsid w:val="00F778E0"/>
    <w:rsid w:val="00F808BE"/>
    <w:rsid w:val="00F81935"/>
    <w:rsid w:val="00F81B7B"/>
    <w:rsid w:val="00F81E3D"/>
    <w:rsid w:val="00F82686"/>
    <w:rsid w:val="00F82903"/>
    <w:rsid w:val="00F82CC9"/>
    <w:rsid w:val="00F83339"/>
    <w:rsid w:val="00F839E6"/>
    <w:rsid w:val="00F84301"/>
    <w:rsid w:val="00F84318"/>
    <w:rsid w:val="00F8497E"/>
    <w:rsid w:val="00F84DDF"/>
    <w:rsid w:val="00F85114"/>
    <w:rsid w:val="00F85246"/>
    <w:rsid w:val="00F8585F"/>
    <w:rsid w:val="00F85EE1"/>
    <w:rsid w:val="00F85F7A"/>
    <w:rsid w:val="00F8604A"/>
    <w:rsid w:val="00F86AF9"/>
    <w:rsid w:val="00F86D75"/>
    <w:rsid w:val="00F87868"/>
    <w:rsid w:val="00F904DE"/>
    <w:rsid w:val="00F905CA"/>
    <w:rsid w:val="00F908CD"/>
    <w:rsid w:val="00F909F3"/>
    <w:rsid w:val="00F90F33"/>
    <w:rsid w:val="00F9204E"/>
    <w:rsid w:val="00F922AA"/>
    <w:rsid w:val="00F92653"/>
    <w:rsid w:val="00F92FD0"/>
    <w:rsid w:val="00F93C50"/>
    <w:rsid w:val="00F93DFF"/>
    <w:rsid w:val="00F95347"/>
    <w:rsid w:val="00F95E9F"/>
    <w:rsid w:val="00F9650E"/>
    <w:rsid w:val="00F9750C"/>
    <w:rsid w:val="00F97953"/>
    <w:rsid w:val="00FA0111"/>
    <w:rsid w:val="00FA0F1F"/>
    <w:rsid w:val="00FA139A"/>
    <w:rsid w:val="00FA2ED7"/>
    <w:rsid w:val="00FA3189"/>
    <w:rsid w:val="00FA3D0A"/>
    <w:rsid w:val="00FA42B7"/>
    <w:rsid w:val="00FA4367"/>
    <w:rsid w:val="00FA53BF"/>
    <w:rsid w:val="00FA62B9"/>
    <w:rsid w:val="00FA6F18"/>
    <w:rsid w:val="00FA6F8B"/>
    <w:rsid w:val="00FA7FDE"/>
    <w:rsid w:val="00FA7FF4"/>
    <w:rsid w:val="00FB1029"/>
    <w:rsid w:val="00FB134E"/>
    <w:rsid w:val="00FB180A"/>
    <w:rsid w:val="00FB1943"/>
    <w:rsid w:val="00FB21D5"/>
    <w:rsid w:val="00FB25C9"/>
    <w:rsid w:val="00FB26F0"/>
    <w:rsid w:val="00FB299C"/>
    <w:rsid w:val="00FB3369"/>
    <w:rsid w:val="00FB5548"/>
    <w:rsid w:val="00FB603B"/>
    <w:rsid w:val="00FB6D69"/>
    <w:rsid w:val="00FB6E8D"/>
    <w:rsid w:val="00FB74DF"/>
    <w:rsid w:val="00FB76FE"/>
    <w:rsid w:val="00FC0E14"/>
    <w:rsid w:val="00FC1EF9"/>
    <w:rsid w:val="00FC45CB"/>
    <w:rsid w:val="00FC4C61"/>
    <w:rsid w:val="00FC5E6C"/>
    <w:rsid w:val="00FC60C9"/>
    <w:rsid w:val="00FC715D"/>
    <w:rsid w:val="00FD1178"/>
    <w:rsid w:val="00FD12B7"/>
    <w:rsid w:val="00FD1A49"/>
    <w:rsid w:val="00FD2C05"/>
    <w:rsid w:val="00FD33A5"/>
    <w:rsid w:val="00FD3444"/>
    <w:rsid w:val="00FD416A"/>
    <w:rsid w:val="00FD7868"/>
    <w:rsid w:val="00FD7EA2"/>
    <w:rsid w:val="00FE0280"/>
    <w:rsid w:val="00FE09B6"/>
    <w:rsid w:val="00FE0C9B"/>
    <w:rsid w:val="00FE0CAE"/>
    <w:rsid w:val="00FE14BE"/>
    <w:rsid w:val="00FE15C0"/>
    <w:rsid w:val="00FE2228"/>
    <w:rsid w:val="00FE2505"/>
    <w:rsid w:val="00FE262D"/>
    <w:rsid w:val="00FE3876"/>
    <w:rsid w:val="00FE3AC5"/>
    <w:rsid w:val="00FE46F1"/>
    <w:rsid w:val="00FE4CF2"/>
    <w:rsid w:val="00FE5003"/>
    <w:rsid w:val="00FE59A8"/>
    <w:rsid w:val="00FE5D23"/>
    <w:rsid w:val="00FE5E97"/>
    <w:rsid w:val="00FE65F2"/>
    <w:rsid w:val="00FE7330"/>
    <w:rsid w:val="00FF014F"/>
    <w:rsid w:val="00FF2035"/>
    <w:rsid w:val="00FF294E"/>
    <w:rsid w:val="00FF2AB1"/>
    <w:rsid w:val="00FF30C9"/>
    <w:rsid w:val="00FF511F"/>
    <w:rsid w:val="00FF610E"/>
    <w:rsid w:val="00FF62DD"/>
    <w:rsid w:val="00FF64A4"/>
    <w:rsid w:val="00FF6B86"/>
    <w:rsid w:val="00FF75C9"/>
    <w:rsid w:val="00FF7D7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BA9F8A8"/>
  <w14:defaultImageDpi w14:val="32767"/>
  <w15:chartTrackingRefBased/>
  <w15:docId w15:val="{574D5B7C-6B47-480B-A164-C551C0E80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E22"/>
    <w:pPr>
      <w:spacing w:after="0" w:line="360" w:lineRule="auto"/>
    </w:pPr>
    <w:rPr>
      <w:rFonts w:eastAsia="Segoe UI" w:cs="Times New Roman"/>
      <w:color w:val="3C3D3C"/>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123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238"/>
    <w:rPr>
      <w:rFonts w:ascii="Segoe UI" w:eastAsia="Segoe UI" w:hAnsi="Segoe UI" w:cs="Segoe UI"/>
      <w:color w:val="3C3D3C"/>
      <w:sz w:val="18"/>
      <w:szCs w:val="18"/>
    </w:rPr>
  </w:style>
  <w:style w:type="character" w:styleId="PlaceholderText">
    <w:name w:val="Placeholder Text"/>
    <w:basedOn w:val="DefaultParagraphFont"/>
    <w:uiPriority w:val="99"/>
    <w:semiHidden/>
    <w:rsid w:val="00397237"/>
    <w:rPr>
      <w:color w:val="808080"/>
    </w:rPr>
  </w:style>
  <w:style w:type="paragraph" w:styleId="Header">
    <w:name w:val="header"/>
    <w:basedOn w:val="Normal"/>
    <w:link w:val="HeaderChar"/>
    <w:uiPriority w:val="99"/>
    <w:unhideWhenUsed/>
    <w:rsid w:val="00FD416A"/>
    <w:pPr>
      <w:tabs>
        <w:tab w:val="center" w:pos="4513"/>
        <w:tab w:val="right" w:pos="9026"/>
      </w:tabs>
      <w:spacing w:line="240" w:lineRule="auto"/>
    </w:pPr>
  </w:style>
  <w:style w:type="character" w:customStyle="1" w:styleId="HeaderChar">
    <w:name w:val="Header Char"/>
    <w:basedOn w:val="DefaultParagraphFont"/>
    <w:link w:val="Header"/>
    <w:uiPriority w:val="99"/>
    <w:rsid w:val="00FD416A"/>
    <w:rPr>
      <w:rFonts w:eastAsia="Segoe UI" w:cs="Times New Roman"/>
      <w:color w:val="3C3D3C"/>
      <w:sz w:val="19"/>
    </w:rPr>
  </w:style>
  <w:style w:type="paragraph" w:styleId="Footer">
    <w:name w:val="footer"/>
    <w:basedOn w:val="Normal"/>
    <w:link w:val="FooterChar"/>
    <w:uiPriority w:val="99"/>
    <w:unhideWhenUsed/>
    <w:rsid w:val="00FD416A"/>
    <w:pPr>
      <w:tabs>
        <w:tab w:val="center" w:pos="4513"/>
        <w:tab w:val="right" w:pos="9026"/>
      </w:tabs>
      <w:spacing w:line="240" w:lineRule="auto"/>
    </w:pPr>
  </w:style>
  <w:style w:type="character" w:customStyle="1" w:styleId="FooterChar">
    <w:name w:val="Footer Char"/>
    <w:basedOn w:val="DefaultParagraphFont"/>
    <w:link w:val="Footer"/>
    <w:uiPriority w:val="99"/>
    <w:rsid w:val="00FD416A"/>
    <w:rPr>
      <w:rFonts w:eastAsia="Segoe UI" w:cs="Times New Roman"/>
      <w:color w:val="3C3D3C"/>
      <w:sz w:val="19"/>
    </w:rPr>
  </w:style>
  <w:style w:type="character" w:styleId="Hyperlink">
    <w:name w:val="Hyperlink"/>
    <w:basedOn w:val="DefaultParagraphFont"/>
    <w:uiPriority w:val="99"/>
    <w:unhideWhenUsed/>
    <w:rsid w:val="00046A1C"/>
    <w:rPr>
      <w:color w:val="0563C1" w:themeColor="hyperlink"/>
      <w:u w:val="single"/>
    </w:rPr>
  </w:style>
  <w:style w:type="character" w:styleId="UnresolvedMention">
    <w:name w:val="Unresolved Mention"/>
    <w:basedOn w:val="DefaultParagraphFont"/>
    <w:uiPriority w:val="99"/>
    <w:semiHidden/>
    <w:unhideWhenUsed/>
    <w:rsid w:val="00046A1C"/>
    <w:rPr>
      <w:color w:val="605E5C"/>
      <w:shd w:val="clear" w:color="auto" w:fill="E1DFDD"/>
    </w:rPr>
  </w:style>
  <w:style w:type="character" w:styleId="FollowedHyperlink">
    <w:name w:val="FollowedHyperlink"/>
    <w:basedOn w:val="DefaultParagraphFont"/>
    <w:uiPriority w:val="99"/>
    <w:semiHidden/>
    <w:unhideWhenUsed/>
    <w:rsid w:val="00265125"/>
    <w:rPr>
      <w:color w:val="954F72"/>
      <w:u w:val="single"/>
    </w:rPr>
  </w:style>
  <w:style w:type="paragraph" w:customStyle="1" w:styleId="msonormal0">
    <w:name w:val="msonormal"/>
    <w:basedOn w:val="Normal"/>
    <w:rsid w:val="00265125"/>
    <w:pPr>
      <w:spacing w:before="100" w:beforeAutospacing="1" w:after="100" w:afterAutospacing="1" w:line="240" w:lineRule="auto"/>
    </w:pPr>
    <w:rPr>
      <w:rFonts w:ascii="Times New Roman" w:eastAsia="Times New Roman" w:hAnsi="Times New Roman"/>
      <w:color w:val="auto"/>
      <w:sz w:val="24"/>
      <w:szCs w:val="24"/>
      <w:lang w:eastAsia="en-AU"/>
    </w:rPr>
  </w:style>
  <w:style w:type="paragraph" w:customStyle="1" w:styleId="xl65">
    <w:name w:val="xl65"/>
    <w:basedOn w:val="Normal"/>
    <w:rsid w:val="00265125"/>
    <w:pPr>
      <w:spacing w:before="100" w:beforeAutospacing="1" w:after="100" w:afterAutospacing="1" w:line="240" w:lineRule="auto"/>
    </w:pPr>
    <w:rPr>
      <w:rFonts w:ascii="Times New Roman" w:eastAsia="Times New Roman" w:hAnsi="Times New Roman"/>
      <w:color w:val="auto"/>
      <w:sz w:val="16"/>
      <w:szCs w:val="16"/>
      <w:lang w:eastAsia="en-AU"/>
    </w:rPr>
  </w:style>
  <w:style w:type="paragraph" w:customStyle="1" w:styleId="xl66">
    <w:name w:val="xl66"/>
    <w:basedOn w:val="Normal"/>
    <w:rsid w:val="00265125"/>
    <w:pPr>
      <w:spacing w:before="100" w:beforeAutospacing="1" w:after="100" w:afterAutospacing="1" w:line="240" w:lineRule="auto"/>
      <w:textAlignment w:val="top"/>
    </w:pPr>
    <w:rPr>
      <w:rFonts w:ascii="Times New Roman" w:eastAsia="Times New Roman" w:hAnsi="Times New Roman"/>
      <w:color w:val="auto"/>
      <w:sz w:val="16"/>
      <w:szCs w:val="16"/>
      <w:lang w:eastAsia="en-AU"/>
    </w:rPr>
  </w:style>
  <w:style w:type="paragraph" w:customStyle="1" w:styleId="xl67">
    <w:name w:val="xl67"/>
    <w:basedOn w:val="Normal"/>
    <w:rsid w:val="00265125"/>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olor w:val="auto"/>
      <w:sz w:val="16"/>
      <w:szCs w:val="16"/>
      <w:lang w:eastAsia="en-AU"/>
    </w:rPr>
  </w:style>
  <w:style w:type="paragraph" w:customStyle="1" w:styleId="xl68">
    <w:name w:val="xl68"/>
    <w:basedOn w:val="Normal"/>
    <w:rsid w:val="00265125"/>
    <w:pPr>
      <w:shd w:val="clear" w:color="000000" w:fill="D9D9D9"/>
      <w:spacing w:before="100" w:beforeAutospacing="1" w:after="100" w:afterAutospacing="1" w:line="240" w:lineRule="auto"/>
      <w:textAlignment w:val="top"/>
    </w:pPr>
    <w:rPr>
      <w:rFonts w:ascii="Times New Roman" w:eastAsia="Times New Roman" w:hAnsi="Times New Roman"/>
      <w:color w:val="auto"/>
      <w:sz w:val="16"/>
      <w:szCs w:val="16"/>
      <w:lang w:eastAsia="en-AU"/>
    </w:rPr>
  </w:style>
  <w:style w:type="paragraph" w:customStyle="1" w:styleId="xl69">
    <w:name w:val="xl69"/>
    <w:basedOn w:val="Normal"/>
    <w:rsid w:val="00265125"/>
    <w:pPr>
      <w:shd w:val="clear" w:color="000000" w:fill="F2F2F2"/>
      <w:spacing w:before="100" w:beforeAutospacing="1" w:after="100" w:afterAutospacing="1" w:line="240" w:lineRule="auto"/>
      <w:textAlignment w:val="top"/>
    </w:pPr>
    <w:rPr>
      <w:rFonts w:ascii="Times New Roman" w:eastAsia="Times New Roman" w:hAnsi="Times New Roman"/>
      <w:color w:val="auto"/>
      <w:sz w:val="16"/>
      <w:szCs w:val="16"/>
      <w:lang w:eastAsia="en-AU"/>
    </w:rPr>
  </w:style>
  <w:style w:type="paragraph" w:customStyle="1" w:styleId="xl70">
    <w:name w:val="xl70"/>
    <w:basedOn w:val="Normal"/>
    <w:rsid w:val="00265125"/>
    <w:pPr>
      <w:shd w:val="clear" w:color="000000" w:fill="F2F2F2"/>
      <w:spacing w:before="100" w:beforeAutospacing="1" w:after="100" w:afterAutospacing="1" w:line="240" w:lineRule="auto"/>
    </w:pPr>
    <w:rPr>
      <w:rFonts w:ascii="Times New Roman" w:eastAsia="Times New Roman" w:hAnsi="Times New Roman"/>
      <w:color w:val="auto"/>
      <w:sz w:val="16"/>
      <w:szCs w:val="16"/>
      <w:lang w:eastAsia="en-AU"/>
    </w:rPr>
  </w:style>
  <w:style w:type="paragraph" w:customStyle="1" w:styleId="xl71">
    <w:name w:val="xl71"/>
    <w:basedOn w:val="Normal"/>
    <w:rsid w:val="00265125"/>
    <w:pPr>
      <w:pBdr>
        <w:bottom w:val="single" w:sz="4" w:space="0" w:color="auto"/>
      </w:pBdr>
      <w:spacing w:before="100" w:beforeAutospacing="1" w:after="100" w:afterAutospacing="1" w:line="240" w:lineRule="auto"/>
      <w:textAlignment w:val="top"/>
    </w:pPr>
    <w:rPr>
      <w:rFonts w:ascii="Times New Roman" w:eastAsia="Times New Roman" w:hAnsi="Times New Roman"/>
      <w:color w:val="auto"/>
      <w:sz w:val="16"/>
      <w:szCs w:val="16"/>
      <w:lang w:eastAsia="en-AU"/>
    </w:rPr>
  </w:style>
  <w:style w:type="paragraph" w:customStyle="1" w:styleId="xl72">
    <w:name w:val="xl72"/>
    <w:basedOn w:val="Normal"/>
    <w:rsid w:val="00265125"/>
    <w:pPr>
      <w:spacing w:before="100" w:beforeAutospacing="1" w:after="100" w:afterAutospacing="1" w:line="240" w:lineRule="auto"/>
    </w:pPr>
    <w:rPr>
      <w:rFonts w:ascii="Times New Roman" w:eastAsia="Times New Roman" w:hAnsi="Times New Roman"/>
      <w:color w:val="auto"/>
      <w:sz w:val="16"/>
      <w:szCs w:val="16"/>
      <w:lang w:eastAsia="en-AU"/>
    </w:rPr>
  </w:style>
  <w:style w:type="paragraph" w:customStyle="1" w:styleId="xl73">
    <w:name w:val="xl73"/>
    <w:basedOn w:val="Normal"/>
    <w:rsid w:val="00265125"/>
    <w:pPr>
      <w:shd w:val="clear" w:color="000000" w:fill="F2F2F2"/>
      <w:spacing w:before="100" w:beforeAutospacing="1" w:after="100" w:afterAutospacing="1" w:line="240" w:lineRule="auto"/>
    </w:pPr>
    <w:rPr>
      <w:rFonts w:ascii="Times New Roman" w:eastAsia="Times New Roman" w:hAnsi="Times New Roman"/>
      <w:color w:val="auto"/>
      <w:sz w:val="16"/>
      <w:szCs w:val="16"/>
      <w:lang w:eastAsia="en-AU"/>
    </w:rPr>
  </w:style>
  <w:style w:type="paragraph" w:customStyle="1" w:styleId="xl74">
    <w:name w:val="xl74"/>
    <w:basedOn w:val="Normal"/>
    <w:rsid w:val="00265125"/>
    <w:pPr>
      <w:spacing w:before="100" w:beforeAutospacing="1" w:after="100" w:afterAutospacing="1" w:line="240" w:lineRule="auto"/>
      <w:textAlignment w:val="top"/>
    </w:pPr>
    <w:rPr>
      <w:rFonts w:ascii="Times New Roman" w:eastAsia="Times New Roman" w:hAnsi="Times New Roman"/>
      <w:color w:val="FF0000"/>
      <w:sz w:val="16"/>
      <w:szCs w:val="16"/>
      <w:lang w:eastAsia="en-AU"/>
    </w:rPr>
  </w:style>
  <w:style w:type="paragraph" w:customStyle="1" w:styleId="xl75">
    <w:name w:val="xl75"/>
    <w:basedOn w:val="Normal"/>
    <w:rsid w:val="00265125"/>
    <w:pPr>
      <w:shd w:val="clear" w:color="000000" w:fill="F2F2F2"/>
      <w:spacing w:before="100" w:beforeAutospacing="1" w:after="100" w:afterAutospacing="1" w:line="240" w:lineRule="auto"/>
      <w:textAlignment w:val="top"/>
    </w:pPr>
    <w:rPr>
      <w:rFonts w:ascii="Times New Roman" w:eastAsia="Times New Roman" w:hAnsi="Times New Roman"/>
      <w:color w:val="FF0000"/>
      <w:sz w:val="16"/>
      <w:szCs w:val="16"/>
      <w:lang w:eastAsia="en-AU"/>
    </w:rPr>
  </w:style>
  <w:style w:type="paragraph" w:styleId="FootnoteText">
    <w:name w:val="footnote text"/>
    <w:basedOn w:val="Normal"/>
    <w:link w:val="FootnoteTextChar"/>
    <w:uiPriority w:val="99"/>
    <w:semiHidden/>
    <w:unhideWhenUsed/>
    <w:rsid w:val="009226AF"/>
    <w:pPr>
      <w:spacing w:line="240" w:lineRule="auto"/>
    </w:pPr>
    <w:rPr>
      <w:sz w:val="20"/>
      <w:szCs w:val="20"/>
    </w:rPr>
  </w:style>
  <w:style w:type="character" w:customStyle="1" w:styleId="FootnoteTextChar">
    <w:name w:val="Footnote Text Char"/>
    <w:basedOn w:val="DefaultParagraphFont"/>
    <w:link w:val="FootnoteText"/>
    <w:uiPriority w:val="99"/>
    <w:semiHidden/>
    <w:rsid w:val="009226AF"/>
    <w:rPr>
      <w:rFonts w:eastAsia="Segoe UI" w:cs="Times New Roman"/>
      <w:color w:val="3C3D3C"/>
      <w:sz w:val="20"/>
      <w:szCs w:val="20"/>
    </w:rPr>
  </w:style>
  <w:style w:type="character" w:styleId="FootnoteReference">
    <w:name w:val="footnote reference"/>
    <w:basedOn w:val="DefaultParagraphFont"/>
    <w:uiPriority w:val="99"/>
    <w:semiHidden/>
    <w:unhideWhenUsed/>
    <w:rsid w:val="009226A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457892">
      <w:bodyDiv w:val="1"/>
      <w:marLeft w:val="0"/>
      <w:marRight w:val="0"/>
      <w:marTop w:val="0"/>
      <w:marBottom w:val="0"/>
      <w:divBdr>
        <w:top w:val="none" w:sz="0" w:space="0" w:color="auto"/>
        <w:left w:val="none" w:sz="0" w:space="0" w:color="auto"/>
        <w:bottom w:val="none" w:sz="0" w:space="0" w:color="auto"/>
        <w:right w:val="none" w:sz="0" w:space="0" w:color="auto"/>
      </w:divBdr>
    </w:div>
    <w:div w:id="299189330">
      <w:bodyDiv w:val="1"/>
      <w:marLeft w:val="0"/>
      <w:marRight w:val="0"/>
      <w:marTop w:val="0"/>
      <w:marBottom w:val="0"/>
      <w:divBdr>
        <w:top w:val="none" w:sz="0" w:space="0" w:color="auto"/>
        <w:left w:val="none" w:sz="0" w:space="0" w:color="auto"/>
        <w:bottom w:val="none" w:sz="0" w:space="0" w:color="auto"/>
        <w:right w:val="none" w:sz="0" w:space="0" w:color="auto"/>
      </w:divBdr>
    </w:div>
    <w:div w:id="329409897">
      <w:bodyDiv w:val="1"/>
      <w:marLeft w:val="0"/>
      <w:marRight w:val="0"/>
      <w:marTop w:val="0"/>
      <w:marBottom w:val="0"/>
      <w:divBdr>
        <w:top w:val="none" w:sz="0" w:space="0" w:color="auto"/>
        <w:left w:val="none" w:sz="0" w:space="0" w:color="auto"/>
        <w:bottom w:val="none" w:sz="0" w:space="0" w:color="auto"/>
        <w:right w:val="none" w:sz="0" w:space="0" w:color="auto"/>
      </w:divBdr>
    </w:div>
    <w:div w:id="332877702">
      <w:bodyDiv w:val="1"/>
      <w:marLeft w:val="0"/>
      <w:marRight w:val="0"/>
      <w:marTop w:val="0"/>
      <w:marBottom w:val="0"/>
      <w:divBdr>
        <w:top w:val="none" w:sz="0" w:space="0" w:color="auto"/>
        <w:left w:val="none" w:sz="0" w:space="0" w:color="auto"/>
        <w:bottom w:val="none" w:sz="0" w:space="0" w:color="auto"/>
        <w:right w:val="none" w:sz="0" w:space="0" w:color="auto"/>
      </w:divBdr>
    </w:div>
    <w:div w:id="392386116">
      <w:bodyDiv w:val="1"/>
      <w:marLeft w:val="0"/>
      <w:marRight w:val="0"/>
      <w:marTop w:val="0"/>
      <w:marBottom w:val="0"/>
      <w:divBdr>
        <w:top w:val="none" w:sz="0" w:space="0" w:color="auto"/>
        <w:left w:val="none" w:sz="0" w:space="0" w:color="auto"/>
        <w:bottom w:val="none" w:sz="0" w:space="0" w:color="auto"/>
        <w:right w:val="none" w:sz="0" w:space="0" w:color="auto"/>
      </w:divBdr>
    </w:div>
    <w:div w:id="569194704">
      <w:bodyDiv w:val="1"/>
      <w:marLeft w:val="0"/>
      <w:marRight w:val="0"/>
      <w:marTop w:val="0"/>
      <w:marBottom w:val="0"/>
      <w:divBdr>
        <w:top w:val="none" w:sz="0" w:space="0" w:color="auto"/>
        <w:left w:val="none" w:sz="0" w:space="0" w:color="auto"/>
        <w:bottom w:val="none" w:sz="0" w:space="0" w:color="auto"/>
        <w:right w:val="none" w:sz="0" w:space="0" w:color="auto"/>
      </w:divBdr>
    </w:div>
    <w:div w:id="604077007">
      <w:bodyDiv w:val="1"/>
      <w:marLeft w:val="0"/>
      <w:marRight w:val="0"/>
      <w:marTop w:val="0"/>
      <w:marBottom w:val="0"/>
      <w:divBdr>
        <w:top w:val="none" w:sz="0" w:space="0" w:color="auto"/>
        <w:left w:val="none" w:sz="0" w:space="0" w:color="auto"/>
        <w:bottom w:val="none" w:sz="0" w:space="0" w:color="auto"/>
        <w:right w:val="none" w:sz="0" w:space="0" w:color="auto"/>
      </w:divBdr>
    </w:div>
    <w:div w:id="620691737">
      <w:bodyDiv w:val="1"/>
      <w:marLeft w:val="0"/>
      <w:marRight w:val="0"/>
      <w:marTop w:val="0"/>
      <w:marBottom w:val="0"/>
      <w:divBdr>
        <w:top w:val="none" w:sz="0" w:space="0" w:color="auto"/>
        <w:left w:val="none" w:sz="0" w:space="0" w:color="auto"/>
        <w:bottom w:val="none" w:sz="0" w:space="0" w:color="auto"/>
        <w:right w:val="none" w:sz="0" w:space="0" w:color="auto"/>
      </w:divBdr>
    </w:div>
    <w:div w:id="631668675">
      <w:bodyDiv w:val="1"/>
      <w:marLeft w:val="0"/>
      <w:marRight w:val="0"/>
      <w:marTop w:val="0"/>
      <w:marBottom w:val="0"/>
      <w:divBdr>
        <w:top w:val="none" w:sz="0" w:space="0" w:color="auto"/>
        <w:left w:val="none" w:sz="0" w:space="0" w:color="auto"/>
        <w:bottom w:val="none" w:sz="0" w:space="0" w:color="auto"/>
        <w:right w:val="none" w:sz="0" w:space="0" w:color="auto"/>
      </w:divBdr>
      <w:divsChild>
        <w:div w:id="989596871">
          <w:marLeft w:val="0"/>
          <w:marRight w:val="0"/>
          <w:marTop w:val="0"/>
          <w:marBottom w:val="120"/>
          <w:divBdr>
            <w:top w:val="none" w:sz="0" w:space="0" w:color="auto"/>
            <w:left w:val="none" w:sz="0" w:space="0" w:color="auto"/>
            <w:bottom w:val="none" w:sz="0" w:space="0" w:color="auto"/>
            <w:right w:val="none" w:sz="0" w:space="0" w:color="auto"/>
          </w:divBdr>
          <w:divsChild>
            <w:div w:id="739710699">
              <w:marLeft w:val="0"/>
              <w:marRight w:val="0"/>
              <w:marTop w:val="0"/>
              <w:marBottom w:val="0"/>
              <w:divBdr>
                <w:top w:val="none" w:sz="0" w:space="0" w:color="auto"/>
                <w:left w:val="none" w:sz="0" w:space="0" w:color="auto"/>
                <w:bottom w:val="none" w:sz="0" w:space="0" w:color="auto"/>
                <w:right w:val="none" w:sz="0" w:space="0" w:color="auto"/>
              </w:divBdr>
              <w:divsChild>
                <w:div w:id="613634645">
                  <w:marLeft w:val="0"/>
                  <w:marRight w:val="0"/>
                  <w:marTop w:val="0"/>
                  <w:marBottom w:val="0"/>
                  <w:divBdr>
                    <w:top w:val="none" w:sz="0" w:space="0" w:color="auto"/>
                    <w:left w:val="none" w:sz="0" w:space="0" w:color="auto"/>
                    <w:bottom w:val="none" w:sz="0" w:space="0" w:color="auto"/>
                    <w:right w:val="none" w:sz="0" w:space="0" w:color="auto"/>
                  </w:divBdr>
                  <w:divsChild>
                    <w:div w:id="743530691">
                      <w:marLeft w:val="0"/>
                      <w:marRight w:val="75"/>
                      <w:marTop w:val="0"/>
                      <w:marBottom w:val="0"/>
                      <w:divBdr>
                        <w:top w:val="none" w:sz="0" w:space="0" w:color="auto"/>
                        <w:left w:val="none" w:sz="0" w:space="0" w:color="auto"/>
                        <w:bottom w:val="none" w:sz="0" w:space="0" w:color="auto"/>
                        <w:right w:val="none" w:sz="0" w:space="0" w:color="auto"/>
                      </w:divBdr>
                    </w:div>
                    <w:div w:id="761028868">
                      <w:marLeft w:val="0"/>
                      <w:marRight w:val="75"/>
                      <w:marTop w:val="0"/>
                      <w:marBottom w:val="0"/>
                      <w:divBdr>
                        <w:top w:val="none" w:sz="0" w:space="0" w:color="auto"/>
                        <w:left w:val="none" w:sz="0" w:space="0" w:color="auto"/>
                        <w:bottom w:val="none" w:sz="0" w:space="0" w:color="auto"/>
                        <w:right w:val="none" w:sz="0" w:space="0" w:color="auto"/>
                      </w:divBdr>
                    </w:div>
                    <w:div w:id="1906136694">
                      <w:marLeft w:val="0"/>
                      <w:marRight w:val="75"/>
                      <w:marTop w:val="0"/>
                      <w:marBottom w:val="0"/>
                      <w:divBdr>
                        <w:top w:val="none" w:sz="0" w:space="0" w:color="auto"/>
                        <w:left w:val="none" w:sz="0" w:space="0" w:color="auto"/>
                        <w:bottom w:val="none" w:sz="0" w:space="0" w:color="auto"/>
                        <w:right w:val="none" w:sz="0" w:space="0" w:color="auto"/>
                      </w:divBdr>
                    </w:div>
                    <w:div w:id="382799331">
                      <w:marLeft w:val="0"/>
                      <w:marRight w:val="75"/>
                      <w:marTop w:val="0"/>
                      <w:marBottom w:val="0"/>
                      <w:divBdr>
                        <w:top w:val="none" w:sz="0" w:space="0" w:color="auto"/>
                        <w:left w:val="none" w:sz="0" w:space="0" w:color="auto"/>
                        <w:bottom w:val="none" w:sz="0" w:space="0" w:color="auto"/>
                        <w:right w:val="none" w:sz="0" w:space="0" w:color="auto"/>
                      </w:divBdr>
                    </w:div>
                    <w:div w:id="1225068152">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85003416">
          <w:marLeft w:val="0"/>
          <w:marRight w:val="0"/>
          <w:marTop w:val="0"/>
          <w:marBottom w:val="120"/>
          <w:divBdr>
            <w:top w:val="none" w:sz="0" w:space="0" w:color="auto"/>
            <w:left w:val="none" w:sz="0" w:space="0" w:color="auto"/>
            <w:bottom w:val="none" w:sz="0" w:space="0" w:color="auto"/>
            <w:right w:val="none" w:sz="0" w:space="0" w:color="auto"/>
          </w:divBdr>
          <w:divsChild>
            <w:div w:id="65603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591183">
      <w:bodyDiv w:val="1"/>
      <w:marLeft w:val="0"/>
      <w:marRight w:val="0"/>
      <w:marTop w:val="0"/>
      <w:marBottom w:val="0"/>
      <w:divBdr>
        <w:top w:val="none" w:sz="0" w:space="0" w:color="auto"/>
        <w:left w:val="none" w:sz="0" w:space="0" w:color="auto"/>
        <w:bottom w:val="none" w:sz="0" w:space="0" w:color="auto"/>
        <w:right w:val="none" w:sz="0" w:space="0" w:color="auto"/>
      </w:divBdr>
    </w:div>
    <w:div w:id="721635020">
      <w:bodyDiv w:val="1"/>
      <w:marLeft w:val="0"/>
      <w:marRight w:val="0"/>
      <w:marTop w:val="0"/>
      <w:marBottom w:val="0"/>
      <w:divBdr>
        <w:top w:val="none" w:sz="0" w:space="0" w:color="auto"/>
        <w:left w:val="none" w:sz="0" w:space="0" w:color="auto"/>
        <w:bottom w:val="none" w:sz="0" w:space="0" w:color="auto"/>
        <w:right w:val="none" w:sz="0" w:space="0" w:color="auto"/>
      </w:divBdr>
    </w:div>
    <w:div w:id="893351215">
      <w:bodyDiv w:val="1"/>
      <w:marLeft w:val="0"/>
      <w:marRight w:val="0"/>
      <w:marTop w:val="0"/>
      <w:marBottom w:val="0"/>
      <w:divBdr>
        <w:top w:val="none" w:sz="0" w:space="0" w:color="auto"/>
        <w:left w:val="none" w:sz="0" w:space="0" w:color="auto"/>
        <w:bottom w:val="none" w:sz="0" w:space="0" w:color="auto"/>
        <w:right w:val="none" w:sz="0" w:space="0" w:color="auto"/>
      </w:divBdr>
    </w:div>
    <w:div w:id="893931551">
      <w:bodyDiv w:val="1"/>
      <w:marLeft w:val="0"/>
      <w:marRight w:val="0"/>
      <w:marTop w:val="0"/>
      <w:marBottom w:val="0"/>
      <w:divBdr>
        <w:top w:val="none" w:sz="0" w:space="0" w:color="auto"/>
        <w:left w:val="none" w:sz="0" w:space="0" w:color="auto"/>
        <w:bottom w:val="none" w:sz="0" w:space="0" w:color="auto"/>
        <w:right w:val="none" w:sz="0" w:space="0" w:color="auto"/>
      </w:divBdr>
    </w:div>
    <w:div w:id="906571748">
      <w:bodyDiv w:val="1"/>
      <w:marLeft w:val="0"/>
      <w:marRight w:val="0"/>
      <w:marTop w:val="0"/>
      <w:marBottom w:val="0"/>
      <w:divBdr>
        <w:top w:val="none" w:sz="0" w:space="0" w:color="auto"/>
        <w:left w:val="none" w:sz="0" w:space="0" w:color="auto"/>
        <w:bottom w:val="none" w:sz="0" w:space="0" w:color="auto"/>
        <w:right w:val="none" w:sz="0" w:space="0" w:color="auto"/>
      </w:divBdr>
    </w:div>
    <w:div w:id="966662590">
      <w:bodyDiv w:val="1"/>
      <w:marLeft w:val="0"/>
      <w:marRight w:val="0"/>
      <w:marTop w:val="0"/>
      <w:marBottom w:val="0"/>
      <w:divBdr>
        <w:top w:val="none" w:sz="0" w:space="0" w:color="auto"/>
        <w:left w:val="none" w:sz="0" w:space="0" w:color="auto"/>
        <w:bottom w:val="none" w:sz="0" w:space="0" w:color="auto"/>
        <w:right w:val="none" w:sz="0" w:space="0" w:color="auto"/>
      </w:divBdr>
    </w:div>
    <w:div w:id="982810353">
      <w:bodyDiv w:val="1"/>
      <w:marLeft w:val="0"/>
      <w:marRight w:val="0"/>
      <w:marTop w:val="0"/>
      <w:marBottom w:val="0"/>
      <w:divBdr>
        <w:top w:val="none" w:sz="0" w:space="0" w:color="auto"/>
        <w:left w:val="none" w:sz="0" w:space="0" w:color="auto"/>
        <w:bottom w:val="none" w:sz="0" w:space="0" w:color="auto"/>
        <w:right w:val="none" w:sz="0" w:space="0" w:color="auto"/>
      </w:divBdr>
    </w:div>
    <w:div w:id="1022437328">
      <w:bodyDiv w:val="1"/>
      <w:marLeft w:val="0"/>
      <w:marRight w:val="0"/>
      <w:marTop w:val="0"/>
      <w:marBottom w:val="0"/>
      <w:divBdr>
        <w:top w:val="none" w:sz="0" w:space="0" w:color="auto"/>
        <w:left w:val="none" w:sz="0" w:space="0" w:color="auto"/>
        <w:bottom w:val="none" w:sz="0" w:space="0" w:color="auto"/>
        <w:right w:val="none" w:sz="0" w:space="0" w:color="auto"/>
      </w:divBdr>
    </w:div>
    <w:div w:id="1039664587">
      <w:bodyDiv w:val="1"/>
      <w:marLeft w:val="0"/>
      <w:marRight w:val="0"/>
      <w:marTop w:val="0"/>
      <w:marBottom w:val="0"/>
      <w:divBdr>
        <w:top w:val="none" w:sz="0" w:space="0" w:color="auto"/>
        <w:left w:val="none" w:sz="0" w:space="0" w:color="auto"/>
        <w:bottom w:val="none" w:sz="0" w:space="0" w:color="auto"/>
        <w:right w:val="none" w:sz="0" w:space="0" w:color="auto"/>
      </w:divBdr>
    </w:div>
    <w:div w:id="1082751787">
      <w:bodyDiv w:val="1"/>
      <w:marLeft w:val="0"/>
      <w:marRight w:val="0"/>
      <w:marTop w:val="0"/>
      <w:marBottom w:val="0"/>
      <w:divBdr>
        <w:top w:val="none" w:sz="0" w:space="0" w:color="auto"/>
        <w:left w:val="none" w:sz="0" w:space="0" w:color="auto"/>
        <w:bottom w:val="none" w:sz="0" w:space="0" w:color="auto"/>
        <w:right w:val="none" w:sz="0" w:space="0" w:color="auto"/>
      </w:divBdr>
    </w:div>
    <w:div w:id="1097407276">
      <w:bodyDiv w:val="1"/>
      <w:marLeft w:val="0"/>
      <w:marRight w:val="0"/>
      <w:marTop w:val="0"/>
      <w:marBottom w:val="0"/>
      <w:divBdr>
        <w:top w:val="none" w:sz="0" w:space="0" w:color="auto"/>
        <w:left w:val="none" w:sz="0" w:space="0" w:color="auto"/>
        <w:bottom w:val="none" w:sz="0" w:space="0" w:color="auto"/>
        <w:right w:val="none" w:sz="0" w:space="0" w:color="auto"/>
      </w:divBdr>
    </w:div>
    <w:div w:id="1125730596">
      <w:bodyDiv w:val="1"/>
      <w:marLeft w:val="0"/>
      <w:marRight w:val="0"/>
      <w:marTop w:val="0"/>
      <w:marBottom w:val="0"/>
      <w:divBdr>
        <w:top w:val="none" w:sz="0" w:space="0" w:color="auto"/>
        <w:left w:val="none" w:sz="0" w:space="0" w:color="auto"/>
        <w:bottom w:val="none" w:sz="0" w:space="0" w:color="auto"/>
        <w:right w:val="none" w:sz="0" w:space="0" w:color="auto"/>
      </w:divBdr>
    </w:div>
    <w:div w:id="1190609273">
      <w:bodyDiv w:val="1"/>
      <w:marLeft w:val="0"/>
      <w:marRight w:val="0"/>
      <w:marTop w:val="0"/>
      <w:marBottom w:val="0"/>
      <w:divBdr>
        <w:top w:val="none" w:sz="0" w:space="0" w:color="auto"/>
        <w:left w:val="none" w:sz="0" w:space="0" w:color="auto"/>
        <w:bottom w:val="none" w:sz="0" w:space="0" w:color="auto"/>
        <w:right w:val="none" w:sz="0" w:space="0" w:color="auto"/>
      </w:divBdr>
    </w:div>
    <w:div w:id="1222138000">
      <w:bodyDiv w:val="1"/>
      <w:marLeft w:val="0"/>
      <w:marRight w:val="0"/>
      <w:marTop w:val="0"/>
      <w:marBottom w:val="0"/>
      <w:divBdr>
        <w:top w:val="none" w:sz="0" w:space="0" w:color="auto"/>
        <w:left w:val="none" w:sz="0" w:space="0" w:color="auto"/>
        <w:bottom w:val="none" w:sz="0" w:space="0" w:color="auto"/>
        <w:right w:val="none" w:sz="0" w:space="0" w:color="auto"/>
      </w:divBdr>
    </w:div>
    <w:div w:id="1395854428">
      <w:bodyDiv w:val="1"/>
      <w:marLeft w:val="0"/>
      <w:marRight w:val="0"/>
      <w:marTop w:val="0"/>
      <w:marBottom w:val="0"/>
      <w:divBdr>
        <w:top w:val="none" w:sz="0" w:space="0" w:color="auto"/>
        <w:left w:val="none" w:sz="0" w:space="0" w:color="auto"/>
        <w:bottom w:val="none" w:sz="0" w:space="0" w:color="auto"/>
        <w:right w:val="none" w:sz="0" w:space="0" w:color="auto"/>
      </w:divBdr>
    </w:div>
    <w:div w:id="1407455406">
      <w:bodyDiv w:val="1"/>
      <w:marLeft w:val="0"/>
      <w:marRight w:val="0"/>
      <w:marTop w:val="0"/>
      <w:marBottom w:val="0"/>
      <w:divBdr>
        <w:top w:val="none" w:sz="0" w:space="0" w:color="auto"/>
        <w:left w:val="none" w:sz="0" w:space="0" w:color="auto"/>
        <w:bottom w:val="none" w:sz="0" w:space="0" w:color="auto"/>
        <w:right w:val="none" w:sz="0" w:space="0" w:color="auto"/>
      </w:divBdr>
    </w:div>
    <w:div w:id="1420325760">
      <w:bodyDiv w:val="1"/>
      <w:marLeft w:val="0"/>
      <w:marRight w:val="0"/>
      <w:marTop w:val="0"/>
      <w:marBottom w:val="0"/>
      <w:divBdr>
        <w:top w:val="none" w:sz="0" w:space="0" w:color="auto"/>
        <w:left w:val="none" w:sz="0" w:space="0" w:color="auto"/>
        <w:bottom w:val="none" w:sz="0" w:space="0" w:color="auto"/>
        <w:right w:val="none" w:sz="0" w:space="0" w:color="auto"/>
      </w:divBdr>
    </w:div>
    <w:div w:id="1424186677">
      <w:bodyDiv w:val="1"/>
      <w:marLeft w:val="0"/>
      <w:marRight w:val="0"/>
      <w:marTop w:val="0"/>
      <w:marBottom w:val="0"/>
      <w:divBdr>
        <w:top w:val="none" w:sz="0" w:space="0" w:color="auto"/>
        <w:left w:val="none" w:sz="0" w:space="0" w:color="auto"/>
        <w:bottom w:val="none" w:sz="0" w:space="0" w:color="auto"/>
        <w:right w:val="none" w:sz="0" w:space="0" w:color="auto"/>
      </w:divBdr>
    </w:div>
    <w:div w:id="1442844619">
      <w:bodyDiv w:val="1"/>
      <w:marLeft w:val="0"/>
      <w:marRight w:val="0"/>
      <w:marTop w:val="0"/>
      <w:marBottom w:val="0"/>
      <w:divBdr>
        <w:top w:val="none" w:sz="0" w:space="0" w:color="auto"/>
        <w:left w:val="none" w:sz="0" w:space="0" w:color="auto"/>
        <w:bottom w:val="none" w:sz="0" w:space="0" w:color="auto"/>
        <w:right w:val="none" w:sz="0" w:space="0" w:color="auto"/>
      </w:divBdr>
    </w:div>
    <w:div w:id="1473864626">
      <w:bodyDiv w:val="1"/>
      <w:marLeft w:val="0"/>
      <w:marRight w:val="0"/>
      <w:marTop w:val="0"/>
      <w:marBottom w:val="0"/>
      <w:divBdr>
        <w:top w:val="none" w:sz="0" w:space="0" w:color="auto"/>
        <w:left w:val="none" w:sz="0" w:space="0" w:color="auto"/>
        <w:bottom w:val="none" w:sz="0" w:space="0" w:color="auto"/>
        <w:right w:val="none" w:sz="0" w:space="0" w:color="auto"/>
      </w:divBdr>
    </w:div>
    <w:div w:id="1670020852">
      <w:bodyDiv w:val="1"/>
      <w:marLeft w:val="0"/>
      <w:marRight w:val="0"/>
      <w:marTop w:val="0"/>
      <w:marBottom w:val="0"/>
      <w:divBdr>
        <w:top w:val="none" w:sz="0" w:space="0" w:color="auto"/>
        <w:left w:val="none" w:sz="0" w:space="0" w:color="auto"/>
        <w:bottom w:val="none" w:sz="0" w:space="0" w:color="auto"/>
        <w:right w:val="none" w:sz="0" w:space="0" w:color="auto"/>
      </w:divBdr>
    </w:div>
    <w:div w:id="1786459361">
      <w:bodyDiv w:val="1"/>
      <w:marLeft w:val="0"/>
      <w:marRight w:val="0"/>
      <w:marTop w:val="0"/>
      <w:marBottom w:val="0"/>
      <w:divBdr>
        <w:top w:val="none" w:sz="0" w:space="0" w:color="auto"/>
        <w:left w:val="none" w:sz="0" w:space="0" w:color="auto"/>
        <w:bottom w:val="none" w:sz="0" w:space="0" w:color="auto"/>
        <w:right w:val="none" w:sz="0" w:space="0" w:color="auto"/>
      </w:divBdr>
    </w:div>
    <w:div w:id="2050883734">
      <w:bodyDiv w:val="1"/>
      <w:marLeft w:val="0"/>
      <w:marRight w:val="0"/>
      <w:marTop w:val="0"/>
      <w:marBottom w:val="0"/>
      <w:divBdr>
        <w:top w:val="none" w:sz="0" w:space="0" w:color="auto"/>
        <w:left w:val="none" w:sz="0" w:space="0" w:color="auto"/>
        <w:bottom w:val="none" w:sz="0" w:space="0" w:color="auto"/>
        <w:right w:val="none" w:sz="0" w:space="0" w:color="auto"/>
      </w:divBdr>
    </w:div>
    <w:div w:id="2144689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4.tif"/><Relationship Id="rId7" Type="http://schemas.openxmlformats.org/officeDocument/2006/relationships/footer" Target="footer1.xml"/><Relationship Id="rId12" Type="http://schemas.openxmlformats.org/officeDocument/2006/relationships/image" Target="media/image5.tif"/><Relationship Id="rId17" Type="http://schemas.openxmlformats.org/officeDocument/2006/relationships/image" Target="media/image10.tif"/><Relationship Id="rId25" Type="http://schemas.openxmlformats.org/officeDocument/2006/relationships/image" Target="media/image18.tif"/><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footnotes" Target="footnotes.xml"/><Relationship Id="rId15" Type="http://schemas.openxmlformats.org/officeDocument/2006/relationships/image" Target="media/image8.tif"/><Relationship Id="rId23" Type="http://schemas.openxmlformats.org/officeDocument/2006/relationships/image" Target="media/image16.tif"/><Relationship Id="rId28" Type="http://schemas.openxmlformats.org/officeDocument/2006/relationships/fontTable" Target="fontTable.xml"/><Relationship Id="rId10" Type="http://schemas.openxmlformats.org/officeDocument/2006/relationships/image" Target="media/image3.tif"/><Relationship Id="rId19" Type="http://schemas.openxmlformats.org/officeDocument/2006/relationships/image" Target="media/image12.tif"/><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DC3F63-7125-4648-A107-F747DF38E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34072</TotalTime>
  <Pages>37</Pages>
  <Words>13237</Words>
  <Characters>75456</Characters>
  <Application>Microsoft Office Word</Application>
  <DocSecurity>0</DocSecurity>
  <Lines>628</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Skinner</dc:creator>
  <cp:keywords/>
  <dc:description/>
  <cp:lastModifiedBy>Adam Skinner</cp:lastModifiedBy>
  <cp:revision>4396</cp:revision>
  <dcterms:created xsi:type="dcterms:W3CDTF">2020-03-30T22:34:00Z</dcterms:created>
  <dcterms:modified xsi:type="dcterms:W3CDTF">2024-01-22T04:33:00Z</dcterms:modified>
</cp:coreProperties>
</file>