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9.xml" ContentType="application/vnd.openxmlformats-officedocument.drawingml.chart+xml"/>
  <Override PartName="/word/charts/style8.xml" ContentType="application/vnd.ms-office.chartstyle+xml"/>
  <Override PartName="/word/charts/colors8.xml" ContentType="application/vnd.ms-office.chartcolorstyle+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drawings/drawing1.xml" ContentType="application/vnd.openxmlformats-officedocument.drawingml.chartshapes+xml"/>
  <Override PartName="/word/charts/chart11.xml" ContentType="application/vnd.openxmlformats-officedocument.drawingml.chart+xml"/>
  <Override PartName="/word/charts/style10.xml" ContentType="application/vnd.ms-office.chartstyle+xml"/>
  <Override PartName="/word/charts/colors10.xml" ContentType="application/vnd.ms-office.chartcolorstyle+xml"/>
  <Override PartName="/word/drawings/drawing2.xml" ContentType="application/vnd.openxmlformats-officedocument.drawingml.chartshapes+xml"/>
  <Override PartName="/word/charts/chart12.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3.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4.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5.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6.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7.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8.xml" ContentType="application/vnd.openxmlformats-officedocument.drawingml.chart+xml"/>
  <Override PartName="/word/charts/style17.xml" ContentType="application/vnd.ms-office.chartstyle+xml"/>
  <Override PartName="/word/charts/colors17.xml" ContentType="application/vnd.ms-office.chartcolorstyle+xml"/>
  <Override PartName="/word/theme/themeOverride2.xml" ContentType="application/vnd.openxmlformats-officedocument.themeOverride+xml"/>
  <Override PartName="/word/charts/chart19.xml" ContentType="application/vnd.openxmlformats-officedocument.drawingml.chart+xml"/>
  <Override PartName="/word/charts/style18.xml" ContentType="application/vnd.ms-office.chartstyle+xml"/>
  <Override PartName="/word/charts/colors18.xml" ContentType="application/vnd.ms-office.chartcolorstyle+xml"/>
  <Override PartName="/word/theme/themeOverride3.xml" ContentType="application/vnd.openxmlformats-officedocument.themeOverride+xml"/>
  <Override PartName="/word/charts/chart20.xml" ContentType="application/vnd.openxmlformats-officedocument.drawingml.chart+xml"/>
  <Override PartName="/word/charts/style19.xml" ContentType="application/vnd.ms-office.chartstyle+xml"/>
  <Override PartName="/word/charts/colors19.xml" ContentType="application/vnd.ms-office.chartcolorstyle+xml"/>
  <Override PartName="/word/theme/themeOverride4.xml" ContentType="application/vnd.openxmlformats-officedocument.themeOverride+xml"/>
  <Override PartName="/word/charts/chart21.xml" ContentType="application/vnd.openxmlformats-officedocument.drawingml.chart+xml"/>
  <Override PartName="/word/charts/style20.xml" ContentType="application/vnd.ms-office.chartstyle+xml"/>
  <Override PartName="/word/charts/colors20.xml" ContentType="application/vnd.ms-office.chartcolorstyle+xml"/>
  <Override PartName="/word/theme/themeOverride5.xml" ContentType="application/vnd.openxmlformats-officedocument.themeOverrid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C0FA34" w14:textId="77777777" w:rsidR="00E907D6" w:rsidRPr="00E907D6" w:rsidRDefault="00E907D6" w:rsidP="000B63F3">
      <w:pPr>
        <w:pStyle w:val="BodyText"/>
        <w:spacing w:line="240" w:lineRule="auto"/>
        <w:ind w:firstLine="720"/>
        <w:jc w:val="center"/>
        <w:rPr>
          <w:b/>
          <w:bCs/>
        </w:rPr>
      </w:pPr>
      <w:r w:rsidRPr="00E907D6">
        <w:rPr>
          <w:b/>
          <w:bCs/>
        </w:rPr>
        <w:t>Supplementary Material</w:t>
      </w:r>
      <w:r w:rsidRPr="00E907D6">
        <w:rPr>
          <w:b/>
          <w:bCs/>
        </w:rPr>
        <w:t xml:space="preserve"> </w:t>
      </w:r>
    </w:p>
    <w:p w14:paraId="54C2544C" w14:textId="77777777" w:rsidR="00E907D6" w:rsidRDefault="00E907D6" w:rsidP="000B63F3">
      <w:pPr>
        <w:pStyle w:val="BodyText"/>
        <w:spacing w:line="240" w:lineRule="auto"/>
        <w:ind w:firstLine="720"/>
        <w:jc w:val="center"/>
        <w:rPr>
          <w:b/>
          <w:bCs/>
        </w:rPr>
      </w:pPr>
    </w:p>
    <w:p w14:paraId="421C7584" w14:textId="294B9C92" w:rsidR="000B63F3" w:rsidRDefault="000B63F3" w:rsidP="000B63F3">
      <w:pPr>
        <w:pStyle w:val="BodyText"/>
        <w:spacing w:line="240" w:lineRule="auto"/>
        <w:ind w:firstLine="720"/>
        <w:jc w:val="center"/>
        <w:rPr>
          <w:b/>
          <w:bCs/>
        </w:rPr>
      </w:pPr>
      <w:r w:rsidRPr="003F6356">
        <w:rPr>
          <w:b/>
          <w:bCs/>
        </w:rPr>
        <w:t>High Costs of GHG Abatement with Electrifying the Light-Duty Vehicle Fleet</w:t>
      </w:r>
      <w:r>
        <w:rPr>
          <w:b/>
          <w:bCs/>
        </w:rPr>
        <w:t xml:space="preserve"> with Heterogeneous Preferences of Vehicle Consumers</w:t>
      </w:r>
    </w:p>
    <w:p w14:paraId="0608EA43" w14:textId="77777777" w:rsidR="000B63F3" w:rsidRPr="003F6356" w:rsidRDefault="000B63F3" w:rsidP="000B63F3">
      <w:pPr>
        <w:pStyle w:val="BodyText"/>
        <w:spacing w:line="240" w:lineRule="auto"/>
        <w:ind w:firstLine="720"/>
        <w:jc w:val="center"/>
        <w:rPr>
          <w:b/>
          <w:bCs/>
          <w:caps/>
        </w:rPr>
      </w:pPr>
    </w:p>
    <w:p w14:paraId="3A24A7C3" w14:textId="77777777" w:rsidR="000B63F3" w:rsidRPr="00687644" w:rsidRDefault="000B63F3" w:rsidP="000B63F3">
      <w:pPr>
        <w:spacing w:line="240" w:lineRule="auto"/>
        <w:ind w:firstLine="720"/>
        <w:jc w:val="center"/>
      </w:pPr>
      <w:r w:rsidRPr="00687644">
        <w:t>Jia Zhong, Madhu Khanna</w:t>
      </w:r>
      <w:r>
        <w:t>, Kalai Ramea</w:t>
      </w:r>
    </w:p>
    <w:p w14:paraId="17B8B415" w14:textId="78C72C2C" w:rsidR="006A5A36" w:rsidRDefault="00C814B9" w:rsidP="006A5A36">
      <w:pPr>
        <w:pStyle w:val="Heading1"/>
        <w:numPr>
          <w:ilvl w:val="0"/>
          <w:numId w:val="0"/>
        </w:numPr>
        <w:spacing w:after="0" w:line="240" w:lineRule="auto"/>
        <w:ind w:left="432" w:hanging="432"/>
        <w:jc w:val="center"/>
      </w:pPr>
      <w:r>
        <w:tab/>
      </w:r>
    </w:p>
    <w:p w14:paraId="1549EA10" w14:textId="2933C971" w:rsidR="00D56BE5" w:rsidRDefault="003E72A2" w:rsidP="00831C31">
      <w:pPr>
        <w:spacing w:line="240" w:lineRule="auto"/>
        <w:ind w:right="-270"/>
        <w:rPr>
          <w:noProof/>
          <w:lang w:eastAsia="en-US"/>
        </w:rPr>
      </w:pPr>
      <w:r>
        <w:rPr>
          <w:lang w:eastAsia="en-US"/>
        </w:rPr>
        <w:t>BEPAM-V is a partial equilibrium, open economy, multi-period model of the agricultural, transportation and electricity sectors with a vehicle choice module.</w:t>
      </w:r>
      <w:r w:rsidR="00557366">
        <w:rPr>
          <w:lang w:eastAsia="en-US"/>
        </w:rPr>
        <w:t xml:space="preserve"> The green boxes below describe </w:t>
      </w:r>
      <w:r w:rsidR="00EC0A8B">
        <w:rPr>
          <w:lang w:eastAsia="en-US"/>
        </w:rPr>
        <w:t>exogenously specified determinants of demand in the three sectors.</w:t>
      </w:r>
      <w:r>
        <w:rPr>
          <w:lang w:eastAsia="en-US"/>
        </w:rPr>
        <w:t xml:space="preserve"> </w:t>
      </w:r>
      <w:r w:rsidR="001D467E">
        <w:rPr>
          <w:lang w:eastAsia="en-US"/>
        </w:rPr>
        <w:t xml:space="preserve">The agricultural and electricity sectors assume </w:t>
      </w:r>
      <w:r w:rsidR="00A52A58">
        <w:rPr>
          <w:lang w:eastAsia="en-US"/>
        </w:rPr>
        <w:t xml:space="preserve">a nationally representative consumer with a </w:t>
      </w:r>
      <w:r w:rsidR="00D55F12">
        <w:rPr>
          <w:lang w:eastAsia="en-US"/>
        </w:rPr>
        <w:t>downward-</w:t>
      </w:r>
      <w:r w:rsidR="00A52A58">
        <w:rPr>
          <w:lang w:eastAsia="en-US"/>
        </w:rPr>
        <w:t>sloping demand curve.</w:t>
      </w:r>
      <w:r w:rsidR="009A7A1A">
        <w:rPr>
          <w:lang w:eastAsia="en-US"/>
        </w:rPr>
        <w:t xml:space="preserve"> The transportation sector</w:t>
      </w:r>
      <w:r w:rsidR="00D55F12">
        <w:rPr>
          <w:lang w:eastAsia="en-US"/>
        </w:rPr>
        <w:t xml:space="preserve"> (including the fuel sector and vehicle choice module)</w:t>
      </w:r>
      <w:r w:rsidR="00BD06DB">
        <w:rPr>
          <w:lang w:eastAsia="en-US"/>
        </w:rPr>
        <w:t xml:space="preserve"> considers heterogen</w:t>
      </w:r>
      <w:r w:rsidR="00D55F12">
        <w:rPr>
          <w:lang w:eastAsia="en-US"/>
        </w:rPr>
        <w:t>e</w:t>
      </w:r>
      <w:r w:rsidR="00BD06DB">
        <w:rPr>
          <w:lang w:eastAsia="en-US"/>
        </w:rPr>
        <w:t>ous consumers that differ in their driving characteristics, vehicle stock</w:t>
      </w:r>
      <w:r w:rsidR="00D55F12">
        <w:rPr>
          <w:lang w:eastAsia="en-US"/>
        </w:rPr>
        <w:t xml:space="preserve"> ages</w:t>
      </w:r>
      <w:r w:rsidR="00BD06DB">
        <w:rPr>
          <w:lang w:eastAsia="en-US"/>
        </w:rPr>
        <w:t xml:space="preserve">, </w:t>
      </w:r>
      <w:r w:rsidR="00937B3B">
        <w:rPr>
          <w:lang w:eastAsia="en-US"/>
        </w:rPr>
        <w:t>geographical location, access to charging stations</w:t>
      </w:r>
      <w:r w:rsidR="00500C0F">
        <w:rPr>
          <w:lang w:eastAsia="en-US"/>
        </w:rPr>
        <w:t xml:space="preserve"> and idiosyncratic preferences. </w:t>
      </w:r>
      <w:r w:rsidR="004F0491">
        <w:rPr>
          <w:lang w:eastAsia="en-US"/>
        </w:rPr>
        <w:t>The yellow boxes indicate the</w:t>
      </w:r>
      <w:r w:rsidR="00D2194C">
        <w:rPr>
          <w:lang w:eastAsia="en-US"/>
        </w:rPr>
        <w:t xml:space="preserve"> costs of production (or the supply side of the model) in the three sectors</w:t>
      </w:r>
      <w:r w:rsidR="0027502B">
        <w:rPr>
          <w:lang w:eastAsia="en-US"/>
        </w:rPr>
        <w:t>. We assume that existing policies in the fuel and electricity sector</w:t>
      </w:r>
      <w:r w:rsidR="00911A6A">
        <w:rPr>
          <w:lang w:eastAsia="en-US"/>
        </w:rPr>
        <w:t xml:space="preserve"> (the Renewable Fuel Standard and the Renewable Portfolio Standard)</w:t>
      </w:r>
      <w:r w:rsidR="0027502B">
        <w:rPr>
          <w:lang w:eastAsia="en-US"/>
        </w:rPr>
        <w:t xml:space="preserve"> </w:t>
      </w:r>
      <w:r w:rsidR="00911A6A">
        <w:rPr>
          <w:lang w:eastAsia="en-US"/>
        </w:rPr>
        <w:t>prevail</w:t>
      </w:r>
      <w:r w:rsidR="00A57FCF">
        <w:rPr>
          <w:lang w:eastAsia="en-US"/>
        </w:rPr>
        <w:t xml:space="preserve"> and analyze the effects of alternative policy scenarios related to EVs in the transportation sector.</w:t>
      </w:r>
      <w:r w:rsidR="0050593D">
        <w:rPr>
          <w:lang w:eastAsia="en-US"/>
        </w:rPr>
        <w:t xml:space="preserve"> The model endogenously determines the </w:t>
      </w:r>
      <w:r w:rsidR="007204A4">
        <w:rPr>
          <w:lang w:eastAsia="en-US"/>
        </w:rPr>
        <w:t xml:space="preserve">equilibrium </w:t>
      </w:r>
      <w:r w:rsidR="00D73875">
        <w:rPr>
          <w:lang w:eastAsia="en-US"/>
        </w:rPr>
        <w:t>prices</w:t>
      </w:r>
      <w:r w:rsidR="00F76A32">
        <w:rPr>
          <w:lang w:eastAsia="en-US"/>
        </w:rPr>
        <w:t xml:space="preserve"> and</w:t>
      </w:r>
      <w:r w:rsidR="00D73875">
        <w:rPr>
          <w:lang w:eastAsia="en-US"/>
        </w:rPr>
        <w:t xml:space="preserve"> quantities</w:t>
      </w:r>
      <w:r w:rsidR="00F76A32">
        <w:rPr>
          <w:lang w:eastAsia="en-US"/>
        </w:rPr>
        <w:t xml:space="preserve"> in the three sectors, the mix of vehicles in new sales</w:t>
      </w:r>
      <w:r w:rsidR="009919E5">
        <w:rPr>
          <w:lang w:eastAsia="en-US"/>
        </w:rPr>
        <w:t xml:space="preserve"> and in the vehicle stock that maximize the present value of the social welfare</w:t>
      </w:r>
      <w:r w:rsidR="007658B8">
        <w:rPr>
          <w:lang w:eastAsia="en-US"/>
        </w:rPr>
        <w:t xml:space="preserve"> </w:t>
      </w:r>
      <w:r w:rsidR="009919E5">
        <w:rPr>
          <w:lang w:eastAsia="en-US"/>
        </w:rPr>
        <w:t>in the three sectors subject to technology, material balance and policy constraint</w:t>
      </w:r>
      <w:r w:rsidR="002D3621">
        <w:rPr>
          <w:lang w:eastAsia="en-US"/>
        </w:rPr>
        <w:t xml:space="preserve"> in each policy scenario</w:t>
      </w:r>
      <w:r w:rsidR="009919E5">
        <w:rPr>
          <w:lang w:eastAsia="en-US"/>
        </w:rPr>
        <w:t xml:space="preserve">. </w:t>
      </w:r>
      <w:r w:rsidR="002D3621">
        <w:rPr>
          <w:lang w:eastAsia="en-US"/>
        </w:rPr>
        <w:t xml:space="preserve">We </w:t>
      </w:r>
      <w:r w:rsidR="00ED2D7D">
        <w:rPr>
          <w:lang w:eastAsia="en-US"/>
        </w:rPr>
        <w:t xml:space="preserve">compare the </w:t>
      </w:r>
      <w:r w:rsidR="002D3621">
        <w:rPr>
          <w:lang w:eastAsia="en-US"/>
        </w:rPr>
        <w:t>change in</w:t>
      </w:r>
      <w:r w:rsidR="00ED2D7D">
        <w:rPr>
          <w:lang w:eastAsia="en-US"/>
        </w:rPr>
        <w:t xml:space="preserve"> social welfare</w:t>
      </w:r>
      <w:r w:rsidR="002D3621">
        <w:rPr>
          <w:lang w:eastAsia="en-US"/>
        </w:rPr>
        <w:t xml:space="preserve"> </w:t>
      </w:r>
      <w:r w:rsidR="007658B8">
        <w:rPr>
          <w:lang w:eastAsia="en-US"/>
        </w:rPr>
        <w:t>and</w:t>
      </w:r>
      <w:r w:rsidR="00F76A32">
        <w:rPr>
          <w:lang w:eastAsia="en-US"/>
        </w:rPr>
        <w:t xml:space="preserve"> greenhouse gas emissions</w:t>
      </w:r>
      <w:r w:rsidR="00ED2D7D">
        <w:rPr>
          <w:lang w:eastAsia="en-US"/>
        </w:rPr>
        <w:t xml:space="preserve"> in each policy scenario relative to the baseline scenario and determine the welfare cost of </w:t>
      </w:r>
      <w:r w:rsidR="00831C31">
        <w:rPr>
          <w:lang w:eastAsia="en-US"/>
        </w:rPr>
        <w:t>abatement.</w:t>
      </w:r>
      <w:r w:rsidR="00D55F12">
        <w:rPr>
          <w:lang w:eastAsia="en-US"/>
        </w:rPr>
        <w:t xml:space="preserve"> </w:t>
      </w:r>
    </w:p>
    <w:p w14:paraId="23E154A2" w14:textId="172C5C06" w:rsidR="006A5A36" w:rsidRDefault="00D56BE5" w:rsidP="00D56BE5">
      <w:pPr>
        <w:spacing w:line="240" w:lineRule="auto"/>
        <w:ind w:right="-270" w:firstLine="0"/>
        <w:rPr>
          <w:lang w:eastAsia="en-US"/>
        </w:rPr>
      </w:pPr>
      <w:r>
        <w:rPr>
          <w:noProof/>
          <w:lang w:eastAsia="en-US"/>
        </w:rPr>
        <w:drawing>
          <wp:inline distT="0" distB="0" distL="0" distR="0" wp14:anchorId="5F9A3780" wp14:editId="44F6F148">
            <wp:extent cx="6207914" cy="3569817"/>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25538" cy="3579951"/>
                    </a:xfrm>
                    <a:prstGeom prst="rect">
                      <a:avLst/>
                    </a:prstGeom>
                    <a:noFill/>
                  </pic:spPr>
                </pic:pic>
              </a:graphicData>
            </a:graphic>
          </wp:inline>
        </w:drawing>
      </w:r>
      <w:r w:rsidR="00ED2D7D">
        <w:rPr>
          <w:lang w:eastAsia="en-US"/>
        </w:rPr>
        <w:t xml:space="preserve"> </w:t>
      </w:r>
    </w:p>
    <w:p w14:paraId="16520B70" w14:textId="2D472771" w:rsidR="00665FEF" w:rsidRPr="0059717B" w:rsidRDefault="00665FEF" w:rsidP="00665FEF">
      <w:pPr>
        <w:spacing w:line="240" w:lineRule="auto"/>
        <w:ind w:right="-1350" w:firstLine="0"/>
        <w:rPr>
          <w:b/>
          <w:bCs/>
        </w:rPr>
      </w:pPr>
      <w:r w:rsidRPr="0059717B">
        <w:rPr>
          <w:b/>
          <w:bCs/>
        </w:rPr>
        <w:t xml:space="preserve">Figure </w:t>
      </w:r>
      <w:r>
        <w:rPr>
          <w:b/>
          <w:bCs/>
        </w:rPr>
        <w:t>A</w:t>
      </w:r>
      <w:r w:rsidRPr="0059717B">
        <w:rPr>
          <w:b/>
          <w:bCs/>
        </w:rPr>
        <w:t>1</w:t>
      </w:r>
      <w:r>
        <w:rPr>
          <w:b/>
          <w:bCs/>
        </w:rPr>
        <w:t xml:space="preserve">:  </w:t>
      </w:r>
      <w:r w:rsidRPr="0059717B">
        <w:rPr>
          <w:b/>
          <w:bCs/>
        </w:rPr>
        <w:t>Biofuel and Environmental Policy Analysis Model with Vehicle Choice</w:t>
      </w:r>
      <w:r>
        <w:rPr>
          <w:b/>
          <w:bCs/>
        </w:rPr>
        <w:t xml:space="preserve"> </w:t>
      </w:r>
      <w:r w:rsidRPr="0059717B">
        <w:rPr>
          <w:b/>
          <w:bCs/>
        </w:rPr>
        <w:t>(BEPAM-V)</w:t>
      </w:r>
    </w:p>
    <w:p w14:paraId="56A2ADA2" w14:textId="77777777" w:rsidR="005549AC" w:rsidRDefault="005549AC" w:rsidP="005549AC">
      <w:pPr>
        <w:spacing w:line="259" w:lineRule="auto"/>
        <w:ind w:firstLine="0"/>
        <w:rPr>
          <w:b/>
          <w:bCs/>
        </w:rPr>
      </w:pPr>
      <w:bookmarkStart w:id="0" w:name="_Toc380753898"/>
      <w:bookmarkStart w:id="1" w:name="_Toc382789709"/>
    </w:p>
    <w:p w14:paraId="770B6B23" w14:textId="207C7274" w:rsidR="00D55F12" w:rsidRPr="00411587" w:rsidRDefault="000D13DD" w:rsidP="000D13DD">
      <w:pPr>
        <w:spacing w:line="259" w:lineRule="auto"/>
        <w:ind w:firstLine="720"/>
      </w:pPr>
      <w:r>
        <w:lastRenderedPageBreak/>
        <w:t>The f</w:t>
      </w:r>
      <w:r w:rsidR="00D55F12" w:rsidRPr="00411587">
        <w:t xml:space="preserve">our </w:t>
      </w:r>
      <w:r w:rsidR="00D55F12">
        <w:t xml:space="preserve">scenarios </w:t>
      </w:r>
      <w:r>
        <w:t xml:space="preserve">simulated here </w:t>
      </w:r>
      <w:r w:rsidR="00D55F12">
        <w:rPr>
          <w:rFonts w:hint="eastAsia"/>
        </w:rPr>
        <w:t>are</w:t>
      </w:r>
      <w:r w:rsidR="00D55F12">
        <w:t xml:space="preserve"> listed in Table A2 to examine the policy effectiveness of two policies independently and jointly relative to the baseline scenario: 1) </w:t>
      </w:r>
      <w:r w:rsidR="00D55F12" w:rsidRPr="002D0231">
        <w:t xml:space="preserve">Clean Vehicle (EV) Tax Credit and </w:t>
      </w:r>
      <w:r w:rsidR="00D55F12">
        <w:t xml:space="preserve">2) </w:t>
      </w:r>
      <w:r w:rsidR="00D55F12" w:rsidRPr="002D0231">
        <w:t>increased access to public charging stations</w:t>
      </w:r>
      <w:r w:rsidR="00D55F12">
        <w:t xml:space="preserve">. </w:t>
      </w:r>
    </w:p>
    <w:p w14:paraId="552D0C41" w14:textId="39EBF45F" w:rsidR="005549AC" w:rsidRPr="00C54377" w:rsidRDefault="005549AC" w:rsidP="005549AC">
      <w:pPr>
        <w:spacing w:line="259" w:lineRule="auto"/>
        <w:ind w:firstLine="0"/>
        <w:rPr>
          <w:b/>
          <w:bCs/>
        </w:rPr>
      </w:pPr>
      <w:r w:rsidRPr="00C54377">
        <w:rPr>
          <w:b/>
          <w:bCs/>
        </w:rPr>
        <w:t>Table A2: Policy Scenarios</w:t>
      </w:r>
    </w:p>
    <w:tbl>
      <w:tblPr>
        <w:tblStyle w:val="TableGrid"/>
        <w:tblW w:w="9265" w:type="dxa"/>
        <w:tblLook w:val="04A0" w:firstRow="1" w:lastRow="0" w:firstColumn="1" w:lastColumn="0" w:noHBand="0" w:noVBand="1"/>
      </w:tblPr>
      <w:tblGrid>
        <w:gridCol w:w="2425"/>
        <w:gridCol w:w="6840"/>
      </w:tblGrid>
      <w:tr w:rsidR="005549AC" w:rsidRPr="00C54377" w14:paraId="333D3E5B" w14:textId="77777777" w:rsidTr="00C54377">
        <w:tc>
          <w:tcPr>
            <w:tcW w:w="2425" w:type="dxa"/>
          </w:tcPr>
          <w:p w14:paraId="3C3BEB96" w14:textId="77777777" w:rsidR="005549AC" w:rsidRPr="00C54377" w:rsidRDefault="005549AC" w:rsidP="00961ED9">
            <w:pPr>
              <w:spacing w:line="259" w:lineRule="auto"/>
              <w:ind w:firstLine="0"/>
              <w:rPr>
                <w:b/>
                <w:bCs/>
              </w:rPr>
            </w:pPr>
            <w:r w:rsidRPr="00C54377">
              <w:rPr>
                <w:b/>
                <w:bCs/>
              </w:rPr>
              <w:t>Scenarios</w:t>
            </w:r>
          </w:p>
        </w:tc>
        <w:tc>
          <w:tcPr>
            <w:tcW w:w="6840" w:type="dxa"/>
          </w:tcPr>
          <w:p w14:paraId="628C1638" w14:textId="06500793" w:rsidR="005549AC" w:rsidRPr="000D13DD" w:rsidRDefault="00D55F12" w:rsidP="005549AC">
            <w:pPr>
              <w:spacing w:line="259" w:lineRule="auto"/>
              <w:ind w:firstLine="0"/>
              <w:rPr>
                <w:b/>
                <w:bCs/>
              </w:rPr>
            </w:pPr>
            <w:r w:rsidRPr="000D13DD">
              <w:rPr>
                <w:b/>
                <w:bCs/>
              </w:rPr>
              <w:t>Description</w:t>
            </w:r>
          </w:p>
        </w:tc>
      </w:tr>
      <w:tr w:rsidR="005549AC" w:rsidRPr="00C54377" w14:paraId="5E21BFC5" w14:textId="77777777" w:rsidTr="00C54377">
        <w:tc>
          <w:tcPr>
            <w:tcW w:w="2425" w:type="dxa"/>
          </w:tcPr>
          <w:p w14:paraId="4F8E04FF" w14:textId="77777777" w:rsidR="005549AC" w:rsidRPr="00C54377" w:rsidRDefault="005549AC" w:rsidP="00961ED9">
            <w:pPr>
              <w:spacing w:line="259" w:lineRule="auto"/>
              <w:ind w:firstLine="0"/>
            </w:pPr>
            <w:r w:rsidRPr="00C54377">
              <w:t>Baseline Scenario</w:t>
            </w:r>
          </w:p>
        </w:tc>
        <w:tc>
          <w:tcPr>
            <w:tcW w:w="6840" w:type="dxa"/>
          </w:tcPr>
          <w:p w14:paraId="16627F9C" w14:textId="637BA83D" w:rsidR="005549AC" w:rsidRPr="00C54377" w:rsidRDefault="005549AC" w:rsidP="00C54377">
            <w:pPr>
              <w:pStyle w:val="ListParagraph"/>
              <w:numPr>
                <w:ilvl w:val="0"/>
                <w:numId w:val="56"/>
              </w:numPr>
              <w:spacing w:line="259" w:lineRule="auto"/>
              <w:ind w:left="166" w:hanging="270"/>
            </w:pPr>
            <w:r w:rsidRPr="00C54377">
              <w:t xml:space="preserve">Phase out of EV tax credit </w:t>
            </w:r>
            <w:r w:rsidR="00D55F12">
              <w:t>since 2016 (A.3)</w:t>
            </w:r>
            <w:r w:rsidRPr="00C54377">
              <w:t xml:space="preserve"> </w:t>
            </w:r>
          </w:p>
          <w:p w14:paraId="5BC63666" w14:textId="19F20F5E" w:rsidR="005549AC" w:rsidRPr="00C54377" w:rsidRDefault="005549AC" w:rsidP="00C54377">
            <w:pPr>
              <w:pStyle w:val="ListParagraph"/>
              <w:numPr>
                <w:ilvl w:val="0"/>
                <w:numId w:val="56"/>
              </w:numPr>
              <w:spacing w:line="259" w:lineRule="auto"/>
              <w:ind w:left="166" w:hanging="270"/>
            </w:pPr>
            <w:r w:rsidRPr="00C54377">
              <w:t xml:space="preserve">Number of charging stations </w:t>
            </w:r>
            <w:r w:rsidR="00D55F12">
              <w:t xml:space="preserve">increase at 2% annually without policy support </w:t>
            </w:r>
            <w:r w:rsidR="00D55F12">
              <w:fldChar w:fldCharType="begin" w:fldLock="1"/>
            </w:r>
            <w:r w:rsidR="00D55F12">
              <w:instrText>ADDIN CSL_CITATION {"citationItems":[{"id":"ITEM-1","itemData":{"author":[{"dropping-particle":"","family":"EIA","given":"","non-dropping-particle":"","parse-names":false,"suffix":""}],"id":"ITEM-1","issued":{"date-parts":[["2019"]]},"title":"Annual Energy Outlook 2019 with projections to 2050","type":"report"},"uris":["http://www.mendeley.com/documents/?uuid=8b4a11f7-d6ca-362a-9e56-9a361ad4a409"]}],"mendeley":{"formattedCitation":"(EIA 2019)","plainTextFormattedCitation":"(EIA 2019)","previouslyFormattedCitation":"(EIA 2019)"},"properties":{"noteIndex":0},"schema":"https://github.com/citation-style-language/schema/raw/master/csl-citation.json"}</w:instrText>
            </w:r>
            <w:r w:rsidR="00D55F12">
              <w:fldChar w:fldCharType="separate"/>
            </w:r>
            <w:r w:rsidR="00D55F12">
              <w:rPr>
                <w:noProof/>
              </w:rPr>
              <w:t>(EIA 2019)</w:t>
            </w:r>
            <w:r w:rsidR="00D55F12">
              <w:fldChar w:fldCharType="end"/>
            </w:r>
          </w:p>
        </w:tc>
      </w:tr>
      <w:tr w:rsidR="005549AC" w:rsidRPr="00C54377" w14:paraId="32324E1F" w14:textId="77777777" w:rsidTr="00C54377">
        <w:tc>
          <w:tcPr>
            <w:tcW w:w="2425" w:type="dxa"/>
          </w:tcPr>
          <w:p w14:paraId="4FC6C4CD" w14:textId="77777777" w:rsidR="005549AC" w:rsidRPr="00C54377" w:rsidRDefault="005549AC" w:rsidP="00961ED9">
            <w:pPr>
              <w:spacing w:line="259" w:lineRule="auto"/>
              <w:ind w:firstLine="0"/>
            </w:pPr>
            <w:r w:rsidRPr="00C54377">
              <w:t>Policy Scenario 1</w:t>
            </w:r>
          </w:p>
        </w:tc>
        <w:tc>
          <w:tcPr>
            <w:tcW w:w="6840" w:type="dxa"/>
          </w:tcPr>
          <w:p w14:paraId="1778DD51" w14:textId="76444F81" w:rsidR="005549AC" w:rsidRPr="00C54377" w:rsidRDefault="005549AC" w:rsidP="00C54377">
            <w:pPr>
              <w:pStyle w:val="ListParagraph"/>
              <w:numPr>
                <w:ilvl w:val="0"/>
                <w:numId w:val="55"/>
              </w:numPr>
              <w:spacing w:line="259" w:lineRule="auto"/>
              <w:ind w:left="166" w:hanging="270"/>
            </w:pPr>
            <w:r w:rsidRPr="00C54377">
              <w:t xml:space="preserve">Phase out of EV tax credit </w:t>
            </w:r>
            <w:r w:rsidR="00D55F12">
              <w:t>since 2016 (A.3)</w:t>
            </w:r>
          </w:p>
          <w:p w14:paraId="12CF3509" w14:textId="77777777" w:rsidR="005549AC" w:rsidRPr="00C54377" w:rsidRDefault="005549AC" w:rsidP="00C54377">
            <w:pPr>
              <w:pStyle w:val="ListParagraph"/>
              <w:numPr>
                <w:ilvl w:val="0"/>
                <w:numId w:val="55"/>
              </w:numPr>
              <w:spacing w:line="259" w:lineRule="auto"/>
              <w:ind w:left="166" w:hanging="270"/>
            </w:pPr>
            <w:r w:rsidRPr="00C54377">
              <w:t>Increasing availability of public charging to 0.5 million charging stations nationwide by 2030</w:t>
            </w:r>
          </w:p>
        </w:tc>
      </w:tr>
      <w:tr w:rsidR="005549AC" w:rsidRPr="00C54377" w14:paraId="7931D579" w14:textId="77777777" w:rsidTr="00C54377">
        <w:tc>
          <w:tcPr>
            <w:tcW w:w="2425" w:type="dxa"/>
          </w:tcPr>
          <w:p w14:paraId="4EEBC969" w14:textId="77777777" w:rsidR="005549AC" w:rsidRPr="00C54377" w:rsidRDefault="005549AC" w:rsidP="00961ED9">
            <w:pPr>
              <w:spacing w:line="259" w:lineRule="auto"/>
              <w:ind w:firstLine="0"/>
            </w:pPr>
            <w:r w:rsidRPr="00C54377">
              <w:t>Policy Scenario 2</w:t>
            </w:r>
          </w:p>
        </w:tc>
        <w:tc>
          <w:tcPr>
            <w:tcW w:w="6840" w:type="dxa"/>
          </w:tcPr>
          <w:p w14:paraId="469AAC4B" w14:textId="77777777" w:rsidR="005549AC" w:rsidRPr="00C54377" w:rsidRDefault="005549AC" w:rsidP="00C54377">
            <w:pPr>
              <w:pStyle w:val="ListParagraph"/>
              <w:numPr>
                <w:ilvl w:val="0"/>
                <w:numId w:val="57"/>
              </w:numPr>
              <w:spacing w:line="259" w:lineRule="auto"/>
              <w:ind w:left="166" w:hanging="270"/>
            </w:pPr>
            <w:r w:rsidRPr="00C54377">
              <w:t xml:space="preserve">EV Tax Credit increased to </w:t>
            </w:r>
            <w:proofErr w:type="gramStart"/>
            <w:r w:rsidRPr="00C54377">
              <w:t>$7500</w:t>
            </w:r>
            <w:proofErr w:type="gramEnd"/>
          </w:p>
          <w:p w14:paraId="36D08958" w14:textId="35AAF735" w:rsidR="005549AC" w:rsidRPr="00C54377" w:rsidRDefault="005549AC" w:rsidP="00C54377">
            <w:pPr>
              <w:pStyle w:val="ListParagraph"/>
              <w:numPr>
                <w:ilvl w:val="0"/>
                <w:numId w:val="57"/>
              </w:numPr>
              <w:spacing w:line="259" w:lineRule="auto"/>
              <w:ind w:left="166" w:hanging="270"/>
            </w:pPr>
            <w:r w:rsidRPr="00C54377">
              <w:t xml:space="preserve">Number of charging stations </w:t>
            </w:r>
            <w:r w:rsidR="00D55F12">
              <w:t xml:space="preserve">increase at 2% annually without policy support </w:t>
            </w:r>
            <w:r w:rsidR="00D55F12">
              <w:fldChar w:fldCharType="begin" w:fldLock="1"/>
            </w:r>
            <w:r w:rsidR="00D55F12">
              <w:instrText>ADDIN CSL_CITATION {"citationItems":[{"id":"ITEM-1","itemData":{"author":[{"dropping-particle":"","family":"EIA","given":"","non-dropping-particle":"","parse-names":false,"suffix":""}],"id":"ITEM-1","issued":{"date-parts":[["2019"]]},"title":"Annual Energy Outlook 2019 with projections to 2050","type":"report"},"uris":["http://www.mendeley.com/documents/?uuid=8b4a11f7-d6ca-362a-9e56-9a361ad4a409"]}],"mendeley":{"formattedCitation":"(EIA 2019)","plainTextFormattedCitation":"(EIA 2019)","previouslyFormattedCitation":"(EIA 2019)"},"properties":{"noteIndex":0},"schema":"https://github.com/citation-style-language/schema/raw/master/csl-citation.json"}</w:instrText>
            </w:r>
            <w:r w:rsidR="00D55F12">
              <w:fldChar w:fldCharType="separate"/>
            </w:r>
            <w:r w:rsidR="00D55F12">
              <w:rPr>
                <w:noProof/>
              </w:rPr>
              <w:t>(EIA 2019)</w:t>
            </w:r>
            <w:r w:rsidR="00D55F12">
              <w:fldChar w:fldCharType="end"/>
            </w:r>
          </w:p>
        </w:tc>
      </w:tr>
      <w:tr w:rsidR="00C54377" w14:paraId="6BDFBF8F" w14:textId="77777777" w:rsidTr="00C54377">
        <w:tc>
          <w:tcPr>
            <w:tcW w:w="2425" w:type="dxa"/>
          </w:tcPr>
          <w:p w14:paraId="07D7815D" w14:textId="77777777" w:rsidR="00C54377" w:rsidRDefault="00C54377" w:rsidP="00C54377">
            <w:pPr>
              <w:spacing w:line="259" w:lineRule="auto"/>
              <w:ind w:firstLine="0"/>
            </w:pPr>
            <w:r w:rsidRPr="00C54377">
              <w:t>Policy Scenario 3</w:t>
            </w:r>
          </w:p>
        </w:tc>
        <w:tc>
          <w:tcPr>
            <w:tcW w:w="6840" w:type="dxa"/>
          </w:tcPr>
          <w:p w14:paraId="17203D2C" w14:textId="77777777" w:rsidR="00C54377" w:rsidRPr="00C54377" w:rsidRDefault="00C54377" w:rsidP="00C54377">
            <w:pPr>
              <w:pStyle w:val="ListParagraph"/>
              <w:numPr>
                <w:ilvl w:val="0"/>
                <w:numId w:val="57"/>
              </w:numPr>
              <w:spacing w:line="259" w:lineRule="auto"/>
              <w:ind w:left="166" w:hanging="270"/>
            </w:pPr>
            <w:r w:rsidRPr="00C54377">
              <w:t xml:space="preserve">EV Tax Credit increased to </w:t>
            </w:r>
            <w:proofErr w:type="gramStart"/>
            <w:r w:rsidRPr="00C54377">
              <w:t>$7500</w:t>
            </w:r>
            <w:proofErr w:type="gramEnd"/>
          </w:p>
          <w:p w14:paraId="718A90BE" w14:textId="6C75D308" w:rsidR="00C54377" w:rsidRDefault="00C54377" w:rsidP="00C54377">
            <w:pPr>
              <w:pStyle w:val="ListParagraph"/>
              <w:numPr>
                <w:ilvl w:val="0"/>
                <w:numId w:val="57"/>
              </w:numPr>
              <w:tabs>
                <w:tab w:val="left" w:pos="166"/>
              </w:tabs>
              <w:spacing w:line="259" w:lineRule="auto"/>
              <w:ind w:left="166" w:hanging="270"/>
            </w:pPr>
            <w:r w:rsidRPr="00C54377">
              <w:t>Increasing availability of public charging to 0.5 million charging stations nationwide by 2030</w:t>
            </w:r>
          </w:p>
        </w:tc>
      </w:tr>
    </w:tbl>
    <w:p w14:paraId="415F8EF1" w14:textId="75598C98" w:rsidR="00C54377" w:rsidRDefault="00C54377" w:rsidP="005549AC">
      <w:pPr>
        <w:spacing w:line="259" w:lineRule="auto"/>
        <w:ind w:firstLine="0"/>
        <w:rPr>
          <w:b/>
          <w:bCs/>
        </w:rPr>
      </w:pPr>
    </w:p>
    <w:p w14:paraId="5F8C8832" w14:textId="368FF75A" w:rsidR="005549AC" w:rsidRDefault="005549AC" w:rsidP="005549AC">
      <w:pPr>
        <w:spacing w:line="259" w:lineRule="auto"/>
        <w:ind w:firstLine="0"/>
      </w:pPr>
      <w:r w:rsidRPr="005734B6">
        <w:rPr>
          <w:b/>
          <w:bCs/>
        </w:rPr>
        <w:t xml:space="preserve">Benchmark </w:t>
      </w:r>
      <w:r w:rsidR="00D55F12">
        <w:rPr>
          <w:b/>
          <w:bCs/>
        </w:rPr>
        <w:t xml:space="preserve">case </w:t>
      </w:r>
      <w:r w:rsidRPr="005734B6">
        <w:rPr>
          <w:b/>
          <w:bCs/>
        </w:rPr>
        <w:t>assumptions</w:t>
      </w:r>
      <w:r w:rsidR="00D55F12">
        <w:rPr>
          <w:b/>
          <w:bCs/>
        </w:rPr>
        <w:t xml:space="preserve"> underlying in BEPAM model</w:t>
      </w:r>
      <w:r>
        <w:rPr>
          <w:b/>
          <w:bCs/>
        </w:rPr>
        <w:t xml:space="preserve">: </w:t>
      </w:r>
      <w:r>
        <w:t xml:space="preserve">Corn ethanol mandate maintained at </w:t>
      </w:r>
      <w:r w:rsidR="00745E6D">
        <w:t>54 billion liters (</w:t>
      </w:r>
      <w:r>
        <w:t>15 B gallons</w:t>
      </w:r>
      <w:r w:rsidR="00745E6D">
        <w:t>)</w:t>
      </w:r>
      <w:r>
        <w:t xml:space="preserve"> over 2022-2030; Binding state RPS</w:t>
      </w:r>
      <w:r w:rsidR="00745E6D">
        <w:t>s</w:t>
      </w:r>
      <w:r>
        <w:t xml:space="preserve"> over 2022-2030 in all states; Intangible costs and idiosyncratic preferences </w:t>
      </w:r>
      <w:proofErr w:type="gramStart"/>
      <w:r>
        <w:t>included</w:t>
      </w:r>
      <w:proofErr w:type="gramEnd"/>
    </w:p>
    <w:p w14:paraId="693F7B53" w14:textId="113F6053" w:rsidR="00745E6D" w:rsidRDefault="005549AC" w:rsidP="005549AC">
      <w:pPr>
        <w:spacing w:line="259" w:lineRule="auto"/>
        <w:ind w:firstLine="0"/>
      </w:pPr>
      <w:r w:rsidRPr="005549AC">
        <w:rPr>
          <w:b/>
          <w:bCs/>
        </w:rPr>
        <w:t>Alternative cases</w:t>
      </w:r>
      <w:r w:rsidR="00D55F12">
        <w:rPr>
          <w:b/>
          <w:bCs/>
        </w:rPr>
        <w:t xml:space="preserve"> for sensitivity analysis</w:t>
      </w:r>
      <w:r w:rsidRPr="005549AC">
        <w:rPr>
          <w:b/>
          <w:bCs/>
        </w:rPr>
        <w:t>:</w:t>
      </w:r>
      <w:r>
        <w:t xml:space="preserve">  </w:t>
      </w:r>
    </w:p>
    <w:p w14:paraId="7F231D4A" w14:textId="2C38CB5E" w:rsidR="00745E6D" w:rsidRDefault="005549AC" w:rsidP="005549AC">
      <w:pPr>
        <w:spacing w:line="259" w:lineRule="auto"/>
        <w:ind w:firstLine="0"/>
      </w:pPr>
      <w:r>
        <w:t xml:space="preserve">Case 1: Similar assumptions as in the Benchmark case but corn ethanol mandate maintained at 10% blend rate over 2022-2030 instead of the volumetric level of </w:t>
      </w:r>
      <w:r w:rsidR="00C16F6A">
        <w:t>54</w:t>
      </w:r>
      <w:r>
        <w:t xml:space="preserve"> billion </w:t>
      </w:r>
      <w:r w:rsidR="00C16F6A">
        <w:t xml:space="preserve">liters of corn </w:t>
      </w:r>
      <w:proofErr w:type="gramStart"/>
      <w:r w:rsidR="00C16F6A">
        <w:t>ethanol</w:t>
      </w:r>
      <w:r>
        <w:t>;</w:t>
      </w:r>
      <w:proofErr w:type="gramEnd"/>
      <w:r>
        <w:t xml:space="preserve"> </w:t>
      </w:r>
    </w:p>
    <w:p w14:paraId="0CAAC33C" w14:textId="19DE9C1C" w:rsidR="005549AC" w:rsidRDefault="005549AC" w:rsidP="005549AC">
      <w:pPr>
        <w:spacing w:line="259" w:lineRule="auto"/>
        <w:ind w:firstLine="0"/>
      </w:pPr>
      <w:r>
        <w:t>Case 2: Similar assumptions as in the Benchmark case but only tangible costs of vehicles were included</w:t>
      </w:r>
      <w:r w:rsidR="002A32A9">
        <w:t xml:space="preserve"> without considering the intangible costs.</w:t>
      </w:r>
    </w:p>
    <w:p w14:paraId="2627852E" w14:textId="77777777" w:rsidR="005549AC" w:rsidRDefault="005549AC" w:rsidP="00831646"/>
    <w:p w14:paraId="09FEBE7F" w14:textId="77777777" w:rsidR="005549AC" w:rsidRDefault="005549AC" w:rsidP="000B359C">
      <w:pPr>
        <w:pStyle w:val="AppendixA1"/>
        <w:ind w:left="360"/>
      </w:pPr>
      <w:r>
        <w:br w:type="page"/>
      </w:r>
    </w:p>
    <w:p w14:paraId="16789DE0" w14:textId="2B3777E1" w:rsidR="006A5A36" w:rsidRDefault="006A5A36" w:rsidP="000B359C">
      <w:pPr>
        <w:pStyle w:val="AppendixA1"/>
        <w:ind w:left="360"/>
      </w:pPr>
      <w:r>
        <w:lastRenderedPageBreak/>
        <w:t>A.1 M</w:t>
      </w:r>
      <w:r w:rsidRPr="006F0909">
        <w:t>athematical Representation</w:t>
      </w:r>
      <w:bookmarkEnd w:id="0"/>
      <w:bookmarkEnd w:id="1"/>
      <w:r>
        <w:t xml:space="preserve"> of </w:t>
      </w:r>
      <w:r w:rsidR="001E4EE1">
        <w:t>the Biofuel and Environmental Policy Analysis Model with Vehicle Choice</w:t>
      </w:r>
      <w:r w:rsidR="00FE5F88">
        <w:t xml:space="preserve"> (BEPAM-V)</w:t>
      </w:r>
    </w:p>
    <w:p w14:paraId="2C4D57BE" w14:textId="4BC1C628" w:rsidR="006A5A36" w:rsidRDefault="006A5A36" w:rsidP="00F80060">
      <w:pPr>
        <w:spacing w:line="240" w:lineRule="auto"/>
        <w:rPr>
          <w:rFonts w:eastAsia="Calibri"/>
        </w:rPr>
      </w:pPr>
      <w:r w:rsidRPr="00F84713">
        <w:rPr>
          <w:rFonts w:eastAsia="Calibri"/>
        </w:rPr>
        <w:t xml:space="preserve">We describe the </w:t>
      </w:r>
      <w:r>
        <w:rPr>
          <w:rFonts w:eastAsia="Times New Roman"/>
        </w:rPr>
        <w:t>mathematical representation of the model objective function below</w:t>
      </w:r>
      <w:r w:rsidRPr="00F84713">
        <w:rPr>
          <w:rFonts w:eastAsia="Calibri"/>
        </w:rPr>
        <w:t>. For convenience, we use lowercase symbols to denote the exogenous parameters and uppercase symbols to represent endogenously determined variables. We first describe the objective function</w:t>
      </w:r>
      <w:r>
        <w:rPr>
          <w:rFonts w:eastAsia="Calibri"/>
        </w:rPr>
        <w:t xml:space="preserve"> </w:t>
      </w:r>
      <w:r w:rsidR="000D13DD">
        <w:rPr>
          <w:rFonts w:eastAsia="Calibri"/>
        </w:rPr>
        <w:t>to maximize</w:t>
      </w:r>
      <w:r w:rsidR="00D55F12">
        <w:rPr>
          <w:rFonts w:eastAsia="Calibri"/>
        </w:rPr>
        <w:t xml:space="preserve"> social welfare </w:t>
      </w:r>
      <w:r>
        <w:rPr>
          <w:rFonts w:eastAsia="Calibri"/>
        </w:rPr>
        <w:t xml:space="preserve">in Section A.1.1 subject to </w:t>
      </w:r>
      <w:r w:rsidRPr="00F84713">
        <w:rPr>
          <w:rFonts w:eastAsia="Calibri"/>
        </w:rPr>
        <w:t>the constraints</w:t>
      </w:r>
      <w:r>
        <w:rPr>
          <w:rFonts w:eastAsia="Calibri"/>
        </w:rPr>
        <w:t xml:space="preserve"> in Section A.1.2.  The transportation sector module is specified for </w:t>
      </w:r>
      <w:proofErr w:type="gramStart"/>
      <w:r>
        <w:rPr>
          <w:rFonts w:eastAsia="Calibri"/>
        </w:rPr>
        <w:t>5,760  heterogeneous</w:t>
      </w:r>
      <w:proofErr w:type="gramEnd"/>
      <w:r>
        <w:rPr>
          <w:rFonts w:eastAsia="Calibri"/>
        </w:rPr>
        <w:t xml:space="preserve"> consumers by vehicle age groups by driving demand with different availability of chargers by regions, and the vehicle owners/buyers are subject to representative costs of vehicle kilometer traveled (VKT) of different fuel types and mix that vary spatially for battery electric vehicles. We apply Monte Carlo methods to generate</w:t>
      </w:r>
      <w:r w:rsidR="00D55F12">
        <w:rPr>
          <w:rFonts w:eastAsia="Calibri"/>
        </w:rPr>
        <w:t xml:space="preserve"> ten</w:t>
      </w:r>
      <w:r>
        <w:rPr>
          <w:rFonts w:eastAsia="Calibri"/>
        </w:rPr>
        <w:t xml:space="preserve"> clones </w:t>
      </w:r>
      <w:r>
        <w:t>of each of the 5</w:t>
      </w:r>
      <w:r w:rsidR="00D55F12">
        <w:t>,</w:t>
      </w:r>
      <w:r>
        <w:t>760 types of consumers that differ in the intangible costs</w:t>
      </w:r>
      <w:r>
        <w:rPr>
          <w:rFonts w:eastAsia="Calibri"/>
        </w:rPr>
        <w:t>. Model runs are conducted for each clone of the 5760 types of consumers separately and the model is run ten times for each policy scenario to determine vehicle choices by each clone. These choices are averaged over the ten clones and used to determine derived demand for fuel and VKT in each of the 20 regions and then aggregated to the national level.  The electricity sector has exogenously given downward sloping demand for electricity in each of the 20 electricity marketing regions in the US. The agricultural sector has downward sloping demand curves for major field crops, secondary agricultural products, and livestock products. We now describe the objective function and constraints, the intangible and tangible costs of BEVs</w:t>
      </w:r>
      <w:r w:rsidR="00D55F12">
        <w:rPr>
          <w:rFonts w:eastAsia="Calibri"/>
        </w:rPr>
        <w:t>, and the methods for randomly generating clones</w:t>
      </w:r>
      <w:r w:rsidR="00D93C5B">
        <w:rPr>
          <w:rFonts w:eastAsia="Calibri"/>
        </w:rPr>
        <w:t xml:space="preserve">. </w:t>
      </w:r>
      <w:r w:rsidR="00D55F12">
        <w:rPr>
          <w:rFonts w:eastAsia="Calibri"/>
        </w:rPr>
        <w:t xml:space="preserve"> </w:t>
      </w:r>
    </w:p>
    <w:p w14:paraId="5288E69D" w14:textId="0B522475" w:rsidR="006F0909" w:rsidRPr="006F0909" w:rsidRDefault="006F0909" w:rsidP="00C53F8C">
      <w:pPr>
        <w:pStyle w:val="ApendixA11"/>
      </w:pPr>
      <w:bookmarkStart w:id="2" w:name="_Toc380753899"/>
      <w:bookmarkStart w:id="3" w:name="_Toc382789710"/>
      <w:r w:rsidRPr="006F0909">
        <w:t xml:space="preserve">Objective </w:t>
      </w:r>
      <w:r w:rsidR="00065AC6">
        <w:t>F</w:t>
      </w:r>
      <w:r w:rsidRPr="006F0909">
        <w:t>unction</w:t>
      </w:r>
      <w:bookmarkEnd w:id="2"/>
      <w:bookmarkEnd w:id="3"/>
    </w:p>
    <w:p w14:paraId="18D5ADA9" w14:textId="6AE72F04" w:rsidR="006F0909" w:rsidRDefault="006F0909" w:rsidP="00E10AEA">
      <w:pPr>
        <w:spacing w:after="0" w:line="240" w:lineRule="auto"/>
        <w:ind w:firstLine="720"/>
        <w:rPr>
          <w:rFonts w:eastAsia="Calibri"/>
        </w:rPr>
      </w:pPr>
      <w:r w:rsidRPr="00F84713">
        <w:rPr>
          <w:rFonts w:eastAsia="Calibri"/>
        </w:rPr>
        <w:t xml:space="preserve">The objective function is </w:t>
      </w:r>
      <w:r>
        <w:rPr>
          <w:rFonts w:eastAsia="Calibri"/>
        </w:rPr>
        <w:t xml:space="preserve">the sum </w:t>
      </w:r>
      <w:r w:rsidRPr="00F84713">
        <w:rPr>
          <w:rFonts w:eastAsia="Calibri"/>
        </w:rPr>
        <w:t xml:space="preserve">of discounted consumers’ and producers’ surpluses obtained from production, consumption and international trade in the </w:t>
      </w:r>
      <w:r w:rsidRPr="00260BD8">
        <w:rPr>
          <w:rFonts w:eastAsia="Calibri"/>
        </w:rPr>
        <w:t xml:space="preserve">transportation fuel, electric power, and agriculture sectors over </w:t>
      </w:r>
      <w:r w:rsidRPr="00F84713">
        <w:rPr>
          <w:rFonts w:eastAsia="Calibri"/>
        </w:rPr>
        <w:t xml:space="preserve">a planning horizon of </w:t>
      </w:r>
      <w:r w:rsidRPr="00F84713">
        <w:rPr>
          <w:rFonts w:eastAsia="Calibri"/>
          <w:i/>
        </w:rPr>
        <w:t>T</w:t>
      </w:r>
      <w:r w:rsidRPr="00F84713">
        <w:rPr>
          <w:rFonts w:eastAsia="Calibri"/>
        </w:rPr>
        <w:t xml:space="preserve"> </w:t>
      </w:r>
      <w:r w:rsidR="006E6D84">
        <w:rPr>
          <w:rFonts w:eastAsia="Calibri"/>
        </w:rPr>
        <w:t>years</w:t>
      </w:r>
      <w:r w:rsidR="001E473D" w:rsidRPr="001E473D">
        <w:rPr>
          <w:rFonts w:eastAsia="Calibri"/>
        </w:rPr>
        <w:t xml:space="preserve"> </w:t>
      </w:r>
      <w:r w:rsidR="001E473D">
        <w:rPr>
          <w:rFonts w:eastAsia="Calibri"/>
        </w:rPr>
        <w:t xml:space="preserve">with </w:t>
      </w:r>
      <w:r w:rsidR="001E473D" w:rsidRPr="00FD6FAD">
        <w:rPr>
          <w:rFonts w:eastAsia="Calibri"/>
          <w:i/>
          <w:iCs/>
        </w:rPr>
        <w:t>w</w:t>
      </w:r>
      <w:r w:rsidR="001E473D">
        <w:rPr>
          <w:rFonts w:eastAsia="Calibri"/>
        </w:rPr>
        <w:t xml:space="preserve"> representing the social discount rate,</w:t>
      </w:r>
      <w:r w:rsidR="006E6D84">
        <w:rPr>
          <w:rFonts w:eastAsia="Calibri"/>
        </w:rPr>
        <w:t xml:space="preserve"> </w:t>
      </w:r>
      <w:r w:rsidRPr="00F84713">
        <w:rPr>
          <w:rFonts w:eastAsia="Calibri"/>
        </w:rPr>
        <w:t xml:space="preserve">and the </w:t>
      </w:r>
      <w:r w:rsidR="00F10D5B">
        <w:rPr>
          <w:rFonts w:eastAsia="Calibri"/>
        </w:rPr>
        <w:t>terminal</w:t>
      </w:r>
      <w:r>
        <w:rPr>
          <w:rFonts w:eastAsia="Calibri"/>
        </w:rPr>
        <w:t xml:space="preserve"> </w:t>
      </w:r>
      <w:r w:rsidRPr="00F84713">
        <w:rPr>
          <w:rFonts w:eastAsia="Calibri"/>
        </w:rPr>
        <w:t xml:space="preserve">values of </w:t>
      </w:r>
      <w:r>
        <w:rPr>
          <w:rFonts w:eastAsia="Calibri"/>
        </w:rPr>
        <w:t xml:space="preserve">vehicles </w:t>
      </w:r>
      <w:r w:rsidR="00D55F12">
        <w:rPr>
          <w:rFonts w:eastAsia="Calibri"/>
        </w:rPr>
        <w:t xml:space="preserve">and land </w:t>
      </w:r>
      <w:r w:rsidRPr="00F84713">
        <w:rPr>
          <w:rFonts w:eastAsia="Calibri"/>
        </w:rPr>
        <w:t xml:space="preserve">in year </w:t>
      </w:r>
      <w:r w:rsidRPr="00F84713">
        <w:rPr>
          <w:rFonts w:eastAsia="Calibri"/>
          <w:i/>
        </w:rPr>
        <w:t>T</w:t>
      </w:r>
      <w:r w:rsidR="006E6D84">
        <w:rPr>
          <w:rFonts w:eastAsia="Calibri"/>
        </w:rPr>
        <w:t>.</w:t>
      </w:r>
      <w:r w:rsidRPr="00F84713">
        <w:rPr>
          <w:rFonts w:eastAsia="Calibri"/>
        </w:rPr>
        <w:t xml:space="preserve"> The algebraic expression is given in </w:t>
      </w:r>
      <w:r w:rsidR="00F10D5B">
        <w:rPr>
          <w:rFonts w:eastAsia="Calibri"/>
        </w:rPr>
        <w:t xml:space="preserve">equation </w:t>
      </w:r>
      <w:r w:rsidRPr="00F84713">
        <w:rPr>
          <w:rFonts w:eastAsia="Calibri"/>
        </w:rPr>
        <w:t>(1)</w:t>
      </w:r>
      <w:r w:rsidR="00110AE7">
        <w:rPr>
          <w:rFonts w:eastAsia="Calibri"/>
        </w:rPr>
        <w:t xml:space="preserve">. The first </w:t>
      </w:r>
      <w:r w:rsidR="00273144">
        <w:rPr>
          <w:rFonts w:eastAsia="Calibri"/>
        </w:rPr>
        <w:t xml:space="preserve">six </w:t>
      </w:r>
      <w:r w:rsidR="00110AE7">
        <w:rPr>
          <w:rFonts w:eastAsia="Calibri"/>
        </w:rPr>
        <w:t>lines in equation (1) include the consumer and producer surplus</w:t>
      </w:r>
      <w:r w:rsidR="004D31AF">
        <w:rPr>
          <w:rFonts w:eastAsia="Calibri"/>
        </w:rPr>
        <w:t>es</w:t>
      </w:r>
      <w:r w:rsidR="00110AE7">
        <w:rPr>
          <w:rFonts w:eastAsia="Calibri"/>
        </w:rPr>
        <w:t xml:space="preserve"> of the transportation sector</w:t>
      </w:r>
      <w:r w:rsidR="004D31AF">
        <w:rPr>
          <w:rFonts w:eastAsia="Calibri"/>
        </w:rPr>
        <w:t>; the next four lines</w:t>
      </w:r>
      <w:r w:rsidR="00273144">
        <w:rPr>
          <w:rFonts w:eastAsia="Calibri"/>
        </w:rPr>
        <w:t xml:space="preserve"> from line 7 to 10</w:t>
      </w:r>
      <w:r w:rsidR="004D31AF">
        <w:rPr>
          <w:rFonts w:eastAsia="Calibri"/>
        </w:rPr>
        <w:t xml:space="preserve"> </w:t>
      </w:r>
      <w:r w:rsidR="00AD0E8B">
        <w:rPr>
          <w:rFonts w:eastAsia="Calibri"/>
        </w:rPr>
        <w:t>show</w:t>
      </w:r>
      <w:r w:rsidR="004D31AF">
        <w:rPr>
          <w:rFonts w:eastAsia="Calibri"/>
        </w:rPr>
        <w:t xml:space="preserve"> consumer and producer surpluses of the electricity sector</w:t>
      </w:r>
      <w:r w:rsidR="00AD0E8B">
        <w:rPr>
          <w:rFonts w:eastAsia="Calibri"/>
        </w:rPr>
        <w:t xml:space="preserve"> developed in </w:t>
      </w:r>
      <w:r w:rsidR="00AD0E8B">
        <w:rPr>
          <w:rFonts w:eastAsia="Calibri"/>
        </w:rPr>
        <w:fldChar w:fldCharType="begin" w:fldLock="1"/>
      </w:r>
      <w:r w:rsidR="00973E1B">
        <w:rPr>
          <w:rFonts w:eastAsia="Calibri"/>
        </w:rPr>
        <w:instrText>ADDIN CSL_CITATION {"citationItems":[{"id":"ITEM-1","itemData":{"abstract":"Energy policies for greenhouse gas (GHG) mitigation in the United States have set sector-specific standards, such as the Renewable Fuel Standard (RFS) and the Renewable Portfolio Standard (RPS) for the transportation and the electricity sectors , respectively. This paper examines the welfare costs and effectiveness of GHG abatement with these policies and compares them with those under a carbon tax normalized to achieve the same level of abatement over the 2007-2030 period. We show that the global welfare cost per ton of GHG abatement with the RFS and RPS is $171, while with the carbon tax it is $7. (JEL Q42, Q58)","author":[{"dropping-particle":"","family":"Oliver","given":"Anthony","non-dropping-particle":"","parse-names":false,"suffix":""},{"dropping-particle":"","family":"Khanna","given":"Madhu","non-dropping-particle":"","parse-names":false,"suffix":""}],"container-title":"Land Economics","id":"ITEM-1","issue":"3","issued":{"date-parts":[["2017"]]},"note":"$19.4","page":"437-458","title":"What Is the Cost of a Renewable Energy-Based Approach to Greenhouse Gas Mitigation?","type":"article-journal","volume":"93"},"uris":["http://www.mendeley.com/documents/?uuid=62ec44d0-7a02-3f6b-8c09-b47d5addf39d"]}],"mendeley":{"formattedCitation":"(Oliver and Khanna 2017)","manualFormatting":"Oliver and Khanna (2017)","plainTextFormattedCitation":"(Oliver and Khanna 2017)","previouslyFormattedCitation":"(Oliver and Khanna 2017)"},"properties":{"noteIndex":0},"schema":"https://github.com/citation-style-language/schema/raw/master/csl-citation.json"}</w:instrText>
      </w:r>
      <w:r w:rsidR="00AD0E8B">
        <w:rPr>
          <w:rFonts w:eastAsia="Calibri"/>
        </w:rPr>
        <w:fldChar w:fldCharType="separate"/>
      </w:r>
      <w:r w:rsidR="00AD0E8B" w:rsidRPr="00AD0E8B">
        <w:rPr>
          <w:rFonts w:eastAsia="Calibri"/>
          <w:noProof/>
        </w:rPr>
        <w:t xml:space="preserve">Oliver and Khanna </w:t>
      </w:r>
      <w:r w:rsidR="00AD0E8B">
        <w:rPr>
          <w:rFonts w:eastAsia="Calibri"/>
          <w:noProof/>
        </w:rPr>
        <w:t>(</w:t>
      </w:r>
      <w:r w:rsidR="00AD0E8B" w:rsidRPr="00AD0E8B">
        <w:rPr>
          <w:rFonts w:eastAsia="Calibri"/>
          <w:noProof/>
        </w:rPr>
        <w:t>2017)</w:t>
      </w:r>
      <w:r w:rsidR="00AD0E8B">
        <w:rPr>
          <w:rFonts w:eastAsia="Calibri"/>
        </w:rPr>
        <w:fldChar w:fldCharType="end"/>
      </w:r>
      <w:r w:rsidR="004D31AF">
        <w:rPr>
          <w:rFonts w:eastAsia="Calibri"/>
        </w:rPr>
        <w:t xml:space="preserve">; the lines </w:t>
      </w:r>
      <w:r w:rsidR="00273144">
        <w:rPr>
          <w:rFonts w:eastAsia="Calibri"/>
        </w:rPr>
        <w:t xml:space="preserve">11 to 15 </w:t>
      </w:r>
      <w:r w:rsidR="004D31AF">
        <w:rPr>
          <w:rFonts w:eastAsia="Calibri"/>
        </w:rPr>
        <w:t>describe the welfare of the agriculture sector</w:t>
      </w:r>
      <w:r w:rsidR="00AD0E8B">
        <w:rPr>
          <w:rFonts w:eastAsia="Calibri"/>
        </w:rPr>
        <w:t xml:space="preserve"> </w:t>
      </w:r>
      <w:r w:rsidR="00C36918">
        <w:rPr>
          <w:rFonts w:eastAsia="Calibri"/>
        </w:rPr>
        <w:t>(as in F</w:t>
      </w:r>
      <w:r w:rsidR="00AD0E8B">
        <w:rPr>
          <w:rFonts w:eastAsia="Calibri"/>
        </w:rPr>
        <w:t>erin</w:t>
      </w:r>
      <w:r w:rsidR="00C36918">
        <w:rPr>
          <w:rFonts w:eastAsia="Calibri"/>
        </w:rPr>
        <w:t xml:space="preserve"> et al.</w:t>
      </w:r>
      <w:r w:rsidR="00AD0E8B">
        <w:rPr>
          <w:rFonts w:eastAsia="Calibri"/>
        </w:rPr>
        <w:t xml:space="preserve"> 2021</w:t>
      </w:r>
      <w:r w:rsidR="00D224DA">
        <w:rPr>
          <w:rFonts w:eastAsia="Calibri"/>
        </w:rPr>
        <w:t>; Chen et al., 2021</w:t>
      </w:r>
      <w:r w:rsidR="00252D12">
        <w:rPr>
          <w:rFonts w:eastAsia="Calibri"/>
        </w:rPr>
        <w:t>)</w:t>
      </w:r>
      <w:r w:rsidR="004D31AF">
        <w:rPr>
          <w:rFonts w:eastAsia="Calibri"/>
        </w:rPr>
        <w:t>.</w:t>
      </w:r>
      <w:r w:rsidR="001E473D">
        <w:rPr>
          <w:rFonts w:eastAsia="Calibri"/>
        </w:rPr>
        <w:t xml:space="preserve"> The last two terms are the terminal values of vehicle and land at the end of study period in year T.</w:t>
      </w:r>
      <w:r w:rsidR="00D50508">
        <w:rPr>
          <w:rFonts w:eastAsia="Calibri"/>
        </w:rPr>
        <w:t xml:space="preserve"> </w:t>
      </w:r>
      <w:proofErr w:type="gramStart"/>
      <w:r w:rsidR="00D50508">
        <w:rPr>
          <w:rFonts w:eastAsia="Calibri"/>
        </w:rPr>
        <w:t>The notation</w:t>
      </w:r>
      <w:proofErr w:type="gramEnd"/>
      <w:r w:rsidR="00D50508">
        <w:rPr>
          <w:rFonts w:eastAsia="Calibri"/>
        </w:rPr>
        <w:t xml:space="preserve"> for variables, parameters, and subscripts.</w:t>
      </w:r>
      <w:r w:rsidR="00B07366" w:rsidRPr="00B07366">
        <w:rPr>
          <w:rFonts w:eastAsia="Calibri"/>
        </w:rPr>
        <w:t xml:space="preserve"> </w:t>
      </w:r>
      <w:r w:rsidR="00B07366">
        <w:rPr>
          <w:rFonts w:eastAsia="Calibri"/>
        </w:rPr>
        <w:t>is described in Table A.</w:t>
      </w:r>
      <w:r w:rsidR="00D55F12">
        <w:rPr>
          <w:rFonts w:eastAsia="Calibri"/>
        </w:rPr>
        <w:t>8</w:t>
      </w:r>
      <w:r w:rsidR="00B07366">
        <w:rPr>
          <w:rFonts w:eastAsia="Calibri"/>
        </w:rPr>
        <w:t>.</w:t>
      </w:r>
    </w:p>
    <w:p w14:paraId="6DBC89D8" w14:textId="1C80F885" w:rsidR="008F4658" w:rsidRDefault="00D47EED" w:rsidP="00FD6FAD">
      <w:pPr>
        <w:spacing w:after="0" w:line="240" w:lineRule="auto"/>
        <w:ind w:firstLine="0"/>
        <w:rPr>
          <w:rFonts w:eastAsia="Calibri"/>
        </w:rPr>
      </w:pPr>
      <w:r w:rsidRPr="00D47EED">
        <w:rPr>
          <w:rFonts w:eastAsia="Calibri"/>
          <w:noProof/>
        </w:rPr>
        <w:lastRenderedPageBreak/>
        <w:drawing>
          <wp:inline distT="0" distB="0" distL="0" distR="0" wp14:anchorId="1ACAC6AF" wp14:editId="28822605">
            <wp:extent cx="5967351" cy="3749914"/>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5596" t="6794" r="4984"/>
                    <a:stretch/>
                  </pic:blipFill>
                  <pic:spPr bwMode="auto">
                    <a:xfrm>
                      <a:off x="0" y="0"/>
                      <a:ext cx="5974314" cy="3754289"/>
                    </a:xfrm>
                    <a:prstGeom prst="rect">
                      <a:avLst/>
                    </a:prstGeom>
                    <a:ln>
                      <a:noFill/>
                    </a:ln>
                    <a:extLst>
                      <a:ext uri="{53640926-AAD7-44D8-BBD7-CCE9431645EC}">
                        <a14:shadowObscured xmlns:a14="http://schemas.microsoft.com/office/drawing/2010/main"/>
                      </a:ext>
                    </a:extLst>
                  </pic:spPr>
                </pic:pic>
              </a:graphicData>
            </a:graphic>
          </wp:inline>
        </w:drawing>
      </w:r>
    </w:p>
    <w:p w14:paraId="31EE6D10" w14:textId="2833ECE4" w:rsidR="0033572E" w:rsidRPr="008F4658" w:rsidRDefault="00260BD8" w:rsidP="00C36918">
      <w:pPr>
        <w:pStyle w:val="Heading4"/>
        <w:numPr>
          <w:ilvl w:val="0"/>
          <w:numId w:val="0"/>
        </w:numPr>
        <w:rPr>
          <w:b/>
          <w:bCs/>
        </w:rPr>
      </w:pPr>
      <w:r w:rsidRPr="008F4658">
        <w:rPr>
          <w:b/>
          <w:bCs/>
        </w:rPr>
        <w:t xml:space="preserve">A.1.1.1 Transportation </w:t>
      </w:r>
      <w:r w:rsidR="008F4658">
        <w:rPr>
          <w:b/>
          <w:bCs/>
        </w:rPr>
        <w:t>S</w:t>
      </w:r>
      <w:r w:rsidRPr="008F4658">
        <w:rPr>
          <w:b/>
          <w:bCs/>
        </w:rPr>
        <w:t>ector</w:t>
      </w:r>
    </w:p>
    <w:p w14:paraId="231017A8" w14:textId="77F1BE37" w:rsidR="00255FB5" w:rsidRPr="002F7F80" w:rsidRDefault="006F0909" w:rsidP="00255FB5">
      <w:pPr>
        <w:spacing w:line="240" w:lineRule="auto"/>
      </w:pPr>
      <w:r w:rsidRPr="00F84713">
        <w:rPr>
          <w:rFonts w:eastAsia="Calibri"/>
        </w:rPr>
        <w:t xml:space="preserve">The first integral term in the </w:t>
      </w:r>
      <w:r w:rsidR="009E5E4F">
        <w:rPr>
          <w:rFonts w:eastAsia="Calibri"/>
        </w:rPr>
        <w:t>first</w:t>
      </w:r>
      <w:r w:rsidRPr="00F84713">
        <w:rPr>
          <w:rFonts w:eastAsia="Calibri"/>
        </w:rPr>
        <w:t xml:space="preserve"> line of (1) represents the area under the inverse demand function for </w:t>
      </w:r>
      <w:r>
        <w:rPr>
          <w:rFonts w:eastAsia="Calibri"/>
        </w:rPr>
        <w:t xml:space="preserve">aggregated </w:t>
      </w:r>
      <w:r w:rsidRPr="00F84713">
        <w:rPr>
          <w:rFonts w:eastAsia="Calibri"/>
        </w:rPr>
        <w:t>kilometers traveled</w:t>
      </w:r>
      <w:r w:rsidR="00B9539D">
        <w:rPr>
          <w:rFonts w:eastAsia="Calibri"/>
        </w:rPr>
        <w:t xml:space="preserve"> (VKT) from which</w:t>
      </w:r>
      <w:r w:rsidR="00BF5C90">
        <w:rPr>
          <w:rFonts w:eastAsia="Calibri"/>
        </w:rPr>
        <w:t xml:space="preserve"> </w:t>
      </w:r>
      <w:r w:rsidR="00B9539D">
        <w:rPr>
          <w:rFonts w:eastAsia="Calibri"/>
        </w:rPr>
        <w:t xml:space="preserve">consumers’ surplus is derived. </w:t>
      </w:r>
      <w:r w:rsidR="00B9539D" w:rsidRPr="00F84713">
        <w:rPr>
          <w:rFonts w:eastAsia="Calibri"/>
        </w:rPr>
        <w:t>Each integral is associated with</w:t>
      </w:r>
      <w:r w:rsidR="00B9539D">
        <w:rPr>
          <w:rFonts w:eastAsia="Calibri"/>
        </w:rPr>
        <w:t xml:space="preserve"> a region and </w:t>
      </w:r>
      <w:r w:rsidR="00BF5C90">
        <w:rPr>
          <w:rFonts w:eastAsia="Calibri"/>
        </w:rPr>
        <w:t xml:space="preserve">driving demand group. </w:t>
      </w:r>
      <m:oMath>
        <m:sSub>
          <m:sSubPr>
            <m:ctrlPr>
              <w:rPr>
                <w:rFonts w:ascii="Cambria Math" w:eastAsia="Calibri" w:hAnsi="Cambria Math"/>
                <w:i/>
              </w:rPr>
            </m:ctrlPr>
          </m:sSubPr>
          <m:e>
            <m:r>
              <m:rPr>
                <m:sty m:val="p"/>
              </m:rPr>
              <w:rPr>
                <w:rFonts w:ascii="Cambria Math" w:eastAsia="Calibri" w:hAnsi="Cambria Math"/>
              </w:rPr>
              <m:t>VKT</m:t>
            </m:r>
          </m:e>
          <m:sub>
            <m:r>
              <w:rPr>
                <w:rFonts w:ascii="Cambria Math" w:eastAsia="Calibri" w:hAnsi="Cambria Math"/>
              </w:rPr>
              <m:t>t,r,md</m:t>
            </m:r>
          </m:sub>
        </m:sSub>
      </m:oMath>
      <w:r w:rsidR="00363B1D">
        <w:rPr>
          <w:rFonts w:eastAsia="Calibri"/>
        </w:rPr>
        <w:t xml:space="preserve"> denotes the endogenous </w:t>
      </w:r>
      <w:r w:rsidR="00CC5796">
        <w:rPr>
          <w:rFonts w:eastAsia="Calibri"/>
        </w:rPr>
        <w:t xml:space="preserve">variable of </w:t>
      </w:r>
      <w:r w:rsidR="00CC5796" w:rsidRPr="00C36918">
        <w:t>vehicle kilometers traveled</w:t>
      </w:r>
      <w:r w:rsidR="001936F2">
        <w:rPr>
          <w:rFonts w:eastAsia="Calibri"/>
        </w:rPr>
        <w:t xml:space="preserve"> by </w:t>
      </w:r>
      <w:r w:rsidR="00707FCE">
        <w:rPr>
          <w:rFonts w:eastAsia="Calibri"/>
        </w:rPr>
        <w:t xml:space="preserve">driving </w:t>
      </w:r>
      <w:r w:rsidR="00C1697A">
        <w:rPr>
          <w:rFonts w:eastAsia="Calibri"/>
        </w:rPr>
        <w:t>demand grou</w:t>
      </w:r>
      <w:r w:rsidR="00C1697A" w:rsidRPr="002F7F80">
        <w:rPr>
          <w:rFonts w:eastAsia="Calibri"/>
        </w:rPr>
        <w:t xml:space="preserve">ps </w:t>
      </w:r>
      <w:r w:rsidR="00925A47" w:rsidRPr="002F7F80">
        <w:rPr>
          <w:rFonts w:eastAsia="Calibri"/>
        </w:rPr>
        <w:t xml:space="preserve">denoted as </w:t>
      </w:r>
      <w:r w:rsidR="00707FCE" w:rsidRPr="00C36918">
        <w:rPr>
          <w:rFonts w:eastAsia="Calibri"/>
          <w:i/>
          <w:iCs/>
        </w:rPr>
        <w:t>md</w:t>
      </w:r>
      <w:r w:rsidR="0051623D" w:rsidRPr="002F7F80">
        <w:rPr>
          <w:rFonts w:eastAsia="Calibri"/>
        </w:rPr>
        <w:t xml:space="preserve">= </w:t>
      </w:r>
      <w:r w:rsidR="004D31AF" w:rsidRPr="002F7F80">
        <w:rPr>
          <w:rFonts w:eastAsia="Calibri"/>
        </w:rPr>
        <w:t>{</w:t>
      </w:r>
      <w:r w:rsidR="0051623D" w:rsidRPr="002F7F80">
        <w:rPr>
          <w:rFonts w:eastAsia="Calibri"/>
        </w:rPr>
        <w:t>high</w:t>
      </w:r>
      <w:r w:rsidR="00CC5796">
        <w:rPr>
          <w:rFonts w:eastAsia="Calibri"/>
        </w:rPr>
        <w:t xml:space="preserve">, </w:t>
      </w:r>
      <w:r w:rsidR="0051623D" w:rsidRPr="002F7F80">
        <w:rPr>
          <w:rFonts w:eastAsia="Calibri"/>
        </w:rPr>
        <w:t>me</w:t>
      </w:r>
      <w:r w:rsidR="004D31AF" w:rsidRPr="002F7F80">
        <w:rPr>
          <w:rFonts w:eastAsia="Calibri"/>
        </w:rPr>
        <w:t>di</w:t>
      </w:r>
      <w:r w:rsidR="0051623D" w:rsidRPr="002F7F80">
        <w:rPr>
          <w:rFonts w:eastAsia="Calibri"/>
        </w:rPr>
        <w:t>um, low</w:t>
      </w:r>
      <w:r w:rsidR="004D31AF" w:rsidRPr="002F7F80">
        <w:rPr>
          <w:rFonts w:eastAsia="Calibri"/>
        </w:rPr>
        <w:t>}</w:t>
      </w:r>
      <w:r w:rsidR="001E473D">
        <w:rPr>
          <w:rFonts w:eastAsia="Calibri"/>
        </w:rPr>
        <w:t xml:space="preserve"> </w:t>
      </w:r>
      <w:r w:rsidR="00707FCE" w:rsidRPr="002F7F80">
        <w:rPr>
          <w:rFonts w:eastAsia="Calibri"/>
        </w:rPr>
        <w:t xml:space="preserve">of region </w:t>
      </w:r>
      <w:r w:rsidR="00707FCE" w:rsidRPr="00C36918">
        <w:rPr>
          <w:rFonts w:eastAsia="Calibri"/>
          <w:i/>
          <w:iCs/>
        </w:rPr>
        <w:t>r</w:t>
      </w:r>
      <w:r w:rsidR="00707FCE" w:rsidRPr="002F7F80">
        <w:rPr>
          <w:rFonts w:eastAsia="Calibri"/>
        </w:rPr>
        <w:t xml:space="preserve"> </w:t>
      </w:r>
      <w:r w:rsidR="00363B1D" w:rsidRPr="002F7F80">
        <w:rPr>
          <w:rFonts w:eastAsia="Calibri"/>
        </w:rPr>
        <w:t xml:space="preserve">in year </w:t>
      </w:r>
      <w:r w:rsidR="00363B1D" w:rsidRPr="00C36918">
        <w:rPr>
          <w:rFonts w:eastAsia="Calibri"/>
          <w:i/>
          <w:iCs/>
        </w:rPr>
        <w:t>t</w:t>
      </w:r>
      <w:r w:rsidR="009A51B7" w:rsidRPr="002F7F80">
        <w:rPr>
          <w:rFonts w:eastAsia="Calibri"/>
        </w:rPr>
        <w:t>;</w:t>
      </w:r>
      <w:r w:rsidR="00363B1D" w:rsidRPr="002F7F80">
        <w:rPr>
          <w:rFonts w:eastAsia="Calibri"/>
        </w:rPr>
        <w:t xml:space="preserve"> </w:t>
      </w:r>
      <m:oMath>
        <m:sSup>
          <m:sSupPr>
            <m:ctrlPr>
              <w:rPr>
                <w:rFonts w:ascii="Cambria Math" w:eastAsia="Calibri" w:hAnsi="Cambria Math"/>
                <w:i/>
              </w:rPr>
            </m:ctrlPr>
          </m:sSupPr>
          <m:e>
            <m:r>
              <w:rPr>
                <w:rFonts w:ascii="Cambria Math" w:eastAsia="Calibri" w:hAnsi="Cambria Math"/>
              </w:rPr>
              <m:t>f</m:t>
            </m:r>
          </m:e>
          <m:sup>
            <m:r>
              <w:rPr>
                <w:rFonts w:ascii="Cambria Math" w:eastAsia="Calibri" w:hAnsi="Cambria Math"/>
              </w:rPr>
              <m:t>r,md</m:t>
            </m:r>
          </m:sup>
        </m:sSup>
        <m:r>
          <w:rPr>
            <w:rFonts w:ascii="Cambria Math" w:eastAsia="Calibri" w:hAnsi="Cambria Math"/>
          </w:rPr>
          <m:t>(.)</m:t>
        </m:r>
      </m:oMath>
      <w:r w:rsidR="009A51B7" w:rsidRPr="002F7F80">
        <w:rPr>
          <w:rFonts w:eastAsia="Calibri"/>
        </w:rPr>
        <w:t xml:space="preserve"> denotes the inverse demand function for the VKT in each region</w:t>
      </w:r>
      <w:r w:rsidR="002C2471" w:rsidRPr="002F7F80">
        <w:rPr>
          <w:rFonts w:eastAsia="Calibri"/>
        </w:rPr>
        <w:t xml:space="preserve"> </w:t>
      </w:r>
      <w:r w:rsidR="002C2471" w:rsidRPr="00C36918">
        <w:rPr>
          <w:rFonts w:eastAsia="Calibri"/>
          <w:i/>
          <w:iCs/>
        </w:rPr>
        <w:t>r</w:t>
      </w:r>
      <w:r w:rsidR="009A51B7" w:rsidRPr="00C36918">
        <w:rPr>
          <w:rFonts w:eastAsia="Calibri"/>
          <w:i/>
          <w:iCs/>
        </w:rPr>
        <w:t xml:space="preserve"> </w:t>
      </w:r>
      <w:r w:rsidR="009A51B7" w:rsidRPr="002F7F80">
        <w:rPr>
          <w:rFonts w:eastAsia="Calibri"/>
        </w:rPr>
        <w:t xml:space="preserve">and driving </w:t>
      </w:r>
      <w:r w:rsidR="00691578" w:rsidRPr="002F7F80">
        <w:rPr>
          <w:rFonts w:eastAsia="Calibri"/>
        </w:rPr>
        <w:t xml:space="preserve">demand </w:t>
      </w:r>
      <w:r w:rsidR="009A51B7" w:rsidRPr="002F7F80">
        <w:rPr>
          <w:rFonts w:eastAsia="Calibri"/>
        </w:rPr>
        <w:t>group</w:t>
      </w:r>
      <w:r w:rsidR="002C2471" w:rsidRPr="002F7F80">
        <w:rPr>
          <w:rFonts w:eastAsia="Calibri"/>
        </w:rPr>
        <w:t xml:space="preserve"> </w:t>
      </w:r>
      <w:r w:rsidR="002C2471" w:rsidRPr="00C36918">
        <w:rPr>
          <w:rFonts w:eastAsia="Calibri"/>
          <w:i/>
          <w:iCs/>
        </w:rPr>
        <w:t>md</w:t>
      </w:r>
      <w:r w:rsidR="009A51B7" w:rsidRPr="002F7F80">
        <w:rPr>
          <w:rFonts w:eastAsia="Calibri"/>
        </w:rPr>
        <w:t xml:space="preserve">; and </w:t>
      </w:r>
      <w:r w:rsidR="009A51B7" w:rsidRPr="002F7F80">
        <w:rPr>
          <w:rFonts w:eastAsia="Calibri"/>
          <w:i/>
        </w:rPr>
        <w:t>d</w:t>
      </w:r>
      <w:r w:rsidR="009A51B7" w:rsidRPr="002F7F80">
        <w:rPr>
          <w:rFonts w:eastAsia="Calibri"/>
        </w:rPr>
        <w:t xml:space="preserve">(.) denotes the integration variable. </w:t>
      </w:r>
      <w:r w:rsidR="002F7F80" w:rsidRPr="00C36918">
        <w:t xml:space="preserve">We construct the VKT demand functions </w:t>
      </w:r>
      <m:oMath>
        <m:sSup>
          <m:sSupPr>
            <m:ctrlPr>
              <w:rPr>
                <w:rFonts w:ascii="Cambria Math" w:eastAsia="Calibri" w:hAnsi="Cambria Math"/>
                <w:i/>
              </w:rPr>
            </m:ctrlPr>
          </m:sSupPr>
          <m:e>
            <m:r>
              <w:rPr>
                <w:rFonts w:ascii="Cambria Math" w:eastAsia="Calibri" w:hAnsi="Cambria Math"/>
              </w:rPr>
              <m:t>f</m:t>
            </m:r>
          </m:e>
          <m:sup>
            <m:r>
              <w:rPr>
                <w:rFonts w:ascii="Cambria Math" w:eastAsia="Calibri" w:hAnsi="Cambria Math"/>
              </w:rPr>
              <m:t>r,md</m:t>
            </m:r>
          </m:sup>
        </m:sSup>
        <m:r>
          <w:rPr>
            <w:rFonts w:ascii="Cambria Math" w:eastAsia="Calibri" w:hAnsi="Cambria Math"/>
          </w:rPr>
          <m:t>(.)</m:t>
        </m:r>
      </m:oMath>
      <w:r w:rsidR="00CC5796" w:rsidRPr="00CC5796">
        <w:t xml:space="preserve"> </w:t>
      </w:r>
      <w:r w:rsidR="002F7F80" w:rsidRPr="00C36918">
        <w:t xml:space="preserve"> for light-duty vehicles by disaggregating the total national VKT demand defined in the BEPAM </w:t>
      </w:r>
      <w:r w:rsidR="002F7F80" w:rsidRPr="00C36918">
        <w:fldChar w:fldCharType="begin" w:fldLock="1"/>
      </w:r>
      <w:r w:rsidR="00973E1B">
        <w:instrText>ADDIN CSL_CITATION {"citationItems":[{"id":"ITEM-1","itemData":{"DOI":"10.1088/1748-9326/abd7af","ISSN":"1748-9326","abstract":"Mandates, like the renewable fuel standard (RFS), for biofuels from corn and cellulosic feedstocks, impact the environment in multiple ways by affecting land use, nitrogen (N)-leakage, and greenhouse gas (GHG) emissions. We analyze the differing trade-offs these different types of biofuels offer among these multi-dimensional environmental effects and convert them to a monetized value of environmental damages (or benefits) that can be compared with the economic costs of extending these mandates over the 2016–2030 period. The discounted values of cumulative net benefits (or costs) are then compared to those with a counterfactual level of biofuels that would have been produced in the absence of the RFS over this period. We find that maintaining the corn ethanol mandate at 56 billion l till 2030 will lead to a discounted cumulative value of an economic cost of $199 billion over the 2016–2030 period compared to the counterfactual scenario; this includes $109 billion of economic costs and $85 billion of net monetized environmental damages. The additional implementation of a cellulosic biofuel mandate for 60 billion l by 2030 will increase this economic cost by $69 billion which will be partly offset by the net discounted monetized value of environmental benefits of $20 billion, resulting in a net cost of $49 billion over the 2016–2030 period. We explore the sensitivity of these net (economic and environmental) costs to alternative values of the social costs of carbon and nitrogen and other technological and market parameters. We find that, unlike corn ethanol, cellulosic biofuels can result in positive net benefits if the monetary benefits of GHG mitigation are valued high and those of N-damages are not very high.","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container-title":"Environmental Research Letters","id":"ITEM-1","issue":"3","issued":{"date-parts":[["2021","3","1"]]},"page":"034021","publisher":"IOP Publishing","title":"The economic and environmental costs and benefits of the renewable fuel standard","type":"article-journal","volume":"16"},"uris":["http://www.mendeley.com/documents/?uuid=9de02e63-eb9d-425b-9fb5-e7bebf9f97d2"]}],"mendeley":{"formattedCitation":"(Chen et al. 2021)","plainTextFormattedCitation":"(Chen et al. 2021)","previouslyFormattedCitation":"(Chen et al. 2021)"},"properties":{"noteIndex":0},"schema":"https://github.com/citation-style-language/schema/raw/master/csl-citation.json"}</w:instrText>
      </w:r>
      <w:r w:rsidR="002F7F80" w:rsidRPr="00C36918">
        <w:fldChar w:fldCharType="separate"/>
      </w:r>
      <w:r w:rsidR="002F7F80" w:rsidRPr="00C36918">
        <w:rPr>
          <w:noProof/>
        </w:rPr>
        <w:t>(Chen et al. 2021)</w:t>
      </w:r>
      <w:r w:rsidR="002F7F80" w:rsidRPr="00C36918">
        <w:fldChar w:fldCharType="end"/>
      </w:r>
      <w:r w:rsidR="002F7F80" w:rsidRPr="00C36918">
        <w:t xml:space="preserve"> into twenty regions</w:t>
      </w:r>
      <w:r w:rsidR="00273144">
        <w:t xml:space="preserve"> (r)</w:t>
      </w:r>
      <w:r w:rsidR="002F7F80" w:rsidRPr="00C36918">
        <w:t xml:space="preserve"> defined by </w:t>
      </w:r>
      <w:r w:rsidR="002F7F80" w:rsidRPr="00C36918">
        <w:fldChar w:fldCharType="begin" w:fldLock="1"/>
      </w:r>
      <w:r w:rsidR="00973E1B">
        <w:instrText>ADDIN CSL_CITATION {"citationItems":[{"id":"ITEM-1","itemData":{"DOI":"10.1111/ajae.12189","ISSN":"14678276","abstract":"The Clean Power Plan (CPP) was repealed due to concerns about the “unnecessary, costly burdens” it may impose on electric utilities, thereby delaying efforts to reduce carbon dioxide emissions (CO2) from the electricity sector. This paper examines the greenhouse gas and welfare implications of this repeal while incorporating the presence of the state renewable portfolio standards (RPS) in the US as the status quo. We assess the carbon abatement and welfare costs with the CPP relative to two alternative baselines: a no-policy baseline and a pre-existing policy baseline with the RPS. The CPP is implemented as a regional mass-based standard, a regional rate-based standard, or as a national mass-based standard with trading of emissions across regions over the 2022–2030 period. We find that the incremental discounted welfare costs per metric ton of CO2 that would have been abated by the CPP relative to the RPS would be substantially lower than the global social cost of CO2. However, the overall costs of carbon abatement with the CPP added to the RPS would have become higher than the social cost of carbon when estimated relative to a no-policy baseline, except with a national mass-based CPP. Across all policy combinations and choice of baselines, the aggregate welfare costs were lowest under a national mass-based standard and highest under the regional rate-based standard. We also find that the CPP would have imposed large welfare costs on consumers and fossil fuel producers while benefiting the renewable fuel producers.","author":[{"dropping-particle":"","family":"Khanna","given":"Madhu","non-dropping-particle":"","parse-names":false,"suffix":""},{"dropping-particle":"","family":"Chen","given":"Xiaoguang","non-dropping-particle":"","parse-names":false,"suffix":""},{"dropping-particle":"","family":"Wang","given":"Weiwei","non-dropping-particle":"","parse-names":false,"suffix":""},{"dropping-particle":"","family":"Oliver","given":"Anthony","non-dropping-particle":"","parse-names":false,"suffix":""}],"container-title":"American Journal of Agricultural Economics","id":"ITEM-1","issued":{"date-parts":[["2021"]]},"publisher":"John Wiley and Sons Inc","title":"Repeal of the Clean Power Plan: Social Cost and Distributional Implications","type":"article-journal"},"uris":["http://www.mendeley.com/documents/?uuid=dac04b50-d537-3cb4-9bf7-710dc58ea67f"]}],"mendeley":{"formattedCitation":"(Khanna et al. 2021)","manualFormatting":"Khanna et al. (2021)","plainTextFormattedCitation":"(Khanna et al. 2021)","previouslyFormattedCitation":"(Khanna et al. 2021)"},"properties":{"noteIndex":0},"schema":"https://github.com/citation-style-language/schema/raw/master/csl-citation.json"}</w:instrText>
      </w:r>
      <w:r w:rsidR="002F7F80" w:rsidRPr="00C36918">
        <w:fldChar w:fldCharType="separate"/>
      </w:r>
      <w:r w:rsidR="002F7F80" w:rsidRPr="00C36918">
        <w:rPr>
          <w:noProof/>
        </w:rPr>
        <w:t xml:space="preserve">Khanna et al. </w:t>
      </w:r>
      <w:r w:rsidR="00D55F12" w:rsidRPr="00C36918">
        <w:rPr>
          <w:noProof/>
        </w:rPr>
        <w:t>(</w:t>
      </w:r>
      <w:r w:rsidR="002F7F80" w:rsidRPr="00C36918">
        <w:rPr>
          <w:noProof/>
        </w:rPr>
        <w:t>2021)</w:t>
      </w:r>
      <w:r w:rsidR="002F7F80" w:rsidRPr="00C36918">
        <w:fldChar w:fldCharType="end"/>
      </w:r>
      <w:r w:rsidR="002F7F80" w:rsidRPr="00C36918">
        <w:t xml:space="preserve"> each with its own distinct demand and supply conditions based on the Highway Statistics</w:t>
      </w:r>
      <w:r w:rsidR="002F7F80" w:rsidRPr="00C36918">
        <w:rPr>
          <w:rStyle w:val="FootnoteReference"/>
        </w:rPr>
        <w:footnoteReference w:id="1"/>
      </w:r>
      <w:r w:rsidR="002F7F80" w:rsidRPr="00C36918">
        <w:t xml:space="preserve">. </w:t>
      </w:r>
      <w:r w:rsidR="00273144">
        <w:t xml:space="preserve">The regions are aggregations of states </w:t>
      </w:r>
      <w:r w:rsidR="002D5EB9">
        <w:t xml:space="preserve">that are part of 20 </w:t>
      </w:r>
      <w:r w:rsidR="000F71F7">
        <w:t>electricity market regions (EMR)</w:t>
      </w:r>
      <w:r w:rsidR="002D5EB9">
        <w:t xml:space="preserve"> in the US (as defined in </w:t>
      </w:r>
      <w:r w:rsidR="00273144">
        <w:fldChar w:fldCharType="begin" w:fldLock="1"/>
      </w:r>
      <w:r w:rsidR="00973E1B">
        <w:instrText>ADDIN CSL_CITATION {"citationItems":[{"id":"ITEM-1","itemData":{"abstract":"Energy policies for greenhouse gas (GHG) mitigation in the United States have set sector-specific standards, such as the Renewable Fuel Standard (RFS) and the Renewable Portfolio Standard (RPS) for the transportation and the electricity sectors , respectively. This paper examines the welfare costs and effectiveness of GHG abatement with these policies and compares them with those under a carbon tax normalized to achieve the same level of abatement over the 2007-2030 period. We show that the global welfare cost per ton of GHG abatement with the RFS and RPS is $171, while with the carbon tax it is $7. (JEL Q42, Q58)","author":[{"dropping-particle":"","family":"Oliver","given":"Anthony","non-dropping-particle":"","parse-names":false,"suffix":""},{"dropping-particle":"","family":"Khanna","given":"Madhu","non-dropping-particle":"","parse-names":false,"suffix":""}],"container-title":"Land Economics","id":"ITEM-1","issue":"3","issued":{"date-parts":[["2017"]]},"note":"$19.4","page":"437-458","title":"What Is the Cost of a Renewable Energy-Based Approach to Greenhouse Gas Mitigation?","type":"article-journal","volume":"93"},"uris":["http://www.mendeley.com/documents/?uuid=62ec44d0-7a02-3f6b-8c09-b47d5addf39d"]}],"mendeley":{"formattedCitation":"(Oliver and Khanna 2017)","manualFormatting":"Oliver and Khanna (2017)","plainTextFormattedCitation":"(Oliver and Khanna 2017)","previouslyFormattedCitation":"(Oliver and Khanna 2017)"},"properties":{"noteIndex":0},"schema":"https://github.com/citation-style-language/schema/raw/master/csl-citation.json"}</w:instrText>
      </w:r>
      <w:r w:rsidR="00273144">
        <w:fldChar w:fldCharType="separate"/>
      </w:r>
      <w:r w:rsidR="00273144" w:rsidRPr="00255FB5">
        <w:rPr>
          <w:noProof/>
        </w:rPr>
        <w:t>Oliver and Khanna (2017)</w:t>
      </w:r>
      <w:r w:rsidR="00273144">
        <w:fldChar w:fldCharType="end"/>
      </w:r>
      <w:r w:rsidR="002D5EB9">
        <w:t>.</w:t>
      </w:r>
      <w:r w:rsidR="00273144">
        <w:t xml:space="preserve"> </w:t>
      </w:r>
      <w:r w:rsidR="00CC5796">
        <w:t>The</w:t>
      </w:r>
      <w:r w:rsidR="002F7F80" w:rsidRPr="00C36918">
        <w:t xml:space="preserve"> three driving demand groups</w:t>
      </w:r>
      <w:r w:rsidR="00CC5796">
        <w:t xml:space="preserve"> (</w:t>
      </w:r>
      <w:r w:rsidR="00CC5796" w:rsidRPr="00C36918">
        <w:rPr>
          <w:i/>
          <w:iCs/>
        </w:rPr>
        <w:t>md</w:t>
      </w:r>
      <w:r w:rsidR="00CC5796" w:rsidRPr="00D93C5B">
        <w:t>)</w:t>
      </w:r>
      <w:r w:rsidR="002F7F80" w:rsidRPr="00C36918">
        <w:t xml:space="preserve"> </w:t>
      </w:r>
      <w:r w:rsidR="00CC5796">
        <w:t xml:space="preserve">are identified </w:t>
      </w:r>
      <w:r w:rsidR="002F7F80" w:rsidRPr="00C36918">
        <w:t>based on their annual driving behavior from the 2017 National Household Travel Survey (NHTS). The low driving demand group includes the vehicles driving less than 8,000 miles per year; the vehicles in the medium group drive on average between 8,000 and 16,000 miles per year; and the high driving demand group has yearly demand of more than 16,000 miles.</w:t>
      </w:r>
      <w:r w:rsidR="002F7F80" w:rsidRPr="002F7F80">
        <w:t xml:space="preserve"> </w:t>
      </w:r>
    </w:p>
    <w:p w14:paraId="348AF068" w14:textId="020756C0" w:rsidR="002F7F80" w:rsidRPr="00C36918" w:rsidRDefault="002F7F80" w:rsidP="002F7F80">
      <w:pPr>
        <w:spacing w:line="240" w:lineRule="auto"/>
      </w:pPr>
      <w:r w:rsidRPr="00C36918">
        <w:t>The medium- or heavy-duty trucks consume diesel and have a separate VKT demand function</w:t>
      </w:r>
      <w:r w:rsidR="00593196">
        <w:t xml:space="preserve"> </w:t>
      </w:r>
      <m:oMath>
        <m:sSup>
          <m:sSupPr>
            <m:ctrlPr>
              <w:rPr>
                <w:rFonts w:ascii="Cambria Math" w:eastAsia="Calibri" w:hAnsi="Cambria Math"/>
                <w:i/>
              </w:rPr>
            </m:ctrlPr>
          </m:sSupPr>
          <m:e>
            <m:r>
              <w:rPr>
                <w:rFonts w:ascii="Cambria Math" w:eastAsia="Calibri" w:hAnsi="Cambria Math"/>
              </w:rPr>
              <m:t>f</m:t>
            </m:r>
          </m:e>
          <m:sup>
            <m:r>
              <w:rPr>
                <w:rFonts w:ascii="Cambria Math" w:eastAsia="Calibri" w:hAnsi="Cambria Math"/>
              </w:rPr>
              <m:t>mdsl</m:t>
            </m:r>
          </m:sup>
        </m:sSup>
        <m:r>
          <w:rPr>
            <w:rFonts w:ascii="Cambria Math" w:eastAsia="Calibri" w:hAnsi="Cambria Math"/>
          </w:rPr>
          <m:t>(.)</m:t>
        </m:r>
      </m:oMath>
      <w:r w:rsidR="00CC5796">
        <w:t xml:space="preserve"> in </w:t>
      </w:r>
      <w:r w:rsidR="00CC5796">
        <w:rPr>
          <w:rFonts w:eastAsia="Calibri"/>
        </w:rPr>
        <w:t>t</w:t>
      </w:r>
      <w:r w:rsidR="006F0909" w:rsidRPr="002F7F80">
        <w:rPr>
          <w:rFonts w:eastAsia="Calibri"/>
        </w:rPr>
        <w:t xml:space="preserve">he second integral term </w:t>
      </w:r>
      <w:r w:rsidRPr="002F7F80">
        <w:rPr>
          <w:rFonts w:eastAsia="Calibri"/>
        </w:rPr>
        <w:t xml:space="preserve">of </w:t>
      </w:r>
      <w:r w:rsidR="001E473D">
        <w:rPr>
          <w:rFonts w:eastAsia="Calibri"/>
        </w:rPr>
        <w:t xml:space="preserve">the </w:t>
      </w:r>
      <w:r w:rsidRPr="002F7F80">
        <w:rPr>
          <w:rFonts w:eastAsia="Calibri"/>
        </w:rPr>
        <w:t>first line</w:t>
      </w:r>
      <w:r w:rsidR="00CC5796">
        <w:rPr>
          <w:rFonts w:eastAsia="Calibri"/>
        </w:rPr>
        <w:t xml:space="preserve">, which </w:t>
      </w:r>
      <w:r w:rsidR="006F0909" w:rsidRPr="002F7F80">
        <w:rPr>
          <w:rFonts w:eastAsia="Calibri"/>
        </w:rPr>
        <w:t xml:space="preserve">denotes the area under the inverse demand function for VKT </w:t>
      </w:r>
      <w:r w:rsidR="002C2471" w:rsidRPr="002F7F80">
        <w:rPr>
          <w:rFonts w:eastAsia="Calibri"/>
        </w:rPr>
        <w:t>for</w:t>
      </w:r>
      <w:r w:rsidR="006F0909" w:rsidRPr="002F7F80">
        <w:rPr>
          <w:rFonts w:eastAsia="Calibri"/>
        </w:rPr>
        <w:t xml:space="preserve"> diesel vehicles (denoted by </w:t>
      </w:r>
      <m:oMath>
        <m:r>
          <w:rPr>
            <w:rFonts w:ascii="Cambria Math" w:eastAsia="Calibri" w:hAnsi="Cambria Math"/>
          </w:rPr>
          <m:t>MDS</m:t>
        </m:r>
        <m:sSub>
          <m:sSubPr>
            <m:ctrlPr>
              <w:rPr>
                <w:rFonts w:ascii="Cambria Math" w:eastAsia="Calibri" w:hAnsi="Cambria Math"/>
                <w:i/>
              </w:rPr>
            </m:ctrlPr>
          </m:sSubPr>
          <m:e>
            <m:r>
              <w:rPr>
                <w:rFonts w:ascii="Cambria Math" w:eastAsia="Calibri" w:hAnsi="Cambria Math"/>
              </w:rPr>
              <m:t>L</m:t>
            </m:r>
          </m:e>
          <m:sub>
            <m:r>
              <w:rPr>
                <w:rFonts w:ascii="Cambria Math" w:eastAsia="Calibri" w:hAnsi="Cambria Math"/>
              </w:rPr>
              <m:t>t</m:t>
            </m:r>
          </m:sub>
        </m:sSub>
      </m:oMath>
      <w:r w:rsidR="006F0909" w:rsidRPr="002F7F80">
        <w:rPr>
          <w:rFonts w:eastAsia="Calibri"/>
        </w:rPr>
        <w:t xml:space="preserve">). </w:t>
      </w:r>
      <w:r w:rsidRPr="00C36918">
        <w:t xml:space="preserve">We do not consider </w:t>
      </w:r>
      <w:r w:rsidRPr="00C36918">
        <w:lastRenderedPageBreak/>
        <w:t>alternative fuel options for heavy</w:t>
      </w:r>
      <w:r w:rsidR="001E473D">
        <w:t>-</w:t>
      </w:r>
      <w:r w:rsidRPr="00C36918">
        <w:t xml:space="preserve">duty truck sectors because there is limited alternative powertrain </w:t>
      </w:r>
      <w:r w:rsidR="00D55F12">
        <w:t xml:space="preserve">option </w:t>
      </w:r>
      <w:r w:rsidRPr="00C36918">
        <w:t>available currently in the medium- or heavy-duty vehicle market.</w:t>
      </w:r>
      <w:r w:rsidR="00D55F12" w:rsidRPr="00D55F12">
        <w:rPr>
          <w:rFonts w:eastAsia="Calibri"/>
        </w:rPr>
        <w:t xml:space="preserve"> </w:t>
      </w:r>
      <w:r w:rsidR="00D55F12" w:rsidRPr="00F84713">
        <w:rPr>
          <w:rFonts w:eastAsia="Calibri"/>
        </w:rPr>
        <w:t xml:space="preserve">The demand functions for kilometers traveled and </w:t>
      </w:r>
      <w:proofErr w:type="gramStart"/>
      <w:r w:rsidR="00D55F12">
        <w:rPr>
          <w:rFonts w:eastAsia="Calibri"/>
        </w:rPr>
        <w:t>rest</w:t>
      </w:r>
      <w:proofErr w:type="gramEnd"/>
      <w:r w:rsidR="00D55F12">
        <w:rPr>
          <w:rFonts w:eastAsia="Calibri"/>
        </w:rPr>
        <w:t xml:space="preserve"> of the equation (1)</w:t>
      </w:r>
      <w:r w:rsidR="00D55F12" w:rsidRPr="00F84713">
        <w:rPr>
          <w:rFonts w:eastAsia="Calibri"/>
        </w:rPr>
        <w:t xml:space="preserve"> are all characterized by linear demand functions, but other functional forms, such as constant elasticity demand functions, can be incorporated without difficulty.</w:t>
      </w:r>
    </w:p>
    <w:p w14:paraId="145061EE" w14:textId="6A5EEAE2" w:rsidR="00852A8C" w:rsidRDefault="006F0909" w:rsidP="001E473D">
      <w:pPr>
        <w:spacing w:after="0" w:line="240" w:lineRule="auto"/>
        <w:rPr>
          <w:rFonts w:eastAsia="Calibri"/>
        </w:rPr>
      </w:pPr>
      <w:r w:rsidRPr="00F84713">
        <w:rPr>
          <w:rFonts w:eastAsia="Calibri"/>
        </w:rPr>
        <w:t xml:space="preserve">The </w:t>
      </w:r>
      <w:r w:rsidR="00593196">
        <w:rPr>
          <w:rFonts w:eastAsia="Calibri"/>
        </w:rPr>
        <w:t>first</w:t>
      </w:r>
      <w:r w:rsidR="00691578" w:rsidRPr="00F84713">
        <w:rPr>
          <w:rFonts w:eastAsia="Calibri"/>
        </w:rPr>
        <w:t xml:space="preserve"> </w:t>
      </w:r>
      <w:r w:rsidRPr="00F84713">
        <w:rPr>
          <w:rFonts w:eastAsia="Calibri"/>
        </w:rPr>
        <w:t xml:space="preserve">integral term in the </w:t>
      </w:r>
      <w:r w:rsidR="00852A8C">
        <w:rPr>
          <w:rFonts w:eastAsia="Calibri"/>
        </w:rPr>
        <w:t>second</w:t>
      </w:r>
      <w:r w:rsidR="00852A8C" w:rsidRPr="00F84713">
        <w:rPr>
          <w:rFonts w:eastAsia="Calibri"/>
        </w:rPr>
        <w:t xml:space="preserve"> </w:t>
      </w:r>
      <w:r w:rsidRPr="00F84713">
        <w:rPr>
          <w:rFonts w:eastAsia="Calibri"/>
        </w:rPr>
        <w:t xml:space="preserve">line represents </w:t>
      </w:r>
      <w:r>
        <w:rPr>
          <w:rFonts w:eastAsia="Calibri"/>
        </w:rPr>
        <w:t xml:space="preserve">the </w:t>
      </w:r>
      <w:r w:rsidRPr="00F84713">
        <w:rPr>
          <w:rFonts w:eastAsia="Calibri"/>
        </w:rPr>
        <w:t xml:space="preserve">area under the inverse demand function </w:t>
      </w:r>
      <m:oMath>
        <m:sSup>
          <m:sSupPr>
            <m:ctrlPr>
              <w:rPr>
                <w:rFonts w:ascii="Cambria Math" w:hAnsi="Cambria Math"/>
                <w:i/>
              </w:rPr>
            </m:ctrlPr>
          </m:sSupPr>
          <m:e>
            <m:r>
              <w:rPr>
                <w:rFonts w:ascii="Cambria Math" w:hAnsi="Cambria Math"/>
              </w:rPr>
              <m:t>f</m:t>
            </m:r>
          </m:e>
          <m:sup>
            <m:r>
              <w:rPr>
                <w:rFonts w:ascii="Cambria Math" w:hAnsi="Cambria Math"/>
              </w:rPr>
              <m:t>o,drow</m:t>
            </m:r>
          </m:sup>
        </m:sSup>
        <m:d>
          <m:dPr>
            <m:ctrlPr>
              <w:rPr>
                <w:rFonts w:ascii="Cambria Math" w:hAnsi="Cambria Math"/>
                <w:i/>
              </w:rPr>
            </m:ctrlPr>
          </m:dPr>
          <m:e>
            <m:r>
              <w:rPr>
                <w:rFonts w:ascii="Cambria Math" w:hAnsi="Cambria Math"/>
              </w:rPr>
              <m:t>.</m:t>
            </m:r>
          </m:e>
        </m:d>
      </m:oMath>
      <w:r w:rsidR="00593196">
        <w:rPr>
          <w:rFonts w:eastAsia="Calibri"/>
        </w:rPr>
        <w:t xml:space="preserve"> </w:t>
      </w:r>
      <w:r w:rsidRPr="00F84713">
        <w:rPr>
          <w:rFonts w:eastAsia="Calibri"/>
        </w:rPr>
        <w:t xml:space="preserve">for </w:t>
      </w:r>
      <w:r>
        <w:rPr>
          <w:rFonts w:eastAsia="Calibri"/>
        </w:rPr>
        <w:t>crude oil</w:t>
      </w:r>
      <w:r w:rsidRPr="00F84713">
        <w:rPr>
          <w:rFonts w:eastAsia="Calibri"/>
        </w:rPr>
        <w:t xml:space="preserve"> consumed</w:t>
      </w:r>
      <w:r w:rsidR="00D55F12">
        <w:rPr>
          <w:rFonts w:eastAsia="Calibri"/>
        </w:rPr>
        <w:t xml:space="preserve"> (</w:t>
      </w: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t,drow</m:t>
            </m:r>
          </m:sub>
        </m:sSub>
      </m:oMath>
      <w:r w:rsidR="00D55F12">
        <w:rPr>
          <w:rFonts w:eastAsia="Calibri"/>
        </w:rPr>
        <w:t>)</w:t>
      </w:r>
      <w:r w:rsidRPr="00F84713">
        <w:rPr>
          <w:rFonts w:eastAsia="Calibri"/>
        </w:rPr>
        <w:t xml:space="preserve"> by the </w:t>
      </w:r>
      <w:r w:rsidR="00691578">
        <w:rPr>
          <w:rFonts w:eastAsia="Calibri"/>
        </w:rPr>
        <w:t>rest of the world (</w:t>
      </w:r>
      <w:proofErr w:type="spellStart"/>
      <w:r w:rsidR="00593196" w:rsidRPr="00315F95">
        <w:rPr>
          <w:rFonts w:eastAsia="Calibri"/>
          <w:i/>
          <w:iCs/>
        </w:rPr>
        <w:t>drow</w:t>
      </w:r>
      <w:proofErr w:type="spellEnd"/>
      <w:r w:rsidR="00593196">
        <w:rPr>
          <w:rFonts w:eastAsia="Calibri"/>
        </w:rPr>
        <w:t xml:space="preserve"> denotes the demand for the rest of the world</w:t>
      </w:r>
      <w:proofErr w:type="gramStart"/>
      <w:r w:rsidR="00D55F12">
        <w:rPr>
          <w:rFonts w:eastAsia="Calibri"/>
        </w:rPr>
        <w:t>)</w:t>
      </w:r>
      <w:r w:rsidR="00593196">
        <w:rPr>
          <w:rFonts w:eastAsia="Calibri"/>
        </w:rPr>
        <w:t xml:space="preserve"> </w:t>
      </w:r>
      <w:r w:rsidRPr="00F84713">
        <w:rPr>
          <w:rFonts w:eastAsia="Calibri"/>
        </w:rPr>
        <w:t>.</w:t>
      </w:r>
      <w:proofErr w:type="gramEnd"/>
      <w:r w:rsidRPr="00F84713">
        <w:rPr>
          <w:rFonts w:eastAsia="Calibri"/>
        </w:rPr>
        <w:t xml:space="preserve"> The </w:t>
      </w:r>
      <w:r w:rsidR="00852A8C">
        <w:rPr>
          <w:rFonts w:eastAsia="Calibri"/>
        </w:rPr>
        <w:t>next</w:t>
      </w:r>
      <w:r w:rsidR="00852A8C" w:rsidRPr="00F84713">
        <w:rPr>
          <w:rFonts w:eastAsia="Calibri"/>
        </w:rPr>
        <w:t xml:space="preserve"> </w:t>
      </w:r>
      <w:r>
        <w:rPr>
          <w:rFonts w:eastAsia="Calibri"/>
        </w:rPr>
        <w:t xml:space="preserve">two items </w:t>
      </w:r>
      <w:r w:rsidRPr="00F84713">
        <w:rPr>
          <w:rFonts w:eastAsia="Calibri"/>
        </w:rPr>
        <w:t xml:space="preserve">in the </w:t>
      </w:r>
      <w:r w:rsidR="00A17FD9">
        <w:rPr>
          <w:rFonts w:eastAsia="Calibri"/>
        </w:rPr>
        <w:t>second</w:t>
      </w:r>
      <w:r w:rsidRPr="00F84713">
        <w:rPr>
          <w:rFonts w:eastAsia="Calibri"/>
        </w:rPr>
        <w:t xml:space="preserve"> line </w:t>
      </w:r>
      <w:r>
        <w:rPr>
          <w:rFonts w:eastAsia="Calibri"/>
        </w:rPr>
        <w:t xml:space="preserve">show the economic benefit from exporting the liquid petroleum product of gasoline </w:t>
      </w:r>
      <w:r w:rsidR="00273144" w:rsidRPr="00FD6FAD">
        <w:rPr>
          <w:rFonts w:eastAsia="Calibri"/>
          <w:i/>
          <w:iCs/>
        </w:rPr>
        <w:t>G</w:t>
      </w:r>
      <w:r w:rsidR="00273144">
        <w:rPr>
          <w:rFonts w:eastAsia="Calibri"/>
        </w:rPr>
        <w:t xml:space="preserve"> </w:t>
      </w:r>
      <w:r>
        <w:rPr>
          <w:rFonts w:eastAsia="Calibri"/>
        </w:rPr>
        <w:t>and diesel</w:t>
      </w:r>
      <w:r w:rsidR="00273144">
        <w:rPr>
          <w:rFonts w:eastAsia="Calibri"/>
        </w:rPr>
        <w:t xml:space="preserve"> </w:t>
      </w:r>
      <w:r w:rsidR="00273144" w:rsidRPr="00FD6FAD">
        <w:rPr>
          <w:rFonts w:eastAsia="Calibri"/>
          <w:i/>
          <w:iCs/>
        </w:rPr>
        <w:t>DSL</w:t>
      </w:r>
      <w:r>
        <w:rPr>
          <w:rFonts w:eastAsia="Calibri"/>
        </w:rPr>
        <w:t xml:space="preserve"> to the </w:t>
      </w:r>
      <w:r w:rsidR="001E473D">
        <w:rPr>
          <w:rFonts w:eastAsia="Calibri"/>
        </w:rPr>
        <w:t>rest of the world (</w:t>
      </w:r>
      <w:r>
        <w:rPr>
          <w:rFonts w:eastAsia="Calibri"/>
        </w:rPr>
        <w:t>ROW</w:t>
      </w:r>
      <w:r w:rsidR="001E473D">
        <w:rPr>
          <w:rFonts w:eastAsia="Calibri"/>
        </w:rPr>
        <w:t>)</w:t>
      </w:r>
      <w:r>
        <w:rPr>
          <w:rFonts w:eastAsia="Calibri"/>
        </w:rPr>
        <w:t xml:space="preserve">. The parameters </w:t>
      </w:r>
      <m:oMath>
        <m:sSub>
          <m:sSubPr>
            <m:ctrlPr>
              <w:rPr>
                <w:rFonts w:ascii="Cambria Math" w:hAnsi="Cambria Math"/>
                <w:i/>
              </w:rPr>
            </m:ctrlPr>
          </m:sSubPr>
          <m:e>
            <m:r>
              <w:rPr>
                <w:rFonts w:ascii="Cambria Math" w:hAnsi="Cambria Math"/>
              </w:rPr>
              <m:t>p</m:t>
            </m:r>
          </m:e>
          <m:sub>
            <m:r>
              <w:rPr>
                <w:rFonts w:ascii="Cambria Math" w:hAnsi="Cambria Math"/>
              </w:rPr>
              <m:t>g,row</m:t>
            </m:r>
          </m:sub>
        </m:sSub>
      </m:oMath>
      <w:r>
        <w:rPr>
          <w:rFonts w:eastAsia="Calibri"/>
        </w:rPr>
        <w:t xml:space="preserve"> and </w:t>
      </w:r>
      <m:oMath>
        <m:sSub>
          <m:sSubPr>
            <m:ctrlPr>
              <w:rPr>
                <w:rFonts w:ascii="Cambria Math" w:hAnsi="Cambria Math"/>
                <w:i/>
              </w:rPr>
            </m:ctrlPr>
          </m:sSubPr>
          <m:e>
            <m:r>
              <w:rPr>
                <w:rFonts w:ascii="Cambria Math" w:hAnsi="Cambria Math"/>
              </w:rPr>
              <m:t>p</m:t>
            </m:r>
          </m:e>
          <m:sub>
            <m:r>
              <w:rPr>
                <w:rFonts w:ascii="Cambria Math" w:hAnsi="Cambria Math"/>
              </w:rPr>
              <m:t>d,row</m:t>
            </m:r>
          </m:sub>
        </m:sSub>
        <m:r>
          <w:rPr>
            <w:rFonts w:ascii="Cambria Math" w:hAnsi="Cambria Math"/>
          </w:rPr>
          <m:t xml:space="preserve"> </m:t>
        </m:r>
      </m:oMath>
      <w:r>
        <w:rPr>
          <w:rFonts w:eastAsia="Calibri"/>
        </w:rPr>
        <w:t xml:space="preserve">denote the world price of gasoline and diesel. </w:t>
      </w:r>
    </w:p>
    <w:p w14:paraId="0E91B673" w14:textId="77777777" w:rsidR="00751D2A" w:rsidRDefault="00751D2A" w:rsidP="001E473D">
      <w:pPr>
        <w:spacing w:after="0" w:line="240" w:lineRule="auto"/>
        <w:rPr>
          <w:rFonts w:eastAsia="Calibri"/>
        </w:rPr>
      </w:pPr>
    </w:p>
    <w:p w14:paraId="5EB51B2F" w14:textId="5CC301DE" w:rsidR="00967C74" w:rsidRDefault="00074F5C" w:rsidP="001E473D">
      <w:pPr>
        <w:spacing w:after="0" w:line="240" w:lineRule="auto"/>
      </w:pPr>
      <w:r w:rsidRPr="00002D98">
        <w:t>Th</w:t>
      </w:r>
      <w:r w:rsidRPr="00002D98">
        <w:rPr>
          <w:rFonts w:eastAsia="Calibri"/>
        </w:rPr>
        <w:t xml:space="preserve">e </w:t>
      </w:r>
      <w:r w:rsidR="00852A8C">
        <w:rPr>
          <w:rFonts w:eastAsia="Calibri"/>
        </w:rPr>
        <w:t xml:space="preserve">first </w:t>
      </w:r>
      <w:r>
        <w:rPr>
          <w:rFonts w:eastAsia="Calibri"/>
        </w:rPr>
        <w:t xml:space="preserve">integral term </w:t>
      </w:r>
      <w:r w:rsidR="00EF5352">
        <w:rPr>
          <w:rFonts w:eastAsia="Calibri"/>
        </w:rPr>
        <w:t>in</w:t>
      </w:r>
      <w:r w:rsidR="00852A8C">
        <w:rPr>
          <w:rFonts w:eastAsia="Calibri"/>
        </w:rPr>
        <w:t xml:space="preserve"> line 3 </w:t>
      </w:r>
      <w:r>
        <w:rPr>
          <w:rFonts w:eastAsia="Calibri"/>
        </w:rPr>
        <w:t xml:space="preserve">denotes the area under the inverse supply function of the domestic crude oil </w:t>
      </w:r>
      <w:r w:rsidRPr="00F84713">
        <w:rPr>
          <w:rFonts w:eastAsia="Calibri"/>
        </w:rPr>
        <w:t xml:space="preserve">(denoted by </w:t>
      </w: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t,sdom</m:t>
            </m:r>
          </m:sub>
        </m:sSub>
      </m:oMath>
      <w:r>
        <w:rPr>
          <w:rFonts w:eastAsia="Calibri"/>
        </w:rPr>
        <w:t>)</w:t>
      </w:r>
      <w:r w:rsidR="001E473D">
        <w:rPr>
          <w:rFonts w:eastAsia="Calibri"/>
        </w:rPr>
        <w:t>,</w:t>
      </w:r>
      <w:r w:rsidR="00F10D5B">
        <w:rPr>
          <w:rFonts w:eastAsia="Calibri"/>
        </w:rPr>
        <w:t xml:space="preserve"> where</w:t>
      </w:r>
      <w:r w:rsidR="00FD5633">
        <w:rPr>
          <w:rFonts w:eastAsia="Calibri"/>
        </w:rPr>
        <w:t xml:space="preserve"> </w:t>
      </w:r>
      <w:proofErr w:type="spellStart"/>
      <w:r w:rsidR="00FD5633" w:rsidRPr="00C36918">
        <w:rPr>
          <w:rFonts w:eastAsia="Calibri"/>
          <w:i/>
          <w:iCs/>
        </w:rPr>
        <w:t>sdom</w:t>
      </w:r>
      <w:proofErr w:type="spellEnd"/>
      <w:r w:rsidR="00FD5633">
        <w:rPr>
          <w:rFonts w:eastAsia="Calibri"/>
        </w:rPr>
        <w:t xml:space="preserve"> is domestic supply</w:t>
      </w:r>
      <w:r>
        <w:rPr>
          <w:rFonts w:eastAsia="Calibri"/>
        </w:rPr>
        <w:t xml:space="preserve">. The </w:t>
      </w:r>
      <w:r w:rsidR="00852A8C">
        <w:rPr>
          <w:rFonts w:eastAsia="Calibri"/>
        </w:rPr>
        <w:t xml:space="preserve">second </w:t>
      </w:r>
      <w:r>
        <w:rPr>
          <w:rFonts w:eastAsia="Calibri"/>
        </w:rPr>
        <w:t xml:space="preserve">term is the ROW oil producer surplus with the </w:t>
      </w:r>
      <w:r w:rsidRPr="00F84713">
        <w:rPr>
          <w:rFonts w:eastAsia="Calibri"/>
        </w:rPr>
        <w:t>area under the inverse</w:t>
      </w:r>
      <w:r>
        <w:rPr>
          <w:rFonts w:eastAsia="Calibri"/>
        </w:rPr>
        <w:t xml:space="preserve"> supply</w:t>
      </w:r>
      <w:r w:rsidRPr="00F84713">
        <w:rPr>
          <w:rFonts w:eastAsia="Calibri"/>
        </w:rPr>
        <w:t xml:space="preserve"> function for </w:t>
      </w:r>
      <w:r>
        <w:rPr>
          <w:rFonts w:eastAsia="Calibri"/>
        </w:rPr>
        <w:t>crude oil</w:t>
      </w:r>
      <w:r w:rsidRPr="00F84713">
        <w:rPr>
          <w:rFonts w:eastAsia="Calibri"/>
        </w:rPr>
        <w:t xml:space="preserve"> </w:t>
      </w:r>
      <w:r>
        <w:rPr>
          <w:rFonts w:eastAsia="Calibri"/>
        </w:rPr>
        <w:t xml:space="preserve">domestically produced </w:t>
      </w:r>
      <w:r w:rsidRPr="00F84713">
        <w:rPr>
          <w:rFonts w:eastAsia="Calibri"/>
        </w:rPr>
        <w:t xml:space="preserve">(denoted by </w:t>
      </w: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t,srow</m:t>
            </m:r>
          </m:sub>
        </m:sSub>
      </m:oMath>
      <w:r w:rsidRPr="00F84713">
        <w:rPr>
          <w:rFonts w:eastAsia="Calibri"/>
        </w:rPr>
        <w:t>)</w:t>
      </w:r>
      <w:r w:rsidR="00852A8C">
        <w:rPr>
          <w:rFonts w:eastAsia="Calibri"/>
        </w:rPr>
        <w:t xml:space="preserve">, where </w:t>
      </w:r>
      <w:proofErr w:type="spellStart"/>
      <w:r w:rsidR="00852A8C" w:rsidRPr="00C36918">
        <w:rPr>
          <w:rFonts w:eastAsia="Calibri"/>
          <w:i/>
          <w:iCs/>
        </w:rPr>
        <w:t>srow</w:t>
      </w:r>
      <w:proofErr w:type="spellEnd"/>
      <w:r w:rsidR="00852A8C">
        <w:rPr>
          <w:rFonts w:eastAsia="Calibri"/>
        </w:rPr>
        <w:t xml:space="preserve"> is ROW supply</w:t>
      </w:r>
      <w:r w:rsidRPr="00F84713">
        <w:rPr>
          <w:rFonts w:eastAsia="Calibri"/>
        </w:rPr>
        <w:t>.</w:t>
      </w:r>
      <w:r>
        <w:rPr>
          <w:rFonts w:eastAsia="Calibri"/>
        </w:rPr>
        <w:t xml:space="preserve"> </w:t>
      </w:r>
      <w:r w:rsidR="009C7939">
        <w:rPr>
          <w:rFonts w:eastAsia="Calibri"/>
        </w:rPr>
        <w:t>Then t</w:t>
      </w:r>
      <w:r w:rsidR="00001A6D">
        <w:rPr>
          <w:rFonts w:eastAsia="Calibri"/>
        </w:rPr>
        <w:t xml:space="preserve">he </w:t>
      </w:r>
      <w:r w:rsidR="009C7939">
        <w:rPr>
          <w:rFonts w:eastAsia="Calibri"/>
        </w:rPr>
        <w:t xml:space="preserve">next </w:t>
      </w:r>
      <w:r w:rsidR="00001A6D">
        <w:rPr>
          <w:rFonts w:eastAsia="Calibri"/>
        </w:rPr>
        <w:t xml:space="preserve">term is the </w:t>
      </w:r>
      <w:r w:rsidR="00642A6D">
        <w:rPr>
          <w:rFonts w:eastAsia="Calibri"/>
        </w:rPr>
        <w:t xml:space="preserve">sum of </w:t>
      </w:r>
      <w:r w:rsidR="00001A6D">
        <w:rPr>
          <w:rFonts w:eastAsia="Calibri"/>
        </w:rPr>
        <w:t xml:space="preserve">vehicle purchase cost by multiplying the newly purchased vehicle </w:t>
      </w:r>
      <m:oMath>
        <m:sSub>
          <m:sSubPr>
            <m:ctrlPr>
              <w:rPr>
                <w:rFonts w:ascii="Cambria Math" w:hAnsi="Cambria Math" w:cstheme="minorBidi"/>
                <w:i/>
              </w:rPr>
            </m:ctrlPr>
          </m:sSubPr>
          <m:e>
            <m:r>
              <w:rPr>
                <w:rFonts w:ascii="Cambria Math" w:hAnsi="Cambria Math" w:cstheme="minorBidi"/>
              </w:rPr>
              <m:t>N</m:t>
            </m:r>
          </m:e>
          <m:sub>
            <m:r>
              <w:rPr>
                <w:rFonts w:ascii="Cambria Math" w:hAnsi="Cambria Math" w:cstheme="minorBidi"/>
              </w:rPr>
              <m:t>t,v,r,md</m:t>
            </m:r>
          </m:sub>
        </m:sSub>
      </m:oMath>
      <w:r w:rsidR="00001A6D">
        <w:rPr>
          <w:rFonts w:eastAsia="Calibri"/>
        </w:rPr>
        <w:t xml:space="preserve"> </w:t>
      </w:r>
      <w:r w:rsidR="001E473D">
        <w:rPr>
          <w:rFonts w:eastAsia="Calibri"/>
        </w:rPr>
        <w:t>at</w:t>
      </w:r>
      <w:r w:rsidR="00642A6D">
        <w:rPr>
          <w:rFonts w:eastAsia="Calibri"/>
        </w:rPr>
        <w:t xml:space="preserve"> </w:t>
      </w:r>
      <w:r w:rsidR="001E473D">
        <w:rPr>
          <w:rFonts w:eastAsia="Calibri"/>
        </w:rPr>
        <w:t>year</w:t>
      </w:r>
      <w:r w:rsidR="008E6A6E">
        <w:rPr>
          <w:rFonts w:eastAsia="Calibri"/>
        </w:rPr>
        <w:t xml:space="preserve"> </w:t>
      </w:r>
      <w:r w:rsidR="008E6A6E" w:rsidRPr="00C36918">
        <w:rPr>
          <w:rFonts w:eastAsia="Calibri"/>
          <w:i/>
          <w:iCs/>
        </w:rPr>
        <w:t>t</w:t>
      </w:r>
      <w:r w:rsidR="008E6A6E">
        <w:rPr>
          <w:rFonts w:eastAsia="Calibri"/>
        </w:rPr>
        <w:t xml:space="preserve"> of vehicle type </w:t>
      </w:r>
      <w:r w:rsidR="008E6A6E" w:rsidRPr="00C36918">
        <w:rPr>
          <w:rFonts w:eastAsia="Calibri"/>
          <w:i/>
          <w:iCs/>
        </w:rPr>
        <w:t>v</w:t>
      </w:r>
      <w:r w:rsidR="008E6A6E">
        <w:rPr>
          <w:rFonts w:eastAsia="Calibri"/>
        </w:rPr>
        <w:t xml:space="preserve"> in region </w:t>
      </w:r>
      <w:r w:rsidR="008E6A6E" w:rsidRPr="00C36918">
        <w:rPr>
          <w:rFonts w:eastAsia="Calibri"/>
          <w:i/>
          <w:iCs/>
        </w:rPr>
        <w:t>r</w:t>
      </w:r>
      <w:r w:rsidR="008E6A6E">
        <w:rPr>
          <w:rFonts w:eastAsia="Calibri"/>
        </w:rPr>
        <w:t xml:space="preserve"> with </w:t>
      </w:r>
      <w:r w:rsidR="001E473D">
        <w:rPr>
          <w:rFonts w:eastAsia="Calibri"/>
        </w:rPr>
        <w:t xml:space="preserve">driving </w:t>
      </w:r>
      <w:r w:rsidR="008E6A6E">
        <w:rPr>
          <w:rFonts w:eastAsia="Calibri"/>
        </w:rPr>
        <w:t xml:space="preserve">demand group </w:t>
      </w:r>
      <w:r w:rsidR="008E6A6E" w:rsidRPr="00C36918">
        <w:rPr>
          <w:rFonts w:eastAsia="Calibri"/>
          <w:i/>
          <w:iCs/>
        </w:rPr>
        <w:t>md</w:t>
      </w:r>
      <w:r w:rsidR="008E6A6E">
        <w:rPr>
          <w:rFonts w:eastAsia="Calibri"/>
        </w:rPr>
        <w:t xml:space="preserve"> </w:t>
      </w:r>
      <w:r w:rsidR="00925A47">
        <w:rPr>
          <w:rFonts w:eastAsia="Calibri"/>
        </w:rPr>
        <w:t>and</w:t>
      </w:r>
      <w:r w:rsidR="00001A6D">
        <w:rPr>
          <w:rFonts w:eastAsia="Calibri"/>
        </w:rPr>
        <w:t xml:space="preserve"> the </w:t>
      </w:r>
      <w:r w:rsidR="00001A6D" w:rsidRPr="00C17580">
        <w:t>vehicle price</w:t>
      </w:r>
      <w:r w:rsidR="00273144">
        <w:t>s</w:t>
      </w:r>
      <w:r w:rsidR="00001A6D" w:rsidRPr="00C17580">
        <w:t xml:space="preserve"> </w:t>
      </w:r>
      <m:oMath>
        <m:r>
          <w:rPr>
            <w:rFonts w:ascii="Cambria Math" w:hAnsi="Cambria Math"/>
          </w:rPr>
          <m:t>ϕ</m:t>
        </m:r>
      </m:oMath>
      <w:r w:rsidR="00967C74">
        <w:t xml:space="preserve"> </w:t>
      </w:r>
      <w:r w:rsidR="00273144">
        <w:t xml:space="preserve">are </w:t>
      </w:r>
      <w:r w:rsidR="00967C74">
        <w:t>in unit of</w:t>
      </w:r>
      <w:r w:rsidR="00001A6D" w:rsidRPr="00C17580">
        <w:rPr>
          <w:i/>
        </w:rPr>
        <w:t xml:space="preserve"> </w:t>
      </w:r>
      <w:r w:rsidR="00001A6D" w:rsidRPr="00C36918">
        <w:rPr>
          <w:iCs/>
        </w:rPr>
        <w:t>$</w:t>
      </w:r>
      <w:r w:rsidR="00001A6D" w:rsidRPr="00C17580">
        <w:rPr>
          <w:i/>
        </w:rPr>
        <w:t xml:space="preserve"> </w:t>
      </w:r>
      <w:r w:rsidR="00001A6D" w:rsidRPr="00C17580">
        <w:t>per vehicle</w:t>
      </w:r>
      <w:r w:rsidR="00001A6D">
        <w:t xml:space="preserve">. </w:t>
      </w:r>
      <w:r w:rsidR="00886F8C">
        <w:t>Consumers have choice</w:t>
      </w:r>
      <w:r w:rsidR="00273144">
        <w:t>s</w:t>
      </w:r>
      <w:r w:rsidR="00886F8C">
        <w:t xml:space="preserve"> of </w:t>
      </w:r>
      <w:r w:rsidR="002F7F80" w:rsidRPr="00C36918">
        <w:t>five vehicle engine types</w:t>
      </w:r>
      <w:r w:rsidR="002F7F80" w:rsidRPr="00206B6A">
        <w:t xml:space="preserve">: </w:t>
      </w:r>
      <w:r w:rsidR="006C452E">
        <w:rPr>
          <w:shd w:val="clear" w:color="auto" w:fill="FFFFFF"/>
        </w:rPr>
        <w:t>Conventional vehicles (CVs), Flex-fuel vehicles (FFVs), Hybrid vehicles (HBVs), Plug-in-hybrid electric vehicles (PHEVs) and Battery electric vehicles (BEVs).</w:t>
      </w:r>
      <w:r w:rsidR="006C452E" w:rsidRPr="00C36918">
        <w:t xml:space="preserve"> </w:t>
      </w:r>
      <w:r w:rsidR="002F7F80" w:rsidRPr="00C36918">
        <w:t xml:space="preserve">CV, HBV, and PHEV (under charge-sustaining mode) drive on conventional fuel (currently with 10% ethanol blend E10); BEV and PHEV </w:t>
      </w:r>
      <w:r w:rsidR="001E473D">
        <w:t xml:space="preserve">that partially run </w:t>
      </w:r>
      <w:r w:rsidR="002F7F80" w:rsidRPr="00C36918">
        <w:t xml:space="preserve">under charge-depleting mode on electricity; FFV </w:t>
      </w:r>
      <w:proofErr w:type="gramStart"/>
      <w:r w:rsidR="002F7F80" w:rsidRPr="00C36918">
        <w:t>is capable of using</w:t>
      </w:r>
      <w:proofErr w:type="gramEnd"/>
      <w:r w:rsidR="001E473D">
        <w:t xml:space="preserve"> any mix of</w:t>
      </w:r>
      <w:r w:rsidR="002F7F80" w:rsidRPr="00C36918">
        <w:t xml:space="preserve"> ethanol-gasoline blends of E10 and E85 (higher ethanol blend of 53% to 74%).</w:t>
      </w:r>
    </w:p>
    <w:p w14:paraId="1BB5E1AE" w14:textId="77777777" w:rsidR="00751D2A" w:rsidRDefault="00751D2A" w:rsidP="001E473D">
      <w:pPr>
        <w:spacing w:after="0" w:line="240" w:lineRule="auto"/>
      </w:pPr>
    </w:p>
    <w:p w14:paraId="558C6A59" w14:textId="18E4075E" w:rsidR="00F430EE" w:rsidRDefault="00001A6D" w:rsidP="001E473D">
      <w:pPr>
        <w:spacing w:after="0" w:line="240" w:lineRule="auto"/>
      </w:pPr>
      <w:r>
        <w:t xml:space="preserve">The </w:t>
      </w:r>
      <w:r w:rsidR="00967C74">
        <w:t xml:space="preserve">first </w:t>
      </w:r>
      <w:r>
        <w:t xml:space="preserve">term </w:t>
      </w:r>
      <w:r w:rsidR="00B316AD">
        <w:t>in</w:t>
      </w:r>
      <w:r w:rsidR="00967C74">
        <w:t xml:space="preserve"> </w:t>
      </w:r>
      <w:r w:rsidR="001E473D">
        <w:t xml:space="preserve">the </w:t>
      </w:r>
      <w:r w:rsidR="00967C74">
        <w:t xml:space="preserve">fourth line </w:t>
      </w:r>
      <w:r>
        <w:t>is the operation and maintenance cost</w:t>
      </w:r>
      <w:r w:rsidR="00967C74">
        <w:t xml:space="preserve"> (</w:t>
      </w:r>
      <w:proofErr w:type="spellStart"/>
      <w:r w:rsidR="00967C74" w:rsidRPr="00C36918">
        <w:rPr>
          <w:i/>
          <w:iCs/>
        </w:rPr>
        <w:t>η</w:t>
      </w:r>
      <w:r w:rsidR="00967C74" w:rsidRPr="00C36918">
        <w:rPr>
          <w:i/>
          <w:iCs/>
          <w:vertAlign w:val="subscript"/>
        </w:rPr>
        <w:t>v</w:t>
      </w:r>
      <w:proofErr w:type="spellEnd"/>
      <w:r w:rsidR="00967C74">
        <w:t xml:space="preserve"> $ per mile varying by vehicle type)</w:t>
      </w:r>
      <w:r w:rsidR="00642A6D">
        <w:t xml:space="preserve"> </w:t>
      </w:r>
      <w:r w:rsidR="006C452E">
        <w:t>and</w:t>
      </w:r>
      <w:r>
        <w:t xml:space="preserve"> multipl</w:t>
      </w:r>
      <w:r w:rsidR="006C452E">
        <w:t>ied by</w:t>
      </w:r>
      <w:r>
        <w:t xml:space="preserve"> the miles driven</w:t>
      </w:r>
      <m:oMath>
        <m:r>
          <w:rPr>
            <w:rFonts w:ascii="Cambria Math" w:hAnsi="Cambria Math"/>
          </w:rPr>
          <m:t xml:space="preserve"> </m:t>
        </m:r>
        <m:sSub>
          <m:sSubPr>
            <m:ctrlPr>
              <w:rPr>
                <w:rFonts w:ascii="Cambria Math" w:hAnsi="Cambria Math"/>
                <w:i/>
              </w:rPr>
            </m:ctrlPr>
          </m:sSubPr>
          <m:e>
            <m:r>
              <w:rPr>
                <w:rFonts w:ascii="Cambria Math" w:hAnsi="Cambria Math"/>
              </w:rPr>
              <m:t>VKT</m:t>
            </m:r>
          </m:e>
          <m:sub>
            <m:r>
              <w:rPr>
                <w:rFonts w:ascii="Cambria Math" w:hAnsi="Cambria Math"/>
              </w:rPr>
              <m:t>t,v,r,md,a</m:t>
            </m:r>
          </m:sub>
        </m:sSub>
      </m:oMath>
      <w:r>
        <w:t xml:space="preserve"> </w:t>
      </w:r>
      <w:r w:rsidR="00F430EE" w:rsidRPr="00C36918">
        <w:t xml:space="preserve">of vehicle type </w:t>
      </w:r>
      <w:r w:rsidR="00F430EE" w:rsidRPr="00C36918">
        <w:rPr>
          <w:i/>
          <w:iCs/>
        </w:rPr>
        <w:t>v</w:t>
      </w:r>
      <w:r w:rsidR="00F430EE" w:rsidRPr="00C36918">
        <w:t xml:space="preserve"> at age </w:t>
      </w:r>
      <w:r w:rsidR="00F430EE" w:rsidRPr="00C36918">
        <w:rPr>
          <w:i/>
          <w:iCs/>
        </w:rPr>
        <w:t>a</w:t>
      </w:r>
      <w:r w:rsidR="00F430EE" w:rsidRPr="00C36918">
        <w:t xml:space="preserve"> of driving demand group </w:t>
      </w:r>
      <w:r w:rsidR="00F430EE" w:rsidRPr="00C36918">
        <w:rPr>
          <w:i/>
          <w:iCs/>
        </w:rPr>
        <w:t>md</w:t>
      </w:r>
      <w:r w:rsidR="00F430EE" w:rsidRPr="00C36918">
        <w:t xml:space="preserve"> in region </w:t>
      </w:r>
      <w:proofErr w:type="spellStart"/>
      <w:r w:rsidR="00F430EE" w:rsidRPr="00C36918">
        <w:rPr>
          <w:i/>
          <w:iCs/>
        </w:rPr>
        <w:t>r</w:t>
      </w:r>
      <w:r w:rsidR="00F430EE" w:rsidRPr="00C36918">
        <w:t xml:space="preserve"> at</w:t>
      </w:r>
      <w:proofErr w:type="spellEnd"/>
      <w:r w:rsidR="00F430EE" w:rsidRPr="00C36918">
        <w:t xml:space="preserve"> </w:t>
      </w:r>
      <w:r w:rsidR="001E473D">
        <w:t xml:space="preserve">year </w:t>
      </w:r>
      <w:r w:rsidR="00F430EE" w:rsidRPr="00C36918">
        <w:rPr>
          <w:i/>
          <w:iCs/>
        </w:rPr>
        <w:t>t</w:t>
      </w:r>
      <w:r>
        <w:t xml:space="preserve">. </w:t>
      </w:r>
      <w:r w:rsidRPr="00F430EE">
        <w:t xml:space="preserve">The </w:t>
      </w:r>
      <w:r w:rsidR="00967C74" w:rsidRPr="00C36918">
        <w:t xml:space="preserve">second </w:t>
      </w:r>
      <w:r w:rsidRPr="00F430EE">
        <w:t xml:space="preserve">term </w:t>
      </w:r>
      <w:r w:rsidR="004518EE" w:rsidRPr="00F430EE">
        <w:t>is</w:t>
      </w:r>
      <w:r w:rsidRPr="00F430EE">
        <w:t xml:space="preserve"> the</w:t>
      </w:r>
      <w:r w:rsidR="004B691C" w:rsidRPr="00F430EE">
        <w:t xml:space="preserve"> annual</w:t>
      </w:r>
      <w:r w:rsidRPr="00F430EE">
        <w:t xml:space="preserve"> vehicle registration cost by multiplying </w:t>
      </w:r>
      <w:r w:rsidR="004B691C" w:rsidRPr="00C36918">
        <w:rPr>
          <w:rFonts w:eastAsia="DengXian"/>
          <w:i/>
          <w:iCs/>
        </w:rPr>
        <w:t>δ</w:t>
      </w:r>
      <w:r w:rsidRPr="00F430EE">
        <w:t xml:space="preserve"> $ per year per vehicle with the vehicle stock</w:t>
      </w:r>
      <w:r w:rsidR="00F430EE" w:rsidRPr="00C36918">
        <w:t xml:space="preserve"> of vehicle type </w:t>
      </w:r>
      <w:r w:rsidR="00F430EE" w:rsidRPr="00C36918">
        <w:rPr>
          <w:i/>
          <w:iCs/>
        </w:rPr>
        <w:t>v</w:t>
      </w:r>
      <w:r w:rsidR="00F430EE" w:rsidRPr="00C36918">
        <w:t xml:space="preserve"> at age </w:t>
      </w:r>
      <w:r w:rsidR="00F430EE" w:rsidRPr="00C36918">
        <w:rPr>
          <w:i/>
          <w:iCs/>
        </w:rPr>
        <w:t>a</w:t>
      </w:r>
      <w:r w:rsidR="00F430EE" w:rsidRPr="00C36918">
        <w:t xml:space="preserve"> of driving demand group </w:t>
      </w:r>
      <w:r w:rsidR="00F430EE" w:rsidRPr="00C36918">
        <w:rPr>
          <w:i/>
          <w:iCs/>
        </w:rPr>
        <w:t>md</w:t>
      </w:r>
      <w:r w:rsidR="00F430EE" w:rsidRPr="00C36918">
        <w:t xml:space="preserve"> in region </w:t>
      </w:r>
      <w:proofErr w:type="spellStart"/>
      <w:r w:rsidR="00F430EE" w:rsidRPr="00C36918">
        <w:rPr>
          <w:i/>
          <w:iCs/>
        </w:rPr>
        <w:t>r</w:t>
      </w:r>
      <w:r w:rsidR="00F430EE" w:rsidRPr="00C36918">
        <w:t xml:space="preserve"> at</w:t>
      </w:r>
      <w:proofErr w:type="spellEnd"/>
      <w:r w:rsidR="00F430EE" w:rsidRPr="00C36918">
        <w:t xml:space="preserve"> time </w:t>
      </w:r>
      <w:r w:rsidR="00F430EE" w:rsidRPr="00C36918">
        <w:rPr>
          <w:i/>
          <w:iCs/>
        </w:rPr>
        <w:t>t</w:t>
      </w:r>
      <w:r w:rsidR="00F430EE" w:rsidRPr="00C36918">
        <w:t xml:space="preserve"> (</w:t>
      </w:r>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v,r,md,a</m:t>
            </m:r>
          </m:sub>
        </m:sSub>
      </m:oMath>
      <w:r w:rsidR="00F430EE" w:rsidRPr="00F430EE">
        <w:t>)</w:t>
      </w:r>
      <w:r w:rsidRPr="00F430EE">
        <w:t xml:space="preserve">. </w:t>
      </w:r>
    </w:p>
    <w:p w14:paraId="7C931589" w14:textId="77777777" w:rsidR="003D45F9" w:rsidRDefault="003D45F9" w:rsidP="001E473D">
      <w:pPr>
        <w:spacing w:after="0" w:line="240" w:lineRule="auto"/>
      </w:pPr>
    </w:p>
    <w:p w14:paraId="658960F5" w14:textId="18E13C92" w:rsidR="00AC22E7" w:rsidRDefault="002F7F80" w:rsidP="00E340E5">
      <w:pPr>
        <w:spacing w:after="0" w:line="240" w:lineRule="auto"/>
        <w:ind w:firstLine="720"/>
      </w:pPr>
      <w:r>
        <w:t xml:space="preserve">In </w:t>
      </w:r>
      <w:r w:rsidR="001E473D">
        <w:t xml:space="preserve">the </w:t>
      </w:r>
      <w:r>
        <w:t>fifth line, w</w:t>
      </w:r>
      <w:r w:rsidR="003D45F9">
        <w:t>e define</w:t>
      </w:r>
      <w:r w:rsidR="00001A6D" w:rsidRPr="00F430EE">
        <w:t xml:space="preserve"> </w:t>
      </w:r>
      <w:r w:rsidR="00216BFC">
        <w:t>two</w:t>
      </w:r>
      <w:r w:rsidR="003D45F9">
        <w:t xml:space="preserve"> types of</w:t>
      </w:r>
      <w:r w:rsidR="00216BFC" w:rsidRPr="00F430EE">
        <w:t xml:space="preserve"> </w:t>
      </w:r>
      <w:r w:rsidR="00001A6D" w:rsidRPr="00F430EE">
        <w:t>inconvenience cost</w:t>
      </w:r>
      <w:r w:rsidR="00090278" w:rsidRPr="00F430EE">
        <w:t>s</w:t>
      </w:r>
      <w:r w:rsidR="003D45F9">
        <w:t xml:space="preserve">: </w:t>
      </w:r>
      <w:r w:rsidR="00090278" w:rsidRPr="00F430EE">
        <w:t>range limitation (</w:t>
      </w:r>
      <m:oMath>
        <m:sSubSup>
          <m:sSubSupPr>
            <m:ctrlPr>
              <w:rPr>
                <w:rFonts w:ascii="Cambria Math" w:hAnsi="Cambria Math"/>
                <w:i/>
              </w:rPr>
            </m:ctrlPr>
          </m:sSubSupPr>
          <m:e>
            <m:r>
              <w:rPr>
                <w:rFonts w:ascii="Cambria Math" w:hAnsi="Cambria Math"/>
              </w:rPr>
              <m:t>C</m:t>
            </m:r>
          </m:e>
          <m:sub>
            <m:r>
              <w:rPr>
                <w:rFonts w:ascii="Cambria Math" w:hAnsi="Cambria Math"/>
              </w:rPr>
              <m:t>t,a, chrg, md,r,i</m:t>
            </m:r>
          </m:sub>
          <m:sup>
            <m:r>
              <w:rPr>
                <w:rFonts w:ascii="Cambria Math" w:hAnsi="Cambria Math"/>
              </w:rPr>
              <m:t>range</m:t>
            </m:r>
          </m:sup>
        </m:sSubSup>
      </m:oMath>
      <w:r w:rsidR="00090278" w:rsidRPr="00F430EE">
        <w:rPr>
          <w:iCs/>
        </w:rPr>
        <w:t>)</w:t>
      </w:r>
      <w:r>
        <w:rPr>
          <w:iCs/>
        </w:rPr>
        <w:t xml:space="preserve"> for each BEV in use</w:t>
      </w:r>
      <w:r w:rsidR="00C5762F">
        <w:rPr>
          <w:iCs/>
        </w:rPr>
        <w:t xml:space="preserve"> in region </w:t>
      </w:r>
      <w:r w:rsidR="00C5762F" w:rsidRPr="00631551">
        <w:rPr>
          <w:i/>
        </w:rPr>
        <w:t>r</w:t>
      </w:r>
      <w:r w:rsidR="006C452E">
        <w:rPr>
          <w:iCs/>
        </w:rPr>
        <w:t xml:space="preserve"> of</w:t>
      </w:r>
      <w:r w:rsidR="00B26694">
        <w:rPr>
          <w:iCs/>
        </w:rPr>
        <w:t xml:space="preserve"> </w:t>
      </w:r>
      <w:r w:rsidR="006C452E">
        <w:rPr>
          <w:iCs/>
        </w:rPr>
        <w:t xml:space="preserve">driving </w:t>
      </w:r>
      <w:r w:rsidR="00B85558">
        <w:rPr>
          <w:iCs/>
        </w:rPr>
        <w:t>demand group</w:t>
      </w:r>
      <w:r w:rsidR="006C452E">
        <w:rPr>
          <w:iCs/>
        </w:rPr>
        <w:t xml:space="preserve"> </w:t>
      </w:r>
      <w:r w:rsidR="006C452E" w:rsidRPr="006C452E">
        <w:rPr>
          <w:i/>
        </w:rPr>
        <w:t>md</w:t>
      </w:r>
      <w:r w:rsidR="00A533F3">
        <w:rPr>
          <w:iCs/>
        </w:rPr>
        <w:t xml:space="preserve"> </w:t>
      </w:r>
      <w:r w:rsidR="00B26694">
        <w:rPr>
          <w:iCs/>
        </w:rPr>
        <w:t xml:space="preserve">with vehicle age </w:t>
      </w:r>
      <w:r w:rsidR="00B26694" w:rsidRPr="00631551">
        <w:rPr>
          <w:i/>
        </w:rPr>
        <w:t>a</w:t>
      </w:r>
      <w:r w:rsidR="00B26694">
        <w:rPr>
          <w:iCs/>
        </w:rPr>
        <w:t>, with</w:t>
      </w:r>
      <w:r w:rsidR="00A533F3">
        <w:rPr>
          <w:iCs/>
        </w:rPr>
        <w:t xml:space="preserve"> charging type </w:t>
      </w:r>
      <w:proofErr w:type="spellStart"/>
      <w:r w:rsidR="00A533F3" w:rsidRPr="00631551">
        <w:rPr>
          <w:i/>
        </w:rPr>
        <w:t>chrg</w:t>
      </w:r>
      <w:proofErr w:type="spellEnd"/>
      <w:r w:rsidR="00B26694">
        <w:rPr>
          <w:iCs/>
        </w:rPr>
        <w:t xml:space="preserve"> </w:t>
      </w:r>
      <w:r w:rsidR="00F84E39">
        <w:rPr>
          <w:iCs/>
        </w:rPr>
        <w:t>(</w:t>
      </w:r>
      <w:r w:rsidR="00F84E39">
        <w:t>with</w:t>
      </w:r>
      <w:r w:rsidR="00F157CB">
        <w:t xml:space="preserve"> four choices of </w:t>
      </w:r>
      <w:r w:rsidR="00F84E39">
        <w:t>home</w:t>
      </w:r>
      <w:r w:rsidR="00F157CB">
        <w:t xml:space="preserve">, </w:t>
      </w:r>
      <w:r w:rsidR="00F84E39">
        <w:t>work</w:t>
      </w:r>
      <w:r w:rsidR="00F157CB">
        <w:t>, both</w:t>
      </w:r>
      <w:r w:rsidR="00F84E39">
        <w:t xml:space="preserve"> chargers</w:t>
      </w:r>
      <w:r w:rsidR="002063B6">
        <w:t xml:space="preserve"> </w:t>
      </w:r>
      <w:r w:rsidR="00F157CB">
        <w:t>or</w:t>
      </w:r>
      <w:r w:rsidR="002063B6">
        <w:t xml:space="preserve"> none</w:t>
      </w:r>
      <w:r w:rsidR="00F84E39">
        <w:t xml:space="preserve">) </w:t>
      </w:r>
      <w:r w:rsidR="00B85558">
        <w:rPr>
          <w:iCs/>
        </w:rPr>
        <w:t xml:space="preserve"> </w:t>
      </w:r>
      <w:r>
        <w:rPr>
          <w:iCs/>
        </w:rPr>
        <w:t xml:space="preserve"> </w:t>
      </w:r>
      <w:r w:rsidRPr="00603C90">
        <w:t>(</w:t>
      </w:r>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BEV,r,md,a, chrg</m:t>
            </m:r>
          </m:sub>
        </m:sSub>
      </m:oMath>
      <w:r w:rsidRPr="00F430EE">
        <w:t>)</w:t>
      </w:r>
      <w:r w:rsidR="00255FB5">
        <w:t xml:space="preserve"> and detour costs</w:t>
      </w:r>
      <w:r w:rsidR="001E473D">
        <w:t xml:space="preserve"> for FFV and BEV (</w:t>
      </w:r>
      <m:oMath>
        <m:sSubSup>
          <m:sSubSupPr>
            <m:ctrlPr>
              <w:rPr>
                <w:rFonts w:ascii="Cambria Math" w:hAnsi="Cambria Math"/>
              </w:rPr>
            </m:ctrlPr>
          </m:sSubSupPr>
          <m:e>
            <m:r>
              <w:rPr>
                <w:rFonts w:ascii="Cambria Math" w:hAnsi="Cambria Math"/>
              </w:rPr>
              <m:t>C</m:t>
            </m:r>
          </m:e>
          <m:sub>
            <m:r>
              <w:rPr>
                <w:rFonts w:ascii="Cambria Math" w:hAnsi="Cambria Math"/>
              </w:rPr>
              <m:t>t,i</m:t>
            </m:r>
          </m:sub>
          <m:sup>
            <m:r>
              <w:rPr>
                <w:rFonts w:ascii="Cambria Math" w:hAnsi="Cambria Math"/>
              </w:rPr>
              <m:t>E</m:t>
            </m:r>
            <m:r>
              <m:rPr>
                <m:sty m:val="p"/>
              </m:rPr>
              <w:rPr>
                <w:rFonts w:ascii="Cambria Math" w:hAnsi="Cambria Math"/>
              </w:rPr>
              <m:t xml:space="preserve">85 </m:t>
            </m:r>
            <m:r>
              <w:rPr>
                <w:rFonts w:ascii="Cambria Math" w:hAnsi="Cambria Math"/>
              </w:rPr>
              <m:t>detour</m:t>
            </m:r>
          </m:sup>
        </m:sSubSup>
      </m:oMath>
      <w:r w:rsidR="001E473D">
        <w:t xml:space="preserve">, </w:t>
      </w:r>
      <m:oMath>
        <m:sSubSup>
          <m:sSubSupPr>
            <m:ctrlPr>
              <w:rPr>
                <w:rFonts w:ascii="Cambria Math" w:hAnsi="Cambria Math"/>
              </w:rPr>
            </m:ctrlPr>
          </m:sSubSupPr>
          <m:e>
            <m:r>
              <w:rPr>
                <w:rFonts w:ascii="Cambria Math" w:hAnsi="Cambria Math"/>
              </w:rPr>
              <m:t>C</m:t>
            </m:r>
          </m:e>
          <m:sub>
            <m:r>
              <w:rPr>
                <w:rFonts w:ascii="Cambria Math" w:hAnsi="Cambria Math"/>
              </w:rPr>
              <m:t>t,i</m:t>
            </m:r>
          </m:sub>
          <m:sup>
            <m:r>
              <w:rPr>
                <w:rFonts w:ascii="Cambria Math" w:hAnsi="Cambria Math"/>
              </w:rPr>
              <m:t>chrg detour</m:t>
            </m:r>
          </m:sup>
        </m:sSubSup>
      </m:oMath>
      <w:r w:rsidR="001E473D">
        <w:t>)</w:t>
      </w:r>
      <w:r w:rsidR="00255FB5">
        <w:t xml:space="preserve">. </w:t>
      </w:r>
      <w:r w:rsidR="00ED79B3">
        <w:t xml:space="preserve"> We calculat</w:t>
      </w:r>
      <w:r w:rsidR="00A267A1">
        <w:t>e</w:t>
      </w:r>
      <w:r w:rsidR="00ED79B3">
        <w:t xml:space="preserve"> the rang</w:t>
      </w:r>
      <w:r w:rsidR="00C36918">
        <w:t>e</w:t>
      </w:r>
      <w:r w:rsidR="00ED79B3">
        <w:t xml:space="preserve"> limitation cost </w:t>
      </w:r>
      <m:oMath>
        <m:sSubSup>
          <m:sSubSupPr>
            <m:ctrlPr>
              <w:rPr>
                <w:rFonts w:ascii="Cambria Math" w:hAnsi="Cambria Math"/>
                <w:i/>
              </w:rPr>
            </m:ctrlPr>
          </m:sSubSupPr>
          <m:e>
            <m:r>
              <w:rPr>
                <w:rFonts w:ascii="Cambria Math" w:hAnsi="Cambria Math"/>
              </w:rPr>
              <m:t>C</m:t>
            </m:r>
          </m:e>
          <m:sub>
            <m:r>
              <w:rPr>
                <w:rFonts w:ascii="Cambria Math" w:hAnsi="Cambria Math"/>
              </w:rPr>
              <m:t>t,a, chrg, md,r,i</m:t>
            </m:r>
          </m:sub>
          <m:sup>
            <m:r>
              <w:rPr>
                <w:rFonts w:ascii="Cambria Math" w:hAnsi="Cambria Math"/>
              </w:rPr>
              <m:t>range</m:t>
            </m:r>
          </m:sup>
        </m:sSubSup>
      </m:oMath>
      <w:r w:rsidR="00ED79B3">
        <w:t xml:space="preserve"> as </w:t>
      </w:r>
      <w:r w:rsidR="006C452E">
        <w:t xml:space="preserve">extra </w:t>
      </w:r>
      <w:r w:rsidR="00ED79B3">
        <w:t xml:space="preserve">cost of </w:t>
      </w:r>
      <w:r w:rsidR="006C452E">
        <w:t xml:space="preserve">reaching destination when battery dies </w:t>
      </w:r>
      <w:r w:rsidR="00ED79B3">
        <w:t xml:space="preserve">to meet an individual’s </w:t>
      </w:r>
      <w:r w:rsidR="00A95FD1">
        <w:t xml:space="preserve">driving </w:t>
      </w:r>
      <w:r w:rsidR="00ED79B3">
        <w:t>demand</w:t>
      </w:r>
      <w:r w:rsidR="00210857">
        <w:t xml:space="preserve"> for each</w:t>
      </w:r>
      <w:r w:rsidR="00E07213">
        <w:t xml:space="preserve"> driving demand group </w:t>
      </w:r>
      <w:r w:rsidR="00ED79B3" w:rsidRPr="00C36918">
        <w:rPr>
          <w:i/>
          <w:iCs/>
        </w:rPr>
        <w:t xml:space="preserve">md </w:t>
      </w:r>
      <w:r w:rsidR="00210857">
        <w:t>,</w:t>
      </w:r>
      <w:r w:rsidR="00ED79B3">
        <w:t xml:space="preserve"> vehicle age </w:t>
      </w:r>
      <w:r w:rsidR="00ED79B3" w:rsidRPr="00C36918">
        <w:rPr>
          <w:i/>
          <w:iCs/>
        </w:rPr>
        <w:t>a</w:t>
      </w:r>
      <w:r w:rsidR="00210857">
        <w:t xml:space="preserve">, </w:t>
      </w:r>
      <w:r w:rsidR="00ED79B3">
        <w:t xml:space="preserve">region </w:t>
      </w:r>
      <w:proofErr w:type="spellStart"/>
      <w:r w:rsidR="00ED79B3" w:rsidRPr="00C36918">
        <w:rPr>
          <w:i/>
          <w:iCs/>
        </w:rPr>
        <w:t>r</w:t>
      </w:r>
      <w:r w:rsidR="00ED79B3">
        <w:t xml:space="preserve"> at</w:t>
      </w:r>
      <w:proofErr w:type="spellEnd"/>
      <w:r w:rsidR="00ED79B3">
        <w:t xml:space="preserve"> time </w:t>
      </w:r>
      <w:r w:rsidR="00ED79B3" w:rsidRPr="00C36918">
        <w:rPr>
          <w:i/>
          <w:iCs/>
        </w:rPr>
        <w:t>t</w:t>
      </w:r>
      <w:r w:rsidR="00ED79B3">
        <w:t xml:space="preserve"> with probabilistic choice of </w:t>
      </w:r>
      <w:r w:rsidR="003C40A2">
        <w:t xml:space="preserve">daily </w:t>
      </w:r>
      <w:r w:rsidR="00ED79B3">
        <w:t xml:space="preserve">VKT </w:t>
      </w:r>
      <w:r w:rsidR="003A25F9">
        <w:t xml:space="preserve">drawn </w:t>
      </w:r>
      <w:r w:rsidR="00ED79B3">
        <w:t>from</w:t>
      </w:r>
      <w:r w:rsidR="004F729E">
        <w:t xml:space="preserve"> </w:t>
      </w:r>
      <w:r w:rsidR="003A25F9">
        <w:t xml:space="preserve">a </w:t>
      </w:r>
      <w:r w:rsidR="00ED79B3">
        <w:t xml:space="preserve">daily </w:t>
      </w:r>
      <w:r w:rsidR="00C44C95">
        <w:t xml:space="preserve">kilometers </w:t>
      </w:r>
      <w:r w:rsidR="00ED79B3">
        <w:t>distribution</w:t>
      </w:r>
      <w:r w:rsidR="0011139E">
        <w:t xml:space="preserve"> with</w:t>
      </w:r>
      <w:r w:rsidR="00ED79B3">
        <w:t xml:space="preserve"> </w:t>
      </w:r>
      <w:r w:rsidR="0011139E" w:rsidRPr="00F430EE">
        <w:rPr>
          <w:rFonts w:eastAsia="Calibri"/>
        </w:rPr>
        <w:t xml:space="preserve">subscript </w:t>
      </w:r>
      <w:r w:rsidR="0011139E" w:rsidRPr="00C36918">
        <w:rPr>
          <w:rFonts w:eastAsia="Calibri"/>
          <w:i/>
          <w:iCs/>
        </w:rPr>
        <w:t>i</w:t>
      </w:r>
      <w:r w:rsidR="0011139E" w:rsidRPr="00F430EE">
        <w:rPr>
          <w:rFonts w:eastAsia="Calibri"/>
        </w:rPr>
        <w:t xml:space="preserve"> </w:t>
      </w:r>
      <w:r w:rsidR="006C452E">
        <w:rPr>
          <w:rFonts w:eastAsia="Calibri"/>
        </w:rPr>
        <w:t xml:space="preserve">denoting </w:t>
      </w:r>
      <w:r w:rsidR="0011139E" w:rsidRPr="00F430EE">
        <w:rPr>
          <w:rFonts w:eastAsia="Calibri"/>
        </w:rPr>
        <w:t xml:space="preserve">each clone </w:t>
      </w:r>
      <w:r w:rsidR="00D3398F" w:rsidRPr="00631551">
        <w:rPr>
          <w:rFonts w:eastAsia="Calibri"/>
          <w:i/>
          <w:iCs/>
        </w:rPr>
        <w:t>i</w:t>
      </w:r>
      <w:r w:rsidR="004F729E">
        <w:rPr>
          <w:rFonts w:eastAsia="Calibri"/>
        </w:rPr>
        <w:t xml:space="preserve">. </w:t>
      </w:r>
      <w:r w:rsidR="00ED79B3">
        <w:t xml:space="preserve">The details </w:t>
      </w:r>
      <w:r w:rsidR="00F62AFE">
        <w:t>are</w:t>
      </w:r>
      <w:r w:rsidR="00ED79B3">
        <w:t xml:space="preserve"> given in A.1.4.1. T</w:t>
      </w:r>
      <w:r w:rsidR="00222FEA" w:rsidRPr="00F430EE">
        <w:t xml:space="preserve">he </w:t>
      </w:r>
      <w:r w:rsidR="00090278" w:rsidRPr="00F430EE">
        <w:t>detour</w:t>
      </w:r>
      <w:r w:rsidR="00222FEA" w:rsidRPr="00F430EE">
        <w:t xml:space="preserve"> cost </w:t>
      </w:r>
      <w:r w:rsidR="00857B52">
        <w:t>with</w:t>
      </w:r>
      <w:r w:rsidR="00222FEA" w:rsidRPr="00F430EE">
        <w:t xml:space="preserve"> FFV and BEV</w:t>
      </w:r>
      <w:r w:rsidR="00090278" w:rsidRPr="00F430EE">
        <w:t xml:space="preserve"> (</w:t>
      </w:r>
      <m:oMath>
        <m:sSubSup>
          <m:sSubSupPr>
            <m:ctrlPr>
              <w:rPr>
                <w:rFonts w:ascii="Cambria Math" w:hAnsi="Cambria Math"/>
              </w:rPr>
            </m:ctrlPr>
          </m:sSubSupPr>
          <m:e>
            <m:r>
              <w:rPr>
                <w:rFonts w:ascii="Cambria Math" w:hAnsi="Cambria Math"/>
              </w:rPr>
              <m:t>C</m:t>
            </m:r>
          </m:e>
          <m:sub>
            <m:r>
              <w:rPr>
                <w:rFonts w:ascii="Cambria Math" w:hAnsi="Cambria Math"/>
              </w:rPr>
              <m:t>t,i</m:t>
            </m:r>
          </m:sub>
          <m:sup>
            <m:r>
              <w:rPr>
                <w:rFonts w:ascii="Cambria Math" w:hAnsi="Cambria Math"/>
              </w:rPr>
              <m:t>E</m:t>
            </m:r>
            <m:r>
              <m:rPr>
                <m:sty m:val="p"/>
              </m:rPr>
              <w:rPr>
                <w:rFonts w:ascii="Cambria Math" w:hAnsi="Cambria Math"/>
              </w:rPr>
              <m:t xml:space="preserve">85 </m:t>
            </m:r>
            <m:r>
              <w:rPr>
                <w:rFonts w:ascii="Cambria Math" w:hAnsi="Cambria Math"/>
              </w:rPr>
              <m:t>detour</m:t>
            </m:r>
          </m:sup>
        </m:sSubSup>
      </m:oMath>
      <w:r w:rsidR="00222FEA" w:rsidRPr="00F430EE">
        <w:t xml:space="preserve"> and </w:t>
      </w:r>
      <m:oMath>
        <m:sSubSup>
          <m:sSubSupPr>
            <m:ctrlPr>
              <w:rPr>
                <w:rFonts w:ascii="Cambria Math" w:hAnsi="Cambria Math"/>
              </w:rPr>
            </m:ctrlPr>
          </m:sSubSupPr>
          <m:e>
            <m:r>
              <w:rPr>
                <w:rFonts w:ascii="Cambria Math" w:hAnsi="Cambria Math"/>
              </w:rPr>
              <m:t>C</m:t>
            </m:r>
          </m:e>
          <m:sub>
            <m:r>
              <w:rPr>
                <w:rFonts w:ascii="Cambria Math" w:hAnsi="Cambria Math"/>
              </w:rPr>
              <m:t>t,i</m:t>
            </m:r>
          </m:sub>
          <m:sup>
            <m:r>
              <w:rPr>
                <w:rFonts w:ascii="Cambria Math" w:hAnsi="Cambria Math"/>
              </w:rPr>
              <m:t>chrg detour</m:t>
            </m:r>
          </m:sup>
        </m:sSubSup>
      </m:oMath>
      <w:r w:rsidR="00222FEA" w:rsidRPr="00F430EE">
        <w:t>)</w:t>
      </w:r>
      <w:r w:rsidR="00AC22E7">
        <w:t xml:space="preserve"> in</w:t>
      </w:r>
      <w:r w:rsidR="00F44038">
        <w:t xml:space="preserve"> the</w:t>
      </w:r>
      <w:r w:rsidR="00AC22E7">
        <w:t xml:space="preserve"> fifth line </w:t>
      </w:r>
      <w:r w:rsidR="00857B52">
        <w:t>is</w:t>
      </w:r>
      <w:r w:rsidR="00AC22E7">
        <w:t xml:space="preserve"> </w:t>
      </w:r>
      <w:r w:rsidR="00216BFC">
        <w:t xml:space="preserve">defined as the time cost needed to </w:t>
      </w:r>
      <w:r w:rsidR="006C452E">
        <w:t>reach to</w:t>
      </w:r>
      <w:r w:rsidR="00216BFC">
        <w:t xml:space="preserve"> the nearest station for charging or fueling E85 fuels for BEV and FFV, which </w:t>
      </w:r>
      <w:r w:rsidR="002D7D22">
        <w:t>is</w:t>
      </w:r>
      <w:r w:rsidR="00216BFC">
        <w:t xml:space="preserve"> </w:t>
      </w:r>
      <w:r w:rsidR="00AC22E7">
        <w:t>further discussed in A.1.4.3</w:t>
      </w:r>
      <w:r w:rsidR="00216BFC">
        <w:t>.</w:t>
      </w:r>
      <w:r w:rsidR="0011139E">
        <w:t xml:space="preserve"> </w:t>
      </w:r>
      <w:r w:rsidR="009F7C68">
        <w:t xml:space="preserve">We </w:t>
      </w:r>
      <w:r w:rsidR="002D0B54">
        <w:t xml:space="preserve">draw </w:t>
      </w:r>
      <w:r w:rsidR="006C452E">
        <w:t xml:space="preserve">random </w:t>
      </w:r>
      <w:proofErr w:type="gramStart"/>
      <w:r w:rsidR="006C452E">
        <w:t>number</w:t>
      </w:r>
      <w:proofErr w:type="gramEnd"/>
      <w:r w:rsidR="0011139E">
        <w:t xml:space="preserve"> </w:t>
      </w:r>
      <w:r w:rsidR="002D0B54">
        <w:t xml:space="preserve">for each clone </w:t>
      </w:r>
      <w:r w:rsidR="002D0B54" w:rsidRPr="00631551">
        <w:rPr>
          <w:i/>
          <w:iCs/>
        </w:rPr>
        <w:t>i</w:t>
      </w:r>
      <w:r w:rsidR="002D0B54">
        <w:t xml:space="preserve"> f</w:t>
      </w:r>
      <w:r w:rsidR="0011139E">
        <w:t xml:space="preserve">rom </w:t>
      </w:r>
      <w:r w:rsidR="002D7D22">
        <w:t xml:space="preserve">a distribution of </w:t>
      </w:r>
      <w:r w:rsidR="0011139E">
        <w:t>income</w:t>
      </w:r>
      <w:r w:rsidR="006C452E">
        <w:t xml:space="preserve"> to represent value of time for transportation</w:t>
      </w:r>
      <w:r w:rsidR="00DC4C79">
        <w:t xml:space="preserve"> </w:t>
      </w:r>
      <w:r w:rsidR="006C452E">
        <w:t>a</w:t>
      </w:r>
      <w:r w:rsidR="00A63597">
        <w:t xml:space="preserve">nd multiply it with the time needed for the detour </w:t>
      </w:r>
      <w:r w:rsidR="0011139E">
        <w:t xml:space="preserve">to quantify the </w:t>
      </w:r>
      <w:r w:rsidR="009F7C68">
        <w:t xml:space="preserve">monetary value of time </w:t>
      </w:r>
      <w:r w:rsidR="00B234AD">
        <w:t>for each clone</w:t>
      </w:r>
      <w:r w:rsidR="009F7C68">
        <w:t>.</w:t>
      </w:r>
      <w:r w:rsidR="0011139E">
        <w:t xml:space="preserve"> </w:t>
      </w:r>
    </w:p>
    <w:p w14:paraId="106FD3F4" w14:textId="33B7363C" w:rsidR="00C36918" w:rsidRDefault="00E07213" w:rsidP="002E3D9C">
      <w:pPr>
        <w:spacing w:line="240" w:lineRule="auto"/>
      </w:pPr>
      <w:r>
        <w:lastRenderedPageBreak/>
        <w:t>T</w:t>
      </w:r>
      <w:r w:rsidR="00216BFC">
        <w:t xml:space="preserve">he first term in the last line of </w:t>
      </w:r>
      <w:r w:rsidR="001E473D">
        <w:t xml:space="preserve">the </w:t>
      </w:r>
      <w:r w:rsidR="00216BFC">
        <w:t xml:space="preserve">transportation sector </w:t>
      </w:r>
      <w:r>
        <w:t xml:space="preserve">bracket </w:t>
      </w:r>
      <w:r w:rsidR="00216BFC">
        <w:t>is</w:t>
      </w:r>
      <w:r w:rsidR="00B234AD">
        <w:t xml:space="preserve"> the</w:t>
      </w:r>
      <w:r w:rsidR="00216BFC">
        <w:t xml:space="preserve"> </w:t>
      </w:r>
      <w:r w:rsidR="00090278" w:rsidRPr="00F430EE">
        <w:t>waiting</w:t>
      </w:r>
      <w:r w:rsidR="00216BFC">
        <w:t xml:space="preserve"> cost </w:t>
      </w:r>
      <w:r w:rsidR="00090278" w:rsidRPr="00F430EE">
        <w:t>(</w:t>
      </w:r>
      <m:oMath>
        <m:sSubSup>
          <m:sSubSupPr>
            <m:ctrlPr>
              <w:rPr>
                <w:rFonts w:ascii="Cambria Math" w:hAnsi="Cambria Math"/>
                <w:i/>
              </w:rPr>
            </m:ctrlPr>
          </m:sSubSupPr>
          <m:e>
            <m:r>
              <w:rPr>
                <w:rFonts w:ascii="Cambria Math" w:hAnsi="Cambria Math"/>
              </w:rPr>
              <m:t>C</m:t>
            </m:r>
          </m:e>
          <m:sub>
            <m:r>
              <w:rPr>
                <w:rFonts w:ascii="Cambria Math" w:hAnsi="Cambria Math"/>
              </w:rPr>
              <m:t>t,i</m:t>
            </m:r>
          </m:sub>
          <m:sup>
            <m:r>
              <w:rPr>
                <w:rFonts w:ascii="Cambria Math" w:hAnsi="Cambria Math"/>
              </w:rPr>
              <m:t>wait</m:t>
            </m:r>
          </m:sup>
        </m:sSubSup>
      </m:oMath>
      <w:r w:rsidR="00090278" w:rsidRPr="00F430EE">
        <w:rPr>
          <w:iCs/>
        </w:rPr>
        <w:t>)</w:t>
      </w:r>
      <w:r w:rsidR="00222FEA" w:rsidRPr="00F430EE">
        <w:rPr>
          <w:iCs/>
        </w:rPr>
        <w:t xml:space="preserve"> </w:t>
      </w:r>
      <w:r w:rsidR="00216BFC">
        <w:t>defined as the time spent at charging stations waiting for a BEV to recharge</w:t>
      </w:r>
      <w:r w:rsidR="00216BFC">
        <w:rPr>
          <w:iCs/>
        </w:rPr>
        <w:t xml:space="preserve">, which is </w:t>
      </w:r>
      <w:r w:rsidR="000170E1">
        <w:rPr>
          <w:iCs/>
        </w:rPr>
        <w:t xml:space="preserve">further </w:t>
      </w:r>
      <w:r w:rsidR="00216BFC">
        <w:rPr>
          <w:iCs/>
        </w:rPr>
        <w:t>discussed in A.1.4.2</w:t>
      </w:r>
      <w:r w:rsidR="00090278" w:rsidRPr="00F430EE">
        <w:t>.</w:t>
      </w:r>
      <w:r w:rsidR="00F872C5">
        <w:t xml:space="preserve"> W</w:t>
      </w:r>
      <w:r w:rsidR="009F7C68">
        <w:t xml:space="preserve">e use the </w:t>
      </w:r>
      <w:r w:rsidR="00F872C5">
        <w:t>randomly drawn</w:t>
      </w:r>
      <w:r w:rsidR="009F7C68">
        <w:t xml:space="preserve"> value from</w:t>
      </w:r>
      <w:r w:rsidR="00F872C5">
        <w:t xml:space="preserve"> the distribution of income </w:t>
      </w:r>
      <w:r w:rsidR="009F7C68">
        <w:t>to calculate the</w:t>
      </w:r>
      <w:r w:rsidR="00F872C5">
        <w:t xml:space="preserve"> monetary value of the</w:t>
      </w:r>
      <w:r w:rsidR="009F7C68">
        <w:t xml:space="preserve"> waiting cost </w:t>
      </w:r>
      <w:r w:rsidR="003D1FF4">
        <w:t>for</w:t>
      </w:r>
      <w:r w:rsidR="009F7C68">
        <w:t xml:space="preserve"> clone </w:t>
      </w:r>
      <w:r w:rsidR="009F7C68" w:rsidRPr="00C36918">
        <w:rPr>
          <w:i/>
          <w:iCs/>
        </w:rPr>
        <w:t xml:space="preserve">i </w:t>
      </w:r>
      <w:r w:rsidR="00437ADE">
        <w:t>each year. L</w:t>
      </w:r>
      <w:r>
        <w:rPr>
          <w:rFonts w:hint="eastAsia"/>
        </w:rPr>
        <w:t>astl</w:t>
      </w:r>
      <w:r>
        <w:t xml:space="preserve">y, we </w:t>
      </w:r>
      <w:r w:rsidR="00437ADE">
        <w:t>represent</w:t>
      </w:r>
      <w:r>
        <w:t xml:space="preserve"> the idiosyncratic preference</w:t>
      </w:r>
      <w:r w:rsidR="00437ADE">
        <w:t xml:space="preserve"> of each clone for each of</w:t>
      </w:r>
      <w:r>
        <w:t xml:space="preserve"> the vehicle fuel type</w:t>
      </w:r>
      <w:r w:rsidR="00437ADE">
        <w:t>s</w:t>
      </w:r>
      <w:r>
        <w:t xml:space="preserve"> by </w:t>
      </w:r>
      <w:r w:rsidR="00BC2D64">
        <w:t xml:space="preserve">constructing </w:t>
      </w:r>
      <w:r>
        <w:t>and calibrating the error terms that reflect the unobserved variable that affect</w:t>
      </w:r>
      <w:r w:rsidR="00BC2D64">
        <w:t>s</w:t>
      </w:r>
      <w:r>
        <w:t xml:space="preserve"> the preferences or purchase decision in the random utility framework. The constructed </w:t>
      </w:r>
      <w:r w:rsidR="00001A6D" w:rsidRPr="00F430EE">
        <w:t xml:space="preserve">stochastic terms </w:t>
      </w:r>
      <m:oMath>
        <m:sSub>
          <m:sSubPr>
            <m:ctrlPr>
              <w:rPr>
                <w:rFonts w:ascii="Cambria Math" w:eastAsia="Times New Roman" w:hAnsi="Cambria Math"/>
                <w:color w:val="000000"/>
              </w:rPr>
            </m:ctrlPr>
          </m:sSubPr>
          <m:e>
            <m:r>
              <m:rPr>
                <m:sty m:val="p"/>
              </m:rPr>
              <w:rPr>
                <w:rFonts w:ascii="Cambria Math" w:eastAsia="Times New Roman" w:hAnsi="Cambria Math"/>
                <w:color w:val="000000"/>
              </w:rPr>
              <m:t>ε</m:t>
            </m:r>
            <m:ctrlPr>
              <w:rPr>
                <w:rFonts w:ascii="Cambria Math" w:hAnsi="Cambria Math"/>
                <w:i/>
              </w:rPr>
            </m:ctrlPr>
          </m:e>
          <m:sub>
            <m:r>
              <w:rPr>
                <w:rFonts w:ascii="Cambria Math" w:hAnsi="Cambria Math"/>
              </w:rPr>
              <m:t>v,r,i</m:t>
            </m:r>
          </m:sub>
        </m:sSub>
      </m:oMath>
      <w:r w:rsidR="00001A6D" w:rsidRPr="00F430EE">
        <w:t xml:space="preserve"> </w:t>
      </w:r>
      <w:r>
        <w:t>represent the</w:t>
      </w:r>
      <w:r w:rsidR="00001A6D" w:rsidRPr="00F430EE">
        <w:t xml:space="preserve"> idiosyncratic heterogeneity in the consumers’ preference </w:t>
      </w:r>
      <w:r w:rsidR="009F7C68">
        <w:t>of</w:t>
      </w:r>
      <w:r w:rsidR="009F7C68" w:rsidRPr="00F430EE">
        <w:t xml:space="preserve"> </w:t>
      </w:r>
      <w:r w:rsidR="00222FEA" w:rsidRPr="00F430EE">
        <w:t xml:space="preserve">each </w:t>
      </w:r>
      <w:r w:rsidR="00E35A82">
        <w:t xml:space="preserve">unit of </w:t>
      </w:r>
      <w:r w:rsidR="00222FEA" w:rsidRPr="00F430EE">
        <w:t xml:space="preserve">vehicle </w:t>
      </w:r>
      <w:r w:rsidR="009F7C68">
        <w:t xml:space="preserve">type </w:t>
      </w:r>
      <w:r w:rsidR="009F7C68" w:rsidRPr="00C36918">
        <w:rPr>
          <w:i/>
          <w:iCs/>
        </w:rPr>
        <w:t>v</w:t>
      </w:r>
      <w:r w:rsidR="009F7C68">
        <w:t xml:space="preserve"> </w:t>
      </w:r>
      <w:r w:rsidR="00530169" w:rsidRPr="00F430EE">
        <w:t xml:space="preserve">of each region </w:t>
      </w:r>
      <w:r w:rsidR="009F7C68" w:rsidRPr="00C36918">
        <w:rPr>
          <w:i/>
          <w:iCs/>
        </w:rPr>
        <w:t>r</w:t>
      </w:r>
      <w:r w:rsidR="009F7C68">
        <w:t xml:space="preserve"> </w:t>
      </w:r>
      <w:r w:rsidR="00C21C44">
        <w:t xml:space="preserve">and is obtained by a </w:t>
      </w:r>
      <w:r w:rsidR="009F7C68">
        <w:t xml:space="preserve">random draw </w:t>
      </w:r>
      <w:r w:rsidR="00E628A8" w:rsidRPr="00C36918">
        <w:rPr>
          <w:i/>
          <w:iCs/>
        </w:rPr>
        <w:t>i</w:t>
      </w:r>
      <w:r w:rsidR="00E628A8">
        <w:t xml:space="preserve"> </w:t>
      </w:r>
      <w:r w:rsidR="009F7C68">
        <w:t xml:space="preserve">from </w:t>
      </w:r>
      <w:r w:rsidR="00C21C44">
        <w:t xml:space="preserve">the </w:t>
      </w:r>
      <w:r w:rsidR="009F7C68">
        <w:t>calibrated Gumble distribution</w:t>
      </w:r>
      <w:r w:rsidR="00C21C44">
        <w:t xml:space="preserve"> </w:t>
      </w:r>
      <w:r w:rsidR="001E473D">
        <w:t>derived from standard error terms</w:t>
      </w:r>
      <w:r w:rsidR="00C21C44">
        <w:t xml:space="preserve"> by Ramea et al. (2018)</w:t>
      </w:r>
      <w:r w:rsidR="001E473D">
        <w:t>.</w:t>
      </w:r>
      <w:r w:rsidR="00E01254">
        <w:t xml:space="preserve"> </w:t>
      </w:r>
      <w:r w:rsidR="001E473D">
        <w:t>They are included in the welfare function after</w:t>
      </w:r>
      <w:r w:rsidR="00E01254">
        <w:t xml:space="preserve"> </w:t>
      </w:r>
      <w:r w:rsidR="001E473D">
        <w:t xml:space="preserve">being </w:t>
      </w:r>
      <w:r w:rsidR="00E01254">
        <w:t>multiplied by the total amount of vehicle</w:t>
      </w:r>
      <w:r w:rsidR="001E473D">
        <w:t>s</w:t>
      </w:r>
      <w:r w:rsidR="00E01254">
        <w:t xml:space="preserve"> in stock</w:t>
      </w:r>
      <w:r w:rsidR="00530169" w:rsidRPr="00F430EE">
        <w:t>.</w:t>
      </w:r>
      <w:r w:rsidR="00E340E5" w:rsidRPr="00F430EE">
        <w:rPr>
          <w:rFonts w:eastAsia="Calibri"/>
        </w:rPr>
        <w:t xml:space="preserve"> </w:t>
      </w:r>
      <w:r w:rsidR="00E628A8">
        <w:rPr>
          <w:rFonts w:eastAsia="Calibri"/>
        </w:rPr>
        <w:t xml:space="preserve">We discuss the source and calibration of the terms considering the </w:t>
      </w:r>
      <w:r>
        <w:rPr>
          <w:rFonts w:eastAsia="Calibri"/>
        </w:rPr>
        <w:t>substitution pattern</w:t>
      </w:r>
      <w:r w:rsidR="00E628A8">
        <w:rPr>
          <w:rFonts w:eastAsia="Calibri"/>
        </w:rPr>
        <w:t xml:space="preserve"> across the fuel types</w:t>
      </w:r>
      <w:r>
        <w:rPr>
          <w:rFonts w:eastAsia="Calibri"/>
        </w:rPr>
        <w:t xml:space="preserve"> and the spatial variation considered </w:t>
      </w:r>
      <w:r w:rsidR="00E628A8">
        <w:rPr>
          <w:rFonts w:eastAsia="Calibri"/>
        </w:rPr>
        <w:t>over the region by using the Google trend data in section A.1.5.</w:t>
      </w:r>
      <w:r w:rsidR="00B2726E">
        <w:t xml:space="preserve"> </w:t>
      </w:r>
    </w:p>
    <w:p w14:paraId="76764A9F" w14:textId="3EC5EBA4" w:rsidR="00B2726E" w:rsidRPr="00C36918" w:rsidRDefault="008F4658" w:rsidP="00C36918">
      <w:pPr>
        <w:pStyle w:val="Heading4"/>
        <w:numPr>
          <w:ilvl w:val="0"/>
          <w:numId w:val="0"/>
        </w:numPr>
        <w:rPr>
          <w:b/>
          <w:bCs/>
        </w:rPr>
      </w:pPr>
      <w:r w:rsidRPr="008F4658">
        <w:rPr>
          <w:b/>
          <w:bCs/>
        </w:rPr>
        <w:t>A.1.1.</w:t>
      </w:r>
      <w:r>
        <w:rPr>
          <w:b/>
          <w:bCs/>
        </w:rPr>
        <w:t>2</w:t>
      </w:r>
      <w:r w:rsidRPr="008F4658">
        <w:rPr>
          <w:b/>
          <w:bCs/>
        </w:rPr>
        <w:t xml:space="preserve"> </w:t>
      </w:r>
      <w:r w:rsidR="00B2726E" w:rsidRPr="00C36918">
        <w:rPr>
          <w:b/>
          <w:bCs/>
        </w:rPr>
        <w:t xml:space="preserve">Electricity </w:t>
      </w:r>
      <w:r w:rsidR="00B92A3A">
        <w:rPr>
          <w:b/>
          <w:bCs/>
        </w:rPr>
        <w:t>S</w:t>
      </w:r>
      <w:r w:rsidR="00B2726E" w:rsidRPr="00C36918">
        <w:rPr>
          <w:b/>
          <w:bCs/>
        </w:rPr>
        <w:t>ector</w:t>
      </w:r>
    </w:p>
    <w:p w14:paraId="1D0FA6E3" w14:textId="3BDCEE1C" w:rsidR="00B73774" w:rsidRDefault="006C1442" w:rsidP="00B2726E">
      <w:pPr>
        <w:spacing w:line="240" w:lineRule="auto"/>
        <w:rPr>
          <w:rFonts w:eastAsia="Calibri"/>
        </w:rPr>
      </w:pPr>
      <w:r>
        <w:t>L</w:t>
      </w:r>
      <w:r w:rsidR="00B2726E">
        <w:t>ine</w:t>
      </w:r>
      <w:r w:rsidR="00071971">
        <w:t>s</w:t>
      </w:r>
      <w:r w:rsidR="00B2726E">
        <w:t xml:space="preserve"> 7 to 10 </w:t>
      </w:r>
      <w:r>
        <w:t xml:space="preserve">in Equation 1 </w:t>
      </w:r>
      <w:r w:rsidR="00D736FA">
        <w:t>represent</w:t>
      </w:r>
      <w:r>
        <w:t xml:space="preserve"> the consumer and producer surplus </w:t>
      </w:r>
      <w:r w:rsidR="00B2726E">
        <w:t xml:space="preserve">in the electricity sector module </w:t>
      </w:r>
      <w:r w:rsidR="00C36918">
        <w:t xml:space="preserve">(as in </w:t>
      </w:r>
      <w:r w:rsidR="00B2726E">
        <w:t>Oliver and Khanna 2017</w:t>
      </w:r>
      <w:r w:rsidR="00274618">
        <w:t xml:space="preserve"> </w:t>
      </w:r>
      <w:r w:rsidR="00274618">
        <w:rPr>
          <w:rFonts w:eastAsia="Calibri"/>
        </w:rPr>
        <w:t>for details</w:t>
      </w:r>
      <w:r w:rsidR="00B2726E">
        <w:t xml:space="preserve">). </w:t>
      </w:r>
      <w:r w:rsidR="00E340E5" w:rsidRPr="00F430EE">
        <w:rPr>
          <w:rFonts w:eastAsia="Calibri"/>
        </w:rPr>
        <w:t xml:space="preserve">The </w:t>
      </w:r>
      <w:r w:rsidR="00B2726E">
        <w:rPr>
          <w:rFonts w:eastAsia="Calibri"/>
        </w:rPr>
        <w:t>first</w:t>
      </w:r>
      <w:r w:rsidR="00B2726E" w:rsidRPr="00F430EE">
        <w:rPr>
          <w:rFonts w:eastAsia="Calibri"/>
        </w:rPr>
        <w:t xml:space="preserve"> </w:t>
      </w:r>
      <w:r w:rsidR="00E340E5" w:rsidRPr="00F430EE">
        <w:rPr>
          <w:rFonts w:eastAsia="Calibri"/>
        </w:rPr>
        <w:t xml:space="preserve">integral term in the </w:t>
      </w:r>
      <w:r w:rsidR="00B2726E">
        <w:rPr>
          <w:rFonts w:eastAsia="Calibri"/>
        </w:rPr>
        <w:t>seventh</w:t>
      </w:r>
      <w:r w:rsidR="00B2726E" w:rsidRPr="00F430EE">
        <w:rPr>
          <w:rFonts w:eastAsia="Calibri"/>
        </w:rPr>
        <w:t xml:space="preserve"> </w:t>
      </w:r>
      <w:r w:rsidR="00E340E5" w:rsidRPr="00F430EE">
        <w:rPr>
          <w:rFonts w:eastAsia="Calibri"/>
        </w:rPr>
        <w:t xml:space="preserve">line represents the area under the inverse demand curve for electricity. The choice variable </w:t>
      </w:r>
      <m:oMath>
        <m:r>
          <w:rPr>
            <w:rFonts w:ascii="Cambria Math" w:eastAsia="Calibri" w:hAnsi="Cambria Math"/>
          </w:rPr>
          <m:t>Q</m:t>
        </m:r>
        <m:sSub>
          <m:sSubPr>
            <m:ctrlPr>
              <w:rPr>
                <w:rFonts w:ascii="Cambria Math" w:eastAsia="Calibri" w:hAnsi="Cambria Math"/>
                <w:i/>
              </w:rPr>
            </m:ctrlPr>
          </m:sSubPr>
          <m:e>
            <m:r>
              <w:rPr>
                <w:rFonts w:ascii="Cambria Math" w:eastAsia="Calibri" w:hAnsi="Cambria Math"/>
              </w:rPr>
              <m:t>E</m:t>
            </m:r>
          </m:e>
          <m:sub>
            <m:r>
              <w:rPr>
                <w:rFonts w:ascii="Cambria Math" w:eastAsia="Calibri" w:hAnsi="Cambria Math"/>
              </w:rPr>
              <m:t>er,t</m:t>
            </m:r>
          </m:sub>
        </m:sSub>
      </m:oMath>
      <w:r w:rsidR="00E340E5" w:rsidRPr="00F430EE">
        <w:rPr>
          <w:rFonts w:eastAsia="Calibri"/>
        </w:rPr>
        <w:t xml:space="preserve"> is the quantity of electricity consumed in </w:t>
      </w:r>
      <w:r w:rsidR="006126D7">
        <w:t xml:space="preserve">electricity market regions (EMR) </w:t>
      </w:r>
      <w:r w:rsidR="00E340E5" w:rsidRPr="00F430EE">
        <w:rPr>
          <w:rFonts w:eastAsia="Calibri"/>
          <w:i/>
        </w:rPr>
        <w:t>r</w:t>
      </w:r>
      <w:r w:rsidR="00E340E5" w:rsidRPr="00F430EE">
        <w:rPr>
          <w:rFonts w:eastAsia="Calibri"/>
        </w:rPr>
        <w:t xml:space="preserve"> in year </w:t>
      </w:r>
      <w:r w:rsidR="00E340E5" w:rsidRPr="00F430EE">
        <w:rPr>
          <w:rFonts w:eastAsia="Calibri"/>
          <w:i/>
        </w:rPr>
        <w:t xml:space="preserve">t </w:t>
      </w:r>
      <w:r w:rsidR="00E340E5" w:rsidRPr="00F430EE">
        <w:rPr>
          <w:rFonts w:eastAsia="Calibri"/>
        </w:rPr>
        <w:t xml:space="preserve">from all energy sources. </w:t>
      </w:r>
      <m:oMath>
        <m:sSup>
          <m:sSupPr>
            <m:ctrlPr>
              <w:rPr>
                <w:rFonts w:ascii="Cambria Math" w:eastAsia="Calibri" w:hAnsi="Cambria Math"/>
                <w:i/>
              </w:rPr>
            </m:ctrlPr>
          </m:sSupPr>
          <m:e>
            <m:r>
              <w:rPr>
                <w:rFonts w:ascii="Cambria Math" w:eastAsia="Calibri" w:hAnsi="Cambria Math"/>
              </w:rPr>
              <m:t>f</m:t>
            </m:r>
          </m:e>
          <m:sup>
            <m:r>
              <w:rPr>
                <w:rFonts w:ascii="Cambria Math" w:eastAsia="Calibri" w:hAnsi="Cambria Math"/>
              </w:rPr>
              <m:t>r</m:t>
            </m:r>
          </m:sup>
        </m:sSup>
        <m:d>
          <m:dPr>
            <m:ctrlPr>
              <w:rPr>
                <w:rFonts w:ascii="Cambria Math" w:eastAsia="Calibri" w:hAnsi="Cambria Math"/>
                <w:i/>
              </w:rPr>
            </m:ctrlPr>
          </m:dPr>
          <m:e>
            <m:r>
              <w:rPr>
                <w:rFonts w:ascii="Cambria Math" w:eastAsia="Calibri" w:hAnsi="Cambria Math"/>
              </w:rPr>
              <m:t>.</m:t>
            </m:r>
          </m:e>
        </m:d>
      </m:oMath>
      <w:r w:rsidR="00E340E5" w:rsidRPr="00F430EE">
        <w:rPr>
          <w:rFonts w:eastAsia="Calibri"/>
        </w:rPr>
        <w:t xml:space="preserve"> is the inverse demand function for electricity in </w:t>
      </w:r>
      <w:r w:rsidR="00CD279B">
        <w:rPr>
          <w:rFonts w:eastAsia="Calibri"/>
        </w:rPr>
        <w:t xml:space="preserve">EMR </w:t>
      </w:r>
      <w:r w:rsidR="00E340E5" w:rsidRPr="00F430EE">
        <w:rPr>
          <w:rFonts w:eastAsia="Calibri"/>
          <w:i/>
        </w:rPr>
        <w:t>r</w:t>
      </w:r>
      <w:r w:rsidR="00E340E5" w:rsidRPr="00F430EE">
        <w:rPr>
          <w:rFonts w:eastAsia="Calibri"/>
        </w:rPr>
        <w:t>.</w:t>
      </w:r>
      <w:r w:rsidR="00E340E5" w:rsidRPr="00F84713">
        <w:rPr>
          <w:rFonts w:eastAsia="Calibri"/>
        </w:rPr>
        <w:t xml:space="preserve"> </w:t>
      </w:r>
      <w:r w:rsidR="00B2726E">
        <w:rPr>
          <w:rFonts w:eastAsia="Calibri"/>
        </w:rPr>
        <w:t xml:space="preserve"> </w:t>
      </w:r>
      <w:r w:rsidR="006F0909" w:rsidRPr="00C53F8C">
        <w:rPr>
          <w:rFonts w:eastAsia="Calibri"/>
        </w:rPr>
        <w:t xml:space="preserve">The </w:t>
      </w:r>
      <w:r w:rsidR="00B2726E">
        <w:rPr>
          <w:rFonts w:eastAsia="Calibri"/>
        </w:rPr>
        <w:t>next</w:t>
      </w:r>
      <w:r w:rsidR="00B2726E" w:rsidRPr="00C53F8C">
        <w:rPr>
          <w:rFonts w:eastAsia="Calibri"/>
        </w:rPr>
        <w:t xml:space="preserve"> </w:t>
      </w:r>
      <w:r w:rsidR="006F0909" w:rsidRPr="00C53F8C">
        <w:rPr>
          <w:rFonts w:eastAsia="Calibri"/>
        </w:rPr>
        <w:t>term is a summation that represents the variable operation and maintenance (O&amp;M) cost for electricity generation from existing</w:t>
      </w:r>
      <w:r w:rsidR="0054646A">
        <w:rPr>
          <w:rFonts w:eastAsia="Calibri"/>
        </w:rPr>
        <w:t xml:space="preserve"> coal and natural gas</w:t>
      </w:r>
      <w:r w:rsidR="006F0909" w:rsidRPr="00C53F8C">
        <w:rPr>
          <w:rFonts w:eastAsia="Calibri"/>
        </w:rPr>
        <w:t xml:space="preserve"> power plants and co-firing</w:t>
      </w:r>
      <w:r w:rsidR="00E366A4">
        <w:rPr>
          <w:rFonts w:eastAsia="Calibri"/>
        </w:rPr>
        <w:t xml:space="preserve"> biomass with coal</w:t>
      </w:r>
      <w:r w:rsidR="006F0909" w:rsidRPr="00C53F8C">
        <w:rPr>
          <w:rFonts w:eastAsia="Calibri"/>
        </w:rPr>
        <w:t xml:space="preserve">. The parameter </w:t>
      </w:r>
      <m:oMath>
        <m:r>
          <w:rPr>
            <w:rFonts w:ascii="Cambria Math" w:eastAsia="Calibri" w:hAnsi="Cambria Math"/>
          </w:rPr>
          <m:t>e</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et</m:t>
            </m:r>
          </m:sub>
        </m:sSub>
      </m:oMath>
      <w:r w:rsidR="006F0909" w:rsidRPr="00C53F8C">
        <w:rPr>
          <w:rFonts w:eastAsia="Calibri"/>
        </w:rPr>
        <w:t xml:space="preserve"> is the O&amp;M cost for electricity generated from technology type </w:t>
      </w:r>
      <w:r w:rsidR="006F0909" w:rsidRPr="00C53F8C">
        <w:rPr>
          <w:rFonts w:eastAsia="Calibri"/>
          <w:i/>
        </w:rPr>
        <w:t>et</w:t>
      </w:r>
      <w:r w:rsidR="006F0909" w:rsidRPr="00C53F8C">
        <w:rPr>
          <w:rFonts w:eastAsia="Calibri"/>
        </w:rPr>
        <w:t xml:space="preserve"> and the variable </w:t>
      </w:r>
      <m:oMath>
        <m:r>
          <w:rPr>
            <w:rFonts w:ascii="Cambria Math" w:eastAsia="Calibri" w:hAnsi="Cambria Math"/>
          </w:rPr>
          <m:t>Q</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et,CRD,t</m:t>
            </m:r>
          </m:sub>
        </m:sSub>
      </m:oMath>
      <w:r w:rsidR="006F0909" w:rsidRPr="00C53F8C">
        <w:rPr>
          <w:rFonts w:eastAsia="Calibri"/>
        </w:rPr>
        <w:t xml:space="preserve"> represents the electricity generated from technology type </w:t>
      </w:r>
      <w:r w:rsidR="006F0909" w:rsidRPr="00C53F8C">
        <w:rPr>
          <w:rFonts w:eastAsia="Calibri"/>
          <w:i/>
        </w:rPr>
        <w:t>et</w:t>
      </w:r>
      <w:r w:rsidR="00F77B4D">
        <w:rPr>
          <w:rFonts w:eastAsia="Calibri"/>
        </w:rPr>
        <w:t xml:space="preserve"> in year </w:t>
      </w:r>
      <w:r w:rsidR="00F77B4D" w:rsidRPr="002E3D9C">
        <w:rPr>
          <w:rFonts w:eastAsia="Calibri"/>
          <w:i/>
          <w:iCs/>
        </w:rPr>
        <w:t>t</w:t>
      </w:r>
      <w:r w:rsidR="00F77B4D">
        <w:rPr>
          <w:rFonts w:eastAsia="Calibri"/>
        </w:rPr>
        <w:t>.</w:t>
      </w:r>
      <w:r w:rsidR="001A4F78">
        <w:rPr>
          <w:rFonts w:eastAsia="Calibri"/>
        </w:rPr>
        <w:t xml:space="preserve"> The supply of electricity resources is represented at a </w:t>
      </w:r>
      <w:r w:rsidR="00C44C95">
        <w:rPr>
          <w:rFonts w:eastAsia="Calibri"/>
        </w:rPr>
        <w:t>crop reporting district</w:t>
      </w:r>
      <w:r w:rsidR="001A4F78">
        <w:rPr>
          <w:rFonts w:eastAsia="Calibri"/>
        </w:rPr>
        <w:t>s</w:t>
      </w:r>
      <w:r w:rsidR="00C44C95">
        <w:rPr>
          <w:rFonts w:eastAsia="Calibri"/>
        </w:rPr>
        <w:t xml:space="preserve"> (</w:t>
      </w:r>
      <w:r w:rsidR="006F0909" w:rsidRPr="00C53F8C">
        <w:rPr>
          <w:rFonts w:eastAsia="Calibri"/>
        </w:rPr>
        <w:t>CRD</w:t>
      </w:r>
      <w:r w:rsidR="00C44C95">
        <w:rPr>
          <w:rFonts w:eastAsia="Calibri"/>
        </w:rPr>
        <w:t>)</w:t>
      </w:r>
      <w:r w:rsidR="001A4F78">
        <w:rPr>
          <w:rFonts w:eastAsia="Calibri"/>
        </w:rPr>
        <w:t xml:space="preserve"> level</w:t>
      </w:r>
      <w:r w:rsidR="00452251">
        <w:rPr>
          <w:rFonts w:eastAsia="Calibri"/>
        </w:rPr>
        <w:t xml:space="preserve">; with each CRD representing an </w:t>
      </w:r>
      <w:r w:rsidR="00C44C95">
        <w:rPr>
          <w:rFonts w:eastAsia="Calibri"/>
        </w:rPr>
        <w:t xml:space="preserve">aggregation of </w:t>
      </w:r>
      <w:r w:rsidR="00452251">
        <w:rPr>
          <w:rFonts w:eastAsia="Calibri"/>
          <w:iCs/>
        </w:rPr>
        <w:t>multiple counties</w:t>
      </w:r>
      <w:r w:rsidR="006F0909" w:rsidRPr="00C53F8C">
        <w:rPr>
          <w:rFonts w:eastAsia="Calibri"/>
        </w:rPr>
        <w:t xml:space="preserve"> </w:t>
      </w:r>
      <w:r w:rsidR="00911CAE">
        <w:rPr>
          <w:rFonts w:eastAsia="Calibri"/>
        </w:rPr>
        <w:t xml:space="preserve">The technology types used for electricity generation include coal, natural gas, </w:t>
      </w:r>
      <w:r w:rsidR="00C44C95">
        <w:rPr>
          <w:rFonts w:eastAsia="Calibri"/>
        </w:rPr>
        <w:t xml:space="preserve">oil, nuclear, and renewable sources of </w:t>
      </w:r>
      <w:proofErr w:type="gramStart"/>
      <w:r w:rsidR="00C44C95">
        <w:rPr>
          <w:rFonts w:eastAsia="Calibri"/>
        </w:rPr>
        <w:t>hydro-electricity</w:t>
      </w:r>
      <w:proofErr w:type="gramEnd"/>
      <w:r w:rsidR="00C44C95">
        <w:rPr>
          <w:rFonts w:eastAsia="Calibri"/>
        </w:rPr>
        <w:t>, wind, solar, and bioelectricity.</w:t>
      </w:r>
      <w:r w:rsidR="00CD279B">
        <w:rPr>
          <w:rFonts w:eastAsia="Calibri"/>
        </w:rPr>
        <w:t xml:space="preserve"> </w:t>
      </w:r>
      <w:r w:rsidR="00C44C95">
        <w:rPr>
          <w:rFonts w:eastAsia="Calibri"/>
        </w:rPr>
        <w:t>T</w:t>
      </w:r>
      <w:r w:rsidR="00857B89">
        <w:rPr>
          <w:rFonts w:eastAsia="Calibri"/>
        </w:rPr>
        <w:t xml:space="preserve">he model generates electricity from existing power plants and allows new power plants to be established using natural gas as well as renewable sources. </w:t>
      </w:r>
    </w:p>
    <w:p w14:paraId="33304C9A" w14:textId="3899DD3E" w:rsidR="00F83BAB" w:rsidRDefault="006F0909" w:rsidP="00CA7805">
      <w:pPr>
        <w:spacing w:line="240" w:lineRule="auto"/>
        <w:rPr>
          <w:rFonts w:eastAsia="Calibri"/>
        </w:rPr>
      </w:pPr>
      <w:r w:rsidRPr="00C53F8C">
        <w:rPr>
          <w:rFonts w:eastAsia="Calibri"/>
        </w:rPr>
        <w:t xml:space="preserve">The </w:t>
      </w:r>
      <w:r w:rsidR="00B73774">
        <w:rPr>
          <w:rFonts w:eastAsia="Calibri"/>
        </w:rPr>
        <w:t>first</w:t>
      </w:r>
      <w:r w:rsidR="00B73774" w:rsidRPr="00C53F8C">
        <w:rPr>
          <w:rFonts w:eastAsia="Calibri"/>
        </w:rPr>
        <w:t xml:space="preserve"> </w:t>
      </w:r>
      <w:r w:rsidRPr="00C53F8C">
        <w:rPr>
          <w:rFonts w:eastAsia="Calibri"/>
        </w:rPr>
        <w:t>term in</w:t>
      </w:r>
      <w:r w:rsidR="00857B89">
        <w:rPr>
          <w:rFonts w:eastAsia="Calibri"/>
        </w:rPr>
        <w:t xml:space="preserve"> the</w:t>
      </w:r>
      <w:r w:rsidRPr="00C53F8C">
        <w:rPr>
          <w:rFonts w:eastAsia="Calibri"/>
        </w:rPr>
        <w:t xml:space="preserve"> </w:t>
      </w:r>
      <w:r w:rsidR="00F83BAB">
        <w:rPr>
          <w:rFonts w:eastAsia="Calibri"/>
        </w:rPr>
        <w:t>eighth</w:t>
      </w:r>
      <w:r w:rsidR="00F83BAB" w:rsidRPr="00C53F8C">
        <w:rPr>
          <w:rFonts w:eastAsia="Calibri"/>
        </w:rPr>
        <w:t xml:space="preserve"> </w:t>
      </w:r>
      <w:r w:rsidRPr="00C53F8C">
        <w:rPr>
          <w:rFonts w:eastAsia="Calibri"/>
        </w:rPr>
        <w:t xml:space="preserve">line represents </w:t>
      </w:r>
      <w:r w:rsidR="00857B89">
        <w:rPr>
          <w:rFonts w:eastAsia="Calibri"/>
        </w:rPr>
        <w:t xml:space="preserve">the </w:t>
      </w:r>
      <w:r w:rsidRPr="00C53F8C">
        <w:rPr>
          <w:rFonts w:eastAsia="Calibri"/>
        </w:rPr>
        <w:t xml:space="preserve">levelized cost of electricity generation from new power plants. The parameter </w:t>
      </w:r>
      <m:oMath>
        <m:r>
          <w:rPr>
            <w:rFonts w:ascii="Cambria Math" w:eastAsia="Calibri" w:hAnsi="Cambria Math"/>
          </w:rPr>
          <m:t>l</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nt</m:t>
            </m:r>
          </m:sub>
        </m:sSub>
      </m:oMath>
      <w:r w:rsidRPr="00C53F8C">
        <w:rPr>
          <w:rFonts w:eastAsia="Calibri"/>
        </w:rPr>
        <w:t xml:space="preserve"> is the levelized cost of generating electricity from a new power plant with technology type </w:t>
      </w:r>
      <w:proofErr w:type="spellStart"/>
      <w:r w:rsidRPr="00C53F8C">
        <w:rPr>
          <w:rFonts w:eastAsia="Calibri"/>
          <w:i/>
        </w:rPr>
        <w:t>nt</w:t>
      </w:r>
      <w:proofErr w:type="spellEnd"/>
      <w:r w:rsidRPr="00C53F8C">
        <w:rPr>
          <w:rFonts w:eastAsia="Calibri"/>
        </w:rPr>
        <w:t xml:space="preserve"> (</w:t>
      </w:r>
      <w:proofErr w:type="spellStart"/>
      <w:r w:rsidRPr="00C53F8C">
        <w:rPr>
          <w:rFonts w:eastAsia="Calibri"/>
          <w:i/>
        </w:rPr>
        <w:t>nt</w:t>
      </w:r>
      <w:proofErr w:type="spellEnd"/>
      <w:r w:rsidRPr="00C53F8C">
        <w:rPr>
          <w:rFonts w:eastAsia="Calibri"/>
        </w:rPr>
        <w:t xml:space="preserve"> is a subset of </w:t>
      </w:r>
      <w:r w:rsidRPr="00C53F8C">
        <w:rPr>
          <w:rFonts w:eastAsia="Calibri"/>
          <w:i/>
        </w:rPr>
        <w:t>et</w:t>
      </w:r>
      <w:r w:rsidRPr="00C53F8C">
        <w:rPr>
          <w:rFonts w:eastAsia="Calibri"/>
        </w:rPr>
        <w:t xml:space="preserve">) and the choice variable </w:t>
      </w:r>
      <m:oMath>
        <m:r>
          <w:rPr>
            <w:rFonts w:ascii="Cambria Math" w:eastAsia="Calibri" w:hAnsi="Cambria Math"/>
          </w:rPr>
          <m:t>Q</m:t>
        </m:r>
        <m:sSub>
          <m:sSubPr>
            <m:ctrlPr>
              <w:rPr>
                <w:rFonts w:ascii="Cambria Math" w:eastAsia="Calibri" w:hAnsi="Cambria Math"/>
                <w:i/>
              </w:rPr>
            </m:ctrlPr>
          </m:sSubPr>
          <m:e>
            <m:r>
              <w:rPr>
                <w:rFonts w:ascii="Cambria Math" w:eastAsia="Calibri" w:hAnsi="Cambria Math"/>
              </w:rPr>
              <m:t>M</m:t>
            </m:r>
          </m:e>
          <m:sub>
            <m:r>
              <w:rPr>
                <w:rFonts w:ascii="Cambria Math" w:eastAsia="Calibri" w:hAnsi="Cambria Math"/>
              </w:rPr>
              <m:t>r,nt,t</m:t>
            </m:r>
          </m:sub>
        </m:sSub>
      </m:oMath>
      <w:r w:rsidRPr="00C53F8C">
        <w:rPr>
          <w:rFonts w:eastAsia="Calibri"/>
        </w:rPr>
        <w:t xml:space="preserve"> is the quantity of electricity generated in </w:t>
      </w:r>
      <w:r w:rsidR="006B5DD8">
        <w:rPr>
          <w:rFonts w:eastAsia="Calibri"/>
        </w:rPr>
        <w:t>region</w:t>
      </w:r>
      <w:r w:rsidR="006B5DD8" w:rsidRPr="00C53F8C">
        <w:rPr>
          <w:rFonts w:eastAsia="Calibri"/>
        </w:rPr>
        <w:t xml:space="preserve"> </w:t>
      </w:r>
      <w:r w:rsidRPr="00C53F8C">
        <w:rPr>
          <w:rFonts w:eastAsia="Calibri"/>
          <w:i/>
        </w:rPr>
        <w:t>r</w:t>
      </w:r>
      <w:r w:rsidRPr="00C53F8C">
        <w:rPr>
          <w:rFonts w:eastAsia="Calibri"/>
        </w:rPr>
        <w:t xml:space="preserve"> from a new power plant with technology type </w:t>
      </w:r>
      <w:proofErr w:type="spellStart"/>
      <w:r w:rsidRPr="00C53F8C">
        <w:rPr>
          <w:rFonts w:eastAsia="Calibri"/>
          <w:i/>
        </w:rPr>
        <w:t>nt</w:t>
      </w:r>
      <w:proofErr w:type="spellEnd"/>
      <w:r w:rsidRPr="00C53F8C">
        <w:rPr>
          <w:rFonts w:eastAsia="Calibri"/>
        </w:rPr>
        <w:t xml:space="preserve"> in year </w:t>
      </w:r>
      <w:r w:rsidRPr="00C53F8C">
        <w:rPr>
          <w:rFonts w:eastAsia="Calibri"/>
          <w:i/>
        </w:rPr>
        <w:t>t</w:t>
      </w:r>
      <w:r w:rsidRPr="00C53F8C">
        <w:rPr>
          <w:rFonts w:eastAsia="Calibri"/>
        </w:rPr>
        <w:t xml:space="preserve">. The </w:t>
      </w:r>
      <w:r w:rsidR="00F83BAB">
        <w:rPr>
          <w:rFonts w:eastAsia="Calibri"/>
        </w:rPr>
        <w:t>next</w:t>
      </w:r>
      <w:r w:rsidR="00F83BAB" w:rsidRPr="00C53F8C">
        <w:rPr>
          <w:rFonts w:eastAsia="Calibri"/>
        </w:rPr>
        <w:t xml:space="preserve"> </w:t>
      </w:r>
      <w:r w:rsidRPr="00C53F8C">
        <w:rPr>
          <w:rFonts w:eastAsia="Calibri"/>
        </w:rPr>
        <w:t xml:space="preserve">term </w:t>
      </w:r>
      <w:proofErr w:type="gramStart"/>
      <w:r w:rsidR="0080128F">
        <w:rPr>
          <w:rFonts w:eastAsia="Calibri"/>
        </w:rPr>
        <w:t>in</w:t>
      </w:r>
      <w:proofErr w:type="gramEnd"/>
      <w:r w:rsidR="0080128F">
        <w:rPr>
          <w:rFonts w:eastAsia="Calibri"/>
        </w:rPr>
        <w:t xml:space="preserve"> </w:t>
      </w:r>
      <w:r w:rsidR="00CA7805">
        <w:rPr>
          <w:rFonts w:eastAsia="Calibri"/>
        </w:rPr>
        <w:t xml:space="preserve">the </w:t>
      </w:r>
      <w:r w:rsidR="0080128F">
        <w:rPr>
          <w:rFonts w:eastAsia="Calibri"/>
        </w:rPr>
        <w:t xml:space="preserve">eighth line </w:t>
      </w:r>
      <w:r w:rsidRPr="00C53F8C">
        <w:rPr>
          <w:rFonts w:eastAsia="Calibri"/>
        </w:rPr>
        <w:t xml:space="preserve">represents the area under the national supply curve for natural gas. The endogenous variable </w:t>
      </w:r>
      <m:oMath>
        <m:r>
          <w:rPr>
            <w:rFonts w:ascii="Cambria Math" w:eastAsia="Calibri" w:hAnsi="Cambria Math"/>
          </w:rPr>
          <m:t>N</m:t>
        </m:r>
        <m:sSub>
          <m:sSubPr>
            <m:ctrlPr>
              <w:rPr>
                <w:rFonts w:ascii="Cambria Math" w:eastAsia="Calibri" w:hAnsi="Cambria Math"/>
                <w:i/>
              </w:rPr>
            </m:ctrlPr>
          </m:sSubPr>
          <m:e>
            <m:r>
              <w:rPr>
                <w:rFonts w:ascii="Cambria Math" w:eastAsia="Calibri" w:hAnsi="Cambria Math"/>
              </w:rPr>
              <m:t>G</m:t>
            </m:r>
          </m:e>
          <m:sub>
            <m:r>
              <w:rPr>
                <w:rFonts w:ascii="Cambria Math" w:eastAsia="Calibri" w:hAnsi="Cambria Math"/>
              </w:rPr>
              <m:t>t</m:t>
            </m:r>
          </m:sub>
        </m:sSub>
      </m:oMath>
      <w:r w:rsidRPr="00C53F8C">
        <w:rPr>
          <w:rFonts w:eastAsia="Calibri"/>
        </w:rPr>
        <w:t xml:space="preserve"> is the quantity of natural gas used to produce electricity for all </w:t>
      </w:r>
      <w:r w:rsidR="0080128F">
        <w:rPr>
          <w:rFonts w:eastAsia="Calibri"/>
        </w:rPr>
        <w:t>regions</w:t>
      </w:r>
      <w:r w:rsidR="0080128F" w:rsidRPr="00C53F8C">
        <w:rPr>
          <w:rFonts w:eastAsia="Calibri"/>
        </w:rPr>
        <w:t xml:space="preserve"> </w:t>
      </w:r>
      <w:r w:rsidRPr="00C53F8C">
        <w:rPr>
          <w:rFonts w:eastAsia="Calibri"/>
        </w:rPr>
        <w:t xml:space="preserve">in year </w:t>
      </w:r>
      <w:r w:rsidRPr="00C53F8C">
        <w:rPr>
          <w:rFonts w:eastAsia="Calibri"/>
          <w:i/>
        </w:rPr>
        <w:t>t</w:t>
      </w:r>
      <w:r w:rsidRPr="00C53F8C">
        <w:rPr>
          <w:rFonts w:eastAsia="Calibri"/>
        </w:rPr>
        <w:t xml:space="preserve"> and the function </w:t>
      </w:r>
      <m:oMath>
        <m:r>
          <w:rPr>
            <w:rFonts w:ascii="Cambria Math" w:eastAsia="Calibri" w:hAnsi="Cambria Math"/>
          </w:rPr>
          <m:t>g</m:t>
        </m:r>
        <m:d>
          <m:dPr>
            <m:ctrlPr>
              <w:rPr>
                <w:rFonts w:ascii="Cambria Math" w:eastAsia="Calibri" w:hAnsi="Cambria Math"/>
                <w:i/>
              </w:rPr>
            </m:ctrlPr>
          </m:dPr>
          <m:e>
            <m:r>
              <w:rPr>
                <w:rFonts w:ascii="Cambria Math" w:eastAsia="Calibri" w:hAnsi="Cambria Math"/>
              </w:rPr>
              <m:t>.</m:t>
            </m:r>
          </m:e>
        </m:d>
      </m:oMath>
      <w:r w:rsidRPr="00C53F8C">
        <w:rPr>
          <w:rFonts w:eastAsia="Calibri"/>
        </w:rPr>
        <w:t xml:space="preserve"> </w:t>
      </w:r>
      <w:r w:rsidR="006126D7">
        <w:rPr>
          <w:rFonts w:eastAsia="Calibri"/>
        </w:rPr>
        <w:t>r</w:t>
      </w:r>
      <w:r w:rsidRPr="00C53F8C">
        <w:rPr>
          <w:rFonts w:eastAsia="Calibri"/>
        </w:rPr>
        <w:t xml:space="preserve">epresents the supply curve for natural gas. </w:t>
      </w:r>
      <w:r w:rsidR="00E340E5" w:rsidRPr="00C53F8C">
        <w:rPr>
          <w:rFonts w:eastAsia="Calibri"/>
        </w:rPr>
        <w:t xml:space="preserve">The </w:t>
      </w:r>
      <w:r w:rsidR="0080128F">
        <w:rPr>
          <w:rFonts w:eastAsia="Calibri"/>
        </w:rPr>
        <w:t>next</w:t>
      </w:r>
      <w:r w:rsidR="0080128F" w:rsidRPr="00C53F8C">
        <w:rPr>
          <w:rFonts w:eastAsia="Calibri"/>
        </w:rPr>
        <w:t xml:space="preserve"> </w:t>
      </w:r>
      <w:r w:rsidR="00E340E5" w:rsidRPr="00C53F8C">
        <w:rPr>
          <w:rFonts w:eastAsia="Calibri"/>
        </w:rPr>
        <w:t xml:space="preserve">term is the regional transmission and distribution costs of natural gas for electric power region. The parameter </w:t>
      </w:r>
      <m:oMath>
        <m:r>
          <w:rPr>
            <w:rFonts w:ascii="Cambria Math" w:eastAsia="Calibri" w:hAnsi="Cambria Math"/>
          </w:rPr>
          <m:t>n</m:t>
        </m:r>
        <m:sSub>
          <m:sSubPr>
            <m:ctrlPr>
              <w:rPr>
                <w:rFonts w:ascii="Cambria Math" w:eastAsia="Calibri" w:hAnsi="Cambria Math"/>
                <w:i/>
              </w:rPr>
            </m:ctrlPr>
          </m:sSubPr>
          <m:e>
            <m:r>
              <w:rPr>
                <w:rFonts w:ascii="Cambria Math" w:eastAsia="Calibri" w:hAnsi="Cambria Math"/>
              </w:rPr>
              <m:t>p</m:t>
            </m:r>
          </m:e>
          <m:sub>
            <m:r>
              <w:rPr>
                <w:rFonts w:ascii="Cambria Math" w:eastAsia="Calibri" w:hAnsi="Cambria Math"/>
              </w:rPr>
              <m:t>r,t</m:t>
            </m:r>
          </m:sub>
        </m:sSub>
      </m:oMath>
      <w:r w:rsidR="00E340E5" w:rsidRPr="00C53F8C">
        <w:rPr>
          <w:rFonts w:eastAsia="Calibri"/>
        </w:rPr>
        <w:t xml:space="preserve"> is the transmission and distribution cost per unit of natural gas by </w:t>
      </w:r>
      <w:r w:rsidR="0080128F">
        <w:rPr>
          <w:rFonts w:eastAsia="Calibri"/>
        </w:rPr>
        <w:t>region</w:t>
      </w:r>
      <w:r w:rsidR="0080128F" w:rsidRPr="00C53F8C">
        <w:rPr>
          <w:rFonts w:eastAsia="Calibri"/>
        </w:rPr>
        <w:t xml:space="preserve"> </w:t>
      </w:r>
      <m:oMath>
        <m:r>
          <w:rPr>
            <w:rFonts w:ascii="Cambria Math" w:eastAsia="Calibri" w:hAnsi="Cambria Math"/>
          </w:rPr>
          <m:t>r</m:t>
        </m:r>
      </m:oMath>
      <w:r w:rsidR="00E340E5" w:rsidRPr="00C53F8C">
        <w:rPr>
          <w:rFonts w:eastAsia="Calibri"/>
        </w:rPr>
        <w:t xml:space="preserve"> in year </w:t>
      </w:r>
      <m:oMath>
        <m:r>
          <w:rPr>
            <w:rFonts w:ascii="Cambria Math" w:eastAsia="Calibri" w:hAnsi="Cambria Math"/>
          </w:rPr>
          <m:t>t</m:t>
        </m:r>
      </m:oMath>
      <w:r w:rsidR="00E340E5" w:rsidRPr="00C53F8C">
        <w:rPr>
          <w:rFonts w:eastAsia="Calibri"/>
        </w:rPr>
        <w:t xml:space="preserve"> and the endogenous variable </w:t>
      </w:r>
      <m:oMath>
        <m:r>
          <w:rPr>
            <w:rFonts w:ascii="Cambria Math" w:eastAsia="Calibri" w:hAnsi="Cambria Math"/>
          </w:rPr>
          <m:t>NG</m:t>
        </m:r>
        <m:sSub>
          <m:sSubPr>
            <m:ctrlPr>
              <w:rPr>
                <w:rFonts w:ascii="Cambria Math" w:eastAsia="Calibri" w:hAnsi="Cambria Math"/>
                <w:i/>
              </w:rPr>
            </m:ctrlPr>
          </m:sSubPr>
          <m:e>
            <m:r>
              <w:rPr>
                <w:rFonts w:ascii="Cambria Math" w:eastAsia="Calibri" w:hAnsi="Cambria Math"/>
              </w:rPr>
              <m:t>M</m:t>
            </m:r>
          </m:e>
          <m:sub>
            <m:r>
              <w:rPr>
                <w:rFonts w:ascii="Cambria Math" w:eastAsia="Calibri" w:hAnsi="Cambria Math"/>
              </w:rPr>
              <m:t>r,age,t</m:t>
            </m:r>
          </m:sub>
        </m:sSub>
      </m:oMath>
      <w:r w:rsidR="00E340E5" w:rsidRPr="00C53F8C">
        <w:rPr>
          <w:rFonts w:eastAsia="Calibri"/>
        </w:rPr>
        <w:t xml:space="preserve"> is the quantity of natural gas used in </w:t>
      </w:r>
      <w:r w:rsidR="0080128F">
        <w:rPr>
          <w:rFonts w:eastAsia="Calibri"/>
        </w:rPr>
        <w:t>region</w:t>
      </w:r>
      <w:r w:rsidR="0080128F" w:rsidRPr="00C53F8C">
        <w:rPr>
          <w:rFonts w:eastAsia="Calibri"/>
        </w:rPr>
        <w:t xml:space="preserve"> </w:t>
      </w:r>
      <m:oMath>
        <m:r>
          <w:rPr>
            <w:rFonts w:ascii="Cambria Math" w:eastAsia="Calibri" w:hAnsi="Cambria Math"/>
          </w:rPr>
          <m:t>r</m:t>
        </m:r>
      </m:oMath>
      <w:r w:rsidR="00E340E5" w:rsidRPr="00C53F8C">
        <w:rPr>
          <w:rFonts w:eastAsia="Calibri"/>
        </w:rPr>
        <w:t xml:space="preserve"> for power plants with type </w:t>
      </w:r>
      <m:oMath>
        <m:r>
          <w:rPr>
            <w:rFonts w:ascii="Cambria Math" w:eastAsia="Calibri" w:hAnsi="Cambria Math"/>
          </w:rPr>
          <m:t>age∈</m:t>
        </m:r>
        <m:d>
          <m:dPr>
            <m:begChr m:val="{"/>
            <m:endChr m:val="}"/>
            <m:ctrlPr>
              <w:rPr>
                <w:rFonts w:ascii="Cambria Math" w:eastAsia="Calibri" w:hAnsi="Cambria Math"/>
                <w:i/>
              </w:rPr>
            </m:ctrlPr>
          </m:dPr>
          <m:e>
            <m:r>
              <w:rPr>
                <w:rFonts w:ascii="Cambria Math" w:eastAsia="Calibri" w:hAnsi="Cambria Math"/>
              </w:rPr>
              <m:t>exisitng,new</m:t>
            </m:r>
          </m:e>
        </m:d>
      </m:oMath>
      <w:r w:rsidR="00E340E5" w:rsidRPr="00C53F8C">
        <w:rPr>
          <w:rFonts w:eastAsia="Calibri"/>
        </w:rPr>
        <w:t xml:space="preserve"> in year</w:t>
      </w:r>
      <w:r w:rsidR="00E340E5" w:rsidRPr="00C53F8C">
        <w:rPr>
          <w:rFonts w:eastAsia="Calibri"/>
          <w:i/>
        </w:rPr>
        <w:t xml:space="preserve"> t</w:t>
      </w:r>
      <w:r w:rsidR="00E340E5" w:rsidRPr="00C53F8C">
        <w:rPr>
          <w:rFonts w:eastAsia="Calibri"/>
        </w:rPr>
        <w:t>.</w:t>
      </w:r>
      <w:r w:rsidR="0080128F" w:rsidRPr="0080128F">
        <w:rPr>
          <w:rFonts w:eastAsia="Calibri"/>
        </w:rPr>
        <w:t xml:space="preserve"> </w:t>
      </w:r>
    </w:p>
    <w:p w14:paraId="09CEE2E1" w14:textId="0FB80808" w:rsidR="00F83BAB" w:rsidRDefault="0080128F" w:rsidP="00F83BAB">
      <w:pPr>
        <w:spacing w:line="240" w:lineRule="auto"/>
        <w:rPr>
          <w:rFonts w:eastAsia="Calibri"/>
        </w:rPr>
      </w:pPr>
      <w:r>
        <w:rPr>
          <w:rFonts w:eastAsia="Calibri"/>
        </w:rPr>
        <w:t xml:space="preserve">The </w:t>
      </w:r>
      <w:r w:rsidR="00F83BAB">
        <w:rPr>
          <w:rFonts w:eastAsia="Calibri"/>
        </w:rPr>
        <w:t xml:space="preserve">first </w:t>
      </w:r>
      <w:r>
        <w:rPr>
          <w:rFonts w:eastAsia="Calibri"/>
        </w:rPr>
        <w:t xml:space="preserve">term </w:t>
      </w:r>
      <w:r w:rsidR="00280B8A">
        <w:rPr>
          <w:rFonts w:eastAsia="Calibri"/>
        </w:rPr>
        <w:t>in</w:t>
      </w:r>
      <w:r w:rsidR="00F83BAB">
        <w:rPr>
          <w:rFonts w:eastAsia="Calibri"/>
        </w:rPr>
        <w:t xml:space="preserve"> </w:t>
      </w:r>
      <w:r w:rsidR="00CD279B">
        <w:rPr>
          <w:rFonts w:eastAsia="Calibri"/>
        </w:rPr>
        <w:t xml:space="preserve">the </w:t>
      </w:r>
      <w:r w:rsidR="00F83BAB">
        <w:rPr>
          <w:rFonts w:eastAsia="Calibri"/>
        </w:rPr>
        <w:t xml:space="preserve">ninth line </w:t>
      </w:r>
      <w:r>
        <w:rPr>
          <w:rFonts w:eastAsia="Calibri"/>
        </w:rPr>
        <w:t xml:space="preserve">is the </w:t>
      </w:r>
      <w:r w:rsidRPr="00C53F8C">
        <w:rPr>
          <w:rFonts w:eastAsia="Calibri"/>
        </w:rPr>
        <w:t xml:space="preserve">fuel cost of power plants that consume coal or fuel oil to generate electricity. The parameter </w:t>
      </w:r>
      <m:oMath>
        <m:r>
          <w:rPr>
            <w:rFonts w:ascii="Cambria Math" w:eastAsia="Calibri" w:hAnsi="Cambria Math"/>
          </w:rPr>
          <m:t>f</m:t>
        </m:r>
        <m:sSub>
          <m:sSubPr>
            <m:ctrlPr>
              <w:rPr>
                <w:rFonts w:ascii="Cambria Math" w:eastAsia="Calibri" w:hAnsi="Cambria Math"/>
                <w:i/>
              </w:rPr>
            </m:ctrlPr>
          </m:sSubPr>
          <m:e>
            <m:r>
              <w:rPr>
                <w:rFonts w:ascii="Cambria Math" w:eastAsia="Calibri" w:hAnsi="Cambria Math"/>
              </w:rPr>
              <m:t>p</m:t>
            </m:r>
          </m:e>
          <m:sub>
            <m:r>
              <w:rPr>
                <w:rFonts w:ascii="Cambria Math" w:eastAsia="Calibri" w:hAnsi="Cambria Math"/>
              </w:rPr>
              <m:t>ff,r,t</m:t>
            </m:r>
          </m:sub>
        </m:sSub>
      </m:oMath>
      <w:r w:rsidRPr="00C53F8C">
        <w:rPr>
          <w:rFonts w:eastAsia="Calibri"/>
        </w:rPr>
        <w:t xml:space="preserve"> denotes the fuel cost for fuel type </w:t>
      </w:r>
      <m:oMath>
        <m:r>
          <w:rPr>
            <w:rFonts w:ascii="Cambria Math" w:eastAsia="Calibri" w:hAnsi="Cambria Math"/>
          </w:rPr>
          <m:t>ff∈</m:t>
        </m:r>
        <m:d>
          <m:dPr>
            <m:begChr m:val="{"/>
            <m:endChr m:val="}"/>
            <m:ctrlPr>
              <w:rPr>
                <w:rFonts w:ascii="Cambria Math" w:eastAsia="Calibri" w:hAnsi="Cambria Math"/>
                <w:i/>
              </w:rPr>
            </m:ctrlPr>
          </m:dPr>
          <m:e>
            <m:r>
              <w:rPr>
                <w:rFonts w:ascii="Cambria Math" w:eastAsia="Calibri" w:hAnsi="Cambria Math"/>
              </w:rPr>
              <m:t>coal,fuel oil</m:t>
            </m:r>
          </m:e>
        </m:d>
      </m:oMath>
      <w:r w:rsidRPr="00C53F8C">
        <w:rPr>
          <w:rFonts w:eastAsia="Calibri"/>
        </w:rPr>
        <w:t xml:space="preserve">, in </w:t>
      </w:r>
      <w:r>
        <w:rPr>
          <w:rFonts w:eastAsia="Calibri"/>
        </w:rPr>
        <w:t>region</w:t>
      </w:r>
      <w:r w:rsidRPr="00C53F8C">
        <w:rPr>
          <w:rFonts w:eastAsia="Calibri"/>
        </w:rPr>
        <w:t xml:space="preserve"> </w:t>
      </w:r>
      <w:r w:rsidRPr="00C53F8C">
        <w:rPr>
          <w:rFonts w:eastAsia="Calibri"/>
          <w:i/>
        </w:rPr>
        <w:t>r</w:t>
      </w:r>
      <w:r w:rsidRPr="00C53F8C">
        <w:rPr>
          <w:rFonts w:eastAsia="Calibri"/>
        </w:rPr>
        <w:t xml:space="preserve">, year </w:t>
      </w:r>
      <w:r w:rsidRPr="00C53F8C">
        <w:rPr>
          <w:rFonts w:eastAsia="Calibri"/>
          <w:i/>
        </w:rPr>
        <w:t>t</w:t>
      </w:r>
      <w:r w:rsidR="00CD279B">
        <w:rPr>
          <w:rFonts w:eastAsia="Calibri"/>
          <w:i/>
        </w:rPr>
        <w:t>,</w:t>
      </w:r>
      <w:r w:rsidRPr="00C53F8C">
        <w:rPr>
          <w:rFonts w:eastAsia="Calibri"/>
        </w:rPr>
        <w:t xml:space="preserve"> and the variable </w:t>
      </w:r>
      <m:oMath>
        <m:r>
          <w:rPr>
            <w:rFonts w:ascii="Cambria Math" w:eastAsia="Calibri" w:hAnsi="Cambria Math"/>
          </w:rPr>
          <m:t>F</m:t>
        </m:r>
        <m:sSub>
          <m:sSubPr>
            <m:ctrlPr>
              <w:rPr>
                <w:rFonts w:ascii="Cambria Math" w:eastAsia="Calibri" w:hAnsi="Cambria Math"/>
                <w:i/>
              </w:rPr>
            </m:ctrlPr>
          </m:sSubPr>
          <m:e>
            <m:r>
              <w:rPr>
                <w:rFonts w:ascii="Cambria Math" w:eastAsia="Calibri" w:hAnsi="Cambria Math"/>
              </w:rPr>
              <m:t>F</m:t>
            </m:r>
          </m:e>
          <m:sub>
            <m:r>
              <w:rPr>
                <w:rFonts w:ascii="Cambria Math" w:eastAsia="Calibri" w:hAnsi="Cambria Math"/>
              </w:rPr>
              <m:t>ff,CRD,t</m:t>
            </m:r>
          </m:sub>
        </m:sSub>
      </m:oMath>
      <w:r w:rsidRPr="00C53F8C">
        <w:rPr>
          <w:rFonts w:eastAsia="Calibri"/>
        </w:rPr>
        <w:t xml:space="preserve"> is the quantity of fuel type </w:t>
      </w:r>
      <w:r w:rsidRPr="00C53F8C">
        <w:rPr>
          <w:rFonts w:eastAsia="Calibri"/>
          <w:i/>
        </w:rPr>
        <w:t>ff</w:t>
      </w:r>
      <w:r w:rsidRPr="00C53F8C">
        <w:rPr>
          <w:rFonts w:eastAsia="Calibri"/>
        </w:rPr>
        <w:t xml:space="preserve"> used for electricity generation in CRD , year </w:t>
      </w:r>
      <w:r w:rsidRPr="00C53F8C">
        <w:rPr>
          <w:rFonts w:eastAsia="Calibri"/>
          <w:i/>
        </w:rPr>
        <w:t>t</w:t>
      </w:r>
      <w:r w:rsidRPr="00C53F8C">
        <w:rPr>
          <w:rFonts w:eastAsia="Calibri"/>
        </w:rPr>
        <w:t>.</w:t>
      </w:r>
      <w:r w:rsidR="00F45962">
        <w:rPr>
          <w:rFonts w:eastAsia="Calibri"/>
        </w:rPr>
        <w:t xml:space="preserve"> </w:t>
      </w:r>
      <w:r w:rsidR="00F83BAB">
        <w:rPr>
          <w:rFonts w:eastAsia="Calibri"/>
        </w:rPr>
        <w:t>T</w:t>
      </w:r>
      <w:r w:rsidR="006F0909" w:rsidRPr="00C53F8C">
        <w:rPr>
          <w:rFonts w:eastAsia="Calibri"/>
        </w:rPr>
        <w:t xml:space="preserve">he </w:t>
      </w:r>
      <w:r w:rsidR="00F83BAB">
        <w:rPr>
          <w:rFonts w:eastAsia="Calibri"/>
        </w:rPr>
        <w:t xml:space="preserve">second </w:t>
      </w:r>
      <w:r w:rsidR="006F0909" w:rsidRPr="00C53F8C">
        <w:rPr>
          <w:rFonts w:eastAsia="Calibri"/>
        </w:rPr>
        <w:t xml:space="preserve">term represents the area under the supply </w:t>
      </w:r>
      <w:r w:rsidR="006F0909" w:rsidRPr="00C53F8C">
        <w:rPr>
          <w:rFonts w:eastAsia="Calibri"/>
        </w:rPr>
        <w:lastRenderedPageBreak/>
        <w:t xml:space="preserve">curve for electricity generated from new wind capacity. The choice variable </w:t>
      </w:r>
      <m:oMath>
        <m:r>
          <w:rPr>
            <w:rFonts w:ascii="Cambria Math" w:eastAsia="Calibri" w:hAnsi="Cambria Math"/>
          </w:rPr>
          <m:t>Q</m:t>
        </m:r>
        <m:sSub>
          <m:sSubPr>
            <m:ctrlPr>
              <w:rPr>
                <w:rFonts w:ascii="Cambria Math" w:eastAsia="Calibri" w:hAnsi="Cambria Math"/>
                <w:i/>
              </w:rPr>
            </m:ctrlPr>
          </m:sSubPr>
          <m:e>
            <m:r>
              <w:rPr>
                <w:rFonts w:ascii="Cambria Math" w:eastAsia="Calibri" w:hAnsi="Cambria Math"/>
              </w:rPr>
              <m:t>W</m:t>
            </m:r>
          </m:e>
          <m:sub>
            <m:r>
              <w:rPr>
                <w:rFonts w:ascii="Cambria Math" w:eastAsia="Calibri" w:hAnsi="Cambria Math"/>
              </w:rPr>
              <m:t>r,t</m:t>
            </m:r>
          </m:sub>
        </m:sSub>
      </m:oMath>
      <w:r w:rsidR="006F0909" w:rsidRPr="00C53F8C">
        <w:rPr>
          <w:rFonts w:eastAsia="Calibri"/>
        </w:rPr>
        <w:t xml:space="preserve"> is the quantity of electricity generated from new wind capacity in </w:t>
      </w:r>
      <w:r w:rsidR="00CA7805">
        <w:rPr>
          <w:rFonts w:eastAsia="Calibri"/>
        </w:rPr>
        <w:t>region</w:t>
      </w:r>
      <w:r w:rsidR="006F0909" w:rsidRPr="00C53F8C">
        <w:rPr>
          <w:rFonts w:eastAsia="Calibri"/>
        </w:rPr>
        <w:t xml:space="preserve"> </w:t>
      </w:r>
      <w:r w:rsidR="006F0909" w:rsidRPr="00C53F8C">
        <w:rPr>
          <w:rFonts w:eastAsia="Calibri"/>
          <w:i/>
        </w:rPr>
        <w:t>r</w:t>
      </w:r>
      <w:r w:rsidR="006F0909" w:rsidRPr="00C53F8C">
        <w:rPr>
          <w:rFonts w:eastAsia="Calibri"/>
        </w:rPr>
        <w:t xml:space="preserve"> in year </w:t>
      </w:r>
      <w:r w:rsidR="006F0909" w:rsidRPr="00C53F8C">
        <w:rPr>
          <w:rFonts w:eastAsia="Calibri"/>
          <w:i/>
        </w:rPr>
        <w:t>t</w:t>
      </w:r>
      <w:r w:rsidR="006F0909" w:rsidRPr="00C53F8C">
        <w:rPr>
          <w:rFonts w:eastAsia="Calibri"/>
        </w:rPr>
        <w:t xml:space="preserve">. The functions </w:t>
      </w:r>
      <m:oMath>
        <m:sSup>
          <m:sSupPr>
            <m:ctrlPr>
              <w:rPr>
                <w:rFonts w:ascii="Cambria Math" w:eastAsia="Calibri" w:hAnsi="Cambria Math"/>
                <w:i/>
              </w:rPr>
            </m:ctrlPr>
          </m:sSupPr>
          <m:e>
            <m:r>
              <w:rPr>
                <w:rFonts w:ascii="Cambria Math" w:eastAsia="Calibri" w:hAnsi="Cambria Math"/>
              </w:rPr>
              <m:t>h</m:t>
            </m:r>
          </m:e>
          <m:sup>
            <m:r>
              <w:rPr>
                <w:rFonts w:ascii="Cambria Math" w:eastAsia="Calibri" w:hAnsi="Cambria Math"/>
              </w:rPr>
              <m:t>r</m:t>
            </m:r>
          </m:sup>
        </m:sSup>
        <m:d>
          <m:dPr>
            <m:ctrlPr>
              <w:rPr>
                <w:rFonts w:ascii="Cambria Math" w:eastAsia="Calibri" w:hAnsi="Cambria Math"/>
                <w:i/>
              </w:rPr>
            </m:ctrlPr>
          </m:dPr>
          <m:e>
            <m:r>
              <w:rPr>
                <w:rFonts w:ascii="Cambria Math" w:eastAsia="Calibri" w:hAnsi="Cambria Math"/>
              </w:rPr>
              <m:t>.</m:t>
            </m:r>
          </m:e>
        </m:d>
      </m:oMath>
      <w:r w:rsidR="006F0909" w:rsidRPr="00C53F8C">
        <w:rPr>
          <w:rFonts w:eastAsia="Calibri"/>
        </w:rPr>
        <w:t xml:space="preserve"> </w:t>
      </w:r>
      <w:r w:rsidR="00CA7805">
        <w:rPr>
          <w:rFonts w:eastAsia="Calibri"/>
        </w:rPr>
        <w:t>a</w:t>
      </w:r>
      <w:r w:rsidR="006F0909" w:rsidRPr="00C53F8C">
        <w:rPr>
          <w:rFonts w:eastAsia="Calibri"/>
        </w:rPr>
        <w:t xml:space="preserve">re the supply curves for new wind generation in </w:t>
      </w:r>
      <w:r w:rsidR="00CA7805">
        <w:rPr>
          <w:rFonts w:eastAsia="Calibri"/>
        </w:rPr>
        <w:t>region</w:t>
      </w:r>
      <w:r w:rsidR="00CA7805" w:rsidRPr="00C53F8C">
        <w:rPr>
          <w:rFonts w:eastAsia="Calibri"/>
        </w:rPr>
        <w:t xml:space="preserve"> </w:t>
      </w:r>
      <w:r w:rsidR="006F0909" w:rsidRPr="00C53F8C">
        <w:rPr>
          <w:rFonts w:eastAsia="Calibri"/>
          <w:i/>
        </w:rPr>
        <w:t>r</w:t>
      </w:r>
      <w:r w:rsidR="006F0909" w:rsidRPr="00C53F8C">
        <w:rPr>
          <w:rFonts w:eastAsia="Calibri"/>
        </w:rPr>
        <w:t xml:space="preserve">. </w:t>
      </w:r>
      <w:r w:rsidR="00A7374B" w:rsidRPr="00C53F8C">
        <w:rPr>
          <w:rFonts w:eastAsia="Calibri"/>
        </w:rPr>
        <w:t>T</w:t>
      </w:r>
      <w:r w:rsidR="006F0909" w:rsidRPr="00C53F8C">
        <w:rPr>
          <w:rFonts w:eastAsia="Calibri"/>
        </w:rPr>
        <w:t xml:space="preserve">he </w:t>
      </w:r>
      <w:r w:rsidR="00F83BAB">
        <w:rPr>
          <w:rFonts w:eastAsia="Calibri"/>
        </w:rPr>
        <w:t>third</w:t>
      </w:r>
      <w:r w:rsidR="00F83BAB" w:rsidRPr="00C53F8C">
        <w:rPr>
          <w:rFonts w:eastAsia="Calibri"/>
        </w:rPr>
        <w:t xml:space="preserve"> </w:t>
      </w:r>
      <w:r w:rsidR="006F0909" w:rsidRPr="00C53F8C">
        <w:rPr>
          <w:rFonts w:eastAsia="Calibri"/>
        </w:rPr>
        <w:t xml:space="preserve">term calculates the area under the supply curve for electricity generated from new solar capacity. The choice variable </w:t>
      </w:r>
      <m:oMath>
        <m:r>
          <w:rPr>
            <w:rFonts w:ascii="Cambria Math" w:eastAsia="Calibri" w:hAnsi="Cambria Math"/>
          </w:rPr>
          <m:t>Q</m:t>
        </m:r>
        <m:sSub>
          <m:sSubPr>
            <m:ctrlPr>
              <w:rPr>
                <w:rFonts w:ascii="Cambria Math" w:eastAsia="Calibri" w:hAnsi="Cambria Math"/>
                <w:i/>
              </w:rPr>
            </m:ctrlPr>
          </m:sSubPr>
          <m:e>
            <m:r>
              <w:rPr>
                <w:rFonts w:ascii="Cambria Math" w:eastAsia="Calibri" w:hAnsi="Cambria Math"/>
              </w:rPr>
              <m:t>S</m:t>
            </m:r>
          </m:e>
          <m:sub>
            <m:r>
              <w:rPr>
                <w:rFonts w:ascii="Cambria Math" w:eastAsia="Calibri" w:hAnsi="Cambria Math"/>
              </w:rPr>
              <m:t>r,t</m:t>
            </m:r>
          </m:sub>
        </m:sSub>
      </m:oMath>
      <w:r w:rsidR="006F0909" w:rsidRPr="00C53F8C">
        <w:rPr>
          <w:rFonts w:eastAsia="Calibri"/>
        </w:rPr>
        <w:t xml:space="preserve"> is the quantity of electricity generated from new solar capacity in </w:t>
      </w:r>
      <w:r w:rsidR="00CA7805">
        <w:rPr>
          <w:rFonts w:eastAsia="Calibri"/>
        </w:rPr>
        <w:t>region</w:t>
      </w:r>
      <w:r w:rsidR="00CA7805" w:rsidRPr="00C53F8C">
        <w:rPr>
          <w:rFonts w:eastAsia="Calibri"/>
        </w:rPr>
        <w:t xml:space="preserve"> </w:t>
      </w:r>
      <w:r w:rsidR="006F0909" w:rsidRPr="00C53F8C">
        <w:rPr>
          <w:rFonts w:eastAsia="Calibri"/>
          <w:i/>
        </w:rPr>
        <w:t>r</w:t>
      </w:r>
      <w:r w:rsidR="006F0909" w:rsidRPr="00C53F8C">
        <w:rPr>
          <w:rFonts w:eastAsia="Calibri"/>
        </w:rPr>
        <w:t xml:space="preserve"> in year </w:t>
      </w:r>
      <w:r w:rsidR="006F0909" w:rsidRPr="00C53F8C">
        <w:rPr>
          <w:rFonts w:eastAsia="Calibri"/>
          <w:i/>
        </w:rPr>
        <w:t>t</w:t>
      </w:r>
      <w:r w:rsidR="006F0909" w:rsidRPr="00C53F8C">
        <w:rPr>
          <w:rFonts w:eastAsia="Calibri"/>
        </w:rPr>
        <w:t xml:space="preserve">. The functions </w:t>
      </w:r>
      <m:oMath>
        <m:sSup>
          <m:sSupPr>
            <m:ctrlPr>
              <w:rPr>
                <w:rFonts w:ascii="Cambria Math" w:eastAsia="Calibri" w:hAnsi="Cambria Math"/>
                <w:i/>
              </w:rPr>
            </m:ctrlPr>
          </m:sSupPr>
          <m:e>
            <m:r>
              <w:rPr>
                <w:rFonts w:ascii="Cambria Math" w:eastAsia="Calibri" w:hAnsi="Cambria Math"/>
              </w:rPr>
              <m:t>s</m:t>
            </m:r>
          </m:e>
          <m:sup>
            <m:r>
              <w:rPr>
                <w:rFonts w:ascii="Cambria Math" w:eastAsia="Calibri" w:hAnsi="Cambria Math"/>
              </w:rPr>
              <m:t>r</m:t>
            </m:r>
          </m:sup>
        </m:sSup>
        <m:d>
          <m:dPr>
            <m:ctrlPr>
              <w:rPr>
                <w:rFonts w:ascii="Cambria Math" w:eastAsia="Calibri" w:hAnsi="Cambria Math"/>
                <w:i/>
              </w:rPr>
            </m:ctrlPr>
          </m:dPr>
          <m:e>
            <m:r>
              <w:rPr>
                <w:rFonts w:ascii="Cambria Math" w:eastAsia="Calibri" w:hAnsi="Cambria Math"/>
              </w:rPr>
              <m:t>.</m:t>
            </m:r>
          </m:e>
        </m:d>
      </m:oMath>
      <w:r w:rsidR="006F0909" w:rsidRPr="00C53F8C">
        <w:rPr>
          <w:rFonts w:eastAsia="Calibri"/>
        </w:rPr>
        <w:t xml:space="preserve"> </w:t>
      </w:r>
      <w:r w:rsidR="00CA7805">
        <w:rPr>
          <w:rFonts w:eastAsia="Calibri"/>
        </w:rPr>
        <w:t>are</w:t>
      </w:r>
      <w:r w:rsidR="006F0909" w:rsidRPr="00C53F8C">
        <w:rPr>
          <w:rFonts w:eastAsia="Calibri"/>
        </w:rPr>
        <w:t xml:space="preserve"> the supply curves for new </w:t>
      </w:r>
      <w:r w:rsidR="00CD279B">
        <w:rPr>
          <w:rFonts w:eastAsia="Calibri"/>
        </w:rPr>
        <w:t>solar</w:t>
      </w:r>
      <w:r w:rsidR="006F0909" w:rsidRPr="00C53F8C">
        <w:rPr>
          <w:rFonts w:eastAsia="Calibri"/>
        </w:rPr>
        <w:t xml:space="preserve"> generation in </w:t>
      </w:r>
      <w:r w:rsidR="00CA7805">
        <w:rPr>
          <w:rFonts w:eastAsia="Calibri"/>
        </w:rPr>
        <w:t>region</w:t>
      </w:r>
      <w:r w:rsidR="00CA7805" w:rsidRPr="00C53F8C">
        <w:rPr>
          <w:rFonts w:eastAsia="Calibri"/>
        </w:rPr>
        <w:t xml:space="preserve"> </w:t>
      </w:r>
      <w:r w:rsidR="006F0909" w:rsidRPr="00C53F8C">
        <w:rPr>
          <w:rFonts w:eastAsia="Calibri"/>
          <w:i/>
        </w:rPr>
        <w:t>r</w:t>
      </w:r>
      <w:r w:rsidR="006F0909" w:rsidRPr="00C53F8C">
        <w:rPr>
          <w:rFonts w:eastAsia="Calibri"/>
        </w:rPr>
        <w:t xml:space="preserve">. </w:t>
      </w:r>
    </w:p>
    <w:p w14:paraId="79593B95" w14:textId="2218D102" w:rsidR="00A7374B" w:rsidRDefault="006F0909" w:rsidP="008F4658">
      <w:pPr>
        <w:spacing w:line="240" w:lineRule="auto"/>
        <w:rPr>
          <w:rFonts w:eastAsia="Calibri"/>
        </w:rPr>
      </w:pPr>
      <w:r w:rsidRPr="00C53F8C">
        <w:rPr>
          <w:rFonts w:eastAsia="Calibri"/>
        </w:rPr>
        <w:t xml:space="preserve">The </w:t>
      </w:r>
      <w:r w:rsidR="00F83BAB">
        <w:rPr>
          <w:rFonts w:eastAsia="Calibri"/>
        </w:rPr>
        <w:t>first</w:t>
      </w:r>
      <w:r w:rsidR="00F83BAB" w:rsidRPr="00C53F8C">
        <w:rPr>
          <w:rFonts w:eastAsia="Calibri"/>
        </w:rPr>
        <w:t xml:space="preserve"> </w:t>
      </w:r>
      <w:r w:rsidRPr="00C53F8C">
        <w:rPr>
          <w:rFonts w:eastAsia="Calibri"/>
        </w:rPr>
        <w:t xml:space="preserve">term </w:t>
      </w:r>
      <w:r w:rsidR="00280B8A">
        <w:rPr>
          <w:rFonts w:eastAsia="Calibri"/>
        </w:rPr>
        <w:t>in</w:t>
      </w:r>
      <w:r w:rsidR="00F83BAB">
        <w:rPr>
          <w:rFonts w:eastAsia="Calibri"/>
        </w:rPr>
        <w:t xml:space="preserve"> </w:t>
      </w:r>
      <w:r w:rsidR="00CD279B">
        <w:rPr>
          <w:rFonts w:eastAsia="Calibri"/>
        </w:rPr>
        <w:t xml:space="preserve">the </w:t>
      </w:r>
      <w:r w:rsidR="00F83BAB">
        <w:rPr>
          <w:rFonts w:eastAsia="Calibri"/>
        </w:rPr>
        <w:t xml:space="preserve">tenth line </w:t>
      </w:r>
      <w:r w:rsidRPr="00C53F8C">
        <w:rPr>
          <w:rFonts w:eastAsia="Calibri"/>
        </w:rPr>
        <w:t>represents the processing costs of cellulosic biomass for power generation at either a dedicated biomass</w:t>
      </w:r>
      <w:r w:rsidR="00E366A4">
        <w:rPr>
          <w:rFonts w:eastAsia="Calibri"/>
        </w:rPr>
        <w:t>-based</w:t>
      </w:r>
      <w:r w:rsidRPr="00C53F8C">
        <w:rPr>
          <w:rFonts w:eastAsia="Calibri"/>
        </w:rPr>
        <w:t xml:space="preserve"> power plant or co-fired at a coal power plant.</w:t>
      </w:r>
      <w:r w:rsidRPr="00C53F8C">
        <w:rPr>
          <w:rStyle w:val="FootnoteReference"/>
        </w:rPr>
        <w:footnoteReference w:id="2"/>
      </w:r>
      <w:r w:rsidRPr="00C53F8C">
        <w:rPr>
          <w:rFonts w:eastAsia="Calibri"/>
        </w:rPr>
        <w:t xml:space="preserve"> The parameter </w:t>
      </w:r>
      <w:r w:rsidRPr="00C53F8C">
        <w:rPr>
          <w:rFonts w:eastAsia="Calibri"/>
          <w:i/>
        </w:rPr>
        <w:t>pc</w:t>
      </w:r>
      <w:r w:rsidRPr="00C53F8C">
        <w:rPr>
          <w:rFonts w:eastAsia="Calibri"/>
        </w:rPr>
        <w:t xml:space="preserve"> is the unit processing cost and the variable </w:t>
      </w:r>
      <m:oMath>
        <m:r>
          <w:rPr>
            <w:rFonts w:ascii="Cambria Math" w:eastAsia="Calibri" w:hAnsi="Cambria Math"/>
          </w:rPr>
          <m:t>B</m:t>
        </m:r>
        <m:sSub>
          <m:sSubPr>
            <m:ctrlPr>
              <w:rPr>
                <w:rFonts w:ascii="Cambria Math" w:eastAsia="Calibri" w:hAnsi="Cambria Math"/>
                <w:i/>
              </w:rPr>
            </m:ctrlPr>
          </m:sSubPr>
          <m:e>
            <m:r>
              <w:rPr>
                <w:rFonts w:ascii="Cambria Math" w:eastAsia="Calibri" w:hAnsi="Cambria Math"/>
              </w:rPr>
              <m:t>E</m:t>
            </m:r>
          </m:e>
          <m:sub>
            <m:r>
              <w:rPr>
                <w:rFonts w:ascii="Cambria Math" w:eastAsia="Calibri" w:hAnsi="Cambria Math"/>
              </w:rPr>
              <m:t>t</m:t>
            </m:r>
          </m:sub>
        </m:sSub>
      </m:oMath>
      <w:r w:rsidRPr="00C53F8C">
        <w:rPr>
          <w:rFonts w:eastAsia="Calibri"/>
        </w:rPr>
        <w:t xml:space="preserve"> is the quantity of biomass used to generate electricity in year </w:t>
      </w:r>
      <w:r w:rsidRPr="00C53F8C">
        <w:rPr>
          <w:rFonts w:eastAsia="Calibri"/>
          <w:i/>
        </w:rPr>
        <w:t>t</w:t>
      </w:r>
      <w:r w:rsidRPr="00C53F8C">
        <w:rPr>
          <w:rFonts w:eastAsia="Calibri"/>
        </w:rPr>
        <w:t xml:space="preserve">. </w:t>
      </w:r>
      <w:r w:rsidR="00CA7805">
        <w:rPr>
          <w:rFonts w:eastAsia="Calibri"/>
        </w:rPr>
        <w:t>T</w:t>
      </w:r>
      <w:r w:rsidRPr="00C53F8C">
        <w:rPr>
          <w:rFonts w:eastAsia="Calibri"/>
        </w:rPr>
        <w:t xml:space="preserve">he </w:t>
      </w:r>
      <w:r w:rsidR="00F83BAB">
        <w:rPr>
          <w:rFonts w:eastAsia="Calibri"/>
        </w:rPr>
        <w:t xml:space="preserve">next </w:t>
      </w:r>
      <w:r w:rsidRPr="00C53F8C">
        <w:rPr>
          <w:rFonts w:eastAsia="Calibri"/>
        </w:rPr>
        <w:t xml:space="preserve">term represents the cost of retrofitting a coal power plant for co-firing. The parameter </w:t>
      </w:r>
      <w:proofErr w:type="spellStart"/>
      <w:r w:rsidRPr="00C53F8C">
        <w:rPr>
          <w:rFonts w:eastAsia="Calibri"/>
          <w:i/>
        </w:rPr>
        <w:t>cf</w:t>
      </w:r>
      <w:proofErr w:type="spellEnd"/>
      <w:r w:rsidRPr="00C53F8C">
        <w:rPr>
          <w:rFonts w:eastAsia="Calibri"/>
        </w:rPr>
        <w:t xml:space="preserve"> is the cost of retrofitting a MW of coal plant capacity for co-firing and the variable </w:t>
      </w:r>
      <m:oMath>
        <m:r>
          <w:rPr>
            <w:rFonts w:ascii="Cambria Math" w:eastAsia="Calibri" w:hAnsi="Cambria Math"/>
          </w:rPr>
          <m:t>C</m:t>
        </m:r>
        <m:sSub>
          <m:sSubPr>
            <m:ctrlPr>
              <w:rPr>
                <w:rFonts w:ascii="Cambria Math" w:eastAsia="Calibri" w:hAnsi="Cambria Math"/>
                <w:i/>
              </w:rPr>
            </m:ctrlPr>
          </m:sSubPr>
          <m:e>
            <m:r>
              <w:rPr>
                <w:rFonts w:ascii="Cambria Math" w:eastAsia="Calibri" w:hAnsi="Cambria Math"/>
              </w:rPr>
              <m:t>F</m:t>
            </m:r>
          </m:e>
          <m:sub>
            <m:r>
              <w:rPr>
                <w:rFonts w:ascii="Cambria Math" w:eastAsia="Calibri" w:hAnsi="Cambria Math"/>
              </w:rPr>
              <m:t>r,t</m:t>
            </m:r>
          </m:sub>
        </m:sSub>
      </m:oMath>
      <w:r w:rsidRPr="00C53F8C">
        <w:rPr>
          <w:rFonts w:eastAsia="Calibri"/>
        </w:rPr>
        <w:t xml:space="preserve"> is the amount of capacity converted for co-firing in region </w:t>
      </w:r>
      <w:r w:rsidRPr="00C53F8C">
        <w:rPr>
          <w:rFonts w:eastAsia="Calibri"/>
          <w:i/>
        </w:rPr>
        <w:t>r</w:t>
      </w:r>
      <w:r w:rsidRPr="00C53F8C">
        <w:rPr>
          <w:rFonts w:eastAsia="Calibri"/>
        </w:rPr>
        <w:t>.</w:t>
      </w:r>
      <w:r w:rsidR="00A7374B" w:rsidRPr="00C53F8C">
        <w:rPr>
          <w:rFonts w:eastAsia="Calibri"/>
        </w:rPr>
        <w:t xml:space="preserve"> </w:t>
      </w:r>
      <w:r w:rsidRPr="00C53F8C">
        <w:rPr>
          <w:rFonts w:eastAsia="Calibri"/>
        </w:rPr>
        <w:t xml:space="preserve">The </w:t>
      </w:r>
      <w:r w:rsidR="00CA7805">
        <w:rPr>
          <w:rFonts w:eastAsia="Calibri"/>
        </w:rPr>
        <w:t>very last</w:t>
      </w:r>
      <w:r w:rsidR="00A7374B" w:rsidRPr="00C53F8C">
        <w:rPr>
          <w:rFonts w:eastAsia="Calibri"/>
        </w:rPr>
        <w:t xml:space="preserve"> </w:t>
      </w:r>
      <w:r w:rsidRPr="00C53F8C">
        <w:rPr>
          <w:rFonts w:eastAsia="Calibri"/>
        </w:rPr>
        <w:t xml:space="preserve">term </w:t>
      </w:r>
      <w:r w:rsidR="00CA7805">
        <w:rPr>
          <w:rFonts w:eastAsia="Calibri"/>
        </w:rPr>
        <w:t xml:space="preserve">of the electricity sector </w:t>
      </w:r>
      <w:r w:rsidRPr="00C53F8C">
        <w:rPr>
          <w:rFonts w:eastAsia="Calibri"/>
        </w:rPr>
        <w:t xml:space="preserve">represents the transportation cost of biomass for electricity generation. The parameter </w:t>
      </w:r>
      <m:oMath>
        <m:r>
          <w:rPr>
            <w:rFonts w:ascii="Cambria Math" w:eastAsia="Calibri" w:hAnsi="Cambria Math"/>
          </w:rPr>
          <m:t>t</m:t>
        </m:r>
        <m:sSub>
          <m:sSubPr>
            <m:ctrlPr>
              <w:rPr>
                <w:rFonts w:ascii="Cambria Math" w:eastAsia="Calibri" w:hAnsi="Cambria Math"/>
                <w:i/>
              </w:rPr>
            </m:ctrlPr>
          </m:sSubPr>
          <m:e>
            <m:r>
              <w:rPr>
                <w:rFonts w:ascii="Cambria Math" w:eastAsia="Calibri" w:hAnsi="Cambria Math"/>
              </w:rPr>
              <m:t>r</m:t>
            </m:r>
          </m:e>
          <m:sub>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sub>
        </m:sSub>
      </m:oMath>
      <w:r w:rsidRPr="00C53F8C">
        <w:rPr>
          <w:rFonts w:eastAsia="Calibri"/>
        </w:rPr>
        <w:t xml:space="preserve"> is the per-metric ton cost of transporting biomass from CRD </w:t>
      </w:r>
      <m:oMath>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oMath>
      <w:r w:rsidRPr="00C53F8C">
        <w:rPr>
          <w:rFonts w:eastAsia="Calibri"/>
        </w:rPr>
        <w:t xml:space="preserve"> to CRD </w:t>
      </w:r>
      <m:oMath>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oMath>
      <w:r w:rsidRPr="00C53F8C">
        <w:rPr>
          <w:rFonts w:eastAsia="Calibri"/>
        </w:rPr>
        <w:t xml:space="preserve"> and the variable </w:t>
      </w:r>
      <m:oMath>
        <m:r>
          <w:rPr>
            <w:rFonts w:ascii="Cambria Math" w:eastAsia="Calibri" w:hAnsi="Cambria Math"/>
          </w:rPr>
          <m:t>B</m:t>
        </m:r>
        <m:sSub>
          <m:sSubPr>
            <m:ctrlPr>
              <w:rPr>
                <w:rFonts w:ascii="Cambria Math" w:eastAsia="Calibri" w:hAnsi="Cambria Math"/>
                <w:i/>
              </w:rPr>
            </m:ctrlPr>
          </m:sSubPr>
          <m:e>
            <m:r>
              <w:rPr>
                <w:rFonts w:ascii="Cambria Math" w:eastAsia="Calibri" w:hAnsi="Cambria Math"/>
              </w:rPr>
              <m:t>T</m:t>
            </m:r>
          </m:e>
          <m:sub>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r>
              <w:rPr>
                <w:rFonts w:ascii="Cambria Math" w:eastAsia="Calibri" w:hAnsi="Cambria Math"/>
              </w:rPr>
              <m:t>,t</m:t>
            </m:r>
          </m:sub>
        </m:sSub>
      </m:oMath>
      <w:r w:rsidRPr="00C53F8C">
        <w:rPr>
          <w:rFonts w:eastAsia="Calibri"/>
        </w:rPr>
        <w:t xml:space="preserve"> is the quantity of biomass transported from CRD </w:t>
      </w:r>
      <m:oMath>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1</m:t>
            </m:r>
          </m:sub>
        </m:sSub>
      </m:oMath>
      <w:r w:rsidRPr="00C53F8C">
        <w:rPr>
          <w:rFonts w:eastAsia="Calibri"/>
        </w:rPr>
        <w:t xml:space="preserve"> to CRD </w:t>
      </w:r>
      <m:oMath>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2</m:t>
            </m:r>
          </m:sub>
        </m:sSub>
      </m:oMath>
      <w:r w:rsidRPr="00C53F8C">
        <w:rPr>
          <w:rFonts w:eastAsia="Calibri"/>
        </w:rPr>
        <w:t xml:space="preserve"> in year </w:t>
      </w:r>
      <m:oMath>
        <m:r>
          <w:rPr>
            <w:rFonts w:ascii="Cambria Math" w:eastAsia="Calibri" w:hAnsi="Cambria Math"/>
          </w:rPr>
          <m:t>t</m:t>
        </m:r>
      </m:oMath>
      <w:r w:rsidRPr="00C53F8C">
        <w:rPr>
          <w:rFonts w:eastAsia="Calibri"/>
        </w:rPr>
        <w:t xml:space="preserve">. </w:t>
      </w:r>
    </w:p>
    <w:p w14:paraId="56BF3659" w14:textId="77777777" w:rsidR="008F4658" w:rsidRDefault="008F4658" w:rsidP="008F4658">
      <w:pPr>
        <w:spacing w:line="240" w:lineRule="auto"/>
        <w:rPr>
          <w:rFonts w:eastAsia="Calibri"/>
        </w:rPr>
      </w:pPr>
    </w:p>
    <w:p w14:paraId="52BC0C9D" w14:textId="2D16F2C0" w:rsidR="00CA7805" w:rsidRPr="008F4658" w:rsidRDefault="00CA7805" w:rsidP="008F4658">
      <w:pPr>
        <w:pStyle w:val="Heading4"/>
        <w:numPr>
          <w:ilvl w:val="0"/>
          <w:numId w:val="0"/>
        </w:numPr>
        <w:ind w:left="864" w:hanging="864"/>
        <w:rPr>
          <w:b/>
          <w:bCs/>
        </w:rPr>
      </w:pPr>
      <w:r w:rsidRPr="008F4658">
        <w:rPr>
          <w:b/>
          <w:bCs/>
        </w:rPr>
        <w:t xml:space="preserve">A.1.1.3 Agriculture </w:t>
      </w:r>
      <w:r w:rsidR="00B92A3A">
        <w:rPr>
          <w:b/>
          <w:bCs/>
        </w:rPr>
        <w:t>S</w:t>
      </w:r>
      <w:r w:rsidRPr="008F4658">
        <w:rPr>
          <w:b/>
          <w:bCs/>
        </w:rPr>
        <w:t>ector</w:t>
      </w:r>
    </w:p>
    <w:p w14:paraId="1558B7AC" w14:textId="08D4F335" w:rsidR="00A7374B" w:rsidRDefault="0031517A" w:rsidP="008F4658">
      <w:pPr>
        <w:spacing w:after="0" w:line="240" w:lineRule="auto"/>
        <w:rPr>
          <w:rFonts w:eastAsia="Calibri"/>
        </w:rPr>
      </w:pPr>
      <w:r>
        <w:t>L</w:t>
      </w:r>
      <w:r w:rsidR="00CA7805">
        <w:t>ine</w:t>
      </w:r>
      <w:r>
        <w:t>s</w:t>
      </w:r>
      <w:r w:rsidR="00CA7805">
        <w:t xml:space="preserve"> 11 to 15</w:t>
      </w:r>
      <w:r>
        <w:t xml:space="preserve"> in </w:t>
      </w:r>
      <w:r w:rsidR="00CD279B">
        <w:t>E</w:t>
      </w:r>
      <w:r>
        <w:t xml:space="preserve">quation 1 </w:t>
      </w:r>
      <w:r w:rsidR="00E366A4">
        <w:t>represent</w:t>
      </w:r>
      <w:r>
        <w:t xml:space="preserve"> the consumer and producer su</w:t>
      </w:r>
      <w:r w:rsidR="00C44C95">
        <w:t>r</w:t>
      </w:r>
      <w:r>
        <w:t>plus in the various crop and livestock</w:t>
      </w:r>
      <w:r w:rsidR="00AE3552">
        <w:t xml:space="preserve">, processed commodity </w:t>
      </w:r>
      <w:r>
        <w:t>markets in the agricultural sector</w:t>
      </w:r>
      <w:r w:rsidR="00CA7805">
        <w:t xml:space="preserve"> </w:t>
      </w:r>
      <w:r w:rsidR="008F4658">
        <w:t xml:space="preserve">(as in </w:t>
      </w:r>
      <w:r w:rsidR="00CA7805">
        <w:fldChar w:fldCharType="begin" w:fldLock="1"/>
      </w:r>
      <w:r w:rsidR="00973E1B">
        <w:instrText>ADDIN CSL_CITATION {"citationItems":[{"id":"ITEM-1","itemData":{"DOI":"10.1088/1748-9326/abd7af","ISSN":"1748-9326","abstract":"Mandates, like the renewable fuel standard (RFS), for biofuels from corn and cellulosic feedstocks, impact the environment in multiple ways by affecting land use, nitrogen (N)-leakage, and greenhouse gas (GHG) emissions. We analyze the differing trade-offs these different types of biofuels offer among these multi-dimensional environmental effects and convert them to a monetized value of environmental damages (or benefits) that can be compared with the economic costs of extending these mandates over the 2016–2030 period. The discounted values of cumulative net benefits (or costs) are then compared to those with a counterfactual level of biofuels that would have been produced in the absence of the RFS over this period. We find that maintaining the corn ethanol mandate at 56 billion l till 2030 will lead to a discounted cumulative value of an economic cost of $199 billion over the 2016–2030 period compared to the counterfactual scenario; this includes $109 billion of economic costs and $85 billion of net monetized environmental damages. The additional implementation of a cellulosic biofuel mandate for 60 billion l by 2030 will increase this economic cost by $69 billion which will be partly offset by the net discounted monetized value of environmental benefits of $20 billion, resulting in a net cost of $49 billion over the 2016–2030 period. We explore the sensitivity of these net (economic and environmental) costs to alternative values of the social costs of carbon and nitrogen and other technological and market parameters. We find that, unlike corn ethanol, cellulosic biofuels can result in positive net benefits if the monetary benefits of GHG mitigation are valued high and those of N-damages are not very high.","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container-title":"Environmental Research Letters","id":"ITEM-1","issue":"3","issued":{"date-parts":[["2021","3","1"]]},"page":"034021","publisher":"IOP Publishing","title":"The economic and environmental costs and benefits of the renewable fuel standard","type":"article-journal","volume":"16"},"uris":["http://www.mendeley.com/documents/?uuid=9de02e63-eb9d-425b-9fb5-e7bebf9f97d2"]}],"mendeley":{"formattedCitation":"(Chen et al. 2021)","manualFormatting":"Chen et al. 2021)","plainTextFormattedCitation":"(Chen et al. 2021)","previouslyFormattedCitation":"(Chen et al. 2021)"},"properties":{"noteIndex":0},"schema":"https://github.com/citation-style-language/schema/raw/master/csl-citation.json"}</w:instrText>
      </w:r>
      <w:r w:rsidR="00CA7805">
        <w:fldChar w:fldCharType="separate"/>
      </w:r>
      <w:r w:rsidR="00CA7805" w:rsidRPr="00CA7805">
        <w:rPr>
          <w:noProof/>
        </w:rPr>
        <w:t>Chen et al. 2021)</w:t>
      </w:r>
      <w:r w:rsidR="00CA7805">
        <w:fldChar w:fldCharType="end"/>
      </w:r>
      <w:r w:rsidR="00CA7805">
        <w:t xml:space="preserve">. </w:t>
      </w:r>
      <w:r w:rsidR="00A7374B" w:rsidRPr="00C53F8C">
        <w:rPr>
          <w:rFonts w:eastAsia="Calibri"/>
        </w:rPr>
        <w:t xml:space="preserve">The first integral term in the </w:t>
      </w:r>
      <w:r w:rsidR="00CA7805">
        <w:rPr>
          <w:rFonts w:eastAsia="Calibri"/>
        </w:rPr>
        <w:t>eleventh</w:t>
      </w:r>
      <w:r w:rsidR="00CA7805" w:rsidRPr="00C53F8C">
        <w:rPr>
          <w:rFonts w:eastAsia="Calibri"/>
        </w:rPr>
        <w:t xml:space="preserve"> </w:t>
      </w:r>
      <w:r w:rsidR="00A7374B" w:rsidRPr="00C53F8C">
        <w:rPr>
          <w:rFonts w:eastAsia="Calibri"/>
        </w:rPr>
        <w:t xml:space="preserve">line of (1) represents the areas under the demand functions from which consumers’ surplus is derived. Each integral is associated with a crop, livestock, or processed commodity for which domestic market demand is considered: </w:t>
      </w:r>
      <m:oMath>
        <m:r>
          <w:rPr>
            <w:rFonts w:ascii="Cambria Math" w:eastAsia="Calibri" w:hAnsi="Cambria Math"/>
          </w:rPr>
          <m:t>DE</m:t>
        </m:r>
        <m:sSub>
          <m:sSubPr>
            <m:ctrlPr>
              <w:rPr>
                <w:rFonts w:ascii="Cambria Math" w:eastAsia="Calibri" w:hAnsi="Cambria Math"/>
                <w:i/>
              </w:rPr>
            </m:ctrlPr>
          </m:sSubPr>
          <m:e>
            <m:r>
              <w:rPr>
                <w:rFonts w:ascii="Cambria Math" w:eastAsia="Calibri" w:hAnsi="Cambria Math"/>
              </w:rPr>
              <m:t>M</m:t>
            </m:r>
          </m:e>
          <m:sub>
            <m:r>
              <w:rPr>
                <w:rFonts w:ascii="Cambria Math" w:eastAsia="Calibri" w:hAnsi="Cambria Math"/>
              </w:rPr>
              <m:t>t,z</m:t>
            </m:r>
          </m:sub>
        </m:sSub>
      </m:oMath>
      <w:r w:rsidR="00A7374B" w:rsidRPr="00C53F8C">
        <w:rPr>
          <w:rFonts w:eastAsia="Calibri"/>
        </w:rPr>
        <w:t xml:space="preserve"> denotes the endogenous domestic demand variable in year </w:t>
      </w:r>
      <w:r w:rsidR="00A7374B" w:rsidRPr="00C53F8C">
        <w:rPr>
          <w:rFonts w:eastAsia="Calibri"/>
          <w:i/>
        </w:rPr>
        <w:t>t</w:t>
      </w:r>
      <w:r w:rsidR="00A7374B" w:rsidRPr="00C53F8C">
        <w:rPr>
          <w:rFonts w:eastAsia="Calibri"/>
        </w:rPr>
        <w:t xml:space="preserve">; </w:t>
      </w:r>
      <w:r w:rsidR="00A7374B" w:rsidRPr="00C53F8C">
        <w:rPr>
          <w:rFonts w:eastAsia="Calibri"/>
          <w:i/>
        </w:rPr>
        <w:t>z</w:t>
      </w:r>
      <w:r w:rsidR="00A7374B" w:rsidRPr="00C53F8C">
        <w:rPr>
          <w:rFonts w:eastAsia="Calibri"/>
        </w:rPr>
        <w:t xml:space="preserve"> =(</w:t>
      </w:r>
      <w:proofErr w:type="spellStart"/>
      <w:r w:rsidR="00CA7805">
        <w:rPr>
          <w:rFonts w:eastAsia="Calibri"/>
          <w:i/>
        </w:rPr>
        <w:t>cc</w:t>
      </w:r>
      <w:r w:rsidR="00A7374B" w:rsidRPr="00C53F8C">
        <w:rPr>
          <w:rFonts w:eastAsia="Calibri"/>
          <w:i/>
        </w:rPr>
        <w:t>,j,</w:t>
      </w:r>
      <w:r w:rsidR="00ED2242">
        <w:rPr>
          <w:rFonts w:eastAsia="Calibri"/>
          <w:i/>
        </w:rPr>
        <w:t>lc</w:t>
      </w:r>
      <w:proofErr w:type="spellEnd"/>
      <w:r w:rsidR="00A7374B" w:rsidRPr="00C53F8C">
        <w:rPr>
          <w:rFonts w:eastAsia="Calibri"/>
        </w:rPr>
        <w:t>) denotes the index set for crop commodities (</w:t>
      </w:r>
      <w:r w:rsidR="00CA7805">
        <w:rPr>
          <w:rFonts w:eastAsia="Calibri"/>
          <w:i/>
        </w:rPr>
        <w:t>cc</w:t>
      </w:r>
      <w:r w:rsidR="00A7374B" w:rsidRPr="00C53F8C">
        <w:rPr>
          <w:rFonts w:eastAsia="Calibri"/>
        </w:rPr>
        <w:t>), processed products from crops (</w:t>
      </w:r>
      <w:r w:rsidR="00A7374B" w:rsidRPr="00C53F8C">
        <w:rPr>
          <w:rFonts w:eastAsia="Calibri"/>
          <w:i/>
        </w:rPr>
        <w:t>j</w:t>
      </w:r>
      <w:r w:rsidR="00A7374B" w:rsidRPr="00C53F8C">
        <w:rPr>
          <w:rFonts w:eastAsia="Calibri"/>
        </w:rPr>
        <w:t>), and livestock commodities (</w:t>
      </w:r>
      <w:r w:rsidR="00CA7805">
        <w:rPr>
          <w:rFonts w:eastAsia="Calibri"/>
          <w:i/>
        </w:rPr>
        <w:t>lc</w:t>
      </w:r>
      <w:r w:rsidR="00A7374B" w:rsidRPr="00C53F8C">
        <w:rPr>
          <w:rFonts w:eastAsia="Calibri"/>
        </w:rPr>
        <w:t xml:space="preserve">); </w:t>
      </w:r>
      <m:oMath>
        <m:sSup>
          <m:sSupPr>
            <m:ctrlPr>
              <w:rPr>
                <w:rFonts w:ascii="Cambria Math" w:eastAsia="Calibri" w:hAnsi="Cambria Math"/>
                <w:i/>
              </w:rPr>
            </m:ctrlPr>
          </m:sSupPr>
          <m:e>
            <m:r>
              <w:rPr>
                <w:rFonts w:ascii="Cambria Math" w:eastAsia="Calibri" w:hAnsi="Cambria Math"/>
              </w:rPr>
              <m:t>f</m:t>
            </m:r>
          </m:e>
          <m:sup>
            <m:r>
              <w:rPr>
                <w:rFonts w:ascii="Cambria Math" w:eastAsia="Calibri" w:hAnsi="Cambria Math"/>
              </w:rPr>
              <m:t>z</m:t>
            </m:r>
          </m:sup>
        </m:sSup>
        <m:r>
          <w:rPr>
            <w:rFonts w:ascii="Cambria Math" w:eastAsia="Calibri" w:hAnsi="Cambria Math"/>
          </w:rPr>
          <m:t>(.)</m:t>
        </m:r>
      </m:oMath>
      <w:r w:rsidR="00A7374B" w:rsidRPr="00C53F8C">
        <w:rPr>
          <w:rFonts w:eastAsia="Calibri"/>
        </w:rPr>
        <w:t xml:space="preserve"> denotes the inverse demand function for the associated commodity. The next two integral terms account for the areas under the inverse demand functions for exports, </w:t>
      </w:r>
      <m:oMath>
        <m:r>
          <w:rPr>
            <w:rFonts w:ascii="Cambria Math" w:eastAsia="Calibri" w:hAnsi="Cambria Math"/>
          </w:rPr>
          <m:t>EX</m:t>
        </m:r>
        <m:sSub>
          <m:sSubPr>
            <m:ctrlPr>
              <w:rPr>
                <w:rFonts w:ascii="Cambria Math" w:eastAsia="Calibri" w:hAnsi="Cambria Math"/>
                <w:i/>
              </w:rPr>
            </m:ctrlPr>
          </m:sSubPr>
          <m:e>
            <m:r>
              <w:rPr>
                <w:rFonts w:ascii="Cambria Math" w:eastAsia="Calibri" w:hAnsi="Cambria Math"/>
              </w:rPr>
              <m:t>P</m:t>
            </m:r>
          </m:e>
          <m:sub>
            <m:r>
              <w:rPr>
                <w:rFonts w:ascii="Cambria Math" w:eastAsia="Calibri" w:hAnsi="Cambria Math"/>
              </w:rPr>
              <m:t>t,z</m:t>
            </m:r>
          </m:sub>
        </m:sSub>
      </m:oMath>
      <w:r w:rsidR="00A7374B" w:rsidRPr="00C53F8C">
        <w:rPr>
          <w:rFonts w:eastAsia="Calibri"/>
        </w:rPr>
        <w:t xml:space="preserve"> and the areas under the import supply functions, </w:t>
      </w:r>
      <m:oMath>
        <m:r>
          <w:rPr>
            <w:rFonts w:ascii="Cambria Math" w:eastAsia="Calibri" w:hAnsi="Cambria Math"/>
          </w:rPr>
          <m:t>IM</m:t>
        </m:r>
        <m:sSub>
          <m:sSubPr>
            <m:ctrlPr>
              <w:rPr>
                <w:rFonts w:ascii="Cambria Math" w:eastAsia="Calibri" w:hAnsi="Cambria Math"/>
                <w:i/>
              </w:rPr>
            </m:ctrlPr>
          </m:sSubPr>
          <m:e>
            <m:r>
              <w:rPr>
                <w:rFonts w:ascii="Cambria Math" w:eastAsia="Calibri" w:hAnsi="Cambria Math"/>
              </w:rPr>
              <m:t>P</m:t>
            </m:r>
          </m:e>
          <m:sub>
            <m:r>
              <w:rPr>
                <w:rFonts w:ascii="Cambria Math" w:eastAsia="Calibri" w:hAnsi="Cambria Math"/>
              </w:rPr>
              <m:t>t,z</m:t>
            </m:r>
          </m:sub>
        </m:sSub>
      </m:oMath>
      <w:r w:rsidR="00A7374B" w:rsidRPr="00C53F8C">
        <w:rPr>
          <w:rFonts w:eastAsia="Calibri"/>
        </w:rPr>
        <w:t xml:space="preserve"> (such as sugar). </w:t>
      </w:r>
    </w:p>
    <w:p w14:paraId="385B6AFC" w14:textId="77777777" w:rsidR="006E78DC" w:rsidRPr="00C53F8C" w:rsidRDefault="006E78DC" w:rsidP="008F4658">
      <w:pPr>
        <w:spacing w:after="0" w:line="240" w:lineRule="auto"/>
        <w:rPr>
          <w:rFonts w:eastAsia="Calibri"/>
        </w:rPr>
      </w:pPr>
    </w:p>
    <w:p w14:paraId="782EA3BD" w14:textId="57865FD3" w:rsidR="00D42EDF" w:rsidRDefault="00A7374B" w:rsidP="006F0909">
      <w:pPr>
        <w:spacing w:after="0" w:line="240" w:lineRule="auto"/>
        <w:ind w:firstLine="720"/>
        <w:rPr>
          <w:rFonts w:eastAsia="Calibri"/>
        </w:rPr>
      </w:pPr>
      <w:r w:rsidRPr="00C53F8C">
        <w:rPr>
          <w:rFonts w:eastAsia="Calibri"/>
        </w:rPr>
        <w:t xml:space="preserve">In the </w:t>
      </w:r>
      <w:r w:rsidR="00CA7805">
        <w:rPr>
          <w:rFonts w:eastAsia="Calibri"/>
        </w:rPr>
        <w:t>twelfth</w:t>
      </w:r>
      <w:r w:rsidR="00CA7805" w:rsidRPr="00C53F8C">
        <w:rPr>
          <w:rFonts w:eastAsia="Calibri"/>
        </w:rPr>
        <w:t xml:space="preserve"> </w:t>
      </w:r>
      <w:r w:rsidRPr="00C53F8C">
        <w:rPr>
          <w:rFonts w:eastAsia="Calibri"/>
        </w:rPr>
        <w:t>line, t</w:t>
      </w:r>
      <w:r w:rsidR="006F0909" w:rsidRPr="00C53F8C">
        <w:rPr>
          <w:rFonts w:eastAsia="Calibri"/>
        </w:rPr>
        <w:t xml:space="preserve">he </w:t>
      </w:r>
      <w:r w:rsidRPr="00C53F8C">
        <w:rPr>
          <w:rFonts w:eastAsia="Calibri"/>
        </w:rPr>
        <w:t xml:space="preserve">first </w:t>
      </w:r>
      <w:r w:rsidR="006F0909" w:rsidRPr="00C53F8C">
        <w:rPr>
          <w:rFonts w:eastAsia="Calibri"/>
        </w:rPr>
        <w:t>two term</w:t>
      </w:r>
      <w:r w:rsidRPr="00C53F8C">
        <w:rPr>
          <w:rFonts w:eastAsia="Calibri"/>
        </w:rPr>
        <w:t>s</w:t>
      </w:r>
      <w:r w:rsidR="006F0909" w:rsidRPr="00C53F8C">
        <w:rPr>
          <w:rFonts w:eastAsia="Calibri"/>
        </w:rPr>
        <w:t xml:space="preserve"> include the production costs of row crops, perennial crops, and collecting </w:t>
      </w:r>
      <w:proofErr w:type="gramStart"/>
      <w:r w:rsidR="006F0909" w:rsidRPr="00C53F8C">
        <w:rPr>
          <w:rFonts w:eastAsia="Calibri"/>
        </w:rPr>
        <w:t>crop</w:t>
      </w:r>
      <w:proofErr w:type="gramEnd"/>
      <w:r w:rsidR="006F0909" w:rsidRPr="00C53F8C">
        <w:rPr>
          <w:rFonts w:eastAsia="Calibri"/>
        </w:rPr>
        <w:t xml:space="preserve"> and forest residues for biofuel and electricity production. The land allocated to row crops and perennial crops (acreage) in region </w:t>
      </w:r>
      <w:r w:rsidR="006F0909" w:rsidRPr="00C53F8C">
        <w:rPr>
          <w:rFonts w:eastAsia="Calibri"/>
          <w:i/>
        </w:rPr>
        <w:t>r</w:t>
      </w:r>
      <w:r w:rsidR="006F0909" w:rsidRPr="00C53F8C">
        <w:rPr>
          <w:rFonts w:eastAsia="Calibri"/>
        </w:rPr>
        <w:t xml:space="preserve"> and year </w:t>
      </w:r>
      <w:r w:rsidR="006F0909" w:rsidRPr="00C53F8C">
        <w:rPr>
          <w:rFonts w:eastAsia="Calibri"/>
          <w:i/>
        </w:rPr>
        <w:t>t</w:t>
      </w:r>
      <w:r w:rsidR="006F0909" w:rsidRPr="00C53F8C">
        <w:rPr>
          <w:rFonts w:eastAsia="Calibri"/>
        </w:rPr>
        <w:t xml:space="preserve"> is denoted by </w:t>
      </w:r>
      <m:oMath>
        <m:r>
          <w:rPr>
            <w:rFonts w:ascii="Cambria Math" w:eastAsia="Calibri" w:hAnsi="Cambria Math"/>
          </w:rPr>
          <m:t>AC</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t,r,q</m:t>
            </m:r>
          </m:sub>
        </m:sSub>
      </m:oMath>
      <w:r w:rsidR="006F0909" w:rsidRPr="00C53F8C">
        <w:rPr>
          <w:rFonts w:eastAsia="Calibri"/>
        </w:rPr>
        <w:t xml:space="preserve"> and </w:t>
      </w:r>
      <m:oMath>
        <m:r>
          <w:rPr>
            <w:rFonts w:ascii="Cambria Math" w:eastAsia="Calibri" w:hAnsi="Cambria Math"/>
          </w:rPr>
          <m:t>AC</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t,r,p</m:t>
            </m:r>
          </m:sub>
        </m:sSub>
      </m:oMath>
      <w:r w:rsidR="006F0909" w:rsidRPr="00C53F8C">
        <w:rPr>
          <w:rFonts w:eastAsia="Calibri"/>
        </w:rPr>
        <w:t xml:space="preserve">, respectively. The production of row crops may use one of various production practices, denoted by </w:t>
      </w:r>
      <w:r w:rsidR="006F0909" w:rsidRPr="00C53F8C">
        <w:rPr>
          <w:rFonts w:eastAsia="Calibri"/>
          <w:i/>
        </w:rPr>
        <w:t>q,</w:t>
      </w:r>
      <w:r w:rsidR="006F0909" w:rsidRPr="00C53F8C">
        <w:rPr>
          <w:rFonts w:eastAsia="Calibri"/>
        </w:rPr>
        <w:t xml:space="preserve"> which differ by crop rotation, tillage, and irrigation. Parameters denoting the production costs of row and perennial crops are </w:t>
      </w:r>
      <m:oMath>
        <m:sSub>
          <m:sSubPr>
            <m:ctrlPr>
              <w:rPr>
                <w:rFonts w:ascii="Cambria Math" w:eastAsia="Calibri" w:hAnsi="Cambria Math"/>
                <w:i/>
              </w:rPr>
            </m:ctrlPr>
          </m:sSubPr>
          <m:e>
            <m:r>
              <w:rPr>
                <w:rFonts w:ascii="Cambria Math" w:eastAsia="Calibri" w:hAnsi="Cambria Math"/>
              </w:rPr>
              <m:t>rc</m:t>
            </m:r>
          </m:e>
          <m:sub>
            <m:r>
              <w:rPr>
                <w:rFonts w:ascii="Cambria Math" w:eastAsia="Calibri" w:hAnsi="Cambria Math"/>
              </w:rPr>
              <m:t>r,q</m:t>
            </m:r>
          </m:sub>
        </m:sSub>
      </m:oMath>
      <w:r w:rsidR="006F0909" w:rsidRPr="00C53F8C">
        <w:rPr>
          <w:rFonts w:eastAsia="Calibri"/>
        </w:rPr>
        <w:t xml:space="preserve"> and </w:t>
      </w:r>
      <m:oMath>
        <m:r>
          <w:rPr>
            <w:rFonts w:ascii="Cambria Math" w:eastAsia="Calibri" w:hAnsi="Cambria Math"/>
          </w:rPr>
          <m:t>p</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r,p</m:t>
            </m:r>
          </m:sub>
        </m:sSub>
      </m:oMath>
      <w:r w:rsidR="006F0909" w:rsidRPr="00C53F8C">
        <w:rPr>
          <w:rFonts w:eastAsia="Calibri"/>
        </w:rPr>
        <w:t xml:space="preserve">. Leontief production functions are assumed for both row crops and perennial crops production. The </w:t>
      </w:r>
      <w:r w:rsidRPr="00C53F8C">
        <w:rPr>
          <w:rFonts w:eastAsia="Calibri"/>
        </w:rPr>
        <w:t xml:space="preserve">next </w:t>
      </w:r>
      <w:r w:rsidR="006F0909" w:rsidRPr="00C53F8C">
        <w:rPr>
          <w:rFonts w:eastAsia="Calibri"/>
        </w:rPr>
        <w:t xml:space="preserve">term represents the cost of collecting crop residues, such as corn stover and wheat straw, and we use </w:t>
      </w:r>
      <m:oMath>
        <m:r>
          <w:rPr>
            <w:rFonts w:ascii="Cambria Math" w:eastAsia="Calibri" w:hAnsi="Cambria Math"/>
          </w:rPr>
          <m:t>r</m:t>
        </m:r>
        <m:sSub>
          <m:sSubPr>
            <m:ctrlPr>
              <w:rPr>
                <w:rFonts w:ascii="Cambria Math" w:eastAsia="Calibri" w:hAnsi="Cambria Math"/>
                <w:i/>
              </w:rPr>
            </m:ctrlPr>
          </m:sSubPr>
          <m:e>
            <m:r>
              <w:rPr>
                <w:rFonts w:ascii="Cambria Math" w:eastAsia="Calibri" w:hAnsi="Cambria Math"/>
              </w:rPr>
              <m:t>s</m:t>
            </m:r>
          </m:e>
          <m:sub>
            <m:r>
              <w:rPr>
                <w:rFonts w:ascii="Cambria Math" w:eastAsia="Calibri" w:hAnsi="Cambria Math"/>
              </w:rPr>
              <m:t>r,q</m:t>
            </m:r>
          </m:sub>
        </m:sSub>
      </m:oMath>
      <w:r w:rsidR="006F0909" w:rsidRPr="00C53F8C">
        <w:rPr>
          <w:rFonts w:eastAsia="Calibri"/>
        </w:rPr>
        <w:t xml:space="preserve"> to denote the collection costs of crop residues. </w:t>
      </w:r>
    </w:p>
    <w:p w14:paraId="7FDCC2E9" w14:textId="77777777" w:rsidR="007E7825" w:rsidRDefault="007E7825" w:rsidP="006F0909">
      <w:pPr>
        <w:spacing w:after="0" w:line="240" w:lineRule="auto"/>
        <w:ind w:firstLine="720"/>
        <w:rPr>
          <w:rFonts w:eastAsia="Calibri"/>
        </w:rPr>
      </w:pPr>
    </w:p>
    <w:p w14:paraId="40664D06" w14:textId="6555C4F1" w:rsidR="00CA7805" w:rsidRDefault="006F0909" w:rsidP="00D42EDF">
      <w:pPr>
        <w:spacing w:after="0" w:line="240" w:lineRule="auto"/>
        <w:ind w:firstLine="720"/>
        <w:rPr>
          <w:rFonts w:eastAsia="Calibri"/>
        </w:rPr>
      </w:pPr>
      <w:r w:rsidRPr="00C53F8C">
        <w:rPr>
          <w:rFonts w:eastAsia="Calibri"/>
        </w:rPr>
        <w:t xml:space="preserve">The </w:t>
      </w:r>
      <w:r w:rsidR="00D42EDF">
        <w:rPr>
          <w:rFonts w:eastAsia="Calibri"/>
        </w:rPr>
        <w:t>first</w:t>
      </w:r>
      <w:r w:rsidR="00D42EDF" w:rsidRPr="00C53F8C">
        <w:rPr>
          <w:rFonts w:eastAsia="Calibri"/>
        </w:rPr>
        <w:t xml:space="preserve"> </w:t>
      </w:r>
      <w:r w:rsidRPr="00C53F8C">
        <w:rPr>
          <w:rFonts w:eastAsia="Calibri"/>
        </w:rPr>
        <w:t xml:space="preserve">term in the </w:t>
      </w:r>
      <w:r w:rsidR="00D42EDF">
        <w:rPr>
          <w:rFonts w:eastAsia="Calibri"/>
        </w:rPr>
        <w:t xml:space="preserve">thirteenth </w:t>
      </w:r>
      <w:r w:rsidRPr="00C53F8C">
        <w:rPr>
          <w:rFonts w:eastAsia="Calibri"/>
        </w:rPr>
        <w:t xml:space="preserve">line denotes the costs of converting marginal lands (such as idle land and crop </w:t>
      </w:r>
      <w:proofErr w:type="gramStart"/>
      <w:r w:rsidRPr="00C53F8C">
        <w:rPr>
          <w:rFonts w:eastAsia="Calibri"/>
        </w:rPr>
        <w:t>pasture land</w:t>
      </w:r>
      <w:proofErr w:type="gramEnd"/>
      <w:r w:rsidRPr="00C53F8C">
        <w:rPr>
          <w:rFonts w:eastAsia="Calibri"/>
        </w:rPr>
        <w:t xml:space="preserve">) for producing perennial crops, which include costs of land </w:t>
      </w:r>
      <w:r w:rsidRPr="00C53F8C">
        <w:rPr>
          <w:rFonts w:eastAsia="Calibri"/>
        </w:rPr>
        <w:lastRenderedPageBreak/>
        <w:t xml:space="preserve">clearing, wind rowing and any necessary activities for seedbed preparation. The amount of marginal lands converted for perennial grasses are denoted by </w:t>
      </w:r>
      <m:oMath>
        <m:r>
          <m:rPr>
            <m:sty m:val="p"/>
          </m:rPr>
          <w:rPr>
            <w:rFonts w:ascii="Cambria Math" w:eastAsia="Calibri" w:hAnsi="Cambria Math"/>
          </w:rPr>
          <m:t>Δ</m:t>
        </m:r>
        <m:r>
          <w:rPr>
            <w:rFonts w:ascii="Cambria Math" w:eastAsia="Calibri" w:hAnsi="Cambria Math"/>
          </w:rPr>
          <m:t>AC</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t,r,p</m:t>
            </m:r>
          </m:sub>
        </m:sSub>
      </m:oMath>
      <w:r w:rsidRPr="00C53F8C">
        <w:rPr>
          <w:rFonts w:eastAsia="Calibri"/>
        </w:rPr>
        <w:t xml:space="preserve"> and </w:t>
      </w:r>
      <m:oMath>
        <m:r>
          <w:rPr>
            <w:rFonts w:ascii="Cambria Math" w:eastAsia="Calibri" w:hAnsi="Cambria Math"/>
          </w:rPr>
          <m:t>v</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r</m:t>
            </m:r>
          </m:sub>
        </m:sSub>
      </m:oMath>
      <w:r w:rsidRPr="00C53F8C">
        <w:rPr>
          <w:rFonts w:eastAsia="Calibri"/>
        </w:rPr>
        <w:t xml:space="preserve"> represents the conversion cost per unit of marginal land. </w:t>
      </w:r>
      <w:r w:rsidR="00D42EDF">
        <w:rPr>
          <w:rFonts w:eastAsia="Calibri"/>
        </w:rPr>
        <w:t>The</w:t>
      </w:r>
      <w:r w:rsidRPr="00C53F8C">
        <w:rPr>
          <w:rFonts w:eastAsia="Calibri"/>
        </w:rPr>
        <w:t xml:space="preserve"> </w:t>
      </w:r>
      <w:r w:rsidR="00D42EDF">
        <w:rPr>
          <w:rFonts w:eastAsia="Calibri"/>
        </w:rPr>
        <w:t xml:space="preserve">second </w:t>
      </w:r>
      <w:r w:rsidRPr="00C53F8C">
        <w:rPr>
          <w:rFonts w:eastAsia="Calibri"/>
        </w:rPr>
        <w:t xml:space="preserve">term represents the area underneath the regional-specific supply functions of forest residues and pulpwood </w:t>
      </w:r>
      <m:oMath>
        <m:r>
          <w:rPr>
            <w:rFonts w:ascii="Cambria Math" w:eastAsia="Calibri" w:hAnsi="Cambria Math"/>
          </w:rPr>
          <m:t>(F</m:t>
        </m:r>
        <m:sSub>
          <m:sSubPr>
            <m:ctrlPr>
              <w:rPr>
                <w:rFonts w:ascii="Cambria Math" w:eastAsia="Calibri" w:hAnsi="Cambria Math"/>
                <w:i/>
              </w:rPr>
            </m:ctrlPr>
          </m:sSubPr>
          <m:e>
            <m:r>
              <w:rPr>
                <w:rFonts w:ascii="Cambria Math" w:eastAsia="Calibri" w:hAnsi="Cambria Math"/>
              </w:rPr>
              <m:t>R</m:t>
            </m:r>
          </m:e>
          <m:sub>
            <m:r>
              <w:rPr>
                <w:rFonts w:ascii="Cambria Math" w:eastAsia="Calibri" w:hAnsi="Cambria Math"/>
              </w:rPr>
              <m:t>fr,r,t</m:t>
            </m:r>
          </m:sub>
        </m:sSub>
        <m:r>
          <w:rPr>
            <w:rFonts w:ascii="Cambria Math" w:eastAsia="Calibri" w:hAnsi="Cambria Math"/>
          </w:rPr>
          <m:t>)</m:t>
        </m:r>
      </m:oMath>
      <w:r w:rsidRPr="00C53F8C">
        <w:rPr>
          <w:rFonts w:eastAsia="Calibri"/>
        </w:rPr>
        <w:t xml:space="preserve">, where </w:t>
      </w:r>
      <w:proofErr w:type="spellStart"/>
      <w:r w:rsidRPr="00C53F8C">
        <w:rPr>
          <w:rFonts w:eastAsia="Calibri"/>
          <w:i/>
        </w:rPr>
        <w:t>f</w:t>
      </w:r>
      <w:r w:rsidR="00CD7879">
        <w:rPr>
          <w:rFonts w:eastAsia="Calibri"/>
          <w:i/>
        </w:rPr>
        <w:t>r</w:t>
      </w:r>
      <w:proofErr w:type="spellEnd"/>
      <w:r w:rsidRPr="00C53F8C">
        <w:rPr>
          <w:rFonts w:eastAsia="Calibri"/>
          <w:i/>
        </w:rPr>
        <w:t xml:space="preserve"> </w:t>
      </w:r>
      <w:r w:rsidRPr="00C53F8C">
        <w:rPr>
          <w:rFonts w:eastAsia="Calibri"/>
        </w:rPr>
        <w:t>is a set consisting of forest residues and pulpwood.</w:t>
      </w:r>
      <w:r w:rsidR="00DD2980" w:rsidRPr="00C53F8C">
        <w:rPr>
          <w:rFonts w:eastAsia="Calibri"/>
        </w:rPr>
        <w:t xml:space="preserve"> The </w:t>
      </w:r>
      <w:r w:rsidR="00D42EDF">
        <w:rPr>
          <w:rFonts w:eastAsia="Calibri"/>
        </w:rPr>
        <w:t>last</w:t>
      </w:r>
      <w:r w:rsidR="00D42EDF" w:rsidRPr="00C53F8C">
        <w:rPr>
          <w:rFonts w:eastAsia="Calibri"/>
        </w:rPr>
        <w:t xml:space="preserve"> </w:t>
      </w:r>
      <w:r w:rsidR="00DD2980" w:rsidRPr="00C53F8C">
        <w:rPr>
          <w:rFonts w:eastAsia="Calibri"/>
        </w:rPr>
        <w:t xml:space="preserve">term </w:t>
      </w:r>
      <w:r w:rsidR="00D42EDF">
        <w:rPr>
          <w:rFonts w:eastAsia="Calibri"/>
        </w:rPr>
        <w:t xml:space="preserve">in thirteenth line </w:t>
      </w:r>
      <w:r w:rsidRPr="00C53F8C">
        <w:rPr>
          <w:rFonts w:eastAsia="Calibri"/>
        </w:rPr>
        <w:t xml:space="preserve">includes the costs associated with livestock activities, where </w:t>
      </w:r>
      <m:oMath>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lc</m:t>
            </m:r>
          </m:sub>
        </m:sSub>
      </m:oMath>
      <w:r w:rsidRPr="00C53F8C">
        <w:rPr>
          <w:rFonts w:eastAsia="Calibri"/>
        </w:rPr>
        <w:t xml:space="preserve"> denotes the cost per unit of livestock category </w:t>
      </w:r>
      <w:r w:rsidR="00CA7805">
        <w:rPr>
          <w:rFonts w:eastAsia="Calibri"/>
          <w:i/>
        </w:rPr>
        <w:t>lc</w:t>
      </w:r>
      <w:r w:rsidR="00CA7805" w:rsidRPr="00C53F8C">
        <w:rPr>
          <w:rFonts w:eastAsia="Calibri"/>
        </w:rPr>
        <w:t xml:space="preserve"> </w:t>
      </w:r>
      <w:r w:rsidRPr="00C53F8C">
        <w:rPr>
          <w:rFonts w:eastAsia="Calibri"/>
        </w:rPr>
        <w:t xml:space="preserve">(again employing Leontief production functions), which is assumed to be the same across all regions. Variable </w:t>
      </w:r>
      <m:oMath>
        <m:r>
          <w:rPr>
            <w:rFonts w:ascii="Cambria Math" w:eastAsia="Calibri" w:hAnsi="Cambria Math"/>
          </w:rPr>
          <m:t>LI</m:t>
        </m:r>
        <m:sSub>
          <m:sSubPr>
            <m:ctrlPr>
              <w:rPr>
                <w:rFonts w:ascii="Cambria Math" w:eastAsia="Calibri" w:hAnsi="Cambria Math"/>
                <w:i/>
              </w:rPr>
            </m:ctrlPr>
          </m:sSubPr>
          <m:e>
            <m:r>
              <w:rPr>
                <w:rFonts w:ascii="Cambria Math" w:eastAsia="Calibri" w:hAnsi="Cambria Math"/>
              </w:rPr>
              <m:t>V</m:t>
            </m:r>
          </m:e>
          <m:sub>
            <m:r>
              <w:rPr>
                <w:rFonts w:ascii="Cambria Math" w:eastAsia="Calibri" w:hAnsi="Cambria Math"/>
              </w:rPr>
              <m:t>t,lc</m:t>
            </m:r>
          </m:sub>
        </m:sSub>
      </m:oMath>
      <w:r w:rsidRPr="00C53F8C">
        <w:rPr>
          <w:rFonts w:eastAsia="Calibri"/>
        </w:rPr>
        <w:t xml:space="preserve"> represents the quantity of livestock </w:t>
      </w:r>
      <w:r w:rsidR="00CA7805">
        <w:rPr>
          <w:rFonts w:eastAsia="Calibri"/>
          <w:i/>
        </w:rPr>
        <w:t>lc</w:t>
      </w:r>
      <w:r w:rsidR="00CA7805" w:rsidRPr="00C53F8C">
        <w:rPr>
          <w:rFonts w:eastAsia="Calibri"/>
        </w:rPr>
        <w:t xml:space="preserve"> </w:t>
      </w:r>
      <w:r w:rsidRPr="00C53F8C">
        <w:rPr>
          <w:rFonts w:eastAsia="Calibri"/>
        </w:rPr>
        <w:t xml:space="preserve">processed in year </w:t>
      </w:r>
      <w:r w:rsidRPr="00C53F8C">
        <w:rPr>
          <w:rFonts w:eastAsia="Calibri"/>
          <w:i/>
        </w:rPr>
        <w:t>t</w:t>
      </w:r>
      <w:r w:rsidRPr="00C53F8C">
        <w:rPr>
          <w:rFonts w:eastAsia="Calibri"/>
        </w:rPr>
        <w:t xml:space="preserve">. </w:t>
      </w:r>
    </w:p>
    <w:p w14:paraId="3E69252A" w14:textId="77777777" w:rsidR="007E7825" w:rsidRDefault="007E7825" w:rsidP="00D42EDF">
      <w:pPr>
        <w:spacing w:after="0" w:line="240" w:lineRule="auto"/>
        <w:ind w:firstLine="720"/>
        <w:rPr>
          <w:rFonts w:eastAsia="Calibri"/>
        </w:rPr>
      </w:pPr>
    </w:p>
    <w:p w14:paraId="2F7DB25C" w14:textId="6A8FEEE6" w:rsidR="006F0909" w:rsidRDefault="006F0909" w:rsidP="00DD2980">
      <w:pPr>
        <w:spacing w:after="0" w:line="240" w:lineRule="auto"/>
        <w:ind w:firstLine="720"/>
        <w:rPr>
          <w:rFonts w:eastAsia="Calibri"/>
        </w:rPr>
      </w:pPr>
      <w:r w:rsidRPr="00C53F8C">
        <w:rPr>
          <w:rFonts w:eastAsia="Calibri"/>
        </w:rPr>
        <w:t xml:space="preserve">The </w:t>
      </w:r>
      <w:r w:rsidR="00CA7805">
        <w:rPr>
          <w:rFonts w:eastAsia="Calibri"/>
        </w:rPr>
        <w:t>first</w:t>
      </w:r>
      <w:r w:rsidRPr="00C53F8C">
        <w:rPr>
          <w:rFonts w:eastAsia="Calibri"/>
        </w:rPr>
        <w:t xml:space="preserve"> term </w:t>
      </w:r>
      <w:r w:rsidR="00CA7805">
        <w:rPr>
          <w:rFonts w:eastAsia="Calibri"/>
        </w:rPr>
        <w:t xml:space="preserve">of the fourteenth line </w:t>
      </w:r>
      <w:r w:rsidRPr="00C53F8C">
        <w:rPr>
          <w:rFonts w:eastAsia="Calibri"/>
        </w:rPr>
        <w:t xml:space="preserve">represents the total cost of converting primary crops (corn, soybeans, </w:t>
      </w:r>
      <w:proofErr w:type="gramStart"/>
      <w:r w:rsidRPr="00C53F8C">
        <w:rPr>
          <w:rFonts w:eastAsia="Calibri"/>
        </w:rPr>
        <w:t>sugarcane</w:t>
      </w:r>
      <w:proofErr w:type="gramEnd"/>
      <w:r w:rsidRPr="00C53F8C">
        <w:rPr>
          <w:rFonts w:eastAsia="Calibri"/>
        </w:rPr>
        <w:t xml:space="preserve"> and sugar beet) to secondary (processed) commodities (oils, soymeal, refined sugar, and HFCS). The amount of processed primary crop </w:t>
      </w:r>
      <w:r w:rsidR="00CA7805">
        <w:rPr>
          <w:rFonts w:eastAsia="Calibri"/>
          <w:i/>
        </w:rPr>
        <w:t>cc</w:t>
      </w:r>
      <w:r w:rsidRPr="00C53F8C">
        <w:rPr>
          <w:rFonts w:eastAsia="Calibri"/>
        </w:rPr>
        <w:t xml:space="preserve"> in year </w:t>
      </w:r>
      <w:r w:rsidRPr="00C53F8C">
        <w:rPr>
          <w:rFonts w:eastAsia="Calibri"/>
          <w:i/>
        </w:rPr>
        <w:t>t</w:t>
      </w:r>
      <w:r w:rsidRPr="00C53F8C">
        <w:rPr>
          <w:rFonts w:eastAsia="Calibri"/>
        </w:rPr>
        <w:t xml:space="preserve"> is denoted by </w:t>
      </w:r>
      <m:oMath>
        <m:r>
          <w:rPr>
            <w:rFonts w:ascii="Cambria Math" w:eastAsia="Calibri" w:hAnsi="Cambria Math"/>
          </w:rPr>
          <m:t>P</m:t>
        </m:r>
        <m:sSub>
          <m:sSubPr>
            <m:ctrlPr>
              <w:rPr>
                <w:rFonts w:ascii="Cambria Math" w:eastAsia="Calibri" w:hAnsi="Cambria Math"/>
                <w:i/>
              </w:rPr>
            </m:ctrlPr>
          </m:sSubPr>
          <m:e>
            <m:r>
              <w:rPr>
                <w:rFonts w:ascii="Cambria Math" w:eastAsia="Calibri" w:hAnsi="Cambria Math"/>
              </w:rPr>
              <m:t>RO</m:t>
            </m:r>
          </m:e>
          <m:sub>
            <m:r>
              <w:rPr>
                <w:rFonts w:ascii="Cambria Math" w:eastAsia="Calibri" w:hAnsi="Cambria Math"/>
              </w:rPr>
              <m:t>t,cc</m:t>
            </m:r>
          </m:sub>
        </m:sSub>
      </m:oMath>
      <w:r w:rsidRPr="00C53F8C">
        <w:rPr>
          <w:rFonts w:eastAsia="Calibri"/>
        </w:rPr>
        <w:t xml:space="preserve">, and </w:t>
      </w:r>
      <m:oMath>
        <m:r>
          <w:rPr>
            <w:rFonts w:ascii="Cambria Math" w:eastAsia="Calibri" w:hAnsi="Cambria Math"/>
          </w:rPr>
          <m:t>s</m:t>
        </m:r>
        <m:sSub>
          <m:sSubPr>
            <m:ctrlPr>
              <w:rPr>
                <w:rFonts w:ascii="Cambria Math" w:eastAsia="Calibri" w:hAnsi="Cambria Math"/>
                <w:i/>
              </w:rPr>
            </m:ctrlPr>
          </m:sSubPr>
          <m:e>
            <m:r>
              <w:rPr>
                <w:rFonts w:ascii="Cambria Math" w:eastAsia="Calibri" w:hAnsi="Cambria Math"/>
              </w:rPr>
              <m:t>c</m:t>
            </m:r>
          </m:e>
          <m:sub>
            <m:r>
              <w:rPr>
                <w:rFonts w:ascii="Cambria Math" w:eastAsia="Calibri" w:hAnsi="Cambria Math"/>
              </w:rPr>
              <m:t>cc</m:t>
            </m:r>
          </m:sub>
        </m:sSub>
      </m:oMath>
      <w:r w:rsidRPr="00C53F8C">
        <w:rPr>
          <w:rFonts w:eastAsia="Calibri"/>
        </w:rPr>
        <w:t xml:space="preserve"> denotes the processing cost per unit. The next two terms represent the processing costs of corn and cellulosic ethanol in the refinery, namely </w:t>
      </w:r>
      <m:oMath>
        <m:r>
          <w:rPr>
            <w:rFonts w:ascii="Cambria Math" w:eastAsia="Calibri" w:hAnsi="Cambria Math"/>
          </w:rPr>
          <m:t>E</m:t>
        </m:r>
        <m:sSub>
          <m:sSubPr>
            <m:ctrlPr>
              <w:rPr>
                <w:rFonts w:ascii="Cambria Math" w:eastAsia="Calibri" w:hAnsi="Cambria Math"/>
                <w:i/>
              </w:rPr>
            </m:ctrlPr>
          </m:sSubPr>
          <m:e>
            <m:r>
              <w:rPr>
                <w:rFonts w:ascii="Cambria Math" w:eastAsia="Calibri" w:hAnsi="Cambria Math"/>
              </w:rPr>
              <m:t>TH</m:t>
            </m:r>
          </m:e>
          <m:sub>
            <m:r>
              <w:rPr>
                <w:rFonts w:ascii="Cambria Math" w:eastAsia="Calibri" w:hAnsi="Cambria Math"/>
              </w:rPr>
              <m:t>t,c</m:t>
            </m:r>
          </m:sub>
        </m:sSub>
      </m:oMath>
      <w:r w:rsidRPr="00C53F8C">
        <w:rPr>
          <w:rFonts w:eastAsia="Calibri"/>
        </w:rPr>
        <w:t xml:space="preserve"> and </w:t>
      </w:r>
      <m:oMath>
        <m:r>
          <w:rPr>
            <w:rFonts w:ascii="Cambria Math" w:eastAsia="Calibri" w:hAnsi="Cambria Math"/>
          </w:rPr>
          <m:t>E</m:t>
        </m:r>
        <m:sSub>
          <m:sSubPr>
            <m:ctrlPr>
              <w:rPr>
                <w:rFonts w:ascii="Cambria Math" w:eastAsia="Calibri" w:hAnsi="Cambria Math"/>
                <w:i/>
              </w:rPr>
            </m:ctrlPr>
          </m:sSubPr>
          <m:e>
            <m:r>
              <w:rPr>
                <w:rFonts w:ascii="Cambria Math" w:eastAsia="Calibri" w:hAnsi="Cambria Math"/>
              </w:rPr>
              <m:t>TH</m:t>
            </m:r>
          </m:e>
          <m:sub>
            <m:r>
              <w:rPr>
                <w:rFonts w:ascii="Cambria Math" w:eastAsia="Calibri" w:hAnsi="Cambria Math"/>
              </w:rPr>
              <m:t>t,b</m:t>
            </m:r>
          </m:sub>
        </m:sSub>
      </m:oMath>
      <w:r w:rsidRPr="00C53F8C">
        <w:rPr>
          <w:rFonts w:eastAsia="Calibri"/>
        </w:rPr>
        <w:t xml:space="preserve">, followed by two terms representing the processing costs of biodiesel produced from biomass (denoted by </w:t>
      </w:r>
      <m:oMath>
        <m:r>
          <w:rPr>
            <w:rFonts w:ascii="Cambria Math" w:eastAsia="Calibri" w:hAnsi="Cambria Math"/>
          </w:rPr>
          <m:t>BT</m:t>
        </m:r>
        <m:sSub>
          <m:sSubPr>
            <m:ctrlPr>
              <w:rPr>
                <w:rFonts w:ascii="Cambria Math" w:eastAsia="Calibri" w:hAnsi="Cambria Math"/>
                <w:i/>
              </w:rPr>
            </m:ctrlPr>
          </m:sSubPr>
          <m:e>
            <m:r>
              <w:rPr>
                <w:rFonts w:ascii="Cambria Math" w:eastAsia="Calibri" w:hAnsi="Cambria Math"/>
              </w:rPr>
              <m:t>L</m:t>
            </m:r>
          </m:e>
          <m:sub>
            <m:r>
              <w:rPr>
                <w:rFonts w:ascii="Cambria Math" w:eastAsia="Calibri" w:hAnsi="Cambria Math"/>
              </w:rPr>
              <m:t>t</m:t>
            </m:r>
          </m:sub>
        </m:sSub>
      </m:oMath>
      <w:r w:rsidRPr="00C53F8C">
        <w:rPr>
          <w:rFonts w:eastAsia="Calibri"/>
        </w:rPr>
        <w:t xml:space="preserve">) and vegetable oils (denoted by </w:t>
      </w:r>
      <m:oMath>
        <m:r>
          <w:rPr>
            <w:rFonts w:ascii="Cambria Math" w:eastAsia="Calibri" w:hAnsi="Cambria Math"/>
          </w:rPr>
          <m:t>OILDS</m:t>
        </m:r>
        <m:sSub>
          <m:sSubPr>
            <m:ctrlPr>
              <w:rPr>
                <w:rFonts w:ascii="Cambria Math" w:eastAsia="Calibri" w:hAnsi="Cambria Math"/>
                <w:i/>
              </w:rPr>
            </m:ctrlPr>
          </m:sSubPr>
          <m:e>
            <m:r>
              <w:rPr>
                <w:rFonts w:ascii="Cambria Math" w:eastAsia="Calibri" w:hAnsi="Cambria Math"/>
              </w:rPr>
              <m:t>L</m:t>
            </m:r>
          </m:e>
          <m:sub>
            <m:r>
              <w:rPr>
                <w:rFonts w:ascii="Cambria Math" w:eastAsia="Calibri" w:hAnsi="Cambria Math"/>
              </w:rPr>
              <m:t>t,j</m:t>
            </m:r>
          </m:sub>
        </m:sSub>
      </m:oMath>
      <w:r w:rsidRPr="00C53F8C">
        <w:rPr>
          <w:rFonts w:eastAsia="Calibri"/>
        </w:rPr>
        <w:t>).</w:t>
      </w:r>
      <w:r w:rsidRPr="00F84713">
        <w:rPr>
          <w:rFonts w:eastAsia="Calibri"/>
        </w:rPr>
        <w:t xml:space="preserve"> </w:t>
      </w:r>
    </w:p>
    <w:p w14:paraId="43F1F092" w14:textId="77777777" w:rsidR="008F4658" w:rsidRPr="00E83A60" w:rsidRDefault="008F4658" w:rsidP="00D82C80">
      <w:pPr>
        <w:spacing w:after="0" w:line="240" w:lineRule="auto"/>
        <w:ind w:firstLine="720"/>
        <w:rPr>
          <w:rFonts w:eastAsia="Calibri"/>
        </w:rPr>
      </w:pPr>
    </w:p>
    <w:p w14:paraId="5432FD8E" w14:textId="4D65197E" w:rsidR="00CA7805" w:rsidRPr="008F4658" w:rsidRDefault="00CA7805" w:rsidP="008F4658">
      <w:pPr>
        <w:pStyle w:val="Heading4"/>
        <w:numPr>
          <w:ilvl w:val="0"/>
          <w:numId w:val="0"/>
        </w:numPr>
        <w:spacing w:before="0" w:line="240" w:lineRule="auto"/>
        <w:ind w:left="864" w:hanging="864"/>
        <w:rPr>
          <w:b/>
          <w:bCs/>
        </w:rPr>
      </w:pPr>
      <w:r w:rsidRPr="008F4658">
        <w:rPr>
          <w:b/>
          <w:bCs/>
        </w:rPr>
        <w:t xml:space="preserve">A.1.1.4 </w:t>
      </w:r>
      <w:r w:rsidR="00E83A60">
        <w:rPr>
          <w:b/>
          <w:bCs/>
        </w:rPr>
        <w:t>Terminal</w:t>
      </w:r>
      <w:r w:rsidR="00B92A3A">
        <w:rPr>
          <w:b/>
          <w:bCs/>
        </w:rPr>
        <w:t xml:space="preserve"> V</w:t>
      </w:r>
      <w:r w:rsidRPr="008F4658">
        <w:rPr>
          <w:b/>
          <w:bCs/>
        </w:rPr>
        <w:t xml:space="preserve">alue of </w:t>
      </w:r>
      <w:r w:rsidR="00B92A3A">
        <w:rPr>
          <w:b/>
          <w:bCs/>
        </w:rPr>
        <w:t>V</w:t>
      </w:r>
      <w:r w:rsidRPr="008F4658">
        <w:rPr>
          <w:b/>
          <w:bCs/>
        </w:rPr>
        <w:t xml:space="preserve">ehicles and </w:t>
      </w:r>
      <w:r w:rsidR="00B92A3A">
        <w:rPr>
          <w:b/>
          <w:bCs/>
        </w:rPr>
        <w:t>L</w:t>
      </w:r>
      <w:r w:rsidRPr="008F4658">
        <w:rPr>
          <w:b/>
          <w:bCs/>
        </w:rPr>
        <w:t>and</w:t>
      </w:r>
    </w:p>
    <w:p w14:paraId="7F1B11C3" w14:textId="150140E8" w:rsidR="004A1985" w:rsidRPr="00C53F8C" w:rsidRDefault="006F0909" w:rsidP="00971296">
      <w:pPr>
        <w:spacing w:after="0" w:line="240" w:lineRule="auto"/>
        <w:ind w:firstLine="720"/>
        <w:rPr>
          <w:rFonts w:eastAsia="Calibri"/>
        </w:rPr>
      </w:pPr>
      <w:r w:rsidRPr="00F84713">
        <w:rPr>
          <w:rFonts w:eastAsia="Calibri"/>
        </w:rPr>
        <w:t xml:space="preserve">Finally, </w:t>
      </w:r>
      <w:r w:rsidR="00DD2980">
        <w:rPr>
          <w:rFonts w:eastAsia="Calibri"/>
        </w:rPr>
        <w:t>the last two ter</w:t>
      </w:r>
      <w:r w:rsidR="00924DE8">
        <w:rPr>
          <w:rFonts w:eastAsia="Calibri"/>
        </w:rPr>
        <w:t>m</w:t>
      </w:r>
      <w:r w:rsidR="00F10D5B">
        <w:rPr>
          <w:rFonts w:eastAsia="Calibri"/>
        </w:rPr>
        <w:t>s</w:t>
      </w:r>
      <w:r w:rsidR="00DD2980">
        <w:rPr>
          <w:rFonts w:eastAsia="Calibri"/>
        </w:rPr>
        <w:t xml:space="preserve"> </w:t>
      </w:r>
      <w:r w:rsidR="00CA7805">
        <w:rPr>
          <w:rFonts w:eastAsia="Calibri"/>
        </w:rPr>
        <w:t>of equation 1</w:t>
      </w:r>
      <w:r w:rsidR="00736925">
        <w:rPr>
          <w:rFonts w:eastAsia="Calibri"/>
        </w:rPr>
        <w:t xml:space="preserve"> in line 16</w:t>
      </w:r>
      <w:r w:rsidR="00CA7805">
        <w:rPr>
          <w:rFonts w:eastAsia="Calibri"/>
        </w:rPr>
        <w:t xml:space="preserve"> </w:t>
      </w:r>
      <w:r w:rsidR="00DD2980">
        <w:rPr>
          <w:rFonts w:eastAsia="Calibri"/>
        </w:rPr>
        <w:t>represen</w:t>
      </w:r>
      <w:r w:rsidR="00F10D5B">
        <w:rPr>
          <w:rFonts w:eastAsia="Calibri"/>
        </w:rPr>
        <w:t>t</w:t>
      </w:r>
      <w:r w:rsidR="00DD2980">
        <w:rPr>
          <w:rFonts w:eastAsia="Calibri"/>
        </w:rPr>
        <w:t xml:space="preserve"> the </w:t>
      </w:r>
      <w:r w:rsidR="00DD2980" w:rsidRPr="00C17580">
        <w:t xml:space="preserve">depreciated scrappage </w:t>
      </w:r>
      <w:r w:rsidR="00DD2980">
        <w:rPr>
          <w:rFonts w:eastAsia="Calibri"/>
        </w:rPr>
        <w:t xml:space="preserve">value of the </w:t>
      </w:r>
      <w:r w:rsidR="00DD2980" w:rsidRPr="00C17580">
        <w:t>vehicles still drivable before reaching the assumed age span of 24 years</w:t>
      </w:r>
      <w:r w:rsidR="00DD2980" w:rsidRPr="00C17580">
        <w:rPr>
          <w:rStyle w:val="FootnoteReference"/>
        </w:rPr>
        <w:t xml:space="preserve"> </w:t>
      </w:r>
      <w:r w:rsidR="00DD2980" w:rsidRPr="008312A5">
        <w:rPr>
          <w:rStyle w:val="FootnoteReference"/>
        </w:rPr>
        <w:footnoteReference w:id="3"/>
      </w:r>
      <w:r w:rsidR="00DD2980" w:rsidRPr="00C17580">
        <w:t xml:space="preserve"> </w:t>
      </w:r>
      <w:r w:rsidR="00924DE8">
        <w:t xml:space="preserve">and </w:t>
      </w:r>
      <w:r w:rsidR="00DD2980" w:rsidRPr="00C17580">
        <w:t xml:space="preserve">by the end of the simulation period </w:t>
      </w:r>
      <w:r w:rsidR="00DD2980" w:rsidRPr="00C17580">
        <w:rPr>
          <w:i/>
        </w:rPr>
        <w:t>T</w:t>
      </w:r>
      <w:r w:rsidR="00CA7805" w:rsidRPr="00CA7805">
        <w:rPr>
          <w:iCs/>
        </w:rPr>
        <w:t>, as</w:t>
      </w:r>
      <w:r w:rsidR="00CA7805">
        <w:t xml:space="preserve"> well as the </w:t>
      </w:r>
      <w:r w:rsidR="00CA7805" w:rsidRPr="00F84713">
        <w:rPr>
          <w:rFonts w:eastAsia="Calibri"/>
        </w:rPr>
        <w:t>remaining economic life of standing perennial grasses</w:t>
      </w:r>
      <w:r w:rsidR="00DD2980" w:rsidRPr="00C17580">
        <w:t xml:space="preserve">. </w:t>
      </w:r>
      <w:r w:rsidR="00CA7805">
        <w:t>In t</w:t>
      </w:r>
      <w:r w:rsidR="00CD279B">
        <w:t>erms of the</w:t>
      </w:r>
      <w:r w:rsidR="00CA7805">
        <w:t xml:space="preserve"> scrappage value of vehicles, t</w:t>
      </w:r>
      <w:r w:rsidR="00DD2980">
        <w:t xml:space="preserve">he coefficient </w:t>
      </w:r>
      <w:r w:rsidR="00DD2980">
        <w:rPr>
          <w:i/>
        </w:rPr>
        <w:t>β</w:t>
      </w:r>
      <w:r w:rsidR="00DD2980">
        <w:t xml:space="preserve"> represents the vehicle market value loss once the vehicle leaves the dealer lot (85% in this study). The depreciation factor </w:t>
      </w:r>
      <w:r w:rsidR="00DD2980">
        <w:rPr>
          <w:position w:val="-12"/>
        </w:rPr>
        <w:object w:dxaOrig="300" w:dyaOrig="315" w14:anchorId="1F0A18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pt;height:22.3pt" o:ole="">
            <v:imagedata r:id="rId10" o:title=""/>
          </v:shape>
          <o:OLEObject Type="Embed" ProgID="Equation.DSMT4" ShapeID="_x0000_i1025" DrawAspect="Content" ObjectID="_1776823757" r:id="rId11"/>
        </w:object>
      </w:r>
      <w:r w:rsidR="00DD2980">
        <w:t xml:space="preserve"> is caused by aging problems after </w:t>
      </w:r>
      <w:r w:rsidR="00DD2980">
        <w:rPr>
          <w:i/>
        </w:rPr>
        <w:t>a</w:t>
      </w:r>
      <w:r w:rsidR="00DD2980">
        <w:t xml:space="preserve"> years of wear and tear (National Automobile Dealers Association, 2014). These multipliers are applied to the original purchase price at </w:t>
      </w:r>
      <m:oMath>
        <m:sSub>
          <m:sSubPr>
            <m:ctrlPr>
              <w:rPr>
                <w:rFonts w:ascii="Cambria Math" w:hAnsi="Cambria Math" w:cstheme="minorBidi"/>
                <w:i/>
              </w:rPr>
            </m:ctrlPr>
          </m:sSubPr>
          <m:e>
            <m:r>
              <w:rPr>
                <w:rFonts w:ascii="Cambria Math" w:hAnsi="Cambria Math"/>
              </w:rPr>
              <m:t>ϕ</m:t>
            </m:r>
          </m:e>
          <m:sub>
            <m:r>
              <w:rPr>
                <w:rFonts w:ascii="Cambria Math" w:hAnsi="Cambria Math"/>
              </w:rPr>
              <m:t>t,v</m:t>
            </m:r>
          </m:sub>
        </m:sSub>
      </m:oMath>
      <w:r w:rsidR="00DD2980">
        <w:t xml:space="preserve"> of each powertrain </w:t>
      </w:r>
      <w:proofErr w:type="spellStart"/>
      <w:r w:rsidR="00DD2980" w:rsidRPr="008F4658">
        <w:rPr>
          <w:i/>
          <w:iCs/>
        </w:rPr>
        <w:t>v</w:t>
      </w:r>
      <w:r w:rsidR="00CD279B">
        <w:rPr>
          <w:i/>
          <w:iCs/>
        </w:rPr>
        <w:t xml:space="preserve"> </w:t>
      </w:r>
      <w:r w:rsidR="00CD279B" w:rsidRPr="00CD279B">
        <w:t>at</w:t>
      </w:r>
      <w:proofErr w:type="spellEnd"/>
      <w:r w:rsidR="00CD279B" w:rsidRPr="00CD279B">
        <w:t xml:space="preserve"> </w:t>
      </w:r>
      <w:r w:rsidR="00CD279B">
        <w:t xml:space="preserve">year </w:t>
      </w:r>
      <w:r w:rsidR="00CD279B" w:rsidRPr="00CD279B">
        <w:t>t</w:t>
      </w:r>
      <w:r w:rsidR="00DD2980">
        <w:t>. T</w:t>
      </w:r>
      <w:r w:rsidRPr="00F84713">
        <w:rPr>
          <w:rFonts w:eastAsia="Calibri"/>
        </w:rPr>
        <w:t xml:space="preserve">he </w:t>
      </w:r>
      <w:r w:rsidR="00DD2980">
        <w:rPr>
          <w:rFonts w:eastAsia="Calibri"/>
        </w:rPr>
        <w:t xml:space="preserve">very last </w:t>
      </w:r>
      <w:r w:rsidRPr="00F84713">
        <w:rPr>
          <w:rFonts w:eastAsia="Calibri"/>
        </w:rPr>
        <w:t xml:space="preserve">term </w:t>
      </w:r>
      <w:r>
        <w:rPr>
          <w:rFonts w:eastAsia="Calibri"/>
        </w:rPr>
        <w:t xml:space="preserve">of </w:t>
      </w:r>
      <w:r w:rsidR="00CD279B">
        <w:rPr>
          <w:rFonts w:eastAsia="Calibri"/>
        </w:rPr>
        <w:t xml:space="preserve">the </w:t>
      </w:r>
      <w:r>
        <w:rPr>
          <w:rFonts w:eastAsia="Calibri"/>
        </w:rPr>
        <w:t xml:space="preserve">last line </w:t>
      </w:r>
      <w:r w:rsidRPr="00F84713">
        <w:rPr>
          <w:rFonts w:eastAsia="Calibri"/>
        </w:rPr>
        <w:t xml:space="preserve">reflects the value of the remaining economic life of standing perennial grasses beyond the planning period </w:t>
      </w:r>
      <w:r w:rsidRPr="00F84713">
        <w:rPr>
          <w:rFonts w:eastAsia="Calibri"/>
          <w:i/>
        </w:rPr>
        <w:t>T</w:t>
      </w:r>
      <w:r w:rsidRPr="00F84713">
        <w:rPr>
          <w:rFonts w:eastAsia="Calibri"/>
        </w:rPr>
        <w:t xml:space="preserve">, denoted by </w:t>
      </w:r>
      <m:oMath>
        <m:sSub>
          <m:sSubPr>
            <m:ctrlPr>
              <w:rPr>
                <w:rFonts w:ascii="Cambria Math" w:eastAsia="Calibri" w:hAnsi="Cambria Math"/>
                <w:i/>
              </w:rPr>
            </m:ctrlPr>
          </m:sSubPr>
          <m:e>
            <m:r>
              <w:rPr>
                <w:rFonts w:ascii="Cambria Math" w:eastAsia="Calibri" w:hAnsi="Cambria Math"/>
              </w:rPr>
              <m:t>vl</m:t>
            </m:r>
          </m:e>
          <m:sub>
            <m:r>
              <w:rPr>
                <w:rFonts w:ascii="Cambria Math" w:eastAsia="Calibri" w:hAnsi="Cambria Math"/>
              </w:rPr>
              <m:t>r,p</m:t>
            </m:r>
          </m:sub>
        </m:sSub>
      </m:oMath>
      <w:r w:rsidRPr="00F84713">
        <w:rPr>
          <w:rFonts w:eastAsia="Calibri"/>
        </w:rPr>
        <w:t xml:space="preserve">, net of the return from the most profitable cropping alternative in region </w:t>
      </w:r>
      <w:r w:rsidRPr="00F84713">
        <w:rPr>
          <w:rFonts w:eastAsia="Calibri"/>
          <w:i/>
        </w:rPr>
        <w:t>r</w:t>
      </w:r>
      <w:r w:rsidRPr="00F84713">
        <w:rPr>
          <w:rFonts w:eastAsia="Calibri"/>
        </w:rPr>
        <w:t xml:space="preserve">, denoted by </w:t>
      </w:r>
      <m:oMath>
        <m:sSub>
          <m:sSubPr>
            <m:ctrlPr>
              <w:rPr>
                <w:rFonts w:ascii="Cambria Math" w:eastAsia="Calibri" w:hAnsi="Cambria Math"/>
                <w:i/>
              </w:rPr>
            </m:ctrlPr>
          </m:sSubPr>
          <m:e>
            <m:r>
              <w:rPr>
                <w:rFonts w:ascii="Cambria Math" w:eastAsia="Calibri" w:hAnsi="Cambria Math"/>
              </w:rPr>
              <m:t>wl</m:t>
            </m:r>
          </m:e>
          <m:sub>
            <m:r>
              <w:rPr>
                <w:rFonts w:ascii="Cambria Math" w:eastAsia="Calibri" w:hAnsi="Cambria Math"/>
              </w:rPr>
              <m:t>r</m:t>
            </m:r>
          </m:sub>
        </m:sSub>
      </m:oMath>
      <w:r w:rsidRPr="00F84713">
        <w:rPr>
          <w:rFonts w:eastAsia="Calibri"/>
        </w:rPr>
        <w:t>. The latter is used to account for the opportunity cost of land.</w:t>
      </w:r>
      <w:r>
        <w:rPr>
          <w:rFonts w:eastAsia="Calibri"/>
        </w:rPr>
        <w:t xml:space="preserve"> </w:t>
      </w:r>
    </w:p>
    <w:p w14:paraId="1C98A27B" w14:textId="77777777" w:rsidR="004A1985" w:rsidRPr="00F84713" w:rsidRDefault="004A1985" w:rsidP="00C53F8C">
      <w:pPr>
        <w:spacing w:line="240" w:lineRule="auto"/>
        <w:ind w:firstLine="0"/>
        <w:rPr>
          <w:rFonts w:eastAsia="Calibri"/>
        </w:rPr>
      </w:pPr>
    </w:p>
    <w:p w14:paraId="6A963642" w14:textId="77777777" w:rsidR="0039200A" w:rsidRPr="008F4658" w:rsidRDefault="0039200A" w:rsidP="008F4658">
      <w:pPr>
        <w:pStyle w:val="ApendixA11"/>
        <w:ind w:hanging="990"/>
      </w:pPr>
      <w:r w:rsidRPr="00285ED8">
        <w:t>Constraints</w:t>
      </w:r>
    </w:p>
    <w:p w14:paraId="3753C647" w14:textId="6A35DEA7" w:rsidR="00971296" w:rsidRPr="00F84713" w:rsidRDefault="00971296" w:rsidP="00F56C9D">
      <w:pPr>
        <w:spacing w:after="0" w:line="240" w:lineRule="auto"/>
        <w:ind w:firstLine="720"/>
        <w:rPr>
          <w:rFonts w:eastAsia="Calibri"/>
        </w:rPr>
      </w:pPr>
      <w:r w:rsidRPr="00C76593">
        <w:rPr>
          <w:rFonts w:eastAsia="Calibri"/>
        </w:rPr>
        <w:t xml:space="preserve">The </w:t>
      </w:r>
      <w:r w:rsidR="00A51B04">
        <w:rPr>
          <w:rFonts w:eastAsia="Calibri"/>
        </w:rPr>
        <w:t>demand</w:t>
      </w:r>
      <w:r w:rsidR="00A51B04" w:rsidRPr="00C76593">
        <w:rPr>
          <w:rFonts w:eastAsia="Calibri"/>
        </w:rPr>
        <w:t xml:space="preserve"> </w:t>
      </w:r>
      <w:r w:rsidR="00A51B04">
        <w:rPr>
          <w:rFonts w:eastAsia="Calibri"/>
        </w:rPr>
        <w:t xml:space="preserve">for vehicle </w:t>
      </w:r>
      <w:r w:rsidRPr="00C76593">
        <w:rPr>
          <w:rFonts w:eastAsia="Calibri"/>
        </w:rPr>
        <w:t xml:space="preserve">kilometers </w:t>
      </w:r>
      <w:r w:rsidR="00A51B04">
        <w:rPr>
          <w:rFonts w:eastAsia="Calibri"/>
        </w:rPr>
        <w:t xml:space="preserve">driven </w:t>
      </w:r>
      <w:r w:rsidR="00A51B04" w:rsidRPr="00C76593">
        <w:rPr>
          <w:rFonts w:eastAsia="Calibri"/>
        </w:rPr>
        <w:t>(</w:t>
      </w:r>
      <w:r w:rsidR="00A51B04" w:rsidRPr="00A51B04">
        <w:rPr>
          <w:rFonts w:eastAsia="Calibri"/>
          <w:i/>
          <w:iCs/>
        </w:rPr>
        <w:t>VK</w:t>
      </w:r>
      <m:oMath>
        <m:sSub>
          <m:sSubPr>
            <m:ctrlPr>
              <w:rPr>
                <w:rFonts w:ascii="Cambria Math" w:hAnsi="Cambria Math"/>
                <w:i/>
              </w:rPr>
            </m:ctrlPr>
          </m:sSubPr>
          <m:e>
            <m:r>
              <w:rPr>
                <w:rFonts w:ascii="Cambria Math" w:hAnsi="Cambria Math"/>
              </w:rPr>
              <m:t>T</m:t>
            </m:r>
          </m:e>
          <m:sub>
            <m:r>
              <w:rPr>
                <w:rFonts w:ascii="Cambria Math" w:hAnsi="Cambria Math"/>
              </w:rPr>
              <m:t>t,v,r,md,a</m:t>
            </m:r>
          </m:sub>
        </m:sSub>
      </m:oMath>
      <w:r w:rsidR="00A51B04" w:rsidRPr="00C76593">
        <w:rPr>
          <w:rFonts w:eastAsia="Calibri"/>
        </w:rPr>
        <w:t>)</w:t>
      </w:r>
      <w:r w:rsidR="00D42EDF">
        <w:rPr>
          <w:rFonts w:eastAsia="Calibri"/>
        </w:rPr>
        <w:t xml:space="preserve"> </w:t>
      </w:r>
      <w:r w:rsidRPr="00C76593">
        <w:rPr>
          <w:rFonts w:eastAsia="Calibri"/>
        </w:rPr>
        <w:t xml:space="preserve">of </w:t>
      </w:r>
      <w:r w:rsidR="00F56C9D">
        <w:rPr>
          <w:rFonts w:eastAsia="Calibri"/>
        </w:rPr>
        <w:t>liquid fuel</w:t>
      </w:r>
      <w:r w:rsidRPr="00C76593">
        <w:rPr>
          <w:rFonts w:eastAsia="Calibri"/>
        </w:rPr>
        <w:t xml:space="preserve">-based vehicles </w:t>
      </w:r>
      <w:r w:rsidR="00A51B04">
        <w:rPr>
          <w:rFonts w:eastAsia="Calibri"/>
        </w:rPr>
        <w:t xml:space="preserve">type </w:t>
      </w:r>
      <w:r w:rsidR="00A51B04" w:rsidRPr="008F4658">
        <w:rPr>
          <w:rFonts w:eastAsia="Calibri"/>
          <w:i/>
          <w:iCs/>
        </w:rPr>
        <w:t>v</w:t>
      </w:r>
      <w:r w:rsidR="00A51B04">
        <w:rPr>
          <w:rFonts w:eastAsia="Calibri"/>
        </w:rPr>
        <w:t xml:space="preserve"> with </w:t>
      </w:r>
      <w:r w:rsidR="00FD1148">
        <w:rPr>
          <w:rFonts w:eastAsia="Calibri"/>
        </w:rPr>
        <w:t xml:space="preserve">driving </w:t>
      </w:r>
      <w:r w:rsidR="00A51B04">
        <w:rPr>
          <w:rFonts w:eastAsia="Calibri"/>
        </w:rPr>
        <w:t xml:space="preserve">demand group of </w:t>
      </w:r>
      <w:r w:rsidR="00A51B04" w:rsidRPr="008F4658">
        <w:rPr>
          <w:rFonts w:eastAsia="Calibri"/>
          <w:i/>
          <w:iCs/>
        </w:rPr>
        <w:t>md</w:t>
      </w:r>
      <w:r w:rsidR="00A51B04">
        <w:rPr>
          <w:rFonts w:eastAsia="Calibri"/>
        </w:rPr>
        <w:t xml:space="preserve"> of </w:t>
      </w:r>
      <w:r w:rsidR="00FD1148">
        <w:rPr>
          <w:rFonts w:eastAsia="Calibri"/>
        </w:rPr>
        <w:t xml:space="preserve">vehicle </w:t>
      </w:r>
      <w:r w:rsidR="00A51B04">
        <w:rPr>
          <w:rFonts w:eastAsia="Calibri"/>
        </w:rPr>
        <w:t xml:space="preserve">age </w:t>
      </w:r>
      <w:r w:rsidR="00A51B04" w:rsidRPr="008F4658">
        <w:rPr>
          <w:rFonts w:eastAsia="Calibri"/>
          <w:i/>
          <w:iCs/>
        </w:rPr>
        <w:t>a</w:t>
      </w:r>
      <w:r w:rsidR="00A51B04">
        <w:rPr>
          <w:rFonts w:eastAsia="Calibri"/>
        </w:rPr>
        <w:t xml:space="preserve"> in region </w:t>
      </w:r>
      <w:proofErr w:type="spellStart"/>
      <w:r w:rsidR="00A51B04" w:rsidRPr="008F4658">
        <w:rPr>
          <w:rFonts w:eastAsia="Calibri"/>
          <w:i/>
          <w:iCs/>
        </w:rPr>
        <w:t>r</w:t>
      </w:r>
      <w:r w:rsidR="00A51B04">
        <w:rPr>
          <w:rFonts w:eastAsia="Calibri"/>
        </w:rPr>
        <w:t xml:space="preserve"> at</w:t>
      </w:r>
      <w:proofErr w:type="spellEnd"/>
      <w:r w:rsidR="00A51B04">
        <w:rPr>
          <w:rFonts w:eastAsia="Calibri"/>
        </w:rPr>
        <w:t xml:space="preserve"> time </w:t>
      </w:r>
      <w:r w:rsidR="00A51B04" w:rsidRPr="008F4658">
        <w:rPr>
          <w:rFonts w:eastAsia="Calibri"/>
          <w:i/>
          <w:iCs/>
        </w:rPr>
        <w:t>t</w:t>
      </w:r>
      <w:r w:rsidR="00A51B04">
        <w:rPr>
          <w:rFonts w:eastAsia="Calibri"/>
        </w:rPr>
        <w:t xml:space="preserve"> </w:t>
      </w:r>
      <w:r w:rsidRPr="00C76593">
        <w:rPr>
          <w:rFonts w:eastAsia="Calibri"/>
        </w:rPr>
        <w:t>is</w:t>
      </w:r>
      <w:r w:rsidR="00A51B04">
        <w:rPr>
          <w:rFonts w:eastAsia="Calibri"/>
        </w:rPr>
        <w:t xml:space="preserve"> met by driving and consuming fuels of </w:t>
      </w:r>
      <w:r w:rsidR="00A51B04" w:rsidRPr="00C76593">
        <w:rPr>
          <w:rFonts w:eastAsia="Calibri"/>
        </w:rPr>
        <w:t>blended fuel of gasoline and ethanol</w:t>
      </w:r>
      <w:r w:rsidRPr="00C76593">
        <w:rPr>
          <w:rFonts w:eastAsia="Calibri"/>
        </w:rPr>
        <w:t xml:space="preserve"> formulated in equation </w:t>
      </w:r>
      <w:r w:rsidRPr="00C76593">
        <w:rPr>
          <w:rFonts w:eastAsia="Calibri"/>
        </w:rPr>
        <w:fldChar w:fldCharType="begin"/>
      </w:r>
      <w:r w:rsidRPr="00C76593">
        <w:rPr>
          <w:rFonts w:eastAsia="Calibri"/>
        </w:rPr>
        <w:instrText xml:space="preserve"> REF Eq2 \r \h  \* MERGEFORMAT </w:instrText>
      </w:r>
      <w:r w:rsidRPr="00C76593">
        <w:rPr>
          <w:rFonts w:eastAsia="Calibri"/>
        </w:rPr>
      </w:r>
      <w:r w:rsidRPr="00C76593">
        <w:rPr>
          <w:rFonts w:eastAsia="Calibri"/>
        </w:rPr>
        <w:fldChar w:fldCharType="separate"/>
      </w:r>
      <w:r w:rsidRPr="00C76593">
        <w:rPr>
          <w:rFonts w:eastAsia="Calibri"/>
        </w:rPr>
        <w:t>2</w:t>
      </w:r>
      <w:r w:rsidRPr="00C76593">
        <w:rPr>
          <w:rFonts w:eastAsia="Calibri"/>
        </w:rPr>
        <w:fldChar w:fldCharType="end"/>
      </w:r>
      <w:r w:rsidRPr="00C76593">
        <w:rPr>
          <w:rFonts w:eastAsia="Calibri"/>
        </w:rPr>
        <w:t xml:space="preserve"> below, where </w:t>
      </w:r>
      <m:oMath>
        <m:sSub>
          <m:sSubPr>
            <m:ctrlPr>
              <w:rPr>
                <w:rFonts w:ascii="Cambria Math" w:eastAsia="Calibri" w:hAnsi="Cambria Math"/>
                <w:i/>
              </w:rPr>
            </m:ctrlPr>
          </m:sSubPr>
          <m:e>
            <m:r>
              <w:rPr>
                <w:rFonts w:ascii="Cambria Math" w:eastAsia="Calibri" w:hAnsi="Cambria Math"/>
              </w:rPr>
              <m:t>E</m:t>
            </m:r>
          </m:e>
          <m:sub>
            <m:r>
              <w:rPr>
                <w:rFonts w:ascii="Cambria Math" w:eastAsia="Calibri" w:hAnsi="Cambria Math"/>
              </w:rPr>
              <m:t>t,v</m:t>
            </m:r>
          </m:sub>
        </m:sSub>
      </m:oMath>
      <w:r w:rsidRPr="00C76593">
        <w:rPr>
          <w:rFonts w:eastAsia="Calibri"/>
        </w:rPr>
        <w:t xml:space="preserve"> and </w:t>
      </w:r>
      <m:oMath>
        <m:sSub>
          <m:sSubPr>
            <m:ctrlPr>
              <w:rPr>
                <w:rFonts w:ascii="Cambria Math" w:eastAsia="Calibri" w:hAnsi="Cambria Math"/>
                <w:i/>
              </w:rPr>
            </m:ctrlPr>
          </m:sSubPr>
          <m:e>
            <m:r>
              <w:rPr>
                <w:rFonts w:ascii="Cambria Math" w:eastAsia="Calibri" w:hAnsi="Cambria Math"/>
              </w:rPr>
              <m:t>G</m:t>
            </m:r>
          </m:e>
          <m:sub>
            <m:r>
              <w:rPr>
                <w:rFonts w:ascii="Cambria Math" w:eastAsia="Calibri" w:hAnsi="Cambria Math"/>
              </w:rPr>
              <m:t>t,v</m:t>
            </m:r>
          </m:sub>
        </m:sSub>
      </m:oMath>
      <w:r w:rsidRPr="00C76593">
        <w:rPr>
          <w:rFonts w:eastAsia="Calibri"/>
        </w:rPr>
        <w:t xml:space="preserve"> represent the consumption of ethanol and gasoline for each type of vehicle and </w:t>
      </w:r>
      <m:oMath>
        <m:sSub>
          <m:sSubPr>
            <m:ctrlPr>
              <w:rPr>
                <w:rFonts w:ascii="Cambria Math" w:hAnsi="Cambria Math"/>
                <w:i/>
              </w:rPr>
            </m:ctrlPr>
          </m:sSubPr>
          <m:e>
            <m:r>
              <w:rPr>
                <w:rFonts w:ascii="Cambria Math" w:hAnsi="Cambria Math"/>
              </w:rPr>
              <m:t>γ</m:t>
            </m:r>
          </m:e>
          <m:sub>
            <m:r>
              <w:rPr>
                <w:rFonts w:ascii="Cambria Math" w:hAnsi="Cambria Math"/>
              </w:rPr>
              <m:t>t,v,a</m:t>
            </m:r>
          </m:sub>
        </m:sSub>
      </m:oMath>
      <w:r w:rsidRPr="00C76593">
        <w:rPr>
          <w:rFonts w:eastAsia="Calibri"/>
        </w:rPr>
        <w:t xml:space="preserve"> is the fuel efficiency (kilometers per liter). </w:t>
      </w:r>
      <w:r w:rsidR="00A51B04">
        <w:rPr>
          <w:rFonts w:eastAsia="Calibri"/>
        </w:rPr>
        <w:t xml:space="preserve">Ethanol is </w:t>
      </w:r>
      <w:r w:rsidR="00A51B04" w:rsidRPr="00C76593">
        <w:rPr>
          <w:rFonts w:eastAsia="Calibri"/>
        </w:rPr>
        <w:t>assumed to be substitutes</w:t>
      </w:r>
      <w:r w:rsidR="00736925" w:rsidRPr="00736925">
        <w:rPr>
          <w:rFonts w:eastAsia="Calibri"/>
        </w:rPr>
        <w:t xml:space="preserve"> </w:t>
      </w:r>
      <w:r w:rsidR="00736925" w:rsidRPr="00C76593">
        <w:rPr>
          <w:rFonts w:eastAsia="Calibri"/>
        </w:rPr>
        <w:t>of gasoline</w:t>
      </w:r>
      <w:r w:rsidR="00FD1148">
        <w:rPr>
          <w:rFonts w:eastAsia="Calibri"/>
        </w:rPr>
        <w:t>,</w:t>
      </w:r>
      <w:r w:rsidR="00A51B04" w:rsidRPr="00C76593">
        <w:rPr>
          <w:rFonts w:eastAsia="Calibri"/>
        </w:rPr>
        <w:t xml:space="preserve"> with per liter of ethanol providing two-thirds energy of per liter of gasoline. </w:t>
      </w:r>
      <m:oMath>
        <m:sSub>
          <m:sSubPr>
            <m:ctrlPr>
              <w:rPr>
                <w:rFonts w:ascii="Cambria Math" w:hAnsi="Cambria Math" w:cstheme="minorBidi"/>
                <w:i/>
              </w:rPr>
            </m:ctrlPr>
          </m:sSubPr>
          <m:e>
            <m:r>
              <w:rPr>
                <w:rFonts w:ascii="Cambria Math" w:hAnsi="Cambria Math" w:cstheme="minorBidi"/>
              </w:rPr>
              <m:t>κ</m:t>
            </m:r>
          </m:e>
          <m:sub>
            <m:r>
              <w:rPr>
                <w:rFonts w:ascii="Cambria Math" w:hAnsi="Cambria Math" w:cstheme="minorBidi"/>
              </w:rPr>
              <m:t>v</m:t>
            </m:r>
          </m:sub>
        </m:sSub>
      </m:oMath>
      <w:r w:rsidR="00A51B04">
        <w:rPr>
          <w:rFonts w:eastAsia="Calibri"/>
        </w:rPr>
        <w:t xml:space="preserve"> (</w:t>
      </w:r>
      <m:oMath>
        <m:r>
          <w:rPr>
            <w:rFonts w:ascii="Cambria Math" w:hAnsi="Cambria Math" w:cstheme="minorBidi"/>
          </w:rPr>
          <m:t xml:space="preserve">≤100%) </m:t>
        </m:r>
      </m:oMath>
      <w:r w:rsidR="00A51B04">
        <w:rPr>
          <w:rFonts w:eastAsia="Calibri"/>
        </w:rPr>
        <w:t xml:space="preserve">is </w:t>
      </w:r>
      <w:r w:rsidR="00A51B04" w:rsidRPr="00C76593">
        <w:rPr>
          <w:rFonts w:eastAsia="Calibri"/>
        </w:rPr>
        <w:t xml:space="preserve">the utility factor </w:t>
      </w:r>
      <w:r w:rsidR="00A51B04">
        <w:rPr>
          <w:rFonts w:eastAsia="Calibri"/>
        </w:rPr>
        <w:t xml:space="preserve">of a </w:t>
      </w:r>
      <w:proofErr w:type="gramStart"/>
      <w:r w:rsidR="00A51B04" w:rsidRPr="00C76593">
        <w:rPr>
          <w:rFonts w:eastAsia="Calibri"/>
        </w:rPr>
        <w:t>duel</w:t>
      </w:r>
      <w:proofErr w:type="gramEnd"/>
      <w:r w:rsidR="00A51B04" w:rsidRPr="00C76593">
        <w:rPr>
          <w:rFonts w:eastAsia="Calibri"/>
        </w:rPr>
        <w:t>-fuel plug-in hybrid vehicle</w:t>
      </w:r>
      <w:r w:rsidR="00A51B04">
        <w:rPr>
          <w:rFonts w:eastAsia="Calibri"/>
        </w:rPr>
        <w:t xml:space="preserve">, </w:t>
      </w:r>
      <w:r w:rsidR="00A51B04" w:rsidRPr="00C76593">
        <w:rPr>
          <w:rFonts w:eastAsia="Calibri"/>
        </w:rPr>
        <w:t xml:space="preserve">representing the percentage of </w:t>
      </w:r>
      <w:r w:rsidR="00A95FD1">
        <w:rPr>
          <w:rFonts w:eastAsia="Calibri"/>
        </w:rPr>
        <w:t>kilometers</w:t>
      </w:r>
      <w:r w:rsidR="00A95FD1" w:rsidRPr="00C76593">
        <w:rPr>
          <w:rFonts w:eastAsia="Calibri"/>
        </w:rPr>
        <w:t xml:space="preserve"> </w:t>
      </w:r>
      <w:r w:rsidR="00A51B04" w:rsidRPr="00C76593">
        <w:rPr>
          <w:rFonts w:eastAsia="Calibri"/>
        </w:rPr>
        <w:t xml:space="preserve">driven on </w:t>
      </w:r>
      <w:r w:rsidR="00A51B04">
        <w:rPr>
          <w:rFonts w:eastAsia="Calibri"/>
        </w:rPr>
        <w:t xml:space="preserve">liquid </w:t>
      </w:r>
      <w:r w:rsidR="00A51B04" w:rsidRPr="00C76593">
        <w:rPr>
          <w:rFonts w:eastAsia="Calibri"/>
        </w:rPr>
        <w:t xml:space="preserve">fuels. </w:t>
      </w:r>
      <w:r w:rsidR="00F56C9D">
        <w:rPr>
          <w:rFonts w:eastAsia="Calibri"/>
        </w:rPr>
        <w:t>Similarly</w:t>
      </w:r>
      <w:r w:rsidR="00FD1148">
        <w:rPr>
          <w:rFonts w:eastAsia="Calibri"/>
        </w:rPr>
        <w:t>,</w:t>
      </w:r>
      <w:r w:rsidR="00F56C9D">
        <w:rPr>
          <w:rFonts w:eastAsia="Calibri"/>
        </w:rPr>
        <w:t xml:space="preserve"> in equation 3, the </w:t>
      </w:r>
      <w:r w:rsidR="00FD1148">
        <w:rPr>
          <w:rFonts w:eastAsia="Calibri"/>
        </w:rPr>
        <w:t>number</w:t>
      </w:r>
      <w:r w:rsidR="00F56C9D">
        <w:rPr>
          <w:rFonts w:eastAsia="Calibri"/>
        </w:rPr>
        <w:t xml:space="preserve"> of kilometers </w:t>
      </w:r>
      <w:r w:rsidR="00651C3F">
        <w:rPr>
          <w:rFonts w:eastAsia="Calibri"/>
        </w:rPr>
        <w:t xml:space="preserve">driven by </w:t>
      </w:r>
      <w:r w:rsidR="00F56C9D">
        <w:rPr>
          <w:rFonts w:eastAsia="Calibri"/>
        </w:rPr>
        <w:t>electrified vehicles</w:t>
      </w:r>
      <w:r w:rsidR="00A51B04">
        <w:rPr>
          <w:rFonts w:eastAsia="Calibri"/>
        </w:rPr>
        <w:t xml:space="preserve"> (</w:t>
      </w:r>
      <m:oMath>
        <m:r>
          <w:rPr>
            <w:rFonts w:ascii="Cambria Math" w:eastAsia="Calibri" w:hAnsi="Cambria Math"/>
          </w:rPr>
          <m:t>VK</m:t>
        </m:r>
        <m:sSub>
          <m:sSubPr>
            <m:ctrlPr>
              <w:rPr>
                <w:rFonts w:ascii="Cambria Math" w:hAnsi="Cambria Math"/>
                <w:i/>
              </w:rPr>
            </m:ctrlPr>
          </m:sSubPr>
          <m:e>
            <m:r>
              <w:rPr>
                <w:rFonts w:ascii="Cambria Math" w:hAnsi="Cambria Math"/>
              </w:rPr>
              <m:t>T</m:t>
            </m:r>
          </m:e>
          <m:sub>
            <m:r>
              <w:rPr>
                <w:rFonts w:ascii="Cambria Math" w:hAnsi="Cambria Math"/>
              </w:rPr>
              <m:t>t,v,r,md,a</m:t>
            </m:r>
          </m:sub>
        </m:sSub>
        <m:r>
          <w:rPr>
            <w:rFonts w:ascii="Cambria Math" w:hAnsi="Cambria Math"/>
          </w:rPr>
          <m:t>)</m:t>
        </m:r>
      </m:oMath>
      <w:r w:rsidR="00F56C9D">
        <w:rPr>
          <w:rFonts w:eastAsia="Calibri"/>
        </w:rPr>
        <w:t xml:space="preserve"> depends on electricity consumption </w:t>
      </w:r>
      <m:oMath>
        <m:r>
          <w:rPr>
            <w:rFonts w:ascii="Cambria Math" w:hAnsi="Cambria Math"/>
          </w:rPr>
          <m:t>QE</m:t>
        </m:r>
        <m:sSub>
          <m:sSubPr>
            <m:ctrlPr>
              <w:rPr>
                <w:rFonts w:ascii="Cambria Math" w:hAnsi="Cambria Math"/>
                <w:i/>
              </w:rPr>
            </m:ctrlPr>
          </m:sSubPr>
          <m:e>
            <m:r>
              <w:rPr>
                <w:rFonts w:ascii="Cambria Math" w:hAnsi="Cambria Math"/>
              </w:rPr>
              <m:t>V</m:t>
            </m:r>
          </m:e>
          <m:sub>
            <m:r>
              <w:rPr>
                <w:rFonts w:ascii="Cambria Math" w:hAnsi="Cambria Math"/>
              </w:rPr>
              <m:t>t,v,r,a</m:t>
            </m:r>
          </m:sub>
        </m:sSub>
      </m:oMath>
      <w:r w:rsidR="00F56C9D">
        <w:rPr>
          <w:rFonts w:eastAsia="Calibri"/>
        </w:rPr>
        <w:t xml:space="preserve"> and fuel </w:t>
      </w:r>
      <w:r w:rsidR="00F56C9D">
        <w:rPr>
          <w:rFonts w:eastAsia="Calibri"/>
        </w:rPr>
        <w:lastRenderedPageBreak/>
        <w:t xml:space="preserve">economy </w:t>
      </w:r>
      <m:oMath>
        <m:sSub>
          <m:sSubPr>
            <m:ctrlPr>
              <w:rPr>
                <w:rFonts w:ascii="Cambria Math" w:hAnsi="Cambria Math"/>
                <w:i/>
              </w:rPr>
            </m:ctrlPr>
          </m:sSubPr>
          <m:e>
            <m:r>
              <w:rPr>
                <w:rFonts w:ascii="Cambria Math" w:hAnsi="Cambria Math"/>
              </w:rPr>
              <m:t>γ</m:t>
            </m:r>
          </m:e>
          <m:sub>
            <m:r>
              <w:rPr>
                <w:rFonts w:ascii="Cambria Math" w:hAnsi="Cambria Math"/>
              </w:rPr>
              <m:t>t,v,a</m:t>
            </m:r>
          </m:sub>
        </m:sSub>
      </m:oMath>
      <w:r w:rsidR="00F56C9D">
        <w:rPr>
          <w:rFonts w:eastAsia="Calibri"/>
        </w:rPr>
        <w:t xml:space="preserve"> as well as the </w:t>
      </w:r>
      <w:r w:rsidR="00F56C9D" w:rsidRPr="00C76593">
        <w:rPr>
          <w:rFonts w:eastAsia="Calibri"/>
        </w:rPr>
        <w:t>percentage of vehicle running on the electricity</w:t>
      </w:r>
      <w:r w:rsidR="00F56C9D">
        <w:rPr>
          <w:rFonts w:eastAsia="Calibri"/>
        </w:rPr>
        <w:t xml:space="preserve"> </w:t>
      </w:r>
      <m:oMath>
        <m:d>
          <m:dPr>
            <m:ctrlPr>
              <w:rPr>
                <w:rFonts w:ascii="Cambria Math" w:hAnsi="Cambria Math" w:cstheme="minorBidi"/>
                <w:i/>
              </w:rPr>
            </m:ctrlPr>
          </m:dPr>
          <m:e>
            <m:r>
              <w:rPr>
                <w:rFonts w:ascii="Cambria Math" w:hAnsi="Cambria Math" w:cstheme="minorBidi"/>
              </w:rPr>
              <m:t>1-</m:t>
            </m:r>
            <m:sSub>
              <m:sSubPr>
                <m:ctrlPr>
                  <w:rPr>
                    <w:rFonts w:ascii="Cambria Math" w:hAnsi="Cambria Math" w:cstheme="minorBidi"/>
                    <w:i/>
                  </w:rPr>
                </m:ctrlPr>
              </m:sSubPr>
              <m:e>
                <m:r>
                  <w:rPr>
                    <w:rFonts w:ascii="Cambria Math" w:hAnsi="Cambria Math" w:cstheme="minorBidi"/>
                  </w:rPr>
                  <m:t>κ</m:t>
                </m:r>
              </m:e>
              <m:sub>
                <m:r>
                  <w:rPr>
                    <w:rFonts w:ascii="Cambria Math" w:hAnsi="Cambria Math" w:cstheme="minorBidi"/>
                  </w:rPr>
                  <m:t>v</m:t>
                </m:r>
              </m:sub>
            </m:sSub>
            <m:ctrlPr>
              <w:rPr>
                <w:rFonts w:ascii="Cambria Math" w:hAnsi="Cambria Math"/>
                <w:i/>
              </w:rPr>
            </m:ctrlPr>
          </m:e>
        </m:d>
      </m:oMath>
      <w:r w:rsidR="00A51B04">
        <w:rPr>
          <w:rFonts w:eastAsia="Calibri"/>
        </w:rPr>
        <w:t xml:space="preserve"> of electric </w:t>
      </w:r>
      <w:r w:rsidR="00A51B04" w:rsidRPr="00C76593">
        <w:rPr>
          <w:rFonts w:eastAsia="Calibri"/>
        </w:rPr>
        <w:t xml:space="preserve">vehicles </w:t>
      </w:r>
      <w:r w:rsidR="00A51B04">
        <w:rPr>
          <w:rFonts w:eastAsia="Calibri"/>
        </w:rPr>
        <w:t xml:space="preserve">type </w:t>
      </w:r>
      <w:r w:rsidR="00A51B04" w:rsidRPr="00521104">
        <w:rPr>
          <w:rFonts w:eastAsia="Calibri"/>
          <w:i/>
          <w:iCs/>
        </w:rPr>
        <w:t>v</w:t>
      </w:r>
      <w:r w:rsidR="00A51B04">
        <w:rPr>
          <w:rFonts w:eastAsia="Calibri"/>
        </w:rPr>
        <w:t xml:space="preserve"> with </w:t>
      </w:r>
      <w:r w:rsidR="00FD1148">
        <w:rPr>
          <w:rFonts w:eastAsia="Calibri"/>
        </w:rPr>
        <w:t xml:space="preserve">driving </w:t>
      </w:r>
      <w:r w:rsidR="00A51B04">
        <w:rPr>
          <w:rFonts w:eastAsia="Calibri"/>
        </w:rPr>
        <w:t xml:space="preserve">demand group of </w:t>
      </w:r>
      <w:r w:rsidR="00A51B04" w:rsidRPr="00521104">
        <w:rPr>
          <w:rFonts w:eastAsia="Calibri"/>
          <w:i/>
          <w:iCs/>
        </w:rPr>
        <w:t>md</w:t>
      </w:r>
      <w:r w:rsidR="00A51B04">
        <w:rPr>
          <w:rFonts w:eastAsia="Calibri"/>
        </w:rPr>
        <w:t xml:space="preserve"> of </w:t>
      </w:r>
      <w:r w:rsidR="00FD1148">
        <w:rPr>
          <w:rFonts w:eastAsia="Calibri"/>
        </w:rPr>
        <w:t xml:space="preserve">vehicle </w:t>
      </w:r>
      <w:r w:rsidR="00A51B04">
        <w:rPr>
          <w:rFonts w:eastAsia="Calibri"/>
        </w:rPr>
        <w:t xml:space="preserve">age </w:t>
      </w:r>
      <w:r w:rsidR="00A51B04" w:rsidRPr="00521104">
        <w:rPr>
          <w:rFonts w:eastAsia="Calibri"/>
          <w:i/>
          <w:iCs/>
        </w:rPr>
        <w:t>a</w:t>
      </w:r>
      <w:r w:rsidR="00A51B04">
        <w:rPr>
          <w:rFonts w:eastAsia="Calibri"/>
        </w:rPr>
        <w:t xml:space="preserve"> in region </w:t>
      </w:r>
      <w:proofErr w:type="spellStart"/>
      <w:r w:rsidR="00A51B04" w:rsidRPr="00521104">
        <w:rPr>
          <w:rFonts w:eastAsia="Calibri"/>
          <w:i/>
          <w:iCs/>
        </w:rPr>
        <w:t>r</w:t>
      </w:r>
      <w:r w:rsidR="00A51B04">
        <w:rPr>
          <w:rFonts w:eastAsia="Calibri"/>
        </w:rPr>
        <w:t xml:space="preserve"> at</w:t>
      </w:r>
      <w:proofErr w:type="spellEnd"/>
      <w:r w:rsidR="00A51B04">
        <w:rPr>
          <w:rFonts w:eastAsia="Calibri"/>
        </w:rPr>
        <w:t xml:space="preserve"> time </w:t>
      </w:r>
      <w:r w:rsidR="00A51B04" w:rsidRPr="00521104">
        <w:rPr>
          <w:rFonts w:eastAsia="Calibri"/>
          <w:i/>
          <w:iCs/>
        </w:rPr>
        <w:t>t</w:t>
      </w:r>
      <w:r w:rsidR="00F56C9D">
        <w:rPr>
          <w:rFonts w:eastAsia="Calibri"/>
        </w:rPr>
        <w:t xml:space="preserve">. </w:t>
      </w:r>
      <w:r w:rsidR="001B0B2C" w:rsidRPr="008F4658">
        <w:t xml:space="preserve">We use a multiplier of 40% for </w:t>
      </w:r>
      <m:oMath>
        <m:sSub>
          <m:sSubPr>
            <m:ctrlPr>
              <w:rPr>
                <w:rFonts w:ascii="Cambria Math" w:hAnsi="Cambria Math" w:cstheme="minorBidi"/>
                <w:i/>
              </w:rPr>
            </m:ctrlPr>
          </m:sSubPr>
          <m:e>
            <m:r>
              <w:rPr>
                <w:rFonts w:ascii="Cambria Math" w:hAnsi="Cambria Math" w:cstheme="minorBidi"/>
              </w:rPr>
              <m:t>κ</m:t>
            </m:r>
          </m:e>
          <m:sub>
            <m:r>
              <w:rPr>
                <w:rFonts w:ascii="Cambria Math" w:hAnsi="Cambria Math" w:cstheme="minorBidi"/>
              </w:rPr>
              <m:t>v</m:t>
            </m:r>
          </m:sub>
        </m:sSub>
      </m:oMath>
      <w:r w:rsidR="001B0B2C" w:rsidRPr="008F4658">
        <w:t xml:space="preserve">, representing the VKT driven in the charging-depleting mode for the PHEV based on </w:t>
      </w:r>
      <w:r w:rsidR="001B0B2C" w:rsidRPr="008F4658">
        <w:fldChar w:fldCharType="begin" w:fldLock="1"/>
      </w:r>
      <w:r w:rsidR="001B0B2C" w:rsidRPr="008F4658">
        <w:instrText>ADDIN CSL_CITATION {"citationItems":[{"id":"ITEM-1","itemData":{"DOI":"10.4271/2011-01-0864","abstract":"To understand the real world conditions of use of plug-in hybrid electric vehicles, the electrical energy consumption and gasoline energy consumption must be weighted according to how often a consumer will drive fueled by each energy source. To perform this weighting The Society of Automotive Engineers Hybrid Committee has codified the concept of the utility factor in SAE J2841 -Utility Factor Definitions for Plug-In Hybrid Electric Vehicles Using Travel Survey Data. The J2841 utility factor weights the energy consumption from each energy source according to a model of US driving behavior derived statistics from the 2001 National Highway Transportation Survey, and the assumption that each vehicle begins the day trip fully charged and does not charge over the course of the day. This paper examines the sensitivity of the J2841 utility factor to more detailed models of vehicle charging behavior and proposes a utility factor model and simulation method as an alternative to J2841. This alternative utility factor aims to better represent the real-world driving and charging behavior of near-term plug-in hybrid electric vehicles.","author":[{"dropping-particle":"","family":"Bradley","given":"Thomas H.","non-dropping-particle":"","parse-names":false,"suffix":""},{"dropping-particle":"","family":"Davis","given":"B. Morgan","non-dropping-particle":"","parse-names":false,"suffix":""}],"container-title":"SAE International","id":"ITEM-1","issue":"2011-01-08","issued":{"date-parts":[["2011"]]},"page":"1-6","title":"Alternative Plug in Hybrid Electric Vehicle Utility Factor","type":"article-journal"},"uris":["http://www.mendeley.com/documents/?uuid=4ea22bd7-3d79-46cd-bbba-b945c9747595"]}],"mendeley":{"formattedCitation":"(Bradley and Davis 2011)","manualFormatting":"Bradley and Davis (2011)","plainTextFormattedCitation":"(Bradley and Davis 2011)","previouslyFormattedCitation":"(Bradley and Davis 2011)"},"properties":{"noteIndex":0},"schema":"https://github.com/citation-style-language/schema/raw/master/csl-citation.json"}</w:instrText>
      </w:r>
      <w:r w:rsidR="001B0B2C" w:rsidRPr="008F4658">
        <w:fldChar w:fldCharType="separate"/>
      </w:r>
      <w:r w:rsidR="001B0B2C" w:rsidRPr="008F4658">
        <w:rPr>
          <w:noProof/>
        </w:rPr>
        <w:t>Bradley and Davis (2011)</w:t>
      </w:r>
      <w:r w:rsidR="001B0B2C" w:rsidRPr="008F4658">
        <w:fldChar w:fldCharType="end"/>
      </w:r>
      <w:r w:rsidR="001B0B2C" w:rsidRPr="008F4658">
        <w:t>.</w:t>
      </w:r>
      <w:r w:rsidR="001B0B2C" w:rsidRPr="00651C3F">
        <w:t xml:space="preserve"> </w:t>
      </w:r>
      <w:r w:rsidRPr="00651C3F">
        <w:rPr>
          <w:rFonts w:eastAsia="Calibri"/>
        </w:rPr>
        <w:t>Finally</w:t>
      </w:r>
      <w:r w:rsidR="00FD1148">
        <w:rPr>
          <w:rFonts w:eastAsia="Calibri"/>
        </w:rPr>
        <w:t>,</w:t>
      </w:r>
      <w:r w:rsidR="00F56C9D" w:rsidRPr="00651C3F">
        <w:rPr>
          <w:rFonts w:eastAsia="Calibri"/>
        </w:rPr>
        <w:t xml:space="preserve"> in equation 4</w:t>
      </w:r>
      <w:r w:rsidRPr="00651C3F">
        <w:rPr>
          <w:rFonts w:eastAsia="Calibri"/>
        </w:rPr>
        <w:t xml:space="preserve">, the total </w:t>
      </w:r>
      <w:r w:rsidR="00A95FD1">
        <w:rPr>
          <w:rFonts w:eastAsia="Calibri"/>
        </w:rPr>
        <w:t xml:space="preserve">driving </w:t>
      </w:r>
      <w:r>
        <w:rPr>
          <w:rFonts w:eastAsia="Calibri"/>
        </w:rPr>
        <w:t xml:space="preserve">demand of each region and driving behavior group can be met by the </w:t>
      </w:r>
      <w:r w:rsidR="00F56C9D">
        <w:rPr>
          <w:rFonts w:eastAsia="Calibri"/>
        </w:rPr>
        <w:t xml:space="preserve">driving </w:t>
      </w:r>
      <w:r>
        <w:rPr>
          <w:rFonts w:eastAsia="Calibri"/>
        </w:rPr>
        <w:t xml:space="preserve">choices among five vehicle </w:t>
      </w:r>
      <w:r w:rsidR="00DF2CFE">
        <w:rPr>
          <w:rFonts w:eastAsia="Calibri"/>
        </w:rPr>
        <w:t xml:space="preserve">powertrains </w:t>
      </w:r>
      <w:r w:rsidR="00F56C9D">
        <w:rPr>
          <w:rFonts w:eastAsia="Calibri"/>
        </w:rPr>
        <w:t>across all ages</w:t>
      </w:r>
      <w:r>
        <w:rPr>
          <w:rFonts w:eastAsia="Calibri"/>
        </w:rPr>
        <w:t>.</w:t>
      </w:r>
    </w:p>
    <w:p w14:paraId="23EA72FA" w14:textId="77777777" w:rsidR="00971296" w:rsidRDefault="00971296" w:rsidP="00C53F8C">
      <w:pPr>
        <w:spacing w:after="0" w:line="240" w:lineRule="auto"/>
        <w:rPr>
          <w:rFonts w:eastAsia="Calibri"/>
        </w:rPr>
      </w:pPr>
    </w:p>
    <w:tbl>
      <w:tblPr>
        <w:tblW w:w="5000" w:type="pct"/>
        <w:tblLook w:val="04A0" w:firstRow="1" w:lastRow="0" w:firstColumn="1" w:lastColumn="0" w:noHBand="0" w:noVBand="1"/>
      </w:tblPr>
      <w:tblGrid>
        <w:gridCol w:w="936"/>
        <w:gridCol w:w="7488"/>
        <w:gridCol w:w="936"/>
      </w:tblGrid>
      <w:tr w:rsidR="00971296" w:rsidRPr="00F84713" w14:paraId="42D9ADFD" w14:textId="77777777" w:rsidTr="00F56C9D">
        <w:tc>
          <w:tcPr>
            <w:tcW w:w="500" w:type="pct"/>
            <w:vAlign w:val="center"/>
          </w:tcPr>
          <w:p w14:paraId="7449AAD9" w14:textId="77777777" w:rsidR="00971296" w:rsidRPr="00F84713" w:rsidRDefault="00971296" w:rsidP="00C76593">
            <w:pPr>
              <w:spacing w:after="0" w:line="240" w:lineRule="auto"/>
            </w:pPr>
          </w:p>
        </w:tc>
        <w:tc>
          <w:tcPr>
            <w:tcW w:w="4000" w:type="pct"/>
            <w:vAlign w:val="center"/>
          </w:tcPr>
          <w:p w14:paraId="411583D7" w14:textId="77777777" w:rsidR="005653FC" w:rsidRPr="005653FC" w:rsidRDefault="00E907D6" w:rsidP="00C76593">
            <w:pPr>
              <w:spacing w:after="0" w:line="240" w:lineRule="auto"/>
            </w:pPr>
            <m:oMathPara>
              <m:oMath>
                <m:sSub>
                  <m:sSubPr>
                    <m:ctrlPr>
                      <w:rPr>
                        <w:rFonts w:ascii="Cambria Math" w:hAnsi="Cambria Math" w:cstheme="minorBidi"/>
                        <w:i/>
                      </w:rPr>
                    </m:ctrlPr>
                  </m:sSubPr>
                  <m:e>
                    <m:r>
                      <w:rPr>
                        <w:rFonts w:ascii="Cambria Math" w:hAnsi="Cambria Math" w:cstheme="minorBidi"/>
                      </w:rPr>
                      <m:t>κ</m:t>
                    </m:r>
                  </m:e>
                  <m:sub>
                    <m:r>
                      <w:rPr>
                        <w:rFonts w:ascii="Cambria Math" w:hAnsi="Cambria Math" w:cstheme="minorBidi"/>
                      </w:rPr>
                      <m:t>v</m:t>
                    </m:r>
                  </m:sub>
                </m:sSub>
                <m:nary>
                  <m:naryPr>
                    <m:chr m:val="∑"/>
                    <m:limLoc m:val="undOvr"/>
                    <m:supHide m:val="1"/>
                    <m:ctrlPr>
                      <w:rPr>
                        <w:rFonts w:ascii="Cambria Math" w:eastAsia="Calibri" w:hAnsi="Cambria Math"/>
                        <w:i/>
                      </w:rPr>
                    </m:ctrlPr>
                  </m:naryPr>
                  <m:sub>
                    <m:r>
                      <w:rPr>
                        <w:rFonts w:ascii="Cambria Math" w:eastAsia="Calibri" w:hAnsi="Cambria Math"/>
                      </w:rPr>
                      <m:t>r</m:t>
                    </m:r>
                    <m:r>
                      <w:rPr>
                        <w:rFonts w:ascii="Cambria Math" w:eastAsia="Calibri" w:hAnsi="Cambria Math"/>
                      </w:rPr>
                      <m:t>,</m:t>
                    </m:r>
                    <m:r>
                      <w:rPr>
                        <w:rFonts w:ascii="Cambria Math" w:eastAsia="Calibri" w:hAnsi="Cambria Math"/>
                      </w:rPr>
                      <m:t>md</m:t>
                    </m:r>
                  </m:sub>
                  <m:sup/>
                  <m:e>
                    <m:r>
                      <w:rPr>
                        <w:rFonts w:ascii="Cambria Math" w:eastAsia="Calibri" w:hAnsi="Cambria Math"/>
                      </w:rPr>
                      <m:t>VK</m:t>
                    </m:r>
                    <m:sSub>
                      <m:sSubPr>
                        <m:ctrlPr>
                          <w:rPr>
                            <w:rFonts w:ascii="Cambria Math" w:hAnsi="Cambria Math"/>
                            <w:i/>
                          </w:rPr>
                        </m:ctrlPr>
                      </m:sSubPr>
                      <m:e>
                        <m:r>
                          <w:rPr>
                            <w:rFonts w:ascii="Cambria Math" w:hAnsi="Cambria Math"/>
                          </w:rPr>
                          <m:t>T</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e>
                </m:nary>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a</m:t>
                    </m:r>
                  </m:sub>
                </m:sSub>
                <m:d>
                  <m:dPr>
                    <m:begChr m:val="["/>
                    <m:endChr m:val="]"/>
                    <m:ctrlPr>
                      <w:rPr>
                        <w:rFonts w:ascii="Cambria Math" w:hAnsi="Cambria Math"/>
                        <w:i/>
                      </w:rPr>
                    </m:ctrlPr>
                  </m:dPr>
                  <m:e>
                    <m:f>
                      <m:fPr>
                        <m:ctrlPr>
                          <w:rPr>
                            <w:rFonts w:ascii="Cambria Math" w:hAnsi="Cambria Math"/>
                            <w:i/>
                          </w:rPr>
                        </m:ctrlPr>
                      </m:fPr>
                      <m:num>
                        <m:r>
                          <w:rPr>
                            <w:rFonts w:ascii="Cambria Math" w:hAnsi="Cambria Math"/>
                          </w:rPr>
                          <m:t>2</m:t>
                        </m:r>
                      </m:num>
                      <m:den>
                        <m:r>
                          <w:rPr>
                            <w:rFonts w:ascii="Cambria Math" w:hAnsi="Cambria Math"/>
                          </w:rPr>
                          <m:t>3</m:t>
                        </m:r>
                      </m:den>
                    </m:f>
                    <m:sSub>
                      <m:sSubPr>
                        <m:ctrlPr>
                          <w:rPr>
                            <w:rFonts w:ascii="Cambria Math" w:hAnsi="Cambria Math"/>
                            <w:i/>
                          </w:rPr>
                        </m:ctrlPr>
                      </m:sSubPr>
                      <m:e>
                        <m:r>
                          <w:rPr>
                            <w:rFonts w:ascii="Cambria Math" w:hAnsi="Cambria Math"/>
                          </w:rPr>
                          <m:t>ETH</m:t>
                        </m:r>
                      </m:e>
                      <m:sub>
                        <m:r>
                          <w:rPr>
                            <w:rFonts w:ascii="Cambria Math" w:hAnsi="Cambria Math"/>
                          </w:rPr>
                          <m:t>t</m:t>
                        </m:r>
                        <m:r>
                          <w:rPr>
                            <w:rFonts w:ascii="Cambria Math" w:hAnsi="Cambria Math"/>
                          </w:rPr>
                          <m:t>,</m:t>
                        </m:r>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t</m:t>
                        </m:r>
                        <m:r>
                          <w:rPr>
                            <w:rFonts w:ascii="Cambria Math" w:hAnsi="Cambria Math"/>
                          </w:rPr>
                          <m:t>,</m:t>
                        </m:r>
                        <m:r>
                          <w:rPr>
                            <w:rFonts w:ascii="Cambria Math" w:hAnsi="Cambria Math"/>
                          </w:rPr>
                          <m:t>v</m:t>
                        </m:r>
                      </m:sub>
                    </m:sSub>
                  </m:e>
                </m:d>
                <m:r>
                  <w:rPr>
                    <w:rFonts w:ascii="Cambria Math" w:hAnsi="Cambria Math"/>
                  </w:rPr>
                  <m:t xml:space="preserve">  </m:t>
                </m:r>
              </m:oMath>
            </m:oMathPara>
          </w:p>
          <w:p w14:paraId="492C325B" w14:textId="590F7558" w:rsidR="00971296" w:rsidRPr="00F84713" w:rsidRDefault="00CB6A60" w:rsidP="00C76593">
            <w:pPr>
              <w:spacing w:after="0" w:line="240" w:lineRule="auto"/>
            </w:pPr>
            <m:oMathPara>
              <m:oMath>
                <m:r>
                  <w:rPr>
                    <w:rFonts w:ascii="Cambria Math" w:hAnsi="Cambria Math"/>
                  </w:rPr>
                  <m:t>∀t,a, v∈{CV,FFV,HEV,PHEV}</m:t>
                </m:r>
              </m:oMath>
            </m:oMathPara>
          </w:p>
        </w:tc>
        <w:tc>
          <w:tcPr>
            <w:tcW w:w="500" w:type="pct"/>
            <w:vAlign w:val="center"/>
          </w:tcPr>
          <w:p w14:paraId="3F9499B6" w14:textId="77777777" w:rsidR="00971296" w:rsidRPr="00F84713" w:rsidRDefault="00971296" w:rsidP="003D40CF">
            <w:pPr>
              <w:pStyle w:val="Equationnumber"/>
            </w:pPr>
          </w:p>
        </w:tc>
      </w:tr>
      <w:tr w:rsidR="00971296" w:rsidRPr="00F84713" w14:paraId="74916066" w14:textId="77777777" w:rsidTr="00F56C9D">
        <w:trPr>
          <w:trHeight w:val="530"/>
        </w:trPr>
        <w:tc>
          <w:tcPr>
            <w:tcW w:w="500" w:type="pct"/>
            <w:vAlign w:val="center"/>
          </w:tcPr>
          <w:p w14:paraId="33F498B4" w14:textId="77777777" w:rsidR="00971296" w:rsidRPr="00F84713" w:rsidRDefault="00971296" w:rsidP="00C76593">
            <w:pPr>
              <w:spacing w:after="0" w:line="240" w:lineRule="auto"/>
            </w:pPr>
          </w:p>
        </w:tc>
        <w:tc>
          <w:tcPr>
            <w:tcW w:w="4000" w:type="pct"/>
            <w:vAlign w:val="center"/>
          </w:tcPr>
          <w:p w14:paraId="49930A68" w14:textId="786FE1D8" w:rsidR="00971296" w:rsidRDefault="00E907D6" w:rsidP="00C76593">
            <w:pPr>
              <w:spacing w:after="0" w:line="240" w:lineRule="auto"/>
              <w:rPr>
                <w:rFonts w:eastAsia="Calibri"/>
              </w:rPr>
            </w:pPr>
            <m:oMathPara>
              <m:oMath>
                <m:d>
                  <m:dPr>
                    <m:ctrlPr>
                      <w:rPr>
                        <w:rFonts w:ascii="Cambria Math" w:hAnsi="Cambria Math" w:cstheme="minorBidi"/>
                        <w:i/>
                      </w:rPr>
                    </m:ctrlPr>
                  </m:dPr>
                  <m:e>
                    <m:r>
                      <w:rPr>
                        <w:rFonts w:ascii="Cambria Math" w:hAnsi="Cambria Math" w:cstheme="minorBidi"/>
                      </w:rPr>
                      <m:t>1-</m:t>
                    </m:r>
                    <m:sSub>
                      <m:sSubPr>
                        <m:ctrlPr>
                          <w:rPr>
                            <w:rFonts w:ascii="Cambria Math" w:hAnsi="Cambria Math" w:cstheme="minorBidi"/>
                            <w:i/>
                          </w:rPr>
                        </m:ctrlPr>
                      </m:sSubPr>
                      <m:e>
                        <m:r>
                          <w:rPr>
                            <w:rFonts w:ascii="Cambria Math" w:hAnsi="Cambria Math" w:cstheme="minorBidi"/>
                          </w:rPr>
                          <m:t>κ</m:t>
                        </m:r>
                      </m:e>
                      <m:sub>
                        <m:r>
                          <w:rPr>
                            <w:rFonts w:ascii="Cambria Math" w:hAnsi="Cambria Math" w:cstheme="minorBidi"/>
                          </w:rPr>
                          <m:t>v</m:t>
                        </m:r>
                      </m:sub>
                    </m:sSub>
                    <m:ctrlPr>
                      <w:rPr>
                        <w:rFonts w:ascii="Cambria Math" w:hAnsi="Cambria Math"/>
                        <w:i/>
                      </w:rPr>
                    </m:ctrlPr>
                  </m:e>
                </m:d>
                <m:nary>
                  <m:naryPr>
                    <m:chr m:val="∑"/>
                    <m:limLoc m:val="subSup"/>
                    <m:supHide m:val="1"/>
                    <m:ctrlPr>
                      <w:rPr>
                        <w:rFonts w:ascii="Cambria Math" w:hAnsi="Cambria Math"/>
                        <w:i/>
                      </w:rPr>
                    </m:ctrlPr>
                  </m:naryPr>
                  <m:sub>
                    <m:r>
                      <w:rPr>
                        <w:rFonts w:ascii="Cambria Math" w:hAnsi="Cambria Math"/>
                      </w:rPr>
                      <m:t>md</m:t>
                    </m:r>
                  </m:sub>
                  <m:sup/>
                  <m:e>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e>
                </m:nary>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a</m:t>
                    </m:r>
                  </m:sub>
                </m:sSub>
                <m:r>
                  <w:rPr>
                    <w:rFonts w:ascii="Cambria Math" w:hAnsi="Cambria Math"/>
                  </w:rPr>
                  <m:t>QE</m:t>
                </m:r>
                <m:sSub>
                  <m:sSubPr>
                    <m:ctrlPr>
                      <w:rPr>
                        <w:rFonts w:ascii="Cambria Math" w:hAnsi="Cambria Math"/>
                        <w:i/>
                      </w:rPr>
                    </m:ctrlPr>
                  </m:sSubPr>
                  <m:e>
                    <m:r>
                      <w:rPr>
                        <w:rFonts w:ascii="Cambria Math" w:hAnsi="Cambria Math"/>
                      </w:rPr>
                      <m:t>V</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a</m:t>
                    </m:r>
                  </m:sub>
                </m:sSub>
                <m:r>
                  <w:rPr>
                    <w:rFonts w:ascii="Cambria Math" w:hAnsi="Cambria Math"/>
                  </w:rPr>
                  <m:t xml:space="preserve">   ∀</m:t>
                </m:r>
                <m:r>
                  <w:rPr>
                    <w:rFonts w:ascii="Cambria Math" w:hAnsi="Cambria Math"/>
                  </w:rPr>
                  <m:t>t</m:t>
                </m:r>
                <m:r>
                  <w:rPr>
                    <w:rFonts w:ascii="Cambria Math" w:hAnsi="Cambria Math"/>
                  </w:rPr>
                  <m:t xml:space="preserve">, </m:t>
                </m:r>
                <m:r>
                  <w:rPr>
                    <w:rFonts w:ascii="Cambria Math" w:hAnsi="Cambria Math"/>
                  </w:rPr>
                  <m:t>v</m:t>
                </m:r>
                <m:r>
                  <w:rPr>
                    <w:rFonts w:ascii="Cambria Math" w:hAnsi="Cambria Math"/>
                  </w:rPr>
                  <m:t>∈{</m:t>
                </m:r>
                <m:r>
                  <w:rPr>
                    <w:rFonts w:ascii="Cambria Math" w:hAnsi="Cambria Math"/>
                  </w:rPr>
                  <m:t>PHEV</m:t>
                </m:r>
                <m:r>
                  <w:rPr>
                    <w:rFonts w:ascii="Cambria Math" w:hAnsi="Cambria Math"/>
                  </w:rPr>
                  <m:t xml:space="preserve">, </m:t>
                </m:r>
                <m:r>
                  <w:rPr>
                    <w:rFonts w:ascii="Cambria Math" w:hAnsi="Cambria Math"/>
                  </w:rPr>
                  <m:t>BEV</m:t>
                </m:r>
                <m:r>
                  <w:rPr>
                    <w:rFonts w:ascii="Cambria Math" w:hAnsi="Cambria Math"/>
                  </w:rPr>
                  <m:t>}</m:t>
                </m:r>
              </m:oMath>
            </m:oMathPara>
          </w:p>
        </w:tc>
        <w:tc>
          <w:tcPr>
            <w:tcW w:w="500" w:type="pct"/>
            <w:vAlign w:val="center"/>
          </w:tcPr>
          <w:p w14:paraId="29030988" w14:textId="77777777" w:rsidR="00971296" w:rsidRPr="00F84713" w:rsidRDefault="00971296" w:rsidP="00971296">
            <w:pPr>
              <w:pStyle w:val="ListParagraph"/>
              <w:numPr>
                <w:ilvl w:val="0"/>
                <w:numId w:val="30"/>
              </w:numPr>
              <w:spacing w:after="0" w:line="240" w:lineRule="auto"/>
            </w:pPr>
          </w:p>
        </w:tc>
      </w:tr>
      <w:tr w:rsidR="00971296" w:rsidRPr="00F84713" w14:paraId="52583933" w14:textId="77777777" w:rsidTr="00F56C9D">
        <w:trPr>
          <w:trHeight w:val="530"/>
        </w:trPr>
        <w:tc>
          <w:tcPr>
            <w:tcW w:w="500" w:type="pct"/>
            <w:vAlign w:val="center"/>
          </w:tcPr>
          <w:p w14:paraId="082C1987" w14:textId="77777777" w:rsidR="00971296" w:rsidRPr="00F84713" w:rsidRDefault="00971296" w:rsidP="00C76593">
            <w:pPr>
              <w:spacing w:after="0" w:line="240" w:lineRule="auto"/>
            </w:pPr>
          </w:p>
        </w:tc>
        <w:tc>
          <w:tcPr>
            <w:tcW w:w="4000" w:type="pct"/>
            <w:vAlign w:val="center"/>
          </w:tcPr>
          <w:p w14:paraId="1EDBF5E2" w14:textId="75D02513" w:rsidR="00971296" w:rsidRDefault="00E907D6" w:rsidP="00C76593">
            <w:pPr>
              <w:spacing w:after="0" w:line="240" w:lineRule="auto"/>
              <w:rPr>
                <w:rFonts w:eastAsia="DengXian"/>
              </w:rPr>
            </w:pPr>
            <m:oMathPara>
              <m:oMath>
                <m:nary>
                  <m:naryPr>
                    <m:chr m:val="∑"/>
                    <m:limLoc m:val="undOvr"/>
                    <m:supHide m:val="1"/>
                    <m:ctrlPr>
                      <w:rPr>
                        <w:rFonts w:ascii="Cambria Math" w:eastAsia="Calibri" w:hAnsi="Cambria Math"/>
                        <w:i/>
                      </w:rPr>
                    </m:ctrlPr>
                  </m:naryPr>
                  <m:sub>
                    <m:r>
                      <w:rPr>
                        <w:rFonts w:ascii="Cambria Math" w:eastAsia="Calibri" w:hAnsi="Cambria Math"/>
                      </w:rPr>
                      <m:t>v</m:t>
                    </m:r>
                    <m:r>
                      <w:rPr>
                        <w:rFonts w:ascii="Cambria Math" w:eastAsia="Calibri" w:hAnsi="Cambria Math"/>
                      </w:rPr>
                      <m:t>,</m:t>
                    </m:r>
                    <m:r>
                      <w:rPr>
                        <w:rFonts w:ascii="Cambria Math" w:eastAsia="Calibri" w:hAnsi="Cambria Math"/>
                      </w:rPr>
                      <m:t>a</m:t>
                    </m:r>
                  </m:sub>
                  <m:sup/>
                  <m:e>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e>
                </m:nary>
                <m:r>
                  <w:rPr>
                    <w:rFonts w:ascii="Cambria Math" w:eastAsia="Calibri" w:hAnsi="Cambria Math"/>
                  </w:rPr>
                  <m:t>=</m:t>
                </m:r>
                <m:r>
                  <w:rPr>
                    <w:rFonts w:ascii="Cambria Math" w:hAnsi="Cambria Math"/>
                  </w:rPr>
                  <m:t xml:space="preserve"> </m:t>
                </m:r>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r</m:t>
                    </m:r>
                    <m:r>
                      <w:rPr>
                        <w:rFonts w:ascii="Cambria Math" w:hAnsi="Cambria Math"/>
                      </w:rPr>
                      <m:t>,</m:t>
                    </m:r>
                    <m:r>
                      <w:rPr>
                        <w:rFonts w:ascii="Cambria Math" w:hAnsi="Cambria Math"/>
                      </w:rPr>
                      <m:t>md</m:t>
                    </m:r>
                  </m:sub>
                </m:sSub>
                <m:r>
                  <w:rPr>
                    <w:rFonts w:ascii="Cambria Math" w:eastAsia="DengXian" w:hAnsi="Cambria Math"/>
                  </w:rPr>
                  <m:t xml:space="preserve">  </m:t>
                </m:r>
                <m:r>
                  <w:rPr>
                    <w:rFonts w:ascii="Cambria Math" w:hAnsi="Cambria Math"/>
                  </w:rPr>
                  <m:t xml:space="preserve">  ∀</m:t>
                </m:r>
                <m:r>
                  <w:rPr>
                    <w:rFonts w:ascii="Cambria Math" w:hAnsi="Cambria Math"/>
                  </w:rPr>
                  <m:t>t</m:t>
                </m:r>
                <m:r>
                  <w:rPr>
                    <w:rFonts w:ascii="Cambria Math" w:hAnsi="Cambria Math"/>
                  </w:rPr>
                  <m:t xml:space="preserve">, </m:t>
                </m:r>
                <m:r>
                  <w:rPr>
                    <w:rFonts w:ascii="Cambria Math" w:hAnsi="Cambria Math"/>
                  </w:rPr>
                  <m:t>r</m:t>
                </m:r>
                <m:r>
                  <w:rPr>
                    <w:rFonts w:ascii="Cambria Math" w:hAnsi="Cambria Math"/>
                  </w:rPr>
                  <m:t>,</m:t>
                </m:r>
                <m:r>
                  <w:rPr>
                    <w:rFonts w:ascii="Cambria Math" w:hAnsi="Cambria Math"/>
                  </w:rPr>
                  <m:t>md</m:t>
                </m:r>
              </m:oMath>
            </m:oMathPara>
          </w:p>
        </w:tc>
        <w:tc>
          <w:tcPr>
            <w:tcW w:w="500" w:type="pct"/>
            <w:vAlign w:val="center"/>
          </w:tcPr>
          <w:p w14:paraId="7774AE86" w14:textId="77777777" w:rsidR="00971296" w:rsidRPr="00F84713" w:rsidRDefault="00971296" w:rsidP="00971296">
            <w:pPr>
              <w:pStyle w:val="ListParagraph"/>
              <w:numPr>
                <w:ilvl w:val="0"/>
                <w:numId w:val="30"/>
              </w:numPr>
              <w:spacing w:after="0" w:line="240" w:lineRule="auto"/>
            </w:pPr>
          </w:p>
        </w:tc>
      </w:tr>
    </w:tbl>
    <w:p w14:paraId="12914752" w14:textId="77777777" w:rsidR="00F56C9D" w:rsidRDefault="00F56C9D" w:rsidP="00F56C9D">
      <w:pPr>
        <w:spacing w:line="240" w:lineRule="auto"/>
      </w:pPr>
    </w:p>
    <w:p w14:paraId="0BEEDFCF" w14:textId="5F199A49" w:rsidR="00086AEC" w:rsidRDefault="00DF2CFE" w:rsidP="00C53F8C">
      <w:pPr>
        <w:spacing w:line="240" w:lineRule="auto"/>
      </w:pPr>
      <w:r>
        <w:t>The vehicle stocks (</w:t>
      </w:r>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v,r,md,a</m:t>
            </m:r>
          </m:sub>
        </m:sSub>
      </m:oMath>
      <w:r>
        <w:t xml:space="preserve">) for each powertrain at age </w:t>
      </w:r>
      <w:proofErr w:type="gramStart"/>
      <w:r w:rsidRPr="008F4658">
        <w:rPr>
          <w:i/>
          <w:iCs/>
        </w:rPr>
        <w:t>a</w:t>
      </w:r>
      <w:r>
        <w:t xml:space="preserve"> and</w:t>
      </w:r>
      <w:proofErr w:type="gramEnd"/>
      <w:r>
        <w:t xml:space="preserve"> time</w:t>
      </w:r>
      <w:r w:rsidRPr="008F4658">
        <w:rPr>
          <w:i/>
          <w:iCs/>
        </w:rPr>
        <w:t xml:space="preserve"> </w:t>
      </w:r>
      <w:proofErr w:type="spellStart"/>
      <w:r w:rsidRPr="008F4658">
        <w:rPr>
          <w:i/>
          <w:iCs/>
        </w:rPr>
        <w:t>t</w:t>
      </w:r>
      <w:proofErr w:type="spellEnd"/>
      <w:r>
        <w:t xml:space="preserve"> determine the maximum </w:t>
      </w:r>
      <w:r w:rsidR="00A95FD1">
        <w:rPr>
          <w:rFonts w:eastAsia="Times New Roman"/>
          <w:color w:val="000000"/>
        </w:rPr>
        <w:t>kilometers</w:t>
      </w:r>
      <w:r w:rsidR="00A95FD1" w:rsidRPr="00C53F8C">
        <w:rPr>
          <w:rFonts w:eastAsia="Times New Roman"/>
          <w:color w:val="000000"/>
        </w:rPr>
        <w:t xml:space="preserve"> </w:t>
      </w:r>
      <w:r>
        <w:t xml:space="preserve">the fleet capable of running with the assumption of maximum annual </w:t>
      </w:r>
      <w:r w:rsidR="00A95FD1">
        <w:rPr>
          <w:rFonts w:eastAsia="Times New Roman"/>
          <w:color w:val="000000"/>
        </w:rPr>
        <w:t>kilometers</w:t>
      </w:r>
      <w:r w:rsidR="00A95FD1" w:rsidRPr="00C53F8C">
        <w:rPr>
          <w:rFonts w:eastAsia="Times New Roman"/>
          <w:color w:val="000000"/>
        </w:rPr>
        <w:t xml:space="preserve"> </w:t>
      </w:r>
      <w:r>
        <w:t>(</w:t>
      </w:r>
      <m:oMath>
        <m:sSubSup>
          <m:sSubSupPr>
            <m:ctrlPr>
              <w:rPr>
                <w:rFonts w:ascii="Cambria Math" w:hAnsi="Cambria Math"/>
                <w:i/>
              </w:rPr>
            </m:ctrlPr>
          </m:sSubSupPr>
          <m:e>
            <m:r>
              <w:rPr>
                <w:rFonts w:ascii="Cambria Math" w:hAnsi="Cambria Math"/>
              </w:rPr>
              <m:t>m</m:t>
            </m:r>
          </m:e>
          <m:sub>
            <m:r>
              <w:rPr>
                <w:rFonts w:ascii="Cambria Math" w:hAnsi="Cambria Math"/>
              </w:rPr>
              <m:t>a,md</m:t>
            </m:r>
          </m:sub>
          <m:sup>
            <m:r>
              <w:rPr>
                <w:rFonts w:ascii="Cambria Math" w:hAnsi="Cambria Math"/>
              </w:rPr>
              <m:t>cap</m:t>
            </m:r>
          </m:sup>
        </m:sSubSup>
      </m:oMath>
      <w:r>
        <w:t xml:space="preserve">) </w:t>
      </w:r>
      <w:r w:rsidR="00F56C9D">
        <w:t>displayed</w:t>
      </w:r>
      <w:r>
        <w:t xml:space="preserve"> in</w:t>
      </w:r>
      <w:r>
        <w:rPr>
          <w:iCs/>
        </w:rPr>
        <w:t xml:space="preserve"> Figure </w:t>
      </w:r>
      <w:r>
        <w:rPr>
          <w:iCs/>
          <w:noProof/>
        </w:rPr>
        <w:t>A2</w:t>
      </w:r>
      <w:r>
        <w:t xml:space="preserve"> </w:t>
      </w:r>
      <w:r w:rsidR="00F56C9D">
        <w:t>in equation 5</w:t>
      </w:r>
      <w:r>
        <w:t xml:space="preserve">. </w:t>
      </w:r>
      <w:r w:rsidR="00FC7AC7">
        <w:t xml:space="preserve">Equation </w:t>
      </w:r>
      <w:r w:rsidR="00971296">
        <w:t xml:space="preserve">6 </w:t>
      </w:r>
      <w:r w:rsidR="00FC7AC7">
        <w:t xml:space="preserve">defines the turnover of the existing vehicle fleet (age greater than 1) </w:t>
      </w:r>
      <w:r w:rsidR="00971296">
        <w:t xml:space="preserve">should be greater than </w:t>
      </w:r>
      <w:r w:rsidR="00FC7AC7">
        <w:t xml:space="preserve">the amount of vehicle stock from the previous year </w:t>
      </w:r>
      <w:r w:rsidR="00FC7AC7">
        <w:rPr>
          <w:i/>
        </w:rPr>
        <w:t>t-1</w:t>
      </w:r>
      <w:r w:rsidR="00FC7AC7">
        <w:t xml:space="preserve"> at age </w:t>
      </w:r>
      <w:r w:rsidR="00FC7AC7">
        <w:rPr>
          <w:i/>
        </w:rPr>
        <w:t>a-1</w:t>
      </w:r>
      <w:r w:rsidR="00FC7AC7">
        <w:t xml:space="preserve"> discount at the functional retirement rate (</w:t>
      </w:r>
      <w:r w:rsidR="005653FC">
        <w:t>z</w:t>
      </w:r>
      <w:r w:rsidR="005653FC">
        <w:rPr>
          <w:vertAlign w:val="subscript"/>
        </w:rPr>
        <w:t>a</w:t>
      </w:r>
      <w:r w:rsidR="00FC7AC7">
        <w:t>)</w:t>
      </w:r>
      <w:r w:rsidR="00971296">
        <w:t xml:space="preserve"> considering the possible early retirement</w:t>
      </w:r>
      <w:r w:rsidR="00FC7AC7">
        <w:t>. We follow the vehicle scrappage rate by age (</w:t>
      </w:r>
      <w:r w:rsidR="003F615F">
        <w:t>z</w:t>
      </w:r>
      <w:r w:rsidR="00FC7AC7">
        <w:rPr>
          <w:vertAlign w:val="subscript"/>
        </w:rPr>
        <w:t>a</w:t>
      </w:r>
      <w:r w:rsidR="00FC7AC7">
        <w:t xml:space="preserve">) </w:t>
      </w:r>
      <w:r w:rsidR="00FC7AC7">
        <w:fldChar w:fldCharType="begin" w:fldLock="1"/>
      </w:r>
      <w:r w:rsidR="00FC7AC7">
        <w:instrText>ADDIN CSL_CITATION {"citationItems":[{"id":"ITEM-1","itemData":{"author":[{"dropping-particle":"","family":"Belzowski","given":"Bruce M.","non-dropping-particle":"","parse-names":false,"suffix":""},{"dropping-particle":"","family":"Mcmanus","given":"Walter","non-dropping-particle":"","parse-names":false,"suffix":""},{"dropping-particle":"","family":"Bruce M. Belzowski","given":"","non-dropping-particle":"","parse-names":false,"suffix":""},{"dropping-particle":"","family":"Mcmanus","given":"Walter","non-dropping-particle":"","parse-names":false,"suffix":""},{"dropping-particle":"","family":"Belzowski","given":"Bruce M.","non-dropping-particle":"","parse-names":false,"suffix":""},{"dropping-particle":"","family":"Mcmanus","given":"Walter","non-dropping-particle":"","parse-names":false,"suffix":""}],"container-title":"Security","id":"ITEM-1","issue":"August","issued":{"date-parts":[["2010"]]},"note":"From Duplicate 3 (ALTERNATIVE POWERTRAIN STRATEGIES AND FLEET TURNOVER IN THE 21ST CENTURY - BELZOWSKI, BRUCE M.; MCMANUS, WALTER)\n\nNULL","publisher-place":"Michigan, USA","title":"Alternative powertrain strategies and fleet turnover in the 21st century","type":"report"},"uris":["http://www.mendeley.com/documents/?uuid=4d88655e-4aed-4fee-932e-66eeed1c5118"]}],"mendeley":{"formattedCitation":"(Belzowski et al. 2010)","plainTextFormattedCitation":"(Belzowski et al. 2010)","previouslyFormattedCitation":"(Belzowski et al. 2010)"},"properties":{"noteIndex":0},"schema":"https://github.com/citation-style-language/schema/raw/master/csl-citation.json"}</w:instrText>
      </w:r>
      <w:r w:rsidR="00FC7AC7">
        <w:fldChar w:fldCharType="separate"/>
      </w:r>
      <w:r w:rsidR="00FC7AC7">
        <w:rPr>
          <w:noProof/>
        </w:rPr>
        <w:t>(Belzowski et al. 2010)</w:t>
      </w:r>
      <w:r w:rsidR="00FC7AC7">
        <w:fldChar w:fldCharType="end"/>
      </w:r>
      <w:r w:rsidR="00FC7AC7">
        <w:t xml:space="preserve"> to let vehicles retire at a rate of </w:t>
      </w:r>
      <w:r w:rsidR="00F56C9D">
        <w:t xml:space="preserve">z </w:t>
      </w:r>
      <w:r w:rsidR="00FC7AC7">
        <w:t>due to functional reasons of wear and tear for all five powertrains. The numbers of new vehicle purchases (</w:t>
      </w:r>
      <w:r w:rsidR="00FC7AC7">
        <w:rPr>
          <w:i/>
          <w:iCs/>
        </w:rPr>
        <w:t>N</w:t>
      </w:r>
      <w:r w:rsidR="00FC7AC7">
        <w:t>), existing vehicle fleet (</w:t>
      </w:r>
      <w:r w:rsidR="001A1F60">
        <w:rPr>
          <w:i/>
          <w:iCs/>
        </w:rPr>
        <w:t>S</w:t>
      </w:r>
      <w:r w:rsidR="00FC7AC7">
        <w:t xml:space="preserve">), and yearly </w:t>
      </w:r>
      <w:r w:rsidR="00A95FD1">
        <w:rPr>
          <w:rFonts w:eastAsia="Times New Roman"/>
          <w:color w:val="000000"/>
        </w:rPr>
        <w:t>kilometers</w:t>
      </w:r>
      <w:r w:rsidR="00A95FD1" w:rsidRPr="00C53F8C">
        <w:rPr>
          <w:rFonts w:eastAsia="Times New Roman"/>
          <w:color w:val="000000"/>
        </w:rPr>
        <w:t xml:space="preserve"> </w:t>
      </w:r>
      <w:r w:rsidR="00FC7AC7">
        <w:t>driven (</w:t>
      </w:r>
      <m:oMath>
        <m:sSub>
          <m:sSubPr>
            <m:ctrlPr>
              <w:rPr>
                <w:rFonts w:ascii="Cambria Math" w:hAnsi="Cambria Math"/>
                <w:i/>
              </w:rPr>
            </m:ctrlPr>
          </m:sSubPr>
          <m:e>
            <m:r>
              <w:rPr>
                <w:rFonts w:ascii="Cambria Math" w:hAnsi="Cambria Math"/>
              </w:rPr>
              <m:t>VKT</m:t>
            </m:r>
          </m:e>
          <m:sub>
            <m:r>
              <w:rPr>
                <w:rFonts w:ascii="Cambria Math" w:hAnsi="Cambria Math"/>
              </w:rPr>
              <m:t>t,v,r,md,a</m:t>
            </m:r>
          </m:sub>
        </m:sSub>
      </m:oMath>
      <w:r w:rsidR="00FC7AC7">
        <w:t>) are endogenously determined by the model.</w:t>
      </w:r>
      <w:r w:rsidR="00F56C9D" w:rsidRPr="00F56C9D">
        <w:t xml:space="preserve"> </w:t>
      </w:r>
      <w:r w:rsidR="00F56C9D">
        <w:t>The vehicle fleet dynamics enables the update of the age distribution simultaneously with the solution of newly purchased vehicles and retired vehicles.</w:t>
      </w:r>
    </w:p>
    <w:tbl>
      <w:tblPr>
        <w:tblW w:w="5000" w:type="pct"/>
        <w:tblLook w:val="04A0" w:firstRow="1" w:lastRow="0" w:firstColumn="1" w:lastColumn="0" w:noHBand="0" w:noVBand="1"/>
      </w:tblPr>
      <w:tblGrid>
        <w:gridCol w:w="936"/>
        <w:gridCol w:w="7488"/>
        <w:gridCol w:w="936"/>
      </w:tblGrid>
      <w:tr w:rsidR="00971296" w:rsidRPr="00F84713" w14:paraId="19D5FC89" w14:textId="77777777" w:rsidTr="00C76593">
        <w:trPr>
          <w:trHeight w:val="540"/>
        </w:trPr>
        <w:tc>
          <w:tcPr>
            <w:tcW w:w="500" w:type="pct"/>
          </w:tcPr>
          <w:p w14:paraId="2C17EE49" w14:textId="77777777" w:rsidR="00971296" w:rsidRPr="00F84713" w:rsidRDefault="00971296" w:rsidP="00C52DAD">
            <w:pPr>
              <w:spacing w:after="0" w:line="240" w:lineRule="auto"/>
            </w:pPr>
          </w:p>
        </w:tc>
        <w:tc>
          <w:tcPr>
            <w:tcW w:w="4000" w:type="pct"/>
          </w:tcPr>
          <w:p w14:paraId="2D1D2815" w14:textId="79D467B5" w:rsidR="00971296" w:rsidRPr="00F84713" w:rsidRDefault="00E907D6" w:rsidP="00C53F8C">
            <w:pPr>
              <w:spacing w:line="240" w:lineRule="auto"/>
            </w:pPr>
            <m:oMathPara>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cstheme="minorBidi"/>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r>
                  <m:rPr>
                    <m:sty m:val="p"/>
                  </m:rPr>
                  <w:rPr>
                    <w:rFonts w:ascii="Cambria Math" w:hAnsi="Cambria Math"/>
                  </w:rPr>
                  <m:t>×</m:t>
                </m:r>
                <m:sSubSup>
                  <m:sSubSupPr>
                    <m:ctrlPr>
                      <w:rPr>
                        <w:rFonts w:ascii="Cambria Math" w:hAnsi="Cambria Math"/>
                        <w:i/>
                      </w:rPr>
                    </m:ctrlPr>
                  </m:sSubSupPr>
                  <m:e>
                    <m:r>
                      <w:rPr>
                        <w:rFonts w:ascii="Cambria Math" w:hAnsi="Cambria Math"/>
                      </w:rPr>
                      <m:t>m</m:t>
                    </m:r>
                  </m:e>
                  <m:sub>
                    <m:r>
                      <w:rPr>
                        <w:rFonts w:ascii="Cambria Math" w:hAnsi="Cambria Math"/>
                      </w:rPr>
                      <m:t>a</m:t>
                    </m:r>
                    <m:r>
                      <w:rPr>
                        <w:rFonts w:ascii="Cambria Math" w:hAnsi="Cambria Math"/>
                      </w:rPr>
                      <m:t>,</m:t>
                    </m:r>
                    <m:r>
                      <w:rPr>
                        <w:rFonts w:ascii="Cambria Math" w:hAnsi="Cambria Math"/>
                      </w:rPr>
                      <m:t>md</m:t>
                    </m:r>
                  </m:sub>
                  <m:sup>
                    <m:r>
                      <w:rPr>
                        <w:rFonts w:ascii="Cambria Math" w:hAnsi="Cambria Math"/>
                      </w:rPr>
                      <m:t>cap</m:t>
                    </m:r>
                  </m:sup>
                </m:sSubSup>
                <m:r>
                  <m:rPr>
                    <m:sty m:val="p"/>
                  </m:rPr>
                  <w:rPr>
                    <w:rFonts w:ascii="Cambria Math" w:hAnsi="Cambria Math"/>
                  </w:rPr>
                  <m:t>≥</m:t>
                </m:r>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r>
                  <m:rPr>
                    <m:sty m:val="p"/>
                  </m:rPr>
                  <w:rPr>
                    <w:rFonts w:ascii="Cambria Math" w:hAnsi="Cambria Math"/>
                  </w:rPr>
                  <m:t xml:space="preserve">  ∀</m:t>
                </m:r>
                <m:r>
                  <w:rPr>
                    <w:rFonts w:ascii="Cambria Math" w:hAnsi="Cambria Math"/>
                  </w:rPr>
                  <m:t>t</m:t>
                </m:r>
                <m:r>
                  <w:rPr>
                    <w:rFonts w:ascii="Cambria Math" w:hAnsi="Cambria Math"/>
                  </w:rPr>
                  <m:t>,</m:t>
                </m:r>
                <m:r>
                  <w:rPr>
                    <w:rFonts w:ascii="Cambria Math" w:hAnsi="Cambria Math"/>
                  </w:rPr>
                  <m:t>v</m:t>
                </m:r>
                <m:r>
                  <w:rPr>
                    <w:rFonts w:ascii="Cambria Math" w:hAnsi="Cambria Math"/>
                  </w:rPr>
                  <m:t>,</m:t>
                </m:r>
                <m:r>
                  <w:rPr>
                    <w:rFonts w:ascii="Cambria Math" w:hAnsi="Cambria Math"/>
                  </w:rPr>
                  <m:t>md</m:t>
                </m:r>
                <m:r>
                  <w:rPr>
                    <w:rFonts w:ascii="Cambria Math" w:hAnsi="Cambria Math"/>
                  </w:rPr>
                  <m:t>,</m:t>
                </m:r>
                <m:r>
                  <w:rPr>
                    <w:rFonts w:ascii="Cambria Math" w:hAnsi="Cambria Math"/>
                  </w:rPr>
                  <m:t>a</m:t>
                </m:r>
              </m:oMath>
            </m:oMathPara>
          </w:p>
        </w:tc>
        <w:tc>
          <w:tcPr>
            <w:tcW w:w="3500" w:type="pct"/>
          </w:tcPr>
          <w:p w14:paraId="529784FF" w14:textId="77777777" w:rsidR="00971296" w:rsidRPr="00F84713" w:rsidRDefault="00971296" w:rsidP="00C52DAD">
            <w:pPr>
              <w:pStyle w:val="ListParagraph"/>
              <w:numPr>
                <w:ilvl w:val="0"/>
                <w:numId w:val="30"/>
              </w:numPr>
              <w:spacing w:after="0" w:line="240" w:lineRule="auto"/>
            </w:pPr>
          </w:p>
        </w:tc>
      </w:tr>
      <w:tr w:rsidR="00971296" w:rsidRPr="00F84713" w14:paraId="5181DF2F" w14:textId="77777777" w:rsidTr="00C76593">
        <w:trPr>
          <w:trHeight w:val="738"/>
        </w:trPr>
        <w:tc>
          <w:tcPr>
            <w:tcW w:w="500" w:type="pct"/>
          </w:tcPr>
          <w:p w14:paraId="4145DBB3" w14:textId="77777777" w:rsidR="00971296" w:rsidRPr="00F84713" w:rsidRDefault="00971296" w:rsidP="00C52DAD">
            <w:pPr>
              <w:spacing w:after="0" w:line="240" w:lineRule="auto"/>
            </w:pPr>
          </w:p>
        </w:tc>
        <w:tc>
          <w:tcPr>
            <w:tcW w:w="4000" w:type="pct"/>
          </w:tcPr>
          <w:p w14:paraId="300A4A41" w14:textId="77777777" w:rsidR="00971296" w:rsidRPr="001B4A3B" w:rsidRDefault="00E907D6" w:rsidP="00C53F8C">
            <w:pPr>
              <w:widowControl w:val="0"/>
              <w:tabs>
                <w:tab w:val="left" w:pos="5040"/>
                <w:tab w:val="left" w:pos="8730"/>
              </w:tabs>
              <w:adjustRightInd w:val="0"/>
              <w:spacing w:line="240" w:lineRule="auto"/>
            </w:pPr>
            <m:oMathPara>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cstheme="minorBidi"/>
                      </w:rPr>
                      <m:t>,</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sub>
                </m:sSub>
                <m:r>
                  <m:rPr>
                    <m:sty m:val="p"/>
                  </m:rPr>
                  <w:rPr>
                    <w:rFonts w:ascii="Cambria Math" w:hAnsi="Cambria Math"/>
                  </w:rPr>
                  <m:t>≥</m:t>
                </m:r>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cstheme="minorBidi"/>
                      </w:rPr>
                      <m:t>-</m:t>
                    </m:r>
                    <m:r>
                      <w:rPr>
                        <w:rFonts w:ascii="Cambria Math" w:hAnsi="Cambria Math" w:cstheme="minorBidi"/>
                      </w:rPr>
                      <m:t>1,</m:t>
                    </m:r>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1</m:t>
                    </m:r>
                  </m:sub>
                </m:sSub>
                <m:r>
                  <m:rPr>
                    <m:sty m:val="p"/>
                  </m:rPr>
                  <w:rPr>
                    <w:rFonts w:ascii="Cambria Math" w:hAnsi="Cambria Math"/>
                    <w:vertAlign w:val="subscript"/>
                  </w:rPr>
                  <m:t>×</m:t>
                </m:r>
                <m:sSub>
                  <m:sSubPr>
                    <m:ctrlPr>
                      <w:rPr>
                        <w:rFonts w:ascii="Cambria Math" w:hAnsi="Cambria Math"/>
                      </w:rPr>
                    </m:ctrlPr>
                  </m:sSubPr>
                  <m:e>
                    <m:r>
                      <w:rPr>
                        <w:rFonts w:ascii="Cambria Math" w:hAnsi="Cambria Math"/>
                      </w:rPr>
                      <m:t>z</m:t>
                    </m:r>
                  </m:e>
                  <m:sub>
                    <m:r>
                      <w:rPr>
                        <w:rFonts w:ascii="Cambria Math" w:hAnsi="Cambria Math"/>
                      </w:rPr>
                      <m:t>a</m:t>
                    </m:r>
                    <m:r>
                      <m:rPr>
                        <m:sty m:val="p"/>
                      </m:rPr>
                      <w:rPr>
                        <w:rFonts w:ascii="Cambria Math" w:hAnsi="Cambria Math"/>
                      </w:rPr>
                      <m:t>-</m:t>
                    </m:r>
                    <m:r>
                      <m:rPr>
                        <m:sty m:val="p"/>
                      </m:rPr>
                      <w:rPr>
                        <w:rFonts w:ascii="Cambria Math" w:hAnsi="Cambria Math"/>
                      </w:rPr>
                      <m:t>1</m:t>
                    </m:r>
                  </m:sub>
                </m:sSub>
                <m:r>
                  <m:rPr>
                    <m:sty m:val="p"/>
                  </m:rPr>
                  <w:rPr>
                    <w:rFonts w:ascii="Cambria Math" w:hAnsi="Cambria Math"/>
                    <w:vertAlign w:val="subscript"/>
                  </w:rPr>
                  <m:t xml:space="preserve">   ∀ 2≤a≤24,T</m:t>
                </m:r>
                <m:r>
                  <m:rPr>
                    <m:sty m:val="p"/>
                  </m:rPr>
                  <w:rPr>
                    <w:rFonts w:ascii="Cambria Math" w:hAnsi="Cambria Math"/>
                  </w:rPr>
                  <m:t>≥</m:t>
                </m:r>
                <m:r>
                  <m:rPr>
                    <m:sty m:val="p"/>
                  </m:rPr>
                  <w:rPr>
                    <w:rFonts w:ascii="Cambria Math" w:hAnsi="Cambria Math"/>
                    <w:vertAlign w:val="subscript"/>
                  </w:rPr>
                  <m:t>t</m:t>
                </m:r>
                <m:r>
                  <m:rPr>
                    <m:sty m:val="p"/>
                  </m:rPr>
                  <w:rPr>
                    <w:rFonts w:ascii="Cambria Math" w:hAnsi="Cambria Math"/>
                  </w:rPr>
                  <m:t>≥2</m:t>
                </m:r>
              </m:oMath>
            </m:oMathPara>
          </w:p>
        </w:tc>
        <w:tc>
          <w:tcPr>
            <w:tcW w:w="3500" w:type="pct"/>
          </w:tcPr>
          <w:p w14:paraId="15CF6C7E" w14:textId="77777777" w:rsidR="00971296" w:rsidRPr="00F84713" w:rsidRDefault="00971296" w:rsidP="00C52DAD">
            <w:pPr>
              <w:pStyle w:val="ListParagraph"/>
              <w:numPr>
                <w:ilvl w:val="0"/>
                <w:numId w:val="30"/>
              </w:numPr>
              <w:spacing w:after="0" w:line="240" w:lineRule="auto"/>
            </w:pPr>
          </w:p>
        </w:tc>
      </w:tr>
    </w:tbl>
    <w:p w14:paraId="42A9B3F9" w14:textId="4F51F5C1" w:rsidR="00A51B04" w:rsidRDefault="00A51B04" w:rsidP="008F4658">
      <w:pPr>
        <w:pStyle w:val="ApendixA11"/>
        <w:ind w:left="720" w:hanging="720"/>
      </w:pPr>
      <w:r>
        <w:t>Data</w:t>
      </w:r>
    </w:p>
    <w:p w14:paraId="3547CDE0" w14:textId="5EE74C7D" w:rsidR="00A51B04" w:rsidRPr="00163944" w:rsidRDefault="00285ED8" w:rsidP="00285ED8">
      <w:pPr>
        <w:pStyle w:val="Heading4"/>
        <w:numPr>
          <w:ilvl w:val="0"/>
          <w:numId w:val="0"/>
        </w:numPr>
        <w:rPr>
          <w:b/>
          <w:bCs/>
        </w:rPr>
      </w:pPr>
      <w:r w:rsidRPr="00163944">
        <w:rPr>
          <w:b/>
          <w:bCs/>
        </w:rPr>
        <w:t xml:space="preserve">A.1.3.1: </w:t>
      </w:r>
      <w:r w:rsidR="00A51B04" w:rsidRPr="00163944">
        <w:rPr>
          <w:b/>
          <w:bCs/>
        </w:rPr>
        <w:t>Vehicle and Driving Demand</w:t>
      </w:r>
    </w:p>
    <w:p w14:paraId="1EB1CDAA" w14:textId="02A63D6B" w:rsidR="00A51B04" w:rsidRPr="00A51B04" w:rsidRDefault="00A51B04" w:rsidP="00A51B04">
      <w:pPr>
        <w:spacing w:line="240" w:lineRule="auto"/>
        <w:ind w:firstLine="0"/>
      </w:pPr>
      <w:r w:rsidRPr="00A51B04">
        <w:t xml:space="preserve">The annual </w:t>
      </w:r>
      <w:r w:rsidR="00A95FD1">
        <w:rPr>
          <w:rFonts w:eastAsia="Times New Roman"/>
          <w:color w:val="000000"/>
        </w:rPr>
        <w:t>kilometers</w:t>
      </w:r>
      <w:r w:rsidR="00A95FD1" w:rsidRPr="00C53F8C">
        <w:rPr>
          <w:rFonts w:eastAsia="Times New Roman"/>
          <w:color w:val="000000"/>
        </w:rPr>
        <w:t xml:space="preserve"> </w:t>
      </w:r>
      <w:r w:rsidRPr="00A51B04">
        <w:t>driven</w:t>
      </w:r>
      <w:r w:rsidR="003D4FC8">
        <w:t xml:space="preserve"> </w:t>
      </w:r>
      <w:r w:rsidRPr="00A51B04">
        <w:t>per vehicle</w:t>
      </w:r>
      <w:r w:rsidR="00694932">
        <w:t xml:space="preserve"> (</w:t>
      </w:r>
      <m:oMath>
        <m:sSubSup>
          <m:sSubSupPr>
            <m:ctrlPr>
              <w:rPr>
                <w:rFonts w:ascii="Cambria Math" w:hAnsi="Cambria Math"/>
                <w:i/>
              </w:rPr>
            </m:ctrlPr>
          </m:sSubSupPr>
          <m:e>
            <m:r>
              <w:rPr>
                <w:rFonts w:ascii="Cambria Math" w:hAnsi="Cambria Math"/>
              </w:rPr>
              <m:t>m</m:t>
            </m:r>
          </m:e>
          <m:sub>
            <m:r>
              <w:rPr>
                <w:rFonts w:ascii="Cambria Math" w:hAnsi="Cambria Math"/>
              </w:rPr>
              <m:t>a,md</m:t>
            </m:r>
          </m:sub>
          <m:sup>
            <m:r>
              <w:rPr>
                <w:rFonts w:ascii="Cambria Math" w:hAnsi="Cambria Math"/>
              </w:rPr>
              <m:t>cap</m:t>
            </m:r>
          </m:sup>
        </m:sSubSup>
      </m:oMath>
      <w:r w:rsidR="00694932">
        <w:t xml:space="preserve"> in equation 5)</w:t>
      </w:r>
      <w:r w:rsidR="00694932" w:rsidRPr="00A51B04">
        <w:t xml:space="preserve"> </w:t>
      </w:r>
      <w:r w:rsidRPr="00A51B04">
        <w:t xml:space="preserve">by vehicle age and the vehicle count by vehicle age are shown in </w:t>
      </w:r>
      <w:r w:rsidRPr="00A51B04">
        <w:rPr>
          <w:iCs/>
        </w:rPr>
        <w:t xml:space="preserve">Figure A1 </w:t>
      </w:r>
      <w:r w:rsidRPr="00A51B04">
        <w:t xml:space="preserve">and </w:t>
      </w:r>
      <w:r w:rsidRPr="00A51B04">
        <w:rPr>
          <w:iCs/>
        </w:rPr>
        <w:t xml:space="preserve">Figure </w:t>
      </w:r>
      <w:r w:rsidRPr="00A51B04">
        <w:rPr>
          <w:iCs/>
          <w:noProof/>
        </w:rPr>
        <w:t>A2</w:t>
      </w:r>
      <w:r w:rsidRPr="00A51B04">
        <w:t>. Due to the lack of driving information for alternative vehicles and for simplicity, we assume that the maximum annual mileage driven by alternative vehicles</w:t>
      </w:r>
      <w:r w:rsidR="00FD1148">
        <w:t xml:space="preserve"> (FFV, PHEV, HEV, and BEV)</w:t>
      </w:r>
      <w:r w:rsidRPr="00A51B04">
        <w:t xml:space="preserve"> </w:t>
      </w:r>
      <w:r w:rsidR="00FD1148">
        <w:t>are</w:t>
      </w:r>
      <w:r w:rsidRPr="00A51B04">
        <w:t xml:space="preserve"> the same as </w:t>
      </w:r>
      <w:proofErr w:type="gramStart"/>
      <w:r w:rsidRPr="00A51B04">
        <w:t>the majority of</w:t>
      </w:r>
      <w:proofErr w:type="gramEnd"/>
      <w:r w:rsidRPr="00A51B04">
        <w:t xml:space="preserve"> vehicle owners represented in the NHTS. </w:t>
      </w:r>
    </w:p>
    <w:p w14:paraId="743BD5F7" w14:textId="0B5192E4" w:rsidR="00A51B04" w:rsidRDefault="00A51B04" w:rsidP="00A51B04">
      <w:pPr>
        <w:pStyle w:val="BodyText"/>
        <w:spacing w:line="240" w:lineRule="auto"/>
      </w:pPr>
    </w:p>
    <w:p w14:paraId="0F875558" w14:textId="6421E698" w:rsidR="00BA02EC" w:rsidRPr="00285ED8" w:rsidRDefault="00BA02EC" w:rsidP="00A51B04">
      <w:pPr>
        <w:pStyle w:val="BodyText"/>
        <w:spacing w:line="240" w:lineRule="auto"/>
      </w:pPr>
      <w:r>
        <w:rPr>
          <w:noProof/>
        </w:rPr>
        <w:lastRenderedPageBreak/>
        <w:drawing>
          <wp:inline distT="0" distB="0" distL="0" distR="0" wp14:anchorId="039837E7" wp14:editId="689D64F7">
            <wp:extent cx="5510151" cy="2743200"/>
            <wp:effectExtent l="0" t="0" r="14605" b="0"/>
            <wp:docPr id="2" name="Chart 2">
              <a:extLst xmlns:a="http://schemas.openxmlformats.org/drawingml/2006/main">
                <a:ext uri="{FF2B5EF4-FFF2-40B4-BE49-F238E27FC236}">
                  <a16:creationId xmlns:a16="http://schemas.microsoft.com/office/drawing/2014/main" id="{9D26CEBF-E896-3977-F93E-78BEB84178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68C5BA4" w14:textId="4C0297C7" w:rsidR="00A51B04" w:rsidRDefault="00A51B04" w:rsidP="00A51B04">
      <w:pPr>
        <w:pStyle w:val="BodyText"/>
        <w:spacing w:line="240" w:lineRule="auto"/>
        <w:rPr>
          <w:b/>
          <w:bCs/>
        </w:rPr>
      </w:pPr>
      <w:r w:rsidRPr="00631551">
        <w:rPr>
          <w:b/>
          <w:bCs/>
        </w:rPr>
        <w:t>Figure A</w:t>
      </w:r>
      <w:r w:rsidR="0059717B">
        <w:rPr>
          <w:b/>
          <w:bCs/>
        </w:rPr>
        <w:t>2a</w:t>
      </w:r>
      <w:r w:rsidRPr="00631551">
        <w:rPr>
          <w:b/>
          <w:bCs/>
        </w:rPr>
        <w:t xml:space="preserve"> The </w:t>
      </w:r>
      <w:r w:rsidR="00167A71" w:rsidRPr="00631551">
        <w:rPr>
          <w:b/>
          <w:bCs/>
        </w:rPr>
        <w:t>A</w:t>
      </w:r>
      <w:r w:rsidRPr="00631551">
        <w:rPr>
          <w:b/>
          <w:bCs/>
        </w:rPr>
        <w:t xml:space="preserve">nnual </w:t>
      </w:r>
      <w:r w:rsidR="00167A71" w:rsidRPr="00631551">
        <w:rPr>
          <w:rFonts w:eastAsia="Times New Roman"/>
          <w:b/>
          <w:bCs/>
          <w:color w:val="000000"/>
        </w:rPr>
        <w:t>K</w:t>
      </w:r>
      <w:r w:rsidR="00A95FD1" w:rsidRPr="00631551">
        <w:rPr>
          <w:rFonts w:eastAsia="Times New Roman"/>
          <w:b/>
          <w:bCs/>
          <w:color w:val="000000"/>
        </w:rPr>
        <w:t xml:space="preserve">ilometers </w:t>
      </w:r>
      <w:r w:rsidR="00167A71" w:rsidRPr="00631551">
        <w:rPr>
          <w:b/>
          <w:bCs/>
        </w:rPr>
        <w:t>D</w:t>
      </w:r>
      <w:r w:rsidRPr="00631551">
        <w:rPr>
          <w:b/>
          <w:bCs/>
        </w:rPr>
        <w:t xml:space="preserve">emand by each </w:t>
      </w:r>
      <w:r w:rsidR="00167A71" w:rsidRPr="00631551">
        <w:rPr>
          <w:b/>
          <w:bCs/>
        </w:rPr>
        <w:t>D</w:t>
      </w:r>
      <w:r w:rsidRPr="00631551">
        <w:rPr>
          <w:b/>
          <w:bCs/>
        </w:rPr>
        <w:t xml:space="preserve">riving </w:t>
      </w:r>
      <w:r w:rsidR="00167A71" w:rsidRPr="00631551">
        <w:rPr>
          <w:b/>
          <w:bCs/>
        </w:rPr>
        <w:t>G</w:t>
      </w:r>
      <w:r w:rsidRPr="00631551">
        <w:rPr>
          <w:b/>
          <w:bCs/>
        </w:rPr>
        <w:t xml:space="preserve">roup </w:t>
      </w:r>
      <w:r w:rsidR="00167A71" w:rsidRPr="00631551">
        <w:rPr>
          <w:b/>
          <w:bCs/>
        </w:rPr>
        <w:t>A</w:t>
      </w:r>
      <w:r w:rsidRPr="00631551">
        <w:rPr>
          <w:b/>
          <w:bCs/>
        </w:rPr>
        <w:t xml:space="preserve">cross </w:t>
      </w:r>
      <w:r w:rsidR="00167A71" w:rsidRPr="00631551">
        <w:rPr>
          <w:b/>
          <w:bCs/>
        </w:rPr>
        <w:t>V</w:t>
      </w:r>
      <w:r w:rsidRPr="00631551">
        <w:rPr>
          <w:b/>
          <w:bCs/>
        </w:rPr>
        <w:t xml:space="preserve">ehicle </w:t>
      </w:r>
      <w:r w:rsidR="00167A71" w:rsidRPr="00631551">
        <w:rPr>
          <w:b/>
          <w:bCs/>
        </w:rPr>
        <w:t>A</w:t>
      </w:r>
      <w:r w:rsidRPr="00631551">
        <w:rPr>
          <w:b/>
          <w:bCs/>
        </w:rPr>
        <w:t>ges (NHTS, 2017)</w:t>
      </w:r>
    </w:p>
    <w:p w14:paraId="6749B405" w14:textId="77777777" w:rsidR="00774953" w:rsidRDefault="00774953" w:rsidP="00A51B04">
      <w:pPr>
        <w:pStyle w:val="BodyText"/>
        <w:spacing w:line="240" w:lineRule="auto"/>
        <w:rPr>
          <w:b/>
          <w:bCs/>
        </w:rPr>
      </w:pPr>
    </w:p>
    <w:p w14:paraId="43E7D82F" w14:textId="77777777" w:rsidR="00774953" w:rsidRPr="00631551" w:rsidRDefault="00774953" w:rsidP="00A51B04">
      <w:pPr>
        <w:pStyle w:val="BodyText"/>
        <w:spacing w:line="240" w:lineRule="auto"/>
        <w:rPr>
          <w:b/>
          <w:bCs/>
        </w:rPr>
      </w:pPr>
    </w:p>
    <w:p w14:paraId="41A4869C" w14:textId="77777777" w:rsidR="00A51B04" w:rsidRPr="00285ED8" w:rsidRDefault="00A51B04" w:rsidP="00A51B04">
      <w:pPr>
        <w:pStyle w:val="BodyText"/>
        <w:spacing w:line="240" w:lineRule="auto"/>
      </w:pPr>
      <w:r w:rsidRPr="00E83A60">
        <w:rPr>
          <w:noProof/>
          <w:bdr w:val="single" w:sz="8" w:space="0" w:color="auto"/>
        </w:rPr>
        <w:drawing>
          <wp:inline distT="0" distB="0" distL="0" distR="0" wp14:anchorId="25EDAE9E" wp14:editId="2A50B06D">
            <wp:extent cx="5752214" cy="2743200"/>
            <wp:effectExtent l="0" t="0" r="1270"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FCCD4F4" w14:textId="76B96F9C" w:rsidR="00A51B04" w:rsidRPr="00631551" w:rsidRDefault="00A51B04" w:rsidP="00A51B04">
      <w:pPr>
        <w:pStyle w:val="BodyText"/>
        <w:spacing w:line="240" w:lineRule="auto"/>
        <w:rPr>
          <w:b/>
          <w:bCs/>
        </w:rPr>
      </w:pPr>
      <w:r w:rsidRPr="00631551">
        <w:rPr>
          <w:b/>
          <w:bCs/>
        </w:rPr>
        <w:t xml:space="preserve">Figure </w:t>
      </w:r>
      <w:r w:rsidRPr="00631551">
        <w:rPr>
          <w:b/>
          <w:bCs/>
          <w:noProof/>
        </w:rPr>
        <w:t>A2</w:t>
      </w:r>
      <w:r w:rsidR="0059717B">
        <w:rPr>
          <w:b/>
          <w:bCs/>
          <w:noProof/>
        </w:rPr>
        <w:t>b</w:t>
      </w:r>
      <w:r w:rsidRPr="00631551">
        <w:rPr>
          <w:b/>
          <w:bCs/>
          <w:kern w:val="24"/>
        </w:rPr>
        <w:t xml:space="preserve"> </w:t>
      </w:r>
      <w:r w:rsidRPr="00631551">
        <w:rPr>
          <w:b/>
          <w:bCs/>
        </w:rPr>
        <w:t xml:space="preserve">Vehicle </w:t>
      </w:r>
      <w:r w:rsidR="00167A71" w:rsidRPr="00631551">
        <w:rPr>
          <w:b/>
          <w:bCs/>
        </w:rPr>
        <w:t>C</w:t>
      </w:r>
      <w:r w:rsidRPr="00631551">
        <w:rPr>
          <w:b/>
          <w:bCs/>
        </w:rPr>
        <w:t xml:space="preserve">ount </w:t>
      </w:r>
      <w:r w:rsidR="00167A71" w:rsidRPr="00631551">
        <w:rPr>
          <w:b/>
          <w:bCs/>
        </w:rPr>
        <w:t>P</w:t>
      </w:r>
      <w:r w:rsidRPr="00631551">
        <w:rPr>
          <w:b/>
          <w:bCs/>
        </w:rPr>
        <w:t xml:space="preserve">robability </w:t>
      </w:r>
      <w:r w:rsidR="00167A71" w:rsidRPr="00631551">
        <w:rPr>
          <w:b/>
          <w:bCs/>
        </w:rPr>
        <w:t>D</w:t>
      </w:r>
      <w:r w:rsidRPr="00631551">
        <w:rPr>
          <w:b/>
          <w:bCs/>
        </w:rPr>
        <w:t xml:space="preserve">istribution in </w:t>
      </w:r>
      <w:r w:rsidR="00167A71" w:rsidRPr="00631551">
        <w:rPr>
          <w:b/>
          <w:bCs/>
        </w:rPr>
        <w:t>A</w:t>
      </w:r>
      <w:r w:rsidRPr="00631551">
        <w:rPr>
          <w:b/>
          <w:bCs/>
        </w:rPr>
        <w:t xml:space="preserve">ge and </w:t>
      </w:r>
      <w:r w:rsidR="00167A71" w:rsidRPr="00631551">
        <w:rPr>
          <w:b/>
          <w:bCs/>
        </w:rPr>
        <w:t>D</w:t>
      </w:r>
      <w:r w:rsidR="00A95FD1" w:rsidRPr="00631551">
        <w:rPr>
          <w:b/>
          <w:bCs/>
        </w:rPr>
        <w:t xml:space="preserve">riving </w:t>
      </w:r>
      <w:r w:rsidR="00167A71" w:rsidRPr="00631551">
        <w:rPr>
          <w:b/>
          <w:bCs/>
        </w:rPr>
        <w:t>D</w:t>
      </w:r>
      <w:r w:rsidR="00A95FD1" w:rsidRPr="00631551">
        <w:rPr>
          <w:b/>
          <w:bCs/>
        </w:rPr>
        <w:t xml:space="preserve">emand </w:t>
      </w:r>
      <w:r w:rsidRPr="00631551">
        <w:rPr>
          <w:b/>
          <w:bCs/>
        </w:rPr>
        <w:t>group (NHTS, 2017)</w:t>
      </w:r>
    </w:p>
    <w:p w14:paraId="50127D04" w14:textId="77777777" w:rsidR="00A51B04" w:rsidRPr="00285ED8" w:rsidRDefault="00A51B04" w:rsidP="00A51B04">
      <w:pPr>
        <w:spacing w:line="240" w:lineRule="auto"/>
      </w:pPr>
    </w:p>
    <w:p w14:paraId="35FF593D" w14:textId="3F75F883" w:rsidR="00A51B04" w:rsidRDefault="00A51B04" w:rsidP="00285ED8">
      <w:pPr>
        <w:pStyle w:val="BodyText"/>
        <w:spacing w:line="240" w:lineRule="auto"/>
      </w:pPr>
      <w:r w:rsidRPr="00285ED8">
        <w:t>We quantify vehicle stocks by fuel types</w:t>
      </w:r>
      <w:r w:rsidR="00FD1148">
        <w:t xml:space="preserve"> </w:t>
      </w:r>
      <w:r w:rsidR="00FD1148" w:rsidRPr="00FD1148">
        <w:rPr>
          <w:i/>
          <w:iCs/>
        </w:rPr>
        <w:t>v</w:t>
      </w:r>
      <w:r w:rsidRPr="00285ED8">
        <w:t>, driving behavior group</w:t>
      </w:r>
      <w:r w:rsidR="00FD1148">
        <w:t xml:space="preserve"> </w:t>
      </w:r>
      <w:r w:rsidR="00FD1148" w:rsidRPr="00FD1148">
        <w:rPr>
          <w:i/>
          <w:iCs/>
        </w:rPr>
        <w:t>md</w:t>
      </w:r>
      <w:r w:rsidRPr="00285ED8">
        <w:t>, vehicle age</w:t>
      </w:r>
      <w:r w:rsidR="00FD1148">
        <w:t xml:space="preserve"> </w:t>
      </w:r>
      <w:r w:rsidR="00FD1148" w:rsidRPr="00FD1148">
        <w:rPr>
          <w:i/>
          <w:iCs/>
        </w:rPr>
        <w:t>a</w:t>
      </w:r>
      <w:r w:rsidRPr="00285ED8">
        <w:t xml:space="preserve"> in each region </w:t>
      </w:r>
      <w:r w:rsidR="002B2564" w:rsidRPr="002B2564">
        <w:rPr>
          <w:i/>
          <w:iCs/>
        </w:rPr>
        <w:t>r</w:t>
      </w:r>
      <w:r w:rsidR="002B2564">
        <w:t xml:space="preserve"> </w:t>
      </w:r>
      <w:r w:rsidRPr="00285ED8">
        <w:t xml:space="preserve">in 2016 as the starting point of the study period. The count of vehicle stock by fuel type is obtained from </w:t>
      </w:r>
      <w:r w:rsidRPr="00285ED8">
        <w:fldChar w:fldCharType="begin" w:fldLock="1"/>
      </w:r>
      <w:r w:rsidRPr="00285ED8">
        <w:instrText>ADDIN CSL_CITATION {"citationItems":[{"id":"ITEM-1","itemData":{"URL":"https://www.eia.gov/outlooks/aeo/data/browser/#/?id=49-AEO2019&amp;cases=ref2019&amp;sourcekey=0","accessed":{"date-parts":[["2019","6","17"]]},"author":[{"dropping-particle":"","family":"EIA","given":"","non-dropping-particle":"","parse-names":false,"suffix":""}],"container-title":"Annual Energy Outlook 2019","id":"ITEM-1","issued":{"date-parts":[["2021"]]},"title":"Light-Duty Vehicle Stock by Technology Type","type":"webpage"},"uris":["http://www.mendeley.com/documents/?uuid=585ba399-4bc6-3763-aeba-f41ed53ae32c"]}],"mendeley":{"formattedCitation":"(EIA 2021)","manualFormatting":"EIA (2019)","plainTextFormattedCitation":"(EIA 2021)","previouslyFormattedCitation":"(EIA 2021)"},"properties":{"noteIndex":0},"schema":"https://github.com/citation-style-language/schema/raw/master/csl-citation.json"}</w:instrText>
      </w:r>
      <w:r w:rsidRPr="00285ED8">
        <w:fldChar w:fldCharType="separate"/>
      </w:r>
      <w:r w:rsidRPr="00285ED8">
        <w:rPr>
          <w:noProof/>
        </w:rPr>
        <w:t>EIA (2019)</w:t>
      </w:r>
      <w:r w:rsidRPr="00285ED8">
        <w:fldChar w:fldCharType="end"/>
      </w:r>
      <w:r w:rsidRPr="00285ED8">
        <w:t>. The age distribution of the conventional vehicle (CV) is from</w:t>
      </w:r>
      <w:r w:rsidR="000A4F6E">
        <w:t xml:space="preserve"> </w:t>
      </w:r>
      <w:r w:rsidR="00323147" w:rsidRPr="00521104">
        <w:t xml:space="preserve">NHTS </w:t>
      </w:r>
      <w:r w:rsidR="000A4F6E">
        <w:t xml:space="preserve">(FHA, </w:t>
      </w:r>
      <w:r w:rsidR="00323147" w:rsidRPr="00521104">
        <w:t>2017)</w:t>
      </w:r>
      <w:r w:rsidRPr="00285ED8">
        <w:t xml:space="preserve">; and those of other alternative fuel vehicles are from Transportation Energy Data Book </w:t>
      </w:r>
      <w:r w:rsidRPr="00285ED8">
        <w:fldChar w:fldCharType="begin" w:fldLock="1"/>
      </w:r>
      <w:r w:rsidRPr="00285ED8">
        <w:instrText>ADDIN CSL_CITATION {"citationItems":[{"id":"ITEM-1","itemData":{"author":[{"dropping-particle":"","family":"Davis","given":"Stacy C","non-dropping-particle":"","parse-names":false,"suffix":""},{"dropping-particle":"","family":"Boundy","given":"Robert G","non-dropping-particle":"","parse-names":false,"suffix":""}],"id":"ITEM-1","issued":{"date-parts":[["2018"]]},"title":"Transportation Energy Data Book: Edition 37","type":"report"},"uris":["http://www.mendeley.com/documents/?uuid=338cbd7a-5416-3032-b8b8-cea04931391d"]}],"mendeley":{"formattedCitation":"(Davis and Boundy 2018)","plainTextFormattedCitation":"(Davis and Boundy 2018)","previouslyFormattedCitation":"(Davis and Boundy 2018)"},"properties":{"noteIndex":0},"schema":"https://github.com/citation-style-language/schema/raw/master/csl-citation.json"}</w:instrText>
      </w:r>
      <w:r w:rsidRPr="00285ED8">
        <w:fldChar w:fldCharType="separate"/>
      </w:r>
      <w:r w:rsidRPr="00285ED8">
        <w:rPr>
          <w:noProof/>
        </w:rPr>
        <w:t>(Davis and Boundy 2018)</w:t>
      </w:r>
      <w:r w:rsidRPr="00285ED8">
        <w:fldChar w:fldCharType="end"/>
      </w:r>
      <w:r w:rsidRPr="00285ED8">
        <w:t xml:space="preserve">. The spatial distribution by state of current vehicle stock, primary CV, is from Highway Statistics Series </w:t>
      </w:r>
      <w:r w:rsidRPr="00285ED8">
        <w:fldChar w:fldCharType="begin" w:fldLock="1"/>
      </w:r>
      <w:r w:rsidRPr="00285ED8">
        <w:instrText>ADDIN CSL_CITATION {"citationItems":[{"id":"ITEM-1","itemData":{"URL":"https://www.fhwa.dot.gov/policyinformation/statistics/2016/","accessed":{"date-parts":[["2019","6","12"]]},"author":[{"dropping-particle":"","family":"Federal Highway Administration","given":"","non-dropping-particle":"","parse-names":false,"suffix":""}],"container-title":"Highway Statistics 2016","id":"ITEM-1","issued":{"date-parts":[["2016"]]},"title":"Highway Statistics 2016","type":"webpage"},"uris":["http://www.mendeley.com/documents/?uuid=255cfaf3-905e-3589-928c-fdd0b8d6fbc0"]}],"mendeley":{"formattedCitation":"(Federal Highway Administration 2016)","plainTextFormattedCitation":"(Federal Highway Administration 2016)","previouslyFormattedCitation":"(Federal Highway Administration 2016)"},"properties":{"noteIndex":0},"schema":"https://github.com/citation-style-language/schema/raw/master/csl-citation.json"}</w:instrText>
      </w:r>
      <w:r w:rsidRPr="00285ED8">
        <w:fldChar w:fldCharType="separate"/>
      </w:r>
      <w:r w:rsidRPr="00285ED8">
        <w:rPr>
          <w:noProof/>
        </w:rPr>
        <w:t>(Federal Highway Administration 2016)</w:t>
      </w:r>
      <w:r w:rsidRPr="00285ED8">
        <w:fldChar w:fldCharType="end"/>
      </w:r>
      <w:r w:rsidRPr="00285ED8">
        <w:t xml:space="preserve">. We assume HBV spatial distribution is proportionally the same as CV. The spatial distribution of </w:t>
      </w:r>
      <w:r w:rsidRPr="00285ED8">
        <w:lastRenderedPageBreak/>
        <w:t>FFVs is from IHS; and PHEV and BEV distributions are assumed to be the same</w:t>
      </w:r>
      <w:r w:rsidR="002B2564">
        <w:t xml:space="preserve"> with each other</w:t>
      </w:r>
      <w:r w:rsidRPr="00285ED8">
        <w:t xml:space="preserve"> across states based on the vehicle registration reported by </w:t>
      </w:r>
      <w:r w:rsidRPr="00285ED8">
        <w:fldChar w:fldCharType="begin" w:fldLock="1"/>
      </w:r>
      <w:r w:rsidRPr="00285ED8">
        <w:instrText>ADDIN CSL_CITATION {"citationItems":[{"id":"ITEM-1","itemData":{"URL":"https://maps.nrel.gov/transatlas/?aL=lyQBvX%255Bv%255D%3Dt&amp;bL=clight&amp;cE=0&amp;lR=0&amp;mC=40.212440718286466%2C-91.58203125&amp;zL=4","accessed":{"date-parts":[["2019","7","25"]]},"author":[{"dropping-particle":"","family":"NREL","given":"","non-dropping-particle":"","parse-names":false,"suffix":""}],"id":"ITEM-1","issued":{"date-parts":[["2016"]]},"title":"AFDC TransAtlas","type":"webpage"},"uris":["http://www.mendeley.com/documents/?uuid=80dbf58b-e09d-3131-a302-d61c0773c4e1"]}],"mendeley":{"formattedCitation":"(NREL 2016)","manualFormatting":"NREL (2016)","plainTextFormattedCitation":"(NREL 2016)","previouslyFormattedCitation":"(NREL 2016)"},"properties":{"noteIndex":0},"schema":"https://github.com/citation-style-language/schema/raw/master/csl-citation.json"}</w:instrText>
      </w:r>
      <w:r w:rsidRPr="00285ED8">
        <w:fldChar w:fldCharType="separate"/>
      </w:r>
      <w:r w:rsidRPr="00285ED8">
        <w:rPr>
          <w:noProof/>
        </w:rPr>
        <w:t>NREL (2016)</w:t>
      </w:r>
      <w:r w:rsidRPr="00285ED8">
        <w:fldChar w:fldCharType="end"/>
      </w:r>
      <w:r w:rsidRPr="00285ED8">
        <w:t xml:space="preserve">. We assume that vehicle age and spatial distributions are independent, and thus the multiplication of the above distribution provides the joint distribution by fuel type, age, and region. We then aggregate the vehicle stocks of the 55 states to the 20 electricity market regions (EMR) modeled in the BEPAM </w:t>
      </w:r>
      <w:r w:rsidRPr="00285ED8">
        <w:fldChar w:fldCharType="begin" w:fldLock="1"/>
      </w:r>
      <w:r w:rsidR="00973E1B">
        <w:instrText>ADDIN CSL_CITATION {"citationItems":[{"id":"ITEM-1","itemData":{"DOI":"10.1088/1748-9326/abd7af","ISSN":"1748-9326","abstract":"Mandates, like the renewable fuel standard (RFS), for biofuels from corn and cellulosic feedstocks, impact the environment in multiple ways by affecting land use, nitrogen (N)-leakage, and greenhouse gas (GHG) emissions. We analyze the differing trade-offs these different types of biofuels offer among these multi-dimensional environmental effects and convert them to a monetized value of environmental damages (or benefits) that can be compared with the economic costs of extending these mandates over the 2016–2030 period. The discounted values of cumulative net benefits (or costs) are then compared to those with a counterfactual level of biofuels that would have been produced in the absence of the RFS over this period. We find that maintaining the corn ethanol mandate at 56 billion l till 2030 will lead to a discounted cumulative value of an economic cost of $199 billion over the 2016–2030 period compared to the counterfactual scenario; this includes $109 billion of economic costs and $85 billion of net monetized environmental damages. The additional implementation of a cellulosic biofuel mandate for 60 billion l by 2030 will increase this economic cost by $69 billion which will be partly offset by the net discounted monetized value of environmental benefits of $20 billion, resulting in a net cost of $49 billion over the 2016–2030 period. We explore the sensitivity of these net (economic and environmental) costs to alternative values of the social costs of carbon and nitrogen and other technological and market parameters. We find that, unlike corn ethanol, cellulosic biofuels can result in positive net benefits if the monetary benefits of GHG mitigation are valued high and those of N-damages are not very high.","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container-title":"Environmental Research Letters","id":"ITEM-1","issue":"3","issued":{"date-parts":[["2021","3","1"]]},"page":"034021","publisher":"IOP Publishing","title":"The economic and environmental costs and benefits of the renewable fuel standard","type":"article-journal","volume":"16"},"uris":["http://www.mendeley.com/documents/?uuid=9de02e63-eb9d-425b-9fb5-e7bebf9f97d2"]}],"mendeley":{"formattedCitation":"(Chen et al. 2021)","manualFormatting":"(Oliver et al. 2017)","plainTextFormattedCitation":"(Chen et al. 2021)","previouslyFormattedCitation":"(Chen et al. 2021)"},"properties":{"noteIndex":0},"schema":"https://github.com/citation-style-language/schema/raw/master/csl-citation.json"}</w:instrText>
      </w:r>
      <w:r w:rsidRPr="00285ED8">
        <w:fldChar w:fldCharType="separate"/>
      </w:r>
      <w:r w:rsidRPr="00285ED8">
        <w:rPr>
          <w:noProof/>
        </w:rPr>
        <w:t>(</w:t>
      </w:r>
      <w:r w:rsidR="002B2564">
        <w:rPr>
          <w:noProof/>
        </w:rPr>
        <w:t>Oliver</w:t>
      </w:r>
      <w:r w:rsidRPr="00285ED8">
        <w:rPr>
          <w:noProof/>
        </w:rPr>
        <w:t xml:space="preserve"> et al. </w:t>
      </w:r>
      <w:r w:rsidR="002B2564">
        <w:rPr>
          <w:noProof/>
        </w:rPr>
        <w:t>2017</w:t>
      </w:r>
      <w:r w:rsidRPr="00285ED8">
        <w:rPr>
          <w:noProof/>
        </w:rPr>
        <w:t>)</w:t>
      </w:r>
      <w:r w:rsidRPr="00285ED8">
        <w:fldChar w:fldCharType="end"/>
      </w:r>
      <w:r w:rsidRPr="00285ED8">
        <w:t>.</w:t>
      </w:r>
      <w:r>
        <w:t xml:space="preserve"> </w:t>
      </w:r>
    </w:p>
    <w:p w14:paraId="60F9EC81" w14:textId="77777777" w:rsidR="00285ED8" w:rsidRDefault="00285ED8" w:rsidP="00285ED8">
      <w:pPr>
        <w:pStyle w:val="BodyText"/>
        <w:spacing w:line="240" w:lineRule="auto"/>
      </w:pPr>
    </w:p>
    <w:p w14:paraId="05C810FF" w14:textId="0BF7E475" w:rsidR="00086AEC" w:rsidRPr="00163944" w:rsidRDefault="00285ED8" w:rsidP="00285ED8">
      <w:pPr>
        <w:pStyle w:val="Heading4"/>
        <w:numPr>
          <w:ilvl w:val="0"/>
          <w:numId w:val="0"/>
        </w:numPr>
        <w:ind w:left="90"/>
        <w:rPr>
          <w:b/>
          <w:bCs/>
        </w:rPr>
      </w:pPr>
      <w:r w:rsidRPr="00163944">
        <w:rPr>
          <w:b/>
          <w:bCs/>
        </w:rPr>
        <w:t>A.1.3.2:</w:t>
      </w:r>
      <w:r w:rsidR="00D93C5B">
        <w:rPr>
          <w:b/>
          <w:bCs/>
        </w:rPr>
        <w:t xml:space="preserve"> </w:t>
      </w:r>
      <w:r w:rsidR="00FC7AC7" w:rsidRPr="00163944">
        <w:rPr>
          <w:b/>
          <w:bCs/>
        </w:rPr>
        <w:t xml:space="preserve">Vehicle </w:t>
      </w:r>
      <w:r w:rsidR="00B92A3A" w:rsidRPr="00163944">
        <w:rPr>
          <w:b/>
          <w:bCs/>
        </w:rPr>
        <w:t>O</w:t>
      </w:r>
      <w:r w:rsidR="00FC7AC7" w:rsidRPr="00163944">
        <w:rPr>
          <w:b/>
          <w:bCs/>
        </w:rPr>
        <w:t xml:space="preserve">wnership </w:t>
      </w:r>
      <w:r w:rsidR="00B92A3A" w:rsidRPr="00163944">
        <w:rPr>
          <w:b/>
          <w:bCs/>
        </w:rPr>
        <w:t>C</w:t>
      </w:r>
      <w:r w:rsidR="00FC7AC7" w:rsidRPr="00163944">
        <w:rPr>
          <w:b/>
          <w:bCs/>
        </w:rPr>
        <w:t>ost</w:t>
      </w:r>
    </w:p>
    <w:p w14:paraId="6740C0A1" w14:textId="086515B8" w:rsidR="00086AEC" w:rsidRDefault="00FC7AC7" w:rsidP="00C53F8C">
      <w:pPr>
        <w:spacing w:line="240" w:lineRule="auto"/>
      </w:pPr>
      <w:r>
        <w:t>The purchase price (</w:t>
      </w:r>
      <w:r w:rsidR="00DF2CFE">
        <w:t xml:space="preserve">denoted as </w:t>
      </w:r>
      <m:oMath>
        <m:sSub>
          <m:sSubPr>
            <m:ctrlPr>
              <w:rPr>
                <w:rFonts w:ascii="Cambria Math" w:hAnsi="Cambria Math" w:cstheme="minorBidi"/>
                <w:i/>
              </w:rPr>
            </m:ctrlPr>
          </m:sSubPr>
          <m:e>
            <m:r>
              <w:rPr>
                <w:rFonts w:ascii="Cambria Math" w:hAnsi="Cambria Math"/>
              </w:rPr>
              <m:t>ϕ</m:t>
            </m:r>
          </m:e>
          <m:sub>
            <m:r>
              <w:rPr>
                <w:rFonts w:ascii="Cambria Math" w:hAnsi="Cambria Math"/>
              </w:rPr>
              <m:t>t,v</m:t>
            </m:r>
          </m:sub>
        </m:sSub>
      </m:oMath>
      <w:r w:rsidR="00DF2CFE">
        <w:t xml:space="preserve"> </w:t>
      </w:r>
      <w:r w:rsidR="00DD2C9D">
        <w:t>in equation 1</w:t>
      </w:r>
      <w:r>
        <w:t>) of new vehicles</w:t>
      </w:r>
      <w:r w:rsidR="008136F3">
        <w:t xml:space="preserve"> of each of the five types is obtained</w:t>
      </w:r>
      <w:r>
        <w:t xml:space="preserve"> from </w:t>
      </w:r>
      <w:r w:rsidR="00DD2C9D">
        <w:t>Annual Energy Outlook (</w:t>
      </w:r>
      <w:r w:rsidR="000A4F6E">
        <w:t>EIA,</w:t>
      </w:r>
      <w:r>
        <w:t xml:space="preserve"> 20</w:t>
      </w:r>
      <w:r w:rsidR="000A4F6E">
        <w:t>19)</w:t>
      </w:r>
      <w:r w:rsidR="008136F3">
        <w:t xml:space="preserve"> and</w:t>
      </w:r>
      <w:r>
        <w:t xml:space="preserve"> is calculated by weighing the market share</w:t>
      </w:r>
      <w:r w:rsidR="00DD2C9D">
        <w:t xml:space="preserve"> estimated by AEO </w:t>
      </w:r>
      <w:r>
        <w:t>of each vehicle class</w:t>
      </w:r>
      <w:r w:rsidR="00DD2C9D">
        <w:t xml:space="preserve"> defined by AEO</w:t>
      </w:r>
      <w:r>
        <w:t xml:space="preserve"> from 2016 to 2050.</w:t>
      </w:r>
      <w:r w:rsidR="00DD2C9D">
        <w:t xml:space="preserve"> AEO develop</w:t>
      </w:r>
      <w:r w:rsidR="00784036">
        <w:t>ed</w:t>
      </w:r>
      <w:r w:rsidR="00DD2C9D">
        <w:t xml:space="preserve"> the National Energy Modeling System (NEM) </w:t>
      </w:r>
      <w:r w:rsidR="00C600FE">
        <w:t>to forecast future transportation energy consumption.</w:t>
      </w:r>
      <w:r w:rsidR="00DD2C9D">
        <w:t xml:space="preserve"> </w:t>
      </w:r>
      <w:r>
        <w:t xml:space="preserve">The data </w:t>
      </w:r>
      <w:r w:rsidR="00C600FE">
        <w:t xml:space="preserve">in Figure A3 </w:t>
      </w:r>
      <w:r>
        <w:t>showed that except for BEVs whose price is expected to decline with reduced battery costs</w:t>
      </w:r>
      <w:r w:rsidR="00C600FE">
        <w:t xml:space="preserve"> (</w:t>
      </w:r>
      <w:proofErr w:type="spellStart"/>
      <w:r w:rsidR="00C600FE">
        <w:t>BloombergNEF</w:t>
      </w:r>
      <w:proofErr w:type="spellEnd"/>
      <w:r w:rsidR="00C600FE">
        <w:t xml:space="preserve"> 2019)</w:t>
      </w:r>
      <w:r>
        <w:t xml:space="preserve">, the prices for the other vehicles are projected to </w:t>
      </w:r>
      <w:r w:rsidR="00C600FE">
        <w:t xml:space="preserve">slightly </w:t>
      </w:r>
      <w:r>
        <w:t xml:space="preserve">increase </w:t>
      </w:r>
      <w:r w:rsidR="00C600FE">
        <w:t xml:space="preserve">mainly </w:t>
      </w:r>
      <w:r>
        <w:t xml:space="preserve">due to </w:t>
      </w:r>
      <w:proofErr w:type="gramStart"/>
      <w:r>
        <w:t xml:space="preserve">the </w:t>
      </w:r>
      <w:r w:rsidR="00C600FE">
        <w:t>inflation</w:t>
      </w:r>
      <w:proofErr w:type="gramEnd"/>
      <w:r>
        <w:t xml:space="preserve">.  </w:t>
      </w:r>
    </w:p>
    <w:p w14:paraId="3A2AD0F5" w14:textId="77777777" w:rsidR="00086AEC" w:rsidRDefault="00FC7AC7" w:rsidP="00C53F8C">
      <w:pPr>
        <w:spacing w:line="240" w:lineRule="auto"/>
        <w:jc w:val="center"/>
      </w:pPr>
      <w:r>
        <w:rPr>
          <w:noProof/>
        </w:rPr>
        <w:drawing>
          <wp:inline distT="0" distB="0" distL="0" distR="0" wp14:anchorId="7C87EC50" wp14:editId="117E935B">
            <wp:extent cx="4572000" cy="2743200"/>
            <wp:effectExtent l="0" t="0" r="0" b="0"/>
            <wp:docPr id="10" name="Chart 10">
              <a:extLst xmlns:a="http://schemas.openxmlformats.org/drawingml/2006/main">
                <a:ext uri="{FF2B5EF4-FFF2-40B4-BE49-F238E27FC236}">
                  <a16:creationId xmlns:a16="http://schemas.microsoft.com/office/drawing/2014/main" id="{CCDBFC36-84A3-EDFC-8715-07CB36A6B3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79F1322" w14:textId="544D8024" w:rsidR="00086AEC" w:rsidRPr="00285ED8" w:rsidRDefault="00FC7AC7" w:rsidP="006E22E7">
      <w:pPr>
        <w:pStyle w:val="Caption"/>
        <w:rPr>
          <w:b/>
          <w:bCs/>
          <w:i/>
          <w:iCs/>
        </w:rPr>
      </w:pPr>
      <w:r w:rsidRPr="00285ED8">
        <w:rPr>
          <w:b/>
          <w:bCs/>
        </w:rPr>
        <w:t xml:space="preserve">Figure </w:t>
      </w:r>
      <w:r w:rsidRPr="00285ED8">
        <w:rPr>
          <w:b/>
          <w:bCs/>
          <w:noProof/>
        </w:rPr>
        <w:t>A3</w:t>
      </w:r>
      <w:r w:rsidRPr="00285ED8">
        <w:rPr>
          <w:b/>
          <w:bCs/>
        </w:rPr>
        <w:t xml:space="preserve"> Vehicle </w:t>
      </w:r>
      <w:r w:rsidR="00167A71">
        <w:rPr>
          <w:b/>
          <w:bCs/>
        </w:rPr>
        <w:t>P</w:t>
      </w:r>
      <w:r w:rsidRPr="00285ED8">
        <w:rPr>
          <w:b/>
          <w:bCs/>
        </w:rPr>
        <w:t xml:space="preserve">urchase </w:t>
      </w:r>
      <w:r w:rsidR="00167A71">
        <w:rPr>
          <w:b/>
          <w:bCs/>
        </w:rPr>
        <w:t>C</w:t>
      </w:r>
      <w:r w:rsidRPr="00285ED8">
        <w:rPr>
          <w:b/>
          <w:bCs/>
        </w:rPr>
        <w:t>osts</w:t>
      </w:r>
      <w:r w:rsidR="00C600FE" w:rsidRPr="00285ED8">
        <w:rPr>
          <w:b/>
          <w:bCs/>
        </w:rPr>
        <w:t xml:space="preserve"> in 2016 </w:t>
      </w:r>
      <w:r w:rsidR="00631551">
        <w:rPr>
          <w:b/>
          <w:bCs/>
        </w:rPr>
        <w:t>D</w:t>
      </w:r>
      <w:r w:rsidR="00167A71">
        <w:rPr>
          <w:b/>
          <w:bCs/>
        </w:rPr>
        <w:t>ollars</w:t>
      </w:r>
      <w:r w:rsidR="00C600FE" w:rsidRPr="00285ED8">
        <w:rPr>
          <w:b/>
          <w:bCs/>
        </w:rPr>
        <w:t>.</w:t>
      </w:r>
    </w:p>
    <w:p w14:paraId="4CADC7CF" w14:textId="408F226F" w:rsidR="00086AEC" w:rsidRPr="00FC5749" w:rsidRDefault="00FC7AC7" w:rsidP="00C53F8C">
      <w:pPr>
        <w:spacing w:line="240" w:lineRule="auto"/>
      </w:pPr>
      <w:r>
        <w:t xml:space="preserve">The annual operating and maintenance costs per mile </w:t>
      </w:r>
      <w:r w:rsidR="00DF2CFE">
        <w:t xml:space="preserve">(denoted by </w:t>
      </w:r>
      <m:oMath>
        <m:sSub>
          <m:sSubPr>
            <m:ctrlPr>
              <w:rPr>
                <w:rFonts w:ascii="Cambria Math" w:hAnsi="Cambria Math"/>
                <w:i/>
              </w:rPr>
            </m:ctrlPr>
          </m:sSubPr>
          <m:e>
            <m:r>
              <w:rPr>
                <w:rFonts w:ascii="Cambria Math" w:hAnsi="Cambria Math"/>
              </w:rPr>
              <m:t>η</m:t>
            </m:r>
          </m:e>
          <m:sub>
            <m:r>
              <w:rPr>
                <w:rFonts w:ascii="Cambria Math" w:hAnsi="Cambria Math"/>
              </w:rPr>
              <m:t>v</m:t>
            </m:r>
          </m:sub>
        </m:sSub>
      </m:oMath>
      <w:r w:rsidR="00DF2CFE">
        <w:t xml:space="preserve">) </w:t>
      </w:r>
      <w:r>
        <w:t xml:space="preserve">are from </w:t>
      </w:r>
      <w:r>
        <w:fldChar w:fldCharType="begin" w:fldLock="1"/>
      </w:r>
      <w:r>
        <w:instrText>ADDIN CSL_CITATION {"citationItems":[{"id":"ITEM-1","itemData":{"URL":"https://afdc.energy.gov/calc/cost_calculator_methodology.html","accessed":{"date-parts":[["2019","6","11"]]},"author":[{"dropping-particle":"","family":"Alternative Fuels Data Center","given":"DOE","non-dropping-particle":"","parse-names":false,"suffix":""}],"id":"ITEM-1","issued":{"date-parts":[["2020"]]},"title":"Vehicle Cost Calculator Assumptions and Methodology","type":"webpage"},"uris":["http://www.mendeley.com/documents/?uuid=f2268d60-1779-3fa8-8b69-d1356ef24db9"]}],"mendeley":{"formattedCitation":"(Alternative Fuels Data Center 2020)","manualFormatting":"Alternative Fuels Data Center (2020)","plainTextFormattedCitation":"(Alternative Fuels Data Center 2020)","previouslyFormattedCitation":"(Alternative Fuels Data Center 2020)"},"properties":{"noteIndex":0},"schema":"https://github.com/citation-style-language/schema/raw/master/csl-citation.json"}</w:instrText>
      </w:r>
      <w:r>
        <w:fldChar w:fldCharType="separate"/>
      </w:r>
      <w:r>
        <w:rPr>
          <w:noProof/>
        </w:rPr>
        <w:t>Alternative Fuels Data Center (2020)</w:t>
      </w:r>
      <w:r>
        <w:fldChar w:fldCharType="end"/>
      </w:r>
      <w:r>
        <w:t xml:space="preserve"> for each powertrain separately. We assume FFV has the same operational cost as CV, and PHEV has the same operational cost as HBV. Other operating costs</w:t>
      </w:r>
      <w:r w:rsidR="00DF2CFE">
        <w:t xml:space="preserve"> (denoted as </w:t>
      </w:r>
      <m:oMath>
        <m:r>
          <w:rPr>
            <w:rFonts w:ascii="Cambria Math" w:hAnsi="Cambria Math"/>
          </w:rPr>
          <m:t>δ</m:t>
        </m:r>
      </m:oMath>
      <w:r w:rsidR="00DF2CFE">
        <w:t>)</w:t>
      </w:r>
      <w:r>
        <w:t xml:space="preserve"> including the yearly vehicle registration, insurance, and license costs are summed </w:t>
      </w:r>
      <w:r w:rsidRPr="00FC5749">
        <w:t xml:space="preserve">up at $1,616 per vehicle </w:t>
      </w:r>
      <w:r w:rsidR="003D40CF">
        <w:t xml:space="preserve">and assumed to be same across vehicles </w:t>
      </w:r>
      <w:r w:rsidRPr="00FC5749">
        <w:t xml:space="preserve">from the </w:t>
      </w:r>
      <w:bookmarkStart w:id="4" w:name="_Hlk137383283"/>
      <w:r w:rsidRPr="00FC5749">
        <w:t xml:space="preserve">American Automobile Association (AAA). </w:t>
      </w:r>
      <w:bookmarkEnd w:id="4"/>
    </w:p>
    <w:p w14:paraId="19B1C8EE" w14:textId="6E47A242" w:rsidR="001B0B2C" w:rsidRDefault="001B0B2C" w:rsidP="001B0B2C">
      <w:pPr>
        <w:spacing w:line="240" w:lineRule="auto"/>
      </w:pPr>
      <w:r w:rsidRPr="00285ED8">
        <w:t xml:space="preserve">We construct the fuel economy (denoted by </w:t>
      </w:r>
      <m:oMath>
        <m:sSub>
          <m:sSubPr>
            <m:ctrlPr>
              <w:rPr>
                <w:rFonts w:ascii="Cambria Math" w:hAnsi="Cambria Math"/>
                <w:i/>
              </w:rPr>
            </m:ctrlPr>
          </m:sSubPr>
          <m:e>
            <m:r>
              <w:rPr>
                <w:rFonts w:ascii="Cambria Math" w:hAnsi="Cambria Math"/>
              </w:rPr>
              <m:t>γ</m:t>
            </m:r>
          </m:e>
          <m:sub>
            <m:r>
              <w:rPr>
                <w:rFonts w:ascii="Cambria Math" w:hAnsi="Cambria Math"/>
              </w:rPr>
              <m:t>t,v,a</m:t>
            </m:r>
          </m:sub>
        </m:sSub>
      </m:oMath>
      <w:r w:rsidRPr="00FC5749">
        <w:t xml:space="preserve"> in equation 2</w:t>
      </w:r>
      <w:proofErr w:type="gramStart"/>
      <w:r w:rsidRPr="00FC5749">
        <w:t>)</w:t>
      </w:r>
      <w:r w:rsidRPr="00285ED8">
        <w:t xml:space="preserve">  of</w:t>
      </w:r>
      <w:proofErr w:type="gramEnd"/>
      <w:r w:rsidRPr="00285ED8">
        <w:t xml:space="preserve"> each vehicle type </w:t>
      </w:r>
      <w:r w:rsidRPr="00285ED8">
        <w:rPr>
          <w:i/>
          <w:iCs/>
        </w:rPr>
        <w:t>v</w:t>
      </w:r>
      <w:r w:rsidRPr="00285ED8">
        <w:t xml:space="preserve"> at age </w:t>
      </w:r>
      <w:r w:rsidRPr="00285ED8">
        <w:rPr>
          <w:i/>
          <w:iCs/>
        </w:rPr>
        <w:t>a</w:t>
      </w:r>
      <w:r w:rsidRPr="00285ED8">
        <w:t xml:space="preserve"> </w:t>
      </w:r>
      <w:r w:rsidR="002B427E">
        <w:t>at</w:t>
      </w:r>
      <w:r w:rsidR="00DC4C79" w:rsidRPr="00285ED8">
        <w:t xml:space="preserve"> </w:t>
      </w:r>
      <w:r w:rsidRPr="00285ED8">
        <w:t xml:space="preserve">time </w:t>
      </w:r>
      <w:r w:rsidRPr="00285ED8">
        <w:rPr>
          <w:i/>
          <w:iCs/>
        </w:rPr>
        <w:t>t</w:t>
      </w:r>
      <w:r w:rsidRPr="00285ED8">
        <w:t xml:space="preserve">. The first-year fuel economy of the existing conventional vehicle is calibrated based on the data from (Federal Highway Administration 2016a) in 2016. We use the fuel efficiencies from the alternative fuel data center (DOE 2017) for alternative fuel vehicles (FFV, HBV, PHEV, and BEV). The efficiency of PHEV is defined separately for charge-depleting </w:t>
      </w:r>
      <w:r w:rsidRPr="00285ED8">
        <w:lastRenderedPageBreak/>
        <w:t xml:space="preserve">mode (all-electric) and charge-sustaining mode (only on gasoline). The efficiencies of the future vehicles from 2020 onward are from the AEO 2021, in which all vehicles comply </w:t>
      </w:r>
      <w:r w:rsidR="001C43DB">
        <w:t>with</w:t>
      </w:r>
      <w:r w:rsidRPr="00285ED8">
        <w:t xml:space="preserve"> </w:t>
      </w:r>
      <w:r w:rsidR="001C43DB">
        <w:t xml:space="preserve">the </w:t>
      </w:r>
      <w:r w:rsidRPr="00285ED8">
        <w:t xml:space="preserve">Corporate Fuel Efficiency Standard </w:t>
      </w:r>
      <w:r w:rsidRPr="00285ED8">
        <w:fldChar w:fldCharType="begin" w:fldLock="1"/>
      </w:r>
      <w:r w:rsidRPr="00285ED8">
        <w:instrText>ADDIN CSL_CITATION {"citationItems":[{"id":"ITEM-1","itemData":{"abstract":"The NEMS Transportation Demand Module (TDM) estimates transportation energy consumption across 9 census divisions and for 10 fuel types. Each fuel type is modeled according to fuel-specific and associated technology attributes by transportation mode. Total transportation energy consumption is reported as the sum of energy use in the following transport modes: • Light-duty vehicles (cars, light trucks, and two-and three-wheeled vehicles) • Commercial light trucks (8,501-10,000 pounds gross vehicle weight rating) • Freight trucks (greater than 10,000 pounds gross vehicle weight) • Buses • Freight and passenger aircraft • Freight and passenger rail • Maritime freight shipping • Miscellaneous transport (such as recreational boating) Light-duty vehicle (LDV) fuel consumption is further subdivided into household usage and commercial fleet consumption. Key assumptions By submodules and their components, key assumptions for transportation travel demand, efficiency, and energy consumption address LDVs, commercial light trucks, freight transportation, and air travel.","author":[{"dropping-particle":"","family":"US Energy Information Administration","given":"","non-dropping-particle":"","parse-names":false,"suffix":""}],"id":"ITEM-1","issue":"February","issued":{"date-parts":[["2019"]]},"page":"1-29","title":"Assumptions to the Annual Energy Outlook 2019: Transportation Demand Module","type":"article-journal"},"uris":["http://www.mendeley.com/documents/?uuid=dc249d93-3644-4936-ac10-889ea7503bb8"]}],"mendeley":{"formattedCitation":"(US Energy Information Administration 2019)","plainTextFormattedCitation":"(US Energy Information Administration 2019)","previouslyFormattedCitation":"(US Energy Information Administration 2019)"},"properties":{"noteIndex":0},"schema":"https://github.com/citation-style-language/schema/raw/master/csl-citation.json"}</w:instrText>
      </w:r>
      <w:r w:rsidRPr="00285ED8">
        <w:fldChar w:fldCharType="separate"/>
      </w:r>
      <w:r w:rsidRPr="00285ED8">
        <w:rPr>
          <w:noProof/>
        </w:rPr>
        <w:t>(US Energy Information Administration 2019)</w:t>
      </w:r>
      <w:r w:rsidRPr="00285ED8">
        <w:fldChar w:fldCharType="end"/>
      </w:r>
      <w:r w:rsidRPr="00285ED8">
        <w:t xml:space="preserve">. We apply a discount rate of 70% to the future fuel economy </w:t>
      </w:r>
      <m:oMath>
        <m:sSub>
          <m:sSubPr>
            <m:ctrlPr>
              <w:rPr>
                <w:rFonts w:ascii="Cambria Math" w:hAnsi="Cambria Math"/>
                <w:i/>
              </w:rPr>
            </m:ctrlPr>
          </m:sSubPr>
          <m:e>
            <m:r>
              <w:rPr>
                <w:rFonts w:ascii="Cambria Math" w:hAnsi="Cambria Math"/>
              </w:rPr>
              <m:t>γ</m:t>
            </m:r>
          </m:e>
          <m:sub>
            <m:r>
              <w:rPr>
                <w:rFonts w:ascii="Cambria Math" w:hAnsi="Cambria Math"/>
              </w:rPr>
              <m:t>t,v,a</m:t>
            </m:r>
          </m:sub>
        </m:sSub>
      </m:oMath>
      <w:r w:rsidRPr="00285ED8">
        <w:t xml:space="preserve"> based on the EPA report (</w:t>
      </w:r>
      <w:r w:rsidR="00CD7094">
        <w:t xml:space="preserve">US EPA, </w:t>
      </w:r>
      <w:r w:rsidRPr="00285ED8">
        <w:t>2016) that the realized fuel economy of the fleet is 70% of the CAFE standard specified numbers.</w:t>
      </w:r>
      <w:r>
        <w:t xml:space="preserve"> </w:t>
      </w:r>
    </w:p>
    <w:p w14:paraId="41D71C7A" w14:textId="0094839A" w:rsidR="00086AEC" w:rsidRPr="00285ED8" w:rsidRDefault="00FC7AC7" w:rsidP="006E22E7">
      <w:pPr>
        <w:pStyle w:val="Caption"/>
        <w:rPr>
          <w:b/>
          <w:bCs/>
          <w:i/>
        </w:rPr>
      </w:pPr>
      <w:r w:rsidRPr="00285ED8">
        <w:rPr>
          <w:b/>
          <w:bCs/>
        </w:rPr>
        <w:t xml:space="preserve">Table </w:t>
      </w:r>
      <w:r w:rsidR="00BA2D10" w:rsidRPr="00285ED8">
        <w:rPr>
          <w:b/>
          <w:bCs/>
        </w:rPr>
        <w:t>A</w:t>
      </w:r>
      <w:r w:rsidR="00BA2D10">
        <w:rPr>
          <w:b/>
          <w:bCs/>
          <w:noProof/>
        </w:rPr>
        <w:t>3</w:t>
      </w:r>
      <w:r w:rsidR="00BA2D10" w:rsidRPr="00285ED8">
        <w:rPr>
          <w:b/>
          <w:bCs/>
        </w:rPr>
        <w:t xml:space="preserve"> </w:t>
      </w:r>
      <w:r w:rsidRPr="00285ED8">
        <w:rPr>
          <w:b/>
          <w:bCs/>
        </w:rPr>
        <w:t>Specification of Light-Duty Vehicle in 2016.</w:t>
      </w:r>
    </w:p>
    <w:tbl>
      <w:tblPr>
        <w:tblW w:w="5000" w:type="pct"/>
        <w:tblBorders>
          <w:top w:val="single" w:sz="4" w:space="0" w:color="auto"/>
          <w:bottom w:val="single" w:sz="4" w:space="0" w:color="auto"/>
        </w:tblBorders>
        <w:tblLayout w:type="fixed"/>
        <w:tblLook w:val="04A0" w:firstRow="1" w:lastRow="0" w:firstColumn="1" w:lastColumn="0" w:noHBand="0" w:noVBand="1"/>
      </w:tblPr>
      <w:tblGrid>
        <w:gridCol w:w="1303"/>
        <w:gridCol w:w="1563"/>
        <w:gridCol w:w="1707"/>
        <w:gridCol w:w="1419"/>
        <w:gridCol w:w="1685"/>
        <w:gridCol w:w="1683"/>
      </w:tblGrid>
      <w:tr w:rsidR="00A51B04" w14:paraId="774367CE" w14:textId="604BB973" w:rsidTr="003D40CF">
        <w:trPr>
          <w:trHeight w:val="300"/>
        </w:trPr>
        <w:tc>
          <w:tcPr>
            <w:tcW w:w="696" w:type="pct"/>
            <w:tcBorders>
              <w:top w:val="single" w:sz="4" w:space="0" w:color="auto"/>
              <w:bottom w:val="single" w:sz="4" w:space="0" w:color="auto"/>
            </w:tcBorders>
            <w:shd w:val="clear" w:color="auto" w:fill="auto"/>
            <w:noWrap/>
            <w:hideMark/>
          </w:tcPr>
          <w:p w14:paraId="746C4AB6" w14:textId="77777777" w:rsidR="00A51B04" w:rsidRDefault="00A51B04" w:rsidP="006E22E7">
            <w:pPr>
              <w:pStyle w:val="BodyText"/>
              <w:spacing w:line="240" w:lineRule="auto"/>
            </w:pPr>
            <w:r>
              <w:t>Vehicle type</w:t>
            </w:r>
          </w:p>
        </w:tc>
        <w:tc>
          <w:tcPr>
            <w:tcW w:w="835" w:type="pct"/>
            <w:tcBorders>
              <w:top w:val="single" w:sz="4" w:space="0" w:color="auto"/>
              <w:bottom w:val="single" w:sz="4" w:space="0" w:color="auto"/>
            </w:tcBorders>
            <w:shd w:val="clear" w:color="auto" w:fill="auto"/>
            <w:noWrap/>
            <w:hideMark/>
          </w:tcPr>
          <w:p w14:paraId="797B1283" w14:textId="77777777" w:rsidR="00A51B04" w:rsidRDefault="00A51B04" w:rsidP="006E22E7">
            <w:pPr>
              <w:pStyle w:val="BodyText"/>
              <w:spacing w:line="240" w:lineRule="auto"/>
            </w:pPr>
            <w:r>
              <w:t>Energy sources</w:t>
            </w:r>
          </w:p>
        </w:tc>
        <w:tc>
          <w:tcPr>
            <w:tcW w:w="912" w:type="pct"/>
            <w:tcBorders>
              <w:top w:val="single" w:sz="4" w:space="0" w:color="auto"/>
              <w:bottom w:val="single" w:sz="4" w:space="0" w:color="auto"/>
            </w:tcBorders>
            <w:shd w:val="clear" w:color="auto" w:fill="auto"/>
            <w:noWrap/>
            <w:hideMark/>
          </w:tcPr>
          <w:p w14:paraId="01822919" w14:textId="77777777" w:rsidR="00A51B04" w:rsidRDefault="00A51B04" w:rsidP="006E22E7">
            <w:pPr>
              <w:pStyle w:val="BodyText"/>
              <w:spacing w:line="240" w:lineRule="auto"/>
            </w:pPr>
            <w:r>
              <w:t xml:space="preserve">Fuel efficiency </w:t>
            </w:r>
          </w:p>
          <w:p w14:paraId="796F6125" w14:textId="7775EA27" w:rsidR="00A51B04" w:rsidRDefault="00A51B04" w:rsidP="006E22E7">
            <w:pPr>
              <w:pStyle w:val="BodyText"/>
              <w:spacing w:line="240" w:lineRule="auto"/>
            </w:pPr>
            <w:r>
              <w:t>(</w:t>
            </w:r>
            <w:proofErr w:type="gramStart"/>
            <w:r>
              <w:t>miles</w:t>
            </w:r>
            <w:proofErr w:type="gramEnd"/>
            <w:r>
              <w:t xml:space="preserve"> per gasoline equivalent gallon)</w:t>
            </w:r>
          </w:p>
        </w:tc>
        <w:tc>
          <w:tcPr>
            <w:tcW w:w="758" w:type="pct"/>
            <w:tcBorders>
              <w:top w:val="single" w:sz="4" w:space="0" w:color="auto"/>
              <w:bottom w:val="single" w:sz="4" w:space="0" w:color="auto"/>
            </w:tcBorders>
          </w:tcPr>
          <w:p w14:paraId="40EECA12" w14:textId="77777777" w:rsidR="00A51B04" w:rsidRDefault="00A51B04" w:rsidP="006E22E7">
            <w:pPr>
              <w:pStyle w:val="BodyText"/>
              <w:spacing w:line="240" w:lineRule="auto"/>
            </w:pPr>
            <w:r>
              <w:t>Average purchase price</w:t>
            </w:r>
          </w:p>
          <w:p w14:paraId="23CADCB2" w14:textId="77777777" w:rsidR="00A51B04" w:rsidRDefault="00A51B04" w:rsidP="006E22E7">
            <w:pPr>
              <w:pStyle w:val="BodyText"/>
              <w:spacing w:line="240" w:lineRule="auto"/>
            </w:pPr>
            <w:r>
              <w:t>($)</w:t>
            </w:r>
          </w:p>
        </w:tc>
        <w:tc>
          <w:tcPr>
            <w:tcW w:w="900" w:type="pct"/>
            <w:tcBorders>
              <w:top w:val="single" w:sz="4" w:space="0" w:color="auto"/>
              <w:bottom w:val="single" w:sz="4" w:space="0" w:color="auto"/>
            </w:tcBorders>
          </w:tcPr>
          <w:p w14:paraId="38816F6F" w14:textId="77777777" w:rsidR="00A51B04" w:rsidRDefault="00A51B04" w:rsidP="006E22E7">
            <w:pPr>
              <w:pStyle w:val="BodyText"/>
              <w:spacing w:line="240" w:lineRule="auto"/>
            </w:pPr>
            <w:r>
              <w:t xml:space="preserve">Operational and </w:t>
            </w:r>
          </w:p>
          <w:p w14:paraId="589CB5D6" w14:textId="77777777" w:rsidR="00A51B04" w:rsidRDefault="00A51B04" w:rsidP="006E22E7">
            <w:pPr>
              <w:pStyle w:val="BodyText"/>
              <w:spacing w:line="240" w:lineRule="auto"/>
            </w:pPr>
            <w:r>
              <w:t>maintenance costs</w:t>
            </w:r>
          </w:p>
          <w:p w14:paraId="0EF8BBA5" w14:textId="77777777" w:rsidR="00A51B04" w:rsidRDefault="00A51B04" w:rsidP="006E22E7">
            <w:pPr>
              <w:pStyle w:val="BodyText"/>
              <w:spacing w:line="240" w:lineRule="auto"/>
            </w:pPr>
            <w:r>
              <w:t>($ per mile)</w:t>
            </w:r>
          </w:p>
        </w:tc>
        <w:tc>
          <w:tcPr>
            <w:tcW w:w="899" w:type="pct"/>
            <w:tcBorders>
              <w:top w:val="single" w:sz="4" w:space="0" w:color="auto"/>
              <w:bottom w:val="single" w:sz="4" w:space="0" w:color="auto"/>
            </w:tcBorders>
          </w:tcPr>
          <w:p w14:paraId="54164F43" w14:textId="1E8E028F" w:rsidR="00A51B04" w:rsidRDefault="00A51B04" w:rsidP="006E22E7">
            <w:pPr>
              <w:pStyle w:val="BodyText"/>
              <w:spacing w:line="240" w:lineRule="auto"/>
            </w:pPr>
            <w:r>
              <w:t>Carbon intensity (</w:t>
            </w:r>
            <w:r w:rsidR="001B0B2C" w:rsidRPr="00C21E7C">
              <w:t>g CO</w:t>
            </w:r>
            <w:r w:rsidR="001B0B2C" w:rsidRPr="00FF53F0">
              <w:rPr>
                <w:vertAlign w:val="subscript"/>
              </w:rPr>
              <w:t>2</w:t>
            </w:r>
            <w:r w:rsidR="001B0B2C" w:rsidRPr="00C21E7C">
              <w:t xml:space="preserve"> per mile</w:t>
            </w:r>
            <w:r w:rsidR="001B0B2C">
              <w:t>)</w:t>
            </w:r>
          </w:p>
        </w:tc>
      </w:tr>
      <w:tr w:rsidR="00A51B04" w14:paraId="78FAD4DA" w14:textId="76EB990D" w:rsidTr="003D40CF">
        <w:trPr>
          <w:trHeight w:val="300"/>
        </w:trPr>
        <w:tc>
          <w:tcPr>
            <w:tcW w:w="696" w:type="pct"/>
            <w:tcBorders>
              <w:top w:val="single" w:sz="4" w:space="0" w:color="auto"/>
            </w:tcBorders>
            <w:shd w:val="clear" w:color="auto" w:fill="auto"/>
            <w:noWrap/>
            <w:vAlign w:val="bottom"/>
            <w:hideMark/>
          </w:tcPr>
          <w:p w14:paraId="6FF232E2" w14:textId="77777777" w:rsidR="00A51B04" w:rsidRDefault="00A51B04" w:rsidP="006E22E7">
            <w:pPr>
              <w:pStyle w:val="BodyText"/>
              <w:spacing w:line="240" w:lineRule="auto"/>
            </w:pPr>
            <w:r>
              <w:t>CV</w:t>
            </w:r>
          </w:p>
        </w:tc>
        <w:tc>
          <w:tcPr>
            <w:tcW w:w="835" w:type="pct"/>
            <w:tcBorders>
              <w:top w:val="single" w:sz="4" w:space="0" w:color="auto"/>
            </w:tcBorders>
            <w:shd w:val="clear" w:color="auto" w:fill="auto"/>
            <w:noWrap/>
            <w:vAlign w:val="bottom"/>
            <w:hideMark/>
          </w:tcPr>
          <w:p w14:paraId="3996FB6B" w14:textId="77777777" w:rsidR="00A51B04" w:rsidRDefault="00A51B04" w:rsidP="006E22E7">
            <w:pPr>
              <w:pStyle w:val="BodyText"/>
              <w:spacing w:line="240" w:lineRule="auto"/>
            </w:pPr>
            <w:r>
              <w:t>E10</w:t>
            </w:r>
          </w:p>
        </w:tc>
        <w:tc>
          <w:tcPr>
            <w:tcW w:w="912" w:type="pct"/>
            <w:tcBorders>
              <w:top w:val="single" w:sz="4" w:space="0" w:color="auto"/>
            </w:tcBorders>
            <w:shd w:val="clear" w:color="auto" w:fill="auto"/>
            <w:noWrap/>
            <w:vAlign w:val="bottom"/>
            <w:hideMark/>
          </w:tcPr>
          <w:p w14:paraId="70380053" w14:textId="77777777" w:rsidR="00A51B04" w:rsidRDefault="00A51B04" w:rsidP="006E22E7">
            <w:pPr>
              <w:pStyle w:val="BodyText"/>
              <w:spacing w:line="240" w:lineRule="auto"/>
            </w:pPr>
            <w:r>
              <w:t>20</w:t>
            </w:r>
          </w:p>
        </w:tc>
        <w:tc>
          <w:tcPr>
            <w:tcW w:w="758" w:type="pct"/>
            <w:tcBorders>
              <w:top w:val="single" w:sz="4" w:space="0" w:color="auto"/>
            </w:tcBorders>
          </w:tcPr>
          <w:p w14:paraId="2F7162CB" w14:textId="77777777" w:rsidR="00A51B04" w:rsidRDefault="00A51B04" w:rsidP="006E22E7">
            <w:pPr>
              <w:pStyle w:val="BodyText"/>
              <w:spacing w:line="240" w:lineRule="auto"/>
            </w:pPr>
            <w:r>
              <w:t>25,720</w:t>
            </w:r>
          </w:p>
        </w:tc>
        <w:tc>
          <w:tcPr>
            <w:tcW w:w="900" w:type="pct"/>
            <w:tcBorders>
              <w:top w:val="single" w:sz="4" w:space="0" w:color="auto"/>
            </w:tcBorders>
          </w:tcPr>
          <w:p w14:paraId="2BE7DC4A" w14:textId="77777777" w:rsidR="00A51B04" w:rsidRDefault="00A51B04" w:rsidP="006E22E7">
            <w:pPr>
              <w:pStyle w:val="BodyText"/>
              <w:spacing w:line="240" w:lineRule="auto"/>
            </w:pPr>
            <w:r>
              <w:t>0.068</w:t>
            </w:r>
          </w:p>
        </w:tc>
        <w:tc>
          <w:tcPr>
            <w:tcW w:w="899" w:type="pct"/>
            <w:tcBorders>
              <w:top w:val="single" w:sz="4" w:space="0" w:color="auto"/>
            </w:tcBorders>
          </w:tcPr>
          <w:p w14:paraId="475B6E26" w14:textId="15899293" w:rsidR="00A51B04" w:rsidRDefault="001B0B2C" w:rsidP="006E22E7">
            <w:pPr>
              <w:pStyle w:val="BodyText"/>
              <w:spacing w:line="240" w:lineRule="auto"/>
            </w:pPr>
            <w:r>
              <w:t>370</w:t>
            </w:r>
          </w:p>
        </w:tc>
      </w:tr>
      <w:tr w:rsidR="00A51B04" w14:paraId="72E6CD55" w14:textId="199D8D56" w:rsidTr="003D40CF">
        <w:trPr>
          <w:trHeight w:val="300"/>
        </w:trPr>
        <w:tc>
          <w:tcPr>
            <w:tcW w:w="696" w:type="pct"/>
            <w:shd w:val="clear" w:color="auto" w:fill="auto"/>
            <w:noWrap/>
            <w:vAlign w:val="bottom"/>
            <w:hideMark/>
          </w:tcPr>
          <w:p w14:paraId="49C4A475" w14:textId="77777777" w:rsidR="00A51B04" w:rsidRDefault="00A51B04" w:rsidP="006E22E7">
            <w:pPr>
              <w:pStyle w:val="BodyText"/>
              <w:spacing w:line="240" w:lineRule="auto"/>
            </w:pPr>
            <w:r>
              <w:t>FFV</w:t>
            </w:r>
          </w:p>
        </w:tc>
        <w:tc>
          <w:tcPr>
            <w:tcW w:w="835" w:type="pct"/>
            <w:shd w:val="clear" w:color="auto" w:fill="auto"/>
            <w:noWrap/>
            <w:vAlign w:val="bottom"/>
            <w:hideMark/>
          </w:tcPr>
          <w:p w14:paraId="17E600B0" w14:textId="77777777" w:rsidR="00A51B04" w:rsidRDefault="00A51B04" w:rsidP="006E22E7">
            <w:pPr>
              <w:pStyle w:val="BodyText"/>
              <w:spacing w:line="240" w:lineRule="auto"/>
            </w:pPr>
            <w:r>
              <w:t>E10, E85</w:t>
            </w:r>
          </w:p>
        </w:tc>
        <w:tc>
          <w:tcPr>
            <w:tcW w:w="912" w:type="pct"/>
            <w:shd w:val="clear" w:color="auto" w:fill="auto"/>
            <w:noWrap/>
            <w:vAlign w:val="bottom"/>
            <w:hideMark/>
          </w:tcPr>
          <w:p w14:paraId="6DB50DCB" w14:textId="77777777" w:rsidR="00A51B04" w:rsidRDefault="00A51B04" w:rsidP="006E22E7">
            <w:pPr>
              <w:pStyle w:val="BodyText"/>
              <w:spacing w:line="240" w:lineRule="auto"/>
            </w:pPr>
            <w:r>
              <w:t>19</w:t>
            </w:r>
          </w:p>
        </w:tc>
        <w:tc>
          <w:tcPr>
            <w:tcW w:w="758" w:type="pct"/>
          </w:tcPr>
          <w:p w14:paraId="55DF04E1" w14:textId="77777777" w:rsidR="00A51B04" w:rsidRDefault="00A51B04" w:rsidP="006E22E7">
            <w:pPr>
              <w:pStyle w:val="BodyText"/>
              <w:spacing w:line="240" w:lineRule="auto"/>
            </w:pPr>
            <w:r>
              <w:t>25,750</w:t>
            </w:r>
          </w:p>
        </w:tc>
        <w:tc>
          <w:tcPr>
            <w:tcW w:w="900" w:type="pct"/>
          </w:tcPr>
          <w:p w14:paraId="67CB0760" w14:textId="77777777" w:rsidR="00A51B04" w:rsidRDefault="00A51B04" w:rsidP="006E22E7">
            <w:pPr>
              <w:pStyle w:val="BodyText"/>
              <w:spacing w:line="240" w:lineRule="auto"/>
            </w:pPr>
            <w:r>
              <w:t>0.068</w:t>
            </w:r>
          </w:p>
        </w:tc>
        <w:tc>
          <w:tcPr>
            <w:tcW w:w="899" w:type="pct"/>
          </w:tcPr>
          <w:p w14:paraId="4C43D470" w14:textId="732A443C" w:rsidR="00A51B04" w:rsidRDefault="001B0B2C" w:rsidP="006E22E7">
            <w:pPr>
              <w:pStyle w:val="BodyText"/>
              <w:spacing w:line="240" w:lineRule="auto"/>
            </w:pPr>
            <w:r>
              <w:t>310</w:t>
            </w:r>
          </w:p>
        </w:tc>
      </w:tr>
      <w:tr w:rsidR="00A51B04" w14:paraId="12695C13" w14:textId="6139AF5E" w:rsidTr="003D40CF">
        <w:trPr>
          <w:trHeight w:val="300"/>
        </w:trPr>
        <w:tc>
          <w:tcPr>
            <w:tcW w:w="696" w:type="pct"/>
            <w:shd w:val="clear" w:color="auto" w:fill="auto"/>
            <w:noWrap/>
            <w:vAlign w:val="bottom"/>
            <w:hideMark/>
          </w:tcPr>
          <w:p w14:paraId="1B601F75" w14:textId="77777777" w:rsidR="00A51B04" w:rsidRDefault="00A51B04" w:rsidP="006E22E7">
            <w:pPr>
              <w:pStyle w:val="BodyText"/>
              <w:spacing w:line="240" w:lineRule="auto"/>
            </w:pPr>
            <w:r>
              <w:t>HBV</w:t>
            </w:r>
          </w:p>
        </w:tc>
        <w:tc>
          <w:tcPr>
            <w:tcW w:w="835" w:type="pct"/>
            <w:shd w:val="clear" w:color="auto" w:fill="auto"/>
            <w:noWrap/>
            <w:vAlign w:val="bottom"/>
            <w:hideMark/>
          </w:tcPr>
          <w:p w14:paraId="51A37C6E" w14:textId="77777777" w:rsidR="00A51B04" w:rsidRDefault="00A51B04" w:rsidP="006E22E7">
            <w:pPr>
              <w:pStyle w:val="BodyText"/>
              <w:spacing w:line="240" w:lineRule="auto"/>
            </w:pPr>
            <w:r>
              <w:t>E10</w:t>
            </w:r>
          </w:p>
        </w:tc>
        <w:tc>
          <w:tcPr>
            <w:tcW w:w="912" w:type="pct"/>
            <w:shd w:val="clear" w:color="auto" w:fill="auto"/>
            <w:noWrap/>
            <w:vAlign w:val="bottom"/>
            <w:hideMark/>
          </w:tcPr>
          <w:p w14:paraId="07E97942" w14:textId="77777777" w:rsidR="00A51B04" w:rsidRDefault="00A51B04" w:rsidP="006E22E7">
            <w:pPr>
              <w:pStyle w:val="BodyText"/>
              <w:spacing w:line="240" w:lineRule="auto"/>
            </w:pPr>
            <w:r>
              <w:t>33</w:t>
            </w:r>
          </w:p>
        </w:tc>
        <w:tc>
          <w:tcPr>
            <w:tcW w:w="758" w:type="pct"/>
          </w:tcPr>
          <w:p w14:paraId="22DD7EAB" w14:textId="77777777" w:rsidR="00A51B04" w:rsidRDefault="00A51B04" w:rsidP="006E22E7">
            <w:pPr>
              <w:pStyle w:val="BodyText"/>
              <w:spacing w:line="240" w:lineRule="auto"/>
            </w:pPr>
            <w:r>
              <w:t>32,400</w:t>
            </w:r>
          </w:p>
        </w:tc>
        <w:tc>
          <w:tcPr>
            <w:tcW w:w="900" w:type="pct"/>
          </w:tcPr>
          <w:p w14:paraId="2651279C" w14:textId="77777777" w:rsidR="00A51B04" w:rsidRDefault="00A51B04" w:rsidP="006E22E7">
            <w:pPr>
              <w:pStyle w:val="BodyText"/>
              <w:spacing w:line="240" w:lineRule="auto"/>
            </w:pPr>
            <w:r>
              <w:t>0.070</w:t>
            </w:r>
          </w:p>
        </w:tc>
        <w:tc>
          <w:tcPr>
            <w:tcW w:w="899" w:type="pct"/>
          </w:tcPr>
          <w:p w14:paraId="7D098B73" w14:textId="339CC322" w:rsidR="00A51B04" w:rsidRDefault="001B0B2C" w:rsidP="006E22E7">
            <w:pPr>
              <w:pStyle w:val="BodyText"/>
              <w:spacing w:line="240" w:lineRule="auto"/>
            </w:pPr>
            <w:r>
              <w:t>254</w:t>
            </w:r>
          </w:p>
        </w:tc>
      </w:tr>
      <w:tr w:rsidR="00A51B04" w14:paraId="2ABD1EC8" w14:textId="7237C6F7" w:rsidTr="003D40CF">
        <w:trPr>
          <w:trHeight w:val="300"/>
        </w:trPr>
        <w:tc>
          <w:tcPr>
            <w:tcW w:w="696" w:type="pct"/>
            <w:shd w:val="clear" w:color="auto" w:fill="auto"/>
            <w:noWrap/>
            <w:hideMark/>
          </w:tcPr>
          <w:p w14:paraId="6EFDF48E" w14:textId="77777777" w:rsidR="00A51B04" w:rsidRDefault="00A51B04" w:rsidP="006E22E7">
            <w:pPr>
              <w:pStyle w:val="BodyText"/>
              <w:spacing w:line="240" w:lineRule="auto"/>
            </w:pPr>
            <w:r>
              <w:t>PHEV</w:t>
            </w:r>
          </w:p>
        </w:tc>
        <w:tc>
          <w:tcPr>
            <w:tcW w:w="835" w:type="pct"/>
            <w:shd w:val="clear" w:color="auto" w:fill="auto"/>
            <w:noWrap/>
            <w:vAlign w:val="bottom"/>
            <w:hideMark/>
          </w:tcPr>
          <w:p w14:paraId="1F9BD982" w14:textId="77777777" w:rsidR="00A51B04" w:rsidRDefault="00A51B04" w:rsidP="006E22E7">
            <w:pPr>
              <w:pStyle w:val="BodyText"/>
              <w:spacing w:line="240" w:lineRule="auto"/>
            </w:pPr>
            <w:r>
              <w:t>E10, Electricity</w:t>
            </w:r>
          </w:p>
        </w:tc>
        <w:tc>
          <w:tcPr>
            <w:tcW w:w="912" w:type="pct"/>
            <w:shd w:val="clear" w:color="auto" w:fill="auto"/>
          </w:tcPr>
          <w:p w14:paraId="38F415B0" w14:textId="77777777" w:rsidR="00A51B04" w:rsidRDefault="00A51B04" w:rsidP="006E22E7">
            <w:pPr>
              <w:pStyle w:val="BodyText"/>
              <w:spacing w:line="240" w:lineRule="auto"/>
            </w:pPr>
            <w:r>
              <w:t>35, 85</w:t>
            </w:r>
          </w:p>
        </w:tc>
        <w:tc>
          <w:tcPr>
            <w:tcW w:w="758" w:type="pct"/>
          </w:tcPr>
          <w:p w14:paraId="06F0C307" w14:textId="77777777" w:rsidR="00A51B04" w:rsidRDefault="00A51B04" w:rsidP="006E22E7">
            <w:pPr>
              <w:pStyle w:val="BodyText"/>
              <w:spacing w:line="240" w:lineRule="auto"/>
            </w:pPr>
            <w:r>
              <w:t>39,700</w:t>
            </w:r>
          </w:p>
        </w:tc>
        <w:tc>
          <w:tcPr>
            <w:tcW w:w="900" w:type="pct"/>
          </w:tcPr>
          <w:p w14:paraId="5D769EF6" w14:textId="77777777" w:rsidR="00A51B04" w:rsidRDefault="00A51B04" w:rsidP="006E22E7">
            <w:pPr>
              <w:pStyle w:val="BodyText"/>
              <w:spacing w:line="240" w:lineRule="auto"/>
            </w:pPr>
            <w:r>
              <w:t>0.070</w:t>
            </w:r>
          </w:p>
        </w:tc>
        <w:tc>
          <w:tcPr>
            <w:tcW w:w="899" w:type="pct"/>
          </w:tcPr>
          <w:p w14:paraId="60D8EC3D" w14:textId="1536F2F6" w:rsidR="00A51B04" w:rsidRDefault="001B0B2C" w:rsidP="006E22E7">
            <w:pPr>
              <w:pStyle w:val="BodyText"/>
              <w:spacing w:line="240" w:lineRule="auto"/>
            </w:pPr>
            <w:r>
              <w:t>117</w:t>
            </w:r>
          </w:p>
        </w:tc>
      </w:tr>
      <w:tr w:rsidR="00A51B04" w14:paraId="0142B5AB" w14:textId="7CEBB965" w:rsidTr="003D40CF">
        <w:trPr>
          <w:trHeight w:val="300"/>
        </w:trPr>
        <w:tc>
          <w:tcPr>
            <w:tcW w:w="696" w:type="pct"/>
            <w:shd w:val="clear" w:color="auto" w:fill="auto"/>
            <w:noWrap/>
            <w:hideMark/>
          </w:tcPr>
          <w:p w14:paraId="3452A936" w14:textId="77777777" w:rsidR="00A51B04" w:rsidRDefault="00A51B04" w:rsidP="006E22E7">
            <w:pPr>
              <w:pStyle w:val="BodyText"/>
              <w:spacing w:line="240" w:lineRule="auto"/>
            </w:pPr>
            <w:r>
              <w:t>BEV</w:t>
            </w:r>
          </w:p>
        </w:tc>
        <w:tc>
          <w:tcPr>
            <w:tcW w:w="835" w:type="pct"/>
            <w:shd w:val="clear" w:color="auto" w:fill="auto"/>
            <w:noWrap/>
            <w:vAlign w:val="bottom"/>
            <w:hideMark/>
          </w:tcPr>
          <w:p w14:paraId="62324C30" w14:textId="77777777" w:rsidR="00A51B04" w:rsidRDefault="00A51B04" w:rsidP="006E22E7">
            <w:pPr>
              <w:pStyle w:val="BodyText"/>
              <w:spacing w:line="240" w:lineRule="auto"/>
            </w:pPr>
            <w:r>
              <w:t>Electricity</w:t>
            </w:r>
          </w:p>
        </w:tc>
        <w:tc>
          <w:tcPr>
            <w:tcW w:w="912" w:type="pct"/>
            <w:shd w:val="clear" w:color="auto" w:fill="auto"/>
            <w:vAlign w:val="bottom"/>
          </w:tcPr>
          <w:p w14:paraId="3EA1C9E5" w14:textId="77777777" w:rsidR="00A51B04" w:rsidRDefault="00A51B04" w:rsidP="006E22E7">
            <w:pPr>
              <w:pStyle w:val="BodyText"/>
              <w:spacing w:line="240" w:lineRule="auto"/>
            </w:pPr>
            <w:r>
              <w:t>90</w:t>
            </w:r>
          </w:p>
        </w:tc>
        <w:tc>
          <w:tcPr>
            <w:tcW w:w="758" w:type="pct"/>
          </w:tcPr>
          <w:p w14:paraId="5FCB24B7" w14:textId="77777777" w:rsidR="00A51B04" w:rsidRDefault="00A51B04" w:rsidP="006E22E7">
            <w:pPr>
              <w:pStyle w:val="BodyText"/>
              <w:spacing w:line="240" w:lineRule="auto"/>
            </w:pPr>
            <w:r>
              <w:t>51,500</w:t>
            </w:r>
          </w:p>
        </w:tc>
        <w:tc>
          <w:tcPr>
            <w:tcW w:w="900" w:type="pct"/>
          </w:tcPr>
          <w:p w14:paraId="0F4C681C" w14:textId="77777777" w:rsidR="00A51B04" w:rsidRDefault="00A51B04" w:rsidP="006E22E7">
            <w:pPr>
              <w:pStyle w:val="BodyText"/>
              <w:spacing w:line="240" w:lineRule="auto"/>
            </w:pPr>
            <w:r>
              <w:t>0.066</w:t>
            </w:r>
          </w:p>
        </w:tc>
        <w:tc>
          <w:tcPr>
            <w:tcW w:w="899" w:type="pct"/>
          </w:tcPr>
          <w:p w14:paraId="7A3464B4" w14:textId="17394916" w:rsidR="00A51B04" w:rsidRDefault="001B0B2C" w:rsidP="006E22E7">
            <w:pPr>
              <w:pStyle w:val="BodyText"/>
              <w:spacing w:line="240" w:lineRule="auto"/>
            </w:pPr>
            <w:r>
              <w:t>0.002</w:t>
            </w:r>
          </w:p>
        </w:tc>
      </w:tr>
    </w:tbl>
    <w:p w14:paraId="77401D23" w14:textId="39C404F9" w:rsidR="00086AEC" w:rsidRDefault="00086AEC" w:rsidP="00C53F8C">
      <w:pPr>
        <w:spacing w:line="240" w:lineRule="auto"/>
      </w:pPr>
    </w:p>
    <w:p w14:paraId="61F2C6BB" w14:textId="64719B36" w:rsidR="00F56C9D" w:rsidRDefault="00EE78F5" w:rsidP="00285ED8">
      <w:pPr>
        <w:pStyle w:val="ApendixA11"/>
        <w:tabs>
          <w:tab w:val="left" w:pos="720"/>
        </w:tabs>
        <w:ind w:hanging="1080"/>
      </w:pPr>
      <w:r>
        <w:t xml:space="preserve">Intangible </w:t>
      </w:r>
      <w:r w:rsidR="00065AC6">
        <w:t>C</w:t>
      </w:r>
      <w:r w:rsidR="004075A7">
        <w:t>ost</w:t>
      </w:r>
    </w:p>
    <w:p w14:paraId="372D2D27" w14:textId="65E57C09" w:rsidR="00086AEC" w:rsidRDefault="00F56C9D" w:rsidP="00C53F8C">
      <w:pPr>
        <w:spacing w:line="240" w:lineRule="auto"/>
      </w:pPr>
      <w:r>
        <w:t xml:space="preserve">We now </w:t>
      </w:r>
      <w:r w:rsidR="00FC5749">
        <w:t xml:space="preserve">elaborate </w:t>
      </w:r>
      <w:r w:rsidR="001C43DB">
        <w:t xml:space="preserve">on </w:t>
      </w:r>
      <w:r>
        <w:t xml:space="preserve">the </w:t>
      </w:r>
      <w:r w:rsidR="00FC5749">
        <w:t xml:space="preserve">construction of </w:t>
      </w:r>
      <w:r>
        <w:t>inconvenience costs of range limitation cost, waiting cost, and detour costs of line</w:t>
      </w:r>
      <w:r w:rsidR="001C43DB">
        <w:t>s</w:t>
      </w:r>
      <w:r>
        <w:t xml:space="preserve"> 5 and 6 of equation 1 in </w:t>
      </w:r>
      <w:r w:rsidR="00E92116">
        <w:t>this</w:t>
      </w:r>
      <w:r>
        <w:t xml:space="preserve"> section.</w:t>
      </w:r>
    </w:p>
    <w:p w14:paraId="5B2A004A" w14:textId="42686C7C" w:rsidR="00086AEC" w:rsidRPr="00896A88" w:rsidRDefault="003B7447" w:rsidP="00285ED8">
      <w:pPr>
        <w:pStyle w:val="Heading4"/>
        <w:numPr>
          <w:ilvl w:val="0"/>
          <w:numId w:val="0"/>
        </w:numPr>
        <w:tabs>
          <w:tab w:val="left" w:pos="630"/>
        </w:tabs>
        <w:ind w:left="720" w:hanging="630"/>
        <w:rPr>
          <w:b/>
          <w:bCs/>
        </w:rPr>
      </w:pPr>
      <w:r w:rsidRPr="00896A88">
        <w:rPr>
          <w:b/>
          <w:bCs/>
        </w:rPr>
        <w:t>A.1.</w:t>
      </w:r>
      <w:r w:rsidR="004075A7" w:rsidRPr="00896A88">
        <w:rPr>
          <w:b/>
          <w:bCs/>
        </w:rPr>
        <w:t>4</w:t>
      </w:r>
      <w:r w:rsidRPr="00896A88">
        <w:rPr>
          <w:b/>
          <w:bCs/>
        </w:rPr>
        <w:t>.1</w:t>
      </w:r>
      <w:r w:rsidR="00FC7AC7" w:rsidRPr="00896A88">
        <w:rPr>
          <w:b/>
          <w:bCs/>
        </w:rPr>
        <w:t xml:space="preserve"> Range </w:t>
      </w:r>
      <w:r w:rsidR="00065AC6" w:rsidRPr="00896A88">
        <w:rPr>
          <w:b/>
          <w:bCs/>
        </w:rPr>
        <w:t>Limitation Cost</w:t>
      </w:r>
    </w:p>
    <w:p w14:paraId="0C49F7D0" w14:textId="67916385" w:rsidR="00C6372A" w:rsidRDefault="00FC7AC7" w:rsidP="00285ED8">
      <w:pPr>
        <w:spacing w:line="240" w:lineRule="auto"/>
        <w:ind w:firstLine="0"/>
      </w:pPr>
      <w:r>
        <w:t>The</w:t>
      </w:r>
      <w:r w:rsidR="00521C6B">
        <w:t xml:space="preserve"> total</w:t>
      </w:r>
      <w:r>
        <w:t xml:space="preserve"> range limitation cost</w:t>
      </w:r>
      <w:r w:rsidR="00521C6B">
        <w:t xml:space="preserve"> </w:t>
      </w:r>
      <w:r w:rsidR="00285ED8">
        <w:t xml:space="preserve">at the national level </w:t>
      </w:r>
      <w:r w:rsidR="00446388">
        <w:t>(</w:t>
      </w:r>
      <m:oMath>
        <m:nary>
          <m:naryPr>
            <m:chr m:val="∑"/>
            <m:limLoc m:val="undOvr"/>
            <m:supHide m:val="1"/>
            <m:ctrlPr>
              <w:rPr>
                <w:rFonts w:ascii="Cambria Math" w:hAnsi="Cambria Math" w:cstheme="minorBidi"/>
                <w:i/>
              </w:rPr>
            </m:ctrlPr>
          </m:naryPr>
          <m:sub>
            <m:r>
              <w:rPr>
                <w:rFonts w:ascii="Cambria Math" w:hAnsi="Cambria Math"/>
              </w:rPr>
              <m:t>r,md,a,chrg</m:t>
            </m:r>
          </m:sub>
          <m:sup/>
          <m:e>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BEV,r,md,a,chrg</m:t>
                </m:r>
              </m:sub>
            </m:sSub>
            <m:sSubSup>
              <m:sSubSupPr>
                <m:ctrlPr>
                  <w:rPr>
                    <w:rFonts w:ascii="Cambria Math" w:hAnsi="Cambria Math"/>
                    <w:i/>
                  </w:rPr>
                </m:ctrlPr>
              </m:sSubSupPr>
              <m:e>
                <m:r>
                  <w:rPr>
                    <w:rFonts w:ascii="Cambria Math" w:hAnsi="Cambria Math"/>
                  </w:rPr>
                  <m:t>C</m:t>
                </m:r>
              </m:e>
              <m:sub>
                <m:r>
                  <w:rPr>
                    <w:rFonts w:ascii="Cambria Math" w:hAnsi="Cambria Math"/>
                  </w:rPr>
                  <m:t>a, chrg, md,r,i</m:t>
                </m:r>
              </m:sub>
              <m:sup>
                <m:r>
                  <w:rPr>
                    <w:rFonts w:ascii="Cambria Math" w:hAnsi="Cambria Math"/>
                  </w:rPr>
                  <m:t>range</m:t>
                </m:r>
              </m:sup>
            </m:sSubSup>
          </m:e>
        </m:nary>
      </m:oMath>
      <w:r w:rsidR="00446388">
        <w:t xml:space="preserve"> in line 5 of </w:t>
      </w:r>
      <w:r w:rsidR="001C43DB">
        <w:t xml:space="preserve">the </w:t>
      </w:r>
      <w:r w:rsidR="00446388">
        <w:t xml:space="preserve">objective function </w:t>
      </w:r>
      <w:r w:rsidR="00E92116">
        <w:t>of</w:t>
      </w:r>
      <w:r w:rsidR="00446388">
        <w:t xml:space="preserve"> equation 1) </w:t>
      </w:r>
      <w:r>
        <w:t>is</w:t>
      </w:r>
      <w:r w:rsidR="00521C6B">
        <w:t xml:space="preserve"> the</w:t>
      </w:r>
      <w:r>
        <w:t xml:space="preserve"> </w:t>
      </w:r>
      <w:r w:rsidR="00C6372A">
        <w:t>total cost per vehicle (</w:t>
      </w:r>
      <m:oMath>
        <m:sSubSup>
          <m:sSubSupPr>
            <m:ctrlPr>
              <w:rPr>
                <w:rFonts w:ascii="Cambria Math" w:hAnsi="Cambria Math"/>
                <w:i/>
              </w:rPr>
            </m:ctrlPr>
          </m:sSubSupPr>
          <m:e>
            <m:r>
              <w:rPr>
                <w:rFonts w:ascii="Cambria Math" w:hAnsi="Cambria Math"/>
              </w:rPr>
              <m:t>C</m:t>
            </m:r>
          </m:e>
          <m:sub>
            <m:r>
              <w:rPr>
                <w:rFonts w:ascii="Cambria Math" w:hAnsi="Cambria Math"/>
              </w:rPr>
              <m:t>a, chrg, md,r,i</m:t>
            </m:r>
          </m:sub>
          <m:sup>
            <m:r>
              <w:rPr>
                <w:rFonts w:ascii="Cambria Math" w:hAnsi="Cambria Math"/>
              </w:rPr>
              <m:t>range</m:t>
            </m:r>
          </m:sup>
        </m:sSubSup>
      </m:oMath>
      <w:r w:rsidR="00C6372A">
        <w:t xml:space="preserve">) times the total stock of the vehicles by demand group, region, vehicle age, and charging groups. The </w:t>
      </w:r>
      <m:oMath>
        <m:sSubSup>
          <m:sSubSupPr>
            <m:ctrlPr>
              <w:rPr>
                <w:rFonts w:ascii="Cambria Math" w:hAnsi="Cambria Math"/>
                <w:i/>
              </w:rPr>
            </m:ctrlPr>
          </m:sSubSupPr>
          <m:e>
            <m:r>
              <w:rPr>
                <w:rFonts w:ascii="Cambria Math" w:hAnsi="Cambria Math"/>
              </w:rPr>
              <m:t>C</m:t>
            </m:r>
          </m:e>
          <m:sub>
            <m:r>
              <w:rPr>
                <w:rFonts w:ascii="Cambria Math" w:hAnsi="Cambria Math"/>
              </w:rPr>
              <m:t>a, chrg, md,r,i</m:t>
            </m:r>
          </m:sub>
          <m:sup>
            <m:r>
              <w:rPr>
                <w:rFonts w:ascii="Cambria Math" w:hAnsi="Cambria Math"/>
              </w:rPr>
              <m:t>range</m:t>
            </m:r>
          </m:sup>
        </m:sSubSup>
      </m:oMath>
      <w:r w:rsidR="00C6372A">
        <w:t xml:space="preserve"> is </w:t>
      </w:r>
      <w:r>
        <w:t xml:space="preserve">quantified by the cost </w:t>
      </w:r>
      <w:r w:rsidR="00BA784F">
        <w:t xml:space="preserve">of </w:t>
      </w:r>
      <w:r>
        <w:t>us</w:t>
      </w:r>
      <w:r w:rsidR="00BA784F">
        <w:t>ing</w:t>
      </w:r>
      <w:r>
        <w:t xml:space="preserve"> alternative </w:t>
      </w:r>
      <w:r w:rsidR="00E92116">
        <w:t>transportation</w:t>
      </w:r>
      <w:r>
        <w:t xml:space="preserve"> plans to meet </w:t>
      </w:r>
      <w:r w:rsidR="003E0951">
        <w:t>an individual</w:t>
      </w:r>
      <w:r w:rsidR="00F10D5B">
        <w:t>’</w:t>
      </w:r>
      <w:r w:rsidR="003E0951">
        <w:t xml:space="preserve">s </w:t>
      </w:r>
      <w:r w:rsidR="00A95FD1">
        <w:t xml:space="preserve">driving </w:t>
      </w:r>
      <w:r>
        <w:t xml:space="preserve">demand (or to reach their destination) when </w:t>
      </w:r>
      <w:r w:rsidR="009C3871">
        <w:t>B</w:t>
      </w:r>
      <w:r>
        <w:t>EV run</w:t>
      </w:r>
      <w:r w:rsidR="003E0951">
        <w:t>s</w:t>
      </w:r>
      <w:r>
        <w:t xml:space="preserve"> out of battery (</w:t>
      </w:r>
      <w:r>
        <w:fldChar w:fldCharType="begin" w:fldLock="1"/>
      </w:r>
      <w:r w:rsidR="00CD7094">
        <w:instrText>ADDIN CSL_CITATION {"citationItems":[{"id":"ITEM-1","itemData":{"DOI":"10.3141/2252-07","abstract":"devoted to improving the charging infrastructure? What charging technologies at what locations should receive a higher priority of public funding? In responding to these policy questions, it is neces-sary to assess the role of recharge availability in the transition of a BEV-PHEV market. This study assesses the potential impact of improved recharge availability on the individual BEV-PHEV consumer and on BEV-PHEV market development. This study focuses on the benefit side of improving recharge availability and ignores the cost side. In the following sections, the complicated recharge availability problem is conceptualized into three network interactions. The paper then estimates distribution among U.S. consumers of (a) PHEV fuel-saving benefits by different improvements in recharging availability, (b) range anxiety by different BEV ranges, and (c) willingness to pay for workplace and public recharging in addition to home recharging. Finally, The Oak Ridge National Laboratory MA3T model is used to analyze the potential impact of recharging availability on the BEV-PHEV market. INTERACTIONS BETWEEN CHARGER AND TRAVEL NETWORKS While the charger network is viewed as a set of spatially distributed chargers, the travel network consists of spatially and temporally dis-tributed drivers, driving routes, and parking locations. This study proposes to conceptualize the occurrence of charging as a result of interactions between the charger network and the travel network.","author":[{"dropping-particle":"","family":"Lin","given":"Zhenhong","non-dropping-particle":"","parse-names":false,"suffix":""},{"dropping-particle":"","family":"Greene","given":"David L","non-dropping-particle":"","parse-names":false,"suffix":""}],"container-title":"Journal of the Transportation Research Board","id":"ITEM-1","issued":{"date-parts":[["2011"]]},"page":"49-56","title":"Promoting the Market for Plug-In Hybrid and Battery Electric Vehicles,Role of Recharge Availability","type":"article-journal","volume":"2252"},"uris":["http://www.mendeley.com/documents/?uuid=300d92ff-6ece-357d-b4e6-b2d424ff5ee5"]}],"mendeley":{"formattedCitation":"(Lin and Greene 2011)","manualFormatting":"Lin et al. 2012)","plainTextFormattedCitation":"(Lin and Greene 2011)","previouslyFormattedCitation":"(Lin and Greene 2011)"},"properties":{"noteIndex":0},"schema":"https://github.com/citation-style-language/schema/raw/master/csl-citation.json"}</w:instrText>
      </w:r>
      <w:r>
        <w:fldChar w:fldCharType="separate"/>
      </w:r>
      <w:r>
        <w:rPr>
          <w:noProof/>
        </w:rPr>
        <w:t>Lin et al. 201</w:t>
      </w:r>
      <w:r w:rsidR="00CD7094">
        <w:rPr>
          <w:noProof/>
        </w:rPr>
        <w:t>2</w:t>
      </w:r>
      <w:r>
        <w:rPr>
          <w:noProof/>
        </w:rPr>
        <w:t>)</w:t>
      </w:r>
      <w:r>
        <w:fldChar w:fldCharType="end"/>
      </w:r>
      <w:r>
        <w:t xml:space="preserve">. </w:t>
      </w:r>
      <w:r w:rsidR="00C6372A">
        <w:t xml:space="preserve"> </w:t>
      </w:r>
    </w:p>
    <w:p w14:paraId="755A0FE4" w14:textId="27A02EEF" w:rsidR="00086AEC" w:rsidRDefault="00285ED8" w:rsidP="00E92116">
      <w:pPr>
        <w:spacing w:line="240" w:lineRule="auto"/>
        <w:ind w:hanging="90"/>
      </w:pPr>
      <w:r>
        <w:t xml:space="preserve">  </w:t>
      </w:r>
      <w:r w:rsidR="001C6A7D">
        <w:tab/>
      </w:r>
      <w:r w:rsidR="00376A48">
        <w:t xml:space="preserve">The total range limitation cost is quantified by multiplying </w:t>
      </w:r>
      <w:r w:rsidR="0000736B">
        <w:t xml:space="preserve">a conservative $20 per day that could cover the costs of ride-hailing service or car rental </w:t>
      </w:r>
      <w:r w:rsidR="0000736B">
        <w:rPr>
          <w:rFonts w:hint="eastAsia"/>
        </w:rPr>
        <w:t>t</w:t>
      </w:r>
      <w:r w:rsidR="0000736B">
        <w:t xml:space="preserve">o reach the destination to </w:t>
      </w:r>
      <w:r w:rsidR="00376A48">
        <w:t xml:space="preserve">the </w:t>
      </w:r>
      <w:r w:rsidR="00E92116">
        <w:t xml:space="preserve">estimated </w:t>
      </w:r>
      <w:r w:rsidR="001B0B2C">
        <w:t xml:space="preserve">number of days </w:t>
      </w:r>
      <w:r w:rsidR="00E92116">
        <w:t xml:space="preserve">in a year </w:t>
      </w:r>
      <w:r w:rsidR="0000736B">
        <w:t>(</w:t>
      </w:r>
      <m:oMath>
        <m:sSub>
          <m:sSubPr>
            <m:ctrlPr>
              <w:rPr>
                <w:rFonts w:ascii="Cambria Math" w:hAnsi="Cambria Math"/>
                <w:iCs/>
              </w:rPr>
            </m:ctrlPr>
          </m:sSubPr>
          <m:e>
            <m:r>
              <w:rPr>
                <w:rFonts w:ascii="Cambria Math" w:hAnsi="Cambria Math"/>
              </w:rPr>
              <m:t>Days</m:t>
            </m:r>
          </m:e>
          <m:sub>
            <m:r>
              <w:rPr>
                <w:rFonts w:ascii="Cambria Math" w:hAnsi="Cambria Math"/>
              </w:rPr>
              <m:t>a, chrg, md,r,i</m:t>
            </m:r>
          </m:sub>
        </m:sSub>
      </m:oMath>
      <w:r w:rsidR="0000736B">
        <w:rPr>
          <w:rFonts w:hint="eastAsia"/>
          <w:iCs/>
        </w:rPr>
        <w:t>)</w:t>
      </w:r>
      <w:r w:rsidR="0000736B">
        <w:rPr>
          <w:iCs/>
        </w:rPr>
        <w:t xml:space="preserve"> </w:t>
      </w:r>
      <w:r w:rsidR="00E92116">
        <w:t xml:space="preserve">an EV owner will run out of battery </w:t>
      </w:r>
      <w:r w:rsidR="00376A48">
        <w:rPr>
          <w:rFonts w:hint="eastAsia"/>
        </w:rPr>
        <w:t>th</w:t>
      </w:r>
      <w:r w:rsidR="00376A48">
        <w:t xml:space="preserve">at driving demand exceeds the range </w:t>
      </w:r>
      <w:r w:rsidR="00E92116">
        <w:t>provided</w:t>
      </w:r>
      <w:r w:rsidR="00376A48">
        <w:t xml:space="preserve"> by the available chargers</w:t>
      </w:r>
      <w:r w:rsidR="00376A48" w:rsidRPr="00376A48">
        <w:t xml:space="preserve"> </w:t>
      </w:r>
      <w:r w:rsidR="00E92116">
        <w:t xml:space="preserve">from a </w:t>
      </w:r>
      <w:r w:rsidR="00376A48">
        <w:t>stochastic process</w:t>
      </w:r>
      <w:r w:rsidR="0000736B">
        <w:t xml:space="preserve"> </w:t>
      </w:r>
      <w:r w:rsidR="00376A48">
        <w:t>(</w:t>
      </w:r>
      <w:r w:rsidR="00376A48">
        <w:rPr>
          <w:iCs/>
        </w:rPr>
        <w:t xml:space="preserve">in </w:t>
      </w:r>
      <w:r w:rsidR="00376A48">
        <w:t xml:space="preserve">equation 7). </w:t>
      </w:r>
      <w:r w:rsidR="00E92116">
        <w:rPr>
          <w:rFonts w:hint="eastAsia"/>
        </w:rPr>
        <w:t>The</w:t>
      </w:r>
      <w:r w:rsidR="00E92116">
        <w:t xml:space="preserve"> </w:t>
      </w:r>
      <w:r w:rsidR="00376A48">
        <w:t>number of days (</w:t>
      </w:r>
      <m:oMath>
        <m:sSub>
          <m:sSubPr>
            <m:ctrlPr>
              <w:rPr>
                <w:rFonts w:ascii="Cambria Math" w:hAnsi="Cambria Math"/>
                <w:iCs/>
              </w:rPr>
            </m:ctrlPr>
          </m:sSubPr>
          <m:e>
            <m:r>
              <w:rPr>
                <w:rFonts w:ascii="Cambria Math" w:hAnsi="Cambria Math"/>
              </w:rPr>
              <m:t>Days</m:t>
            </m:r>
          </m:e>
          <m:sub>
            <m:r>
              <w:rPr>
                <w:rFonts w:ascii="Cambria Math" w:hAnsi="Cambria Math"/>
              </w:rPr>
              <m:t>a, chrg, md,r,i</m:t>
            </m:r>
          </m:sub>
        </m:sSub>
      </m:oMath>
      <w:r w:rsidR="00376A48">
        <w:rPr>
          <w:rFonts w:hint="eastAsia"/>
          <w:iCs/>
        </w:rPr>
        <w:t>)</w:t>
      </w:r>
      <w:r w:rsidR="00376A48">
        <w:rPr>
          <w:iCs/>
        </w:rPr>
        <w:t xml:space="preserve"> </w:t>
      </w:r>
      <w:r w:rsidR="00E92116">
        <w:rPr>
          <w:iCs/>
        </w:rPr>
        <w:t xml:space="preserve">is counted </w:t>
      </w:r>
      <w:r w:rsidR="00376A48">
        <w:rPr>
          <w:iCs/>
        </w:rPr>
        <w:t xml:space="preserve">when </w:t>
      </w:r>
      <w:r w:rsidR="00E92116">
        <w:t>randomly dr</w:t>
      </w:r>
      <w:r w:rsidR="0000736B">
        <w:t>awn</w:t>
      </w:r>
      <w:r w:rsidR="00E92116">
        <w:t xml:space="preserve"> VKT </w:t>
      </w:r>
      <w:r w:rsidR="00A95FD1">
        <w:t xml:space="preserve">driving </w:t>
      </w:r>
      <w:r w:rsidR="00521C6B">
        <w:t xml:space="preserve">demand </w:t>
      </w:r>
      <w:proofErr w:type="spellStart"/>
      <w:proofErr w:type="gramStart"/>
      <w:r w:rsidR="001C43DB" w:rsidRPr="00285ED8">
        <w:rPr>
          <w:i/>
          <w:iCs/>
        </w:rPr>
        <w:t>X</w:t>
      </w:r>
      <w:r w:rsidR="001C43DB" w:rsidRPr="00285ED8">
        <w:rPr>
          <w:i/>
          <w:iCs/>
          <w:vertAlign w:val="subscript"/>
        </w:rPr>
        <w:t>days,md</w:t>
      </w:r>
      <w:proofErr w:type="gramEnd"/>
      <w:r w:rsidR="001C43DB" w:rsidRPr="00285ED8">
        <w:rPr>
          <w:i/>
          <w:iCs/>
          <w:vertAlign w:val="subscript"/>
        </w:rPr>
        <w:t>,i</w:t>
      </w:r>
      <w:r w:rsidR="0000736B">
        <w:rPr>
          <w:i/>
          <w:iCs/>
          <w:vertAlign w:val="subscript"/>
        </w:rPr>
        <w:t>,t</w:t>
      </w:r>
      <w:proofErr w:type="spellEnd"/>
      <w:r w:rsidR="001C43DB">
        <w:t xml:space="preserve"> </w:t>
      </w:r>
      <w:r w:rsidR="001B0B2C">
        <w:t xml:space="preserve">from the daily </w:t>
      </w:r>
      <w:r w:rsidR="00A95FD1">
        <w:rPr>
          <w:rFonts w:eastAsia="Times New Roman"/>
          <w:color w:val="000000"/>
        </w:rPr>
        <w:t>kilometers</w:t>
      </w:r>
      <w:r w:rsidR="00A95FD1" w:rsidRPr="00C53F8C">
        <w:rPr>
          <w:rFonts w:eastAsia="Times New Roman"/>
          <w:color w:val="000000"/>
        </w:rPr>
        <w:t xml:space="preserve"> </w:t>
      </w:r>
      <w:r w:rsidR="001B0B2C">
        <w:t xml:space="preserve">demand distribution </w:t>
      </w:r>
      <w:r w:rsidR="00446388">
        <w:t xml:space="preserve">(shown in Figure </w:t>
      </w:r>
      <w:r w:rsidR="00446388">
        <w:rPr>
          <w:noProof/>
        </w:rPr>
        <w:t>A4</w:t>
      </w:r>
      <w:r w:rsidR="00446388">
        <w:t>) exceeds</w:t>
      </w:r>
      <w:r w:rsidR="001B0B2C">
        <w:t xml:space="preserve"> the effective </w:t>
      </w:r>
      <w:r w:rsidR="00E92116">
        <w:t xml:space="preserve">battery </w:t>
      </w:r>
      <w:r w:rsidR="001B0B2C">
        <w:t>range</w:t>
      </w:r>
      <w:r w:rsidR="0000736B">
        <w:t xml:space="preserve"> supported by the available charger</w:t>
      </w:r>
      <w:r w:rsidR="00376A48">
        <w:t xml:space="preserve"> in equation </w:t>
      </w:r>
      <w:r w:rsidR="0000736B">
        <w:t>9</w:t>
      </w:r>
      <w:r w:rsidR="00521C6B">
        <w:rPr>
          <w:rFonts w:hint="eastAsia"/>
        </w:rPr>
        <w:t>.</w:t>
      </w:r>
      <w:r w:rsidR="00521C6B">
        <w:t xml:space="preserve"> </w:t>
      </w:r>
      <w:r w:rsidR="00FC7AC7">
        <w:t xml:space="preserve">We generate </w:t>
      </w:r>
      <w:r w:rsidR="001B0B2C">
        <w:t>the daily VKT driving demand distribution with G</w:t>
      </w:r>
      <w:r w:rsidR="00FC7AC7">
        <w:t xml:space="preserve">amma distributions </w:t>
      </w:r>
      <w:r w:rsidR="00F10D5B">
        <w:t>for each of the three</w:t>
      </w:r>
      <w:r w:rsidR="00FC7AC7">
        <w:t xml:space="preserve"> driving demand groups with the mean and variance of the annual </w:t>
      </w:r>
      <w:r w:rsidR="00A95FD1">
        <w:rPr>
          <w:rFonts w:eastAsia="Times New Roman"/>
          <w:color w:val="000000"/>
        </w:rPr>
        <w:t>kilometers</w:t>
      </w:r>
      <w:r w:rsidR="00A95FD1" w:rsidRPr="00C53F8C">
        <w:rPr>
          <w:rFonts w:eastAsia="Times New Roman"/>
          <w:color w:val="000000"/>
        </w:rPr>
        <w:t xml:space="preserve"> </w:t>
      </w:r>
      <w:r w:rsidR="00FC7AC7">
        <w:t xml:space="preserve">driven </w:t>
      </w:r>
      <w:r w:rsidR="00F10D5B">
        <w:t xml:space="preserve">for each group </w:t>
      </w:r>
      <w:r w:rsidR="00FC7AC7">
        <w:t xml:space="preserve">obtained from NHTS (2017). The </w:t>
      </w:r>
      <w:r w:rsidR="001B0B2C">
        <w:t xml:space="preserve">Gamma </w:t>
      </w:r>
      <w:r w:rsidR="00FC7AC7">
        <w:t>distributions (in Figure A</w:t>
      </w:r>
      <w:r w:rsidR="00577776">
        <w:t>4</w:t>
      </w:r>
      <w:r w:rsidR="00FC7AC7">
        <w:t xml:space="preserve">) show that peaks of the distribution </w:t>
      </w:r>
      <w:r w:rsidR="001C6A7D">
        <w:t xml:space="preserve">cluster </w:t>
      </w:r>
      <w:r w:rsidR="00FC7AC7">
        <w:t>to the left</w:t>
      </w:r>
      <w:r w:rsidR="008B088E">
        <w:t xml:space="preserve"> and</w:t>
      </w:r>
      <w:r w:rsidR="00FC7AC7">
        <w:t xml:space="preserve"> the probability of driving more than 50 miles is relatively low </w:t>
      </w:r>
      <w:r w:rsidR="00FC7AC7">
        <w:fldChar w:fldCharType="begin" w:fldLock="1"/>
      </w:r>
      <w:r w:rsidR="00FC7AC7">
        <w:instrText>ADDIN CSL_CITATION {"citationItems":[{"id":"ITEM-1","itemData":{"author":[{"dropping-particle":"","family":"Lin","given":"Zhenhong","non-dropping-particle":"","parse-names":false,"suffix":""},{"dropping-particle":"","family":"Dong","given":"Jing","non-dropping-particle":"","parse-names":false,"suffix":""},{"dropping-particle":"","family":"Liu","given":"Changzheng","non-dropping-particle":"","parse-names":false,"suffix":""},{"dropping-particle":"","family":"Greene","given":"David L","non-dropping-particle":"","parse-names":false,"suffix":""}],"container-title":"Transportation Research Record","id":"ITEM-1","issued":{"date-parts":[["2012"]]},"page":"37-43","title":"PHEV Energy Use Estimation: Validating the Gamma Distribution for Representing the Random Daily Driving Distance","type":"article-journal","volume":"2287"},"uris":["http://www.mendeley.com/documents/?uuid=7a8bf057-62b9-3eba-a4cd-930a94c064df"]},{"id":"ITEM-2","itemData":{"DOI":"10.1016/J.ENECO.2018.06.028","ISSN":"0140-9883","abstract":"Long-term energy systems models have been used extensively in energy planning and climate policy analysis. However, specifically in energy systems optimization models, heterogeneity of consumer preferences for competing energy technologies (e.g., vehicles), has not been adequately represented, leading to behaviorally unrealistic modeling results. This can lead to policy analysis results that are viewed by stakeholders as clearly deficient. This paper shows how heterogeneous consumer behavioral effects can be introduced into these models in the form of perceived disutility costs, to more realistically capture consumer choice in making technology purchase decisions. We developed a novel methodology that incorporates the theory of a classic consumer choice model into a commonly used long-term energy systems modeling framework using a case study of light-duty vehicles. A diverse set of consumer segments (thirty-six) is created to represent observable, identifiable differences in factors such as annual driving distances and attitude towards risks of new technology. Non-monetary or “disutility” costs associated with these factors are introduced to capture the differences in preferences across consumer segments for various technologies. We also create clones within each consumer segment to capture randomly distributed unobservable differences in preferences. We provide and review results for a specific example that includes external factors such as recharging/refueling station availability, battery size of electric vehicles, recharging time and perceived technology risks. Although the example is for light-duty vehicles in the US using a specific modeling system, this approach can be implemented more broadly to model the adoption of consumer technologies in other sectors or regions in similar energy systems modeling frameworks.","author":[{"dropping-particle":"","family":"Ramea","given":"Kalai","non-dropping-particle":"","parse-names":false,"suffix":""},{"dropping-particle":"","family":"Bunch","given":"David S.","non-dropping-particle":"","parse-names":false,"suffix":""},{"dropping-particle":"","family":"Yang","given":"Christopher","non-dropping-particle":"","parse-names":false,"suffix":""},{"dropping-particle":"","family":"Yeh","given":"Sonia","non-dropping-particle":"","parse-names":false,"suffix":""},{"dropping-particle":"","family":"Ogden","given":"Joan M.","non-dropping-particle":"","parse-names":false,"suffix":""}],"container-title":"Energy Economics","id":"ITEM-2","issued":{"date-parts":[["2018","8","1"]]},"note":"In general, these studies point to the fact that consumer investment decisions are often dominated by non-monetary costs","page":"663-676","publisher":"North-Holland","title":"Integration of behavioral effects from vehicle choice models into long-term energy systems optimization models","type":"article-journal","volume":"74"},"uris":["http://www.mendeley.com/documents/?uuid=2de22eca-d4a8-3b34-98ea-ee817d9481b5"]}],"mendeley":{"formattedCitation":"(Lin et al. 2012; Ramea et al. 2018)","plainTextFormattedCitation":"(Lin et al. 2012; Ramea et al. 2018)","previouslyFormattedCitation":"(Lin et al. 2012; Ramea et al. 2018)"},"properties":{"noteIndex":0},"schema":"https://github.com/citation-style-language/schema/raw/master/csl-citation.json"}</w:instrText>
      </w:r>
      <w:r w:rsidR="00FC7AC7">
        <w:fldChar w:fldCharType="separate"/>
      </w:r>
      <w:r w:rsidR="00FC7AC7">
        <w:rPr>
          <w:noProof/>
        </w:rPr>
        <w:t>(Lin et al. 2012; Ramea et al. 2018)</w:t>
      </w:r>
      <w:r w:rsidR="00FC7AC7">
        <w:fldChar w:fldCharType="end"/>
      </w:r>
      <w:r w:rsidR="00FC7AC7">
        <w:t>.</w:t>
      </w:r>
      <w:r w:rsidR="001C6A7D">
        <w:t xml:space="preserve"> </w:t>
      </w:r>
      <w:r w:rsidR="00FC7AC7">
        <w:t>The difference in driving behaviors between workday and weekend is not captured in this study.</w:t>
      </w:r>
    </w:p>
    <w:tbl>
      <w:tblPr>
        <w:tblW w:w="5001" w:type="pct"/>
        <w:tblLook w:val="04A0" w:firstRow="1" w:lastRow="0" w:firstColumn="1" w:lastColumn="0" w:noHBand="0" w:noVBand="1"/>
      </w:tblPr>
      <w:tblGrid>
        <w:gridCol w:w="8911"/>
        <w:gridCol w:w="451"/>
      </w:tblGrid>
      <w:tr w:rsidR="001B0B2C" w:rsidRPr="00F84713" w14:paraId="7C856666" w14:textId="77777777" w:rsidTr="002E1178">
        <w:trPr>
          <w:trHeight w:val="540"/>
        </w:trPr>
        <w:tc>
          <w:tcPr>
            <w:tcW w:w="4759" w:type="pct"/>
          </w:tcPr>
          <w:p w14:paraId="7AC7BF91" w14:textId="11113F79" w:rsidR="001B0B2C" w:rsidRDefault="00E907D6" w:rsidP="00285ED8">
            <w:pPr>
              <w:spacing w:line="240" w:lineRule="auto"/>
              <w:ind w:firstLine="0"/>
              <w:rPr>
                <w:rFonts w:eastAsia="DengXian"/>
                <w:iCs/>
              </w:rPr>
            </w:pPr>
            <m:oMath>
              <m:sSub>
                <m:sSubPr>
                  <m:ctrlPr>
                    <w:rPr>
                      <w:rFonts w:ascii="Cambria Math" w:hAnsi="Cambria Math"/>
                    </w:rPr>
                  </m:ctrlPr>
                </m:sSubPr>
                <m:e>
                  <m:r>
                    <w:rPr>
                      <w:rFonts w:ascii="Cambria Math" w:hAnsi="Cambria Math"/>
                    </w:rPr>
                    <m:t>C</m:t>
                  </m:r>
                </m:e>
                <m:sub>
                  <m:r>
                    <w:rPr>
                      <w:rFonts w:ascii="Cambria Math" w:hAnsi="Cambria Math"/>
                    </w:rPr>
                    <m:t>range</m:t>
                  </m:r>
                  <m:r>
                    <w:rPr>
                      <w:rFonts w:ascii="Cambria Math" w:hAnsi="Cambria Math"/>
                    </w:rPr>
                    <m:t>,</m:t>
                  </m:r>
                  <m:r>
                    <w:rPr>
                      <w:rFonts w:ascii="Cambria Math" w:hAnsi="Cambria Math"/>
                    </w:rPr>
                    <m:t>a</m:t>
                  </m:r>
                  <m:r>
                    <w:rPr>
                      <w:rFonts w:ascii="Cambria Math" w:hAnsi="Cambria Math"/>
                    </w:rPr>
                    <m:t xml:space="preserve">, </m:t>
                  </m:r>
                  <m:r>
                    <w:rPr>
                      <w:rFonts w:ascii="Cambria Math" w:hAnsi="Cambria Math"/>
                    </w:rPr>
                    <m:t>c</m:t>
                  </m:r>
                  <m:r>
                    <w:rPr>
                      <w:rFonts w:ascii="Cambria Math" w:hAnsi="Cambria Math"/>
                    </w:rPr>
                    <m:t>h</m:t>
                  </m:r>
                  <m:r>
                    <w:rPr>
                      <w:rFonts w:ascii="Cambria Math" w:hAnsi="Cambria Math"/>
                    </w:rPr>
                    <m:t>rg</m:t>
                  </m:r>
                  <m:r>
                    <w:rPr>
                      <w:rFonts w:ascii="Cambria Math" w:hAnsi="Cambria Math"/>
                    </w:rPr>
                    <m:t xml:space="preserve">, </m:t>
                  </m:r>
                  <m:r>
                    <w:rPr>
                      <w:rFonts w:ascii="Cambria Math" w:hAnsi="Cambria Math"/>
                    </w:rPr>
                    <m:t>md</m:t>
                  </m:r>
                  <m:r>
                    <w:rPr>
                      <w:rFonts w:ascii="Cambria Math" w:hAnsi="Cambria Math"/>
                    </w:rPr>
                    <m:t>,</m:t>
                  </m:r>
                  <m:r>
                    <w:rPr>
                      <w:rFonts w:ascii="Cambria Math" w:hAnsi="Cambria Math"/>
                    </w:rPr>
                    <m:t>r</m:t>
                  </m:r>
                  <m:r>
                    <w:rPr>
                      <w:rFonts w:ascii="Cambria Math" w:hAnsi="Cambria Math"/>
                    </w:rPr>
                    <m:t>,</m:t>
                  </m:r>
                  <m:r>
                    <w:rPr>
                      <w:rFonts w:ascii="Cambria Math" w:hAnsi="Cambria Math"/>
                    </w:rPr>
                    <m:t>i</m:t>
                  </m:r>
                  <m:r>
                    <w:rPr>
                      <w:rFonts w:ascii="Cambria Math" w:hAnsi="Cambria Math"/>
                    </w:rPr>
                    <m:t>,</m:t>
                  </m:r>
                  <m:r>
                    <w:rPr>
                      <w:rFonts w:ascii="Cambria Math" w:hAnsi="Cambria Math"/>
                    </w:rPr>
                    <m:t>t</m:t>
                  </m:r>
                </m:sub>
              </m:sSub>
              <m:r>
                <m:rPr>
                  <m:sty m:val="p"/>
                </m:rPr>
                <w:rPr>
                  <w:rFonts w:ascii="Cambria Math" w:hAnsi="Cambria Math"/>
                </w:rPr>
                <m:t>=</m:t>
              </m:r>
              <m:sSub>
                <m:sSubPr>
                  <m:ctrlPr>
                    <w:rPr>
                      <w:rFonts w:ascii="Cambria Math" w:hAnsi="Cambria Math"/>
                      <w:iCs/>
                    </w:rPr>
                  </m:ctrlPr>
                </m:sSubPr>
                <m:e>
                  <m:r>
                    <w:rPr>
                      <w:rFonts w:ascii="Cambria Math" w:hAnsi="Cambria Math"/>
                    </w:rPr>
                    <m:t>Days</m:t>
                  </m:r>
                </m:e>
                <m:sub>
                  <m:r>
                    <w:rPr>
                      <w:rFonts w:ascii="Cambria Math" w:hAnsi="Cambria Math"/>
                    </w:rPr>
                    <m:t>a</m:t>
                  </m:r>
                  <m:r>
                    <w:rPr>
                      <w:rFonts w:ascii="Cambria Math" w:hAnsi="Cambria Math"/>
                    </w:rPr>
                    <m:t xml:space="preserve">, </m:t>
                  </m:r>
                  <m:r>
                    <w:rPr>
                      <w:rFonts w:ascii="Cambria Math" w:hAnsi="Cambria Math"/>
                    </w:rPr>
                    <m:t>c</m:t>
                  </m:r>
                  <m:r>
                    <w:rPr>
                      <w:rFonts w:ascii="Cambria Math" w:hAnsi="Cambria Math"/>
                    </w:rPr>
                    <m:t>h</m:t>
                  </m:r>
                  <m:r>
                    <w:rPr>
                      <w:rFonts w:ascii="Cambria Math" w:hAnsi="Cambria Math"/>
                    </w:rPr>
                    <m:t>rg</m:t>
                  </m:r>
                  <m:r>
                    <w:rPr>
                      <w:rFonts w:ascii="Cambria Math" w:hAnsi="Cambria Math"/>
                    </w:rPr>
                    <m:t xml:space="preserve">, </m:t>
                  </m:r>
                  <m:r>
                    <w:rPr>
                      <w:rFonts w:ascii="Cambria Math" w:hAnsi="Cambria Math"/>
                    </w:rPr>
                    <m:t>md</m:t>
                  </m:r>
                  <m:r>
                    <w:rPr>
                      <w:rFonts w:ascii="Cambria Math" w:hAnsi="Cambria Math"/>
                    </w:rPr>
                    <m:t>,</m:t>
                  </m:r>
                  <m:r>
                    <w:rPr>
                      <w:rFonts w:ascii="Cambria Math" w:hAnsi="Cambria Math"/>
                    </w:rPr>
                    <m:t>r</m:t>
                  </m:r>
                  <m:r>
                    <w:rPr>
                      <w:rFonts w:ascii="Cambria Math" w:hAnsi="Cambria Math"/>
                    </w:rPr>
                    <m:t>,</m:t>
                  </m:r>
                  <m:r>
                    <w:rPr>
                      <w:rFonts w:ascii="Cambria Math" w:hAnsi="Cambria Math"/>
                    </w:rPr>
                    <m:t>i</m:t>
                  </m:r>
                  <m:r>
                    <w:rPr>
                      <w:rFonts w:ascii="Cambria Math" w:hAnsi="Cambria Math"/>
                    </w:rPr>
                    <m:t>,</m:t>
                  </m:r>
                  <m:r>
                    <w:rPr>
                      <w:rFonts w:ascii="Cambria Math" w:hAnsi="Cambria Math"/>
                    </w:rPr>
                    <m:t>t</m:t>
                  </m:r>
                </m:sub>
              </m:sSub>
              <m:r>
                <m:rPr>
                  <m:sty m:val="p"/>
                </m:rPr>
                <w:rPr>
                  <w:rFonts w:ascii="Cambria Math" w:hAnsi="Cambria Math"/>
                </w:rPr>
                <m:t>×$20/</m:t>
              </m:r>
              <m:r>
                <w:rPr>
                  <w:rFonts w:ascii="Cambria Math" w:hAnsi="Cambria Math"/>
                </w:rPr>
                <m:t>day</m:t>
              </m:r>
            </m:oMath>
            <w:r w:rsidR="001B0B2C">
              <w:rPr>
                <w:rFonts w:eastAsia="DengXian"/>
              </w:rPr>
              <w:t xml:space="preserve">     ($/veh) chrg= {</w:t>
            </w:r>
            <w:proofErr w:type="gramStart"/>
            <w:r w:rsidR="001B0B2C">
              <w:rPr>
                <w:rFonts w:eastAsia="DengXian"/>
              </w:rPr>
              <w:t>HW,H</w:t>
            </w:r>
            <w:proofErr w:type="gramEnd"/>
            <w:r w:rsidR="001B0B2C">
              <w:rPr>
                <w:rFonts w:eastAsia="DengXian"/>
              </w:rPr>
              <w:t>,W, Public}</w:t>
            </w:r>
          </w:p>
        </w:tc>
        <w:tc>
          <w:tcPr>
            <w:tcW w:w="241" w:type="pct"/>
          </w:tcPr>
          <w:p w14:paraId="5C0D1256" w14:textId="77777777" w:rsidR="001B0B2C" w:rsidRPr="00F84713" w:rsidRDefault="001B0B2C" w:rsidP="00E83A60">
            <w:pPr>
              <w:pStyle w:val="Equationnumber"/>
              <w:ind w:hanging="737"/>
            </w:pPr>
          </w:p>
        </w:tc>
      </w:tr>
      <w:tr w:rsidR="001B0B2C" w:rsidRPr="00F84713" w14:paraId="50F50300" w14:textId="77777777" w:rsidTr="002E1178">
        <w:trPr>
          <w:trHeight w:val="540"/>
        </w:trPr>
        <w:tc>
          <w:tcPr>
            <w:tcW w:w="4759" w:type="pct"/>
          </w:tcPr>
          <w:p w14:paraId="36D21D08" w14:textId="12C39390" w:rsidR="001B0B2C" w:rsidRPr="001B0B2C" w:rsidRDefault="00E907D6" w:rsidP="001B0B2C">
            <w:pPr>
              <w:spacing w:line="240" w:lineRule="auto"/>
              <w:ind w:firstLine="0"/>
              <w:rPr>
                <w:rFonts w:ascii="Cambria Math" w:hAnsi="Cambria Math"/>
                <w:oMath/>
              </w:rPr>
            </w:pPr>
            <m:oMath>
              <m:sSub>
                <m:sSubPr>
                  <m:ctrlPr>
                    <w:rPr>
                      <w:rFonts w:ascii="Cambria Math" w:hAnsi="Cambria Math"/>
                    </w:rPr>
                  </m:ctrlPr>
                </m:sSubPr>
                <m:e>
                  <m:r>
                    <w:rPr>
                      <w:rFonts w:ascii="Cambria Math" w:hAnsi="Cambria Math"/>
                    </w:rPr>
                    <m:t>Days</m:t>
                  </m:r>
                </m:e>
                <m:sub>
                  <m:r>
                    <w:rPr>
                      <w:rFonts w:ascii="Cambria Math" w:hAnsi="Cambria Math"/>
                    </w:rPr>
                    <m:t>a</m:t>
                  </m:r>
                  <m:r>
                    <m:rPr>
                      <m:sty m:val="p"/>
                    </m:rPr>
                    <w:rPr>
                      <w:rFonts w:ascii="Cambria Math" w:hAnsi="Cambria Math"/>
                    </w:rPr>
                    <m:t xml:space="preserve">, </m:t>
                  </m:r>
                  <m:r>
                    <w:rPr>
                      <w:rFonts w:ascii="Cambria Math" w:hAnsi="Cambria Math"/>
                    </w:rPr>
                    <m:t>c</m:t>
                  </m:r>
                  <m:r>
                    <w:rPr>
                      <w:rFonts w:ascii="Cambria Math" w:hAnsi="Cambria Math"/>
                    </w:rPr>
                    <m:t>h</m:t>
                  </m:r>
                  <m:r>
                    <w:rPr>
                      <w:rFonts w:ascii="Cambria Math" w:hAnsi="Cambria Math"/>
                    </w:rPr>
                    <m:t>rg</m:t>
                  </m:r>
                  <m:r>
                    <m:rPr>
                      <m:sty m:val="p"/>
                    </m:rPr>
                    <w:rPr>
                      <w:rFonts w:ascii="Cambria Math" w:hAnsi="Cambria Math"/>
                    </w:rPr>
                    <m:t xml:space="preserve">, </m:t>
                  </m:r>
                  <m:r>
                    <w:rPr>
                      <w:rFonts w:ascii="Cambria Math" w:hAnsi="Cambria Math"/>
                    </w:rPr>
                    <m:t>md</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i</m:t>
                  </m:r>
                  <m:r>
                    <w:rPr>
                      <w:rFonts w:ascii="Cambria Math" w:hAnsi="Cambria Math"/>
                    </w:rPr>
                    <m:t>,</m:t>
                  </m:r>
                  <m:r>
                    <w:rPr>
                      <w:rFonts w:ascii="Cambria Math" w:hAnsi="Cambria Math"/>
                    </w:rPr>
                    <m:t>t</m:t>
                  </m:r>
                </m:sub>
              </m:sSub>
              <m:r>
                <m:rPr>
                  <m:sty m:val="p"/>
                </m:rPr>
                <w:rPr>
                  <w:rFonts w:ascii="Cambria Math" w:hAnsi="Cambria Math"/>
                </w:rPr>
                <m:t>=</m:t>
              </m:r>
              <m:nary>
                <m:naryPr>
                  <m:chr m:val="∑"/>
                  <m:ctrlPr>
                    <w:rPr>
                      <w:rFonts w:ascii="Cambria Math" w:hAnsi="Cambria Math"/>
                    </w:rPr>
                  </m:ctrlPr>
                </m:naryPr>
                <m:sub>
                  <m:r>
                    <w:rPr>
                      <w:rFonts w:ascii="Cambria Math" w:hAnsi="Cambria Math"/>
                    </w:rPr>
                    <m:t>day</m:t>
                  </m:r>
                  <m:r>
                    <m:rPr>
                      <m:sty m:val="p"/>
                    </m:rPr>
                    <w:rPr>
                      <w:rFonts w:ascii="Cambria Math" w:hAnsi="Cambria Math"/>
                    </w:rPr>
                    <m:t>=1</m:t>
                  </m:r>
                </m:sub>
                <m:sup>
                  <m:r>
                    <m:rPr>
                      <m:sty m:val="p"/>
                    </m:rPr>
                    <w:rPr>
                      <w:rFonts w:ascii="Cambria Math" w:hAnsi="Cambria Math"/>
                    </w:rPr>
                    <m:t>365</m:t>
                  </m:r>
                </m:sup>
                <m:e>
                  <m:r>
                    <m:rPr>
                      <m:sty m:val="p"/>
                    </m:rPr>
                    <w:rPr>
                      <w:rFonts w:ascii="Cambria Math" w:hAnsi="Cambria Math"/>
                    </w:rPr>
                    <m:t>1(</m:t>
                  </m:r>
                  <m:sSub>
                    <m:sSubPr>
                      <m:ctrlPr>
                        <w:rPr>
                          <w:rFonts w:ascii="Cambria Math" w:hAnsi="Cambria Math"/>
                        </w:rPr>
                      </m:ctrlPr>
                    </m:sSubPr>
                    <m:e>
                      <m:r>
                        <w:rPr>
                          <w:rFonts w:ascii="Cambria Math" w:hAnsi="Cambria Math"/>
                        </w:rPr>
                        <m:t>X</m:t>
                      </m:r>
                    </m:e>
                    <m:sub>
                      <m:r>
                        <w:rPr>
                          <w:rFonts w:ascii="Cambria Math" w:hAnsi="Cambria Math"/>
                        </w:rPr>
                        <m:t>day</m:t>
                      </m:r>
                      <m:r>
                        <m:rPr>
                          <m:sty m:val="p"/>
                        </m:rPr>
                        <w:rPr>
                          <w:rFonts w:ascii="Cambria Math" w:hAnsi="Cambria Math"/>
                        </w:rPr>
                        <m:t xml:space="preserve">, </m:t>
                      </m:r>
                      <m:r>
                        <w:rPr>
                          <w:rFonts w:ascii="Cambria Math" w:hAnsi="Cambria Math"/>
                        </w:rPr>
                        <m:t>md</m:t>
                      </m:r>
                      <m:r>
                        <m:rPr>
                          <m:sty m:val="p"/>
                        </m:rPr>
                        <w:rPr>
                          <w:rFonts w:ascii="Cambria Math" w:hAnsi="Cambria Math"/>
                        </w:rPr>
                        <m:t>,</m:t>
                      </m:r>
                      <m:r>
                        <w:rPr>
                          <w:rFonts w:ascii="Cambria Math" w:hAnsi="Cambria Math"/>
                        </w:rPr>
                        <m:t>i</m:t>
                      </m:r>
                      <m:r>
                        <w:rPr>
                          <w:rFonts w:ascii="Cambria Math" w:hAnsi="Cambria Math"/>
                        </w:rPr>
                        <m:t>,</m:t>
                      </m:r>
                      <m:r>
                        <w:rPr>
                          <w:rFonts w:ascii="Cambria Math" w:hAnsi="Cambria Math"/>
                        </w:rPr>
                        <m:t>t</m:t>
                      </m:r>
                    </m:sub>
                  </m:sSub>
                  <m:r>
                    <m:rPr>
                      <m:sty m:val="p"/>
                    </m:rPr>
                    <w:rPr>
                      <w:rFonts w:ascii="Cambria Math" w:hAnsi="Cambria Math"/>
                    </w:rPr>
                    <m:t>&gt;</m:t>
                  </m:r>
                  <m:r>
                    <w:rPr>
                      <w:rFonts w:ascii="Cambria Math" w:hAnsi="Cambria Math"/>
                    </w:rPr>
                    <m:t>eVK</m:t>
                  </m:r>
                  <m:sSub>
                    <m:sSubPr>
                      <m:ctrlPr>
                        <w:rPr>
                          <w:rFonts w:ascii="Cambria Math" w:hAnsi="Cambria Math"/>
                        </w:rPr>
                      </m:ctrlPr>
                    </m:sSubPr>
                    <m:e>
                      <m:r>
                        <w:rPr>
                          <w:rFonts w:ascii="Cambria Math" w:hAnsi="Cambria Math"/>
                        </w:rPr>
                        <m:t>T</m:t>
                      </m:r>
                    </m:e>
                    <m:sub>
                      <m:r>
                        <m:rPr>
                          <m:sty m:val="p"/>
                        </m:rPr>
                        <w:rPr>
                          <w:rFonts w:ascii="Cambria Math" w:hAnsi="Cambria Math"/>
                        </w:rPr>
                        <m:t>t,r</m:t>
                      </m:r>
                    </m:sub>
                  </m:sSub>
                  <m:r>
                    <m:rPr>
                      <m:sty m:val="p"/>
                    </m:rPr>
                    <w:rPr>
                      <w:rFonts w:ascii="Cambria Math" w:hAnsi="Cambria Math"/>
                    </w:rPr>
                    <m:t>)</m:t>
                  </m:r>
                </m:e>
              </m:nary>
              <m:r>
                <m:rPr>
                  <m:sty m:val="p"/>
                </m:rPr>
                <w:rPr>
                  <w:rFonts w:ascii="Cambria Math" w:hAnsi="Cambria Math"/>
                </w:rPr>
                <m:t xml:space="preserve"> </m:t>
              </m:r>
            </m:oMath>
            <w:r w:rsidR="001C6A7D">
              <w:t xml:space="preserve"> </w:t>
            </w:r>
          </w:p>
        </w:tc>
        <w:tc>
          <w:tcPr>
            <w:tcW w:w="241" w:type="pct"/>
          </w:tcPr>
          <w:p w14:paraId="35B08BEE" w14:textId="77777777" w:rsidR="001B0B2C" w:rsidRPr="00F84713" w:rsidRDefault="001B0B2C" w:rsidP="00E83A60">
            <w:pPr>
              <w:pStyle w:val="Equationnumber"/>
              <w:ind w:hanging="737"/>
            </w:pPr>
          </w:p>
        </w:tc>
      </w:tr>
    </w:tbl>
    <w:p w14:paraId="20005F65" w14:textId="77777777" w:rsidR="001B0B2C" w:rsidRDefault="001B0B2C" w:rsidP="00C53F8C">
      <w:pPr>
        <w:spacing w:line="240" w:lineRule="auto"/>
      </w:pPr>
    </w:p>
    <w:p w14:paraId="1B208515" w14:textId="77777777" w:rsidR="00086AEC" w:rsidRDefault="00FC7AC7" w:rsidP="00C53F8C">
      <w:pPr>
        <w:spacing w:line="240" w:lineRule="auto"/>
        <w:rPr>
          <w:highlight w:val="yellow"/>
        </w:rPr>
      </w:pPr>
      <w:r>
        <w:rPr>
          <w:noProof/>
          <w:lang w:eastAsia="en-US"/>
        </w:rPr>
        <w:drawing>
          <wp:inline distT="0" distB="0" distL="0" distR="0" wp14:anchorId="3CCD2097" wp14:editId="767AE2BA">
            <wp:extent cx="5582093" cy="2743200"/>
            <wp:effectExtent l="0" t="0" r="0" b="0"/>
            <wp:docPr id="26" name="Chart 26">
              <a:extLst xmlns:a="http://schemas.openxmlformats.org/drawingml/2006/main">
                <a:ext uri="{FF2B5EF4-FFF2-40B4-BE49-F238E27FC236}">
                  <a16:creationId xmlns:a16="http://schemas.microsoft.com/office/drawing/2014/main" id="{AD4DA93F-5E78-45DE-A557-C90FE7F8C4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99E35CB" w14:textId="30DA130D" w:rsidR="00086AEC" w:rsidRPr="00D82C80" w:rsidRDefault="00FC7AC7" w:rsidP="00C53F8C">
      <w:pPr>
        <w:spacing w:line="240" w:lineRule="auto"/>
        <w:rPr>
          <w:b/>
          <w:bCs/>
          <w:i/>
          <w:iCs/>
        </w:rPr>
      </w:pPr>
      <w:r w:rsidRPr="00D82C80">
        <w:rPr>
          <w:b/>
          <w:bCs/>
        </w:rPr>
        <w:t xml:space="preserve">Figure </w:t>
      </w:r>
      <w:r w:rsidR="002644AE" w:rsidRPr="00D82C80">
        <w:rPr>
          <w:b/>
          <w:bCs/>
          <w:noProof/>
        </w:rPr>
        <w:t>A4</w:t>
      </w:r>
      <w:r w:rsidR="002644AE" w:rsidRPr="00D82C80">
        <w:rPr>
          <w:b/>
          <w:bCs/>
        </w:rPr>
        <w:t xml:space="preserve"> </w:t>
      </w:r>
      <w:r w:rsidRPr="00D82C80">
        <w:rPr>
          <w:b/>
          <w:bCs/>
        </w:rPr>
        <w:t xml:space="preserve">The Gamma </w:t>
      </w:r>
      <w:r w:rsidR="00D82C80" w:rsidRPr="00D82C80">
        <w:rPr>
          <w:b/>
          <w:bCs/>
        </w:rPr>
        <w:t xml:space="preserve">Distribution </w:t>
      </w:r>
      <w:r w:rsidR="00D82C80">
        <w:rPr>
          <w:b/>
          <w:bCs/>
        </w:rPr>
        <w:t>o</w:t>
      </w:r>
      <w:r w:rsidR="00D82C80" w:rsidRPr="00D82C80">
        <w:rPr>
          <w:b/>
          <w:bCs/>
        </w:rPr>
        <w:t xml:space="preserve">f </w:t>
      </w:r>
      <w:r w:rsidR="00D82C80">
        <w:rPr>
          <w:b/>
          <w:bCs/>
        </w:rPr>
        <w:t>t</w:t>
      </w:r>
      <w:r w:rsidR="00D82C80" w:rsidRPr="00D82C80">
        <w:rPr>
          <w:b/>
          <w:bCs/>
        </w:rPr>
        <w:t xml:space="preserve">he Daily Mileage Driven </w:t>
      </w:r>
    </w:p>
    <w:p w14:paraId="55828B4E" w14:textId="1BB61A91" w:rsidR="00086AEC" w:rsidRDefault="00FC7AC7" w:rsidP="00C53F8C">
      <w:pPr>
        <w:spacing w:line="240" w:lineRule="auto"/>
      </w:pPr>
      <w:r>
        <w:rPr>
          <w:iCs/>
        </w:rPr>
        <w:t xml:space="preserve">The effective </w:t>
      </w:r>
      <w:r w:rsidR="00A95FD1">
        <w:rPr>
          <w:iCs/>
        </w:rPr>
        <w:t xml:space="preserve">VKT </w:t>
      </w:r>
      <w:r w:rsidR="00155C45">
        <w:rPr>
          <w:iCs/>
        </w:rPr>
        <w:t>of a vehicle</w:t>
      </w:r>
      <w:r>
        <w:rPr>
          <w:iCs/>
        </w:rPr>
        <w:t xml:space="preserve"> (</w:t>
      </w:r>
      <w:proofErr w:type="spellStart"/>
      <w:proofErr w:type="gramStart"/>
      <w:r>
        <w:t>eV</w:t>
      </w:r>
      <w:r w:rsidR="00C44C95">
        <w:t>K</w:t>
      </w:r>
      <w:r>
        <w:t>T</w:t>
      </w:r>
      <w:r w:rsidR="003E3182" w:rsidRPr="00285ED8">
        <w:rPr>
          <w:vertAlign w:val="subscript"/>
        </w:rPr>
        <w:t>t</w:t>
      </w:r>
      <w:r w:rsidR="00441A6E" w:rsidRPr="00285ED8">
        <w:rPr>
          <w:vertAlign w:val="subscript"/>
        </w:rPr>
        <w:t>,</w:t>
      </w:r>
      <w:r w:rsidR="003E3182" w:rsidRPr="00285ED8">
        <w:rPr>
          <w:vertAlign w:val="subscript"/>
        </w:rPr>
        <w:t>r</w:t>
      </w:r>
      <w:proofErr w:type="spellEnd"/>
      <w:proofErr w:type="gramEnd"/>
      <w:r w:rsidR="000233BA">
        <w:rPr>
          <w:vertAlign w:val="subscript"/>
        </w:rPr>
        <w:t xml:space="preserve"> </w:t>
      </w:r>
      <w:r w:rsidR="000233BA">
        <w:t>in equation 8</w:t>
      </w:r>
      <w:r>
        <w:t xml:space="preserve">) is defined as the sum of total </w:t>
      </w:r>
      <w:r w:rsidR="00A95FD1">
        <w:t xml:space="preserve">VKT </w:t>
      </w:r>
      <w:r w:rsidR="00E32201">
        <w:t xml:space="preserve">that can be achieved by </w:t>
      </w:r>
      <w:r w:rsidR="004C4719">
        <w:t xml:space="preserve">charging </w:t>
      </w:r>
      <w:r w:rsidR="00640C5C">
        <w:t xml:space="preserve">the BEV </w:t>
      </w:r>
      <w:r w:rsidR="004C4719">
        <w:t xml:space="preserve">at home (H) and/or at work (W) if available, and from public charging (k=regular L2 charger, fast charging) </w:t>
      </w:r>
      <w:r w:rsidR="00E32201">
        <w:t>in</w:t>
      </w:r>
      <w:r w:rsidR="00441A6E">
        <w:t xml:space="preserve"> region </w:t>
      </w:r>
      <w:proofErr w:type="spellStart"/>
      <w:r w:rsidR="00441A6E" w:rsidRPr="00285ED8">
        <w:rPr>
          <w:i/>
          <w:iCs/>
        </w:rPr>
        <w:t>r</w:t>
      </w:r>
      <w:r w:rsidR="00441A6E">
        <w:t xml:space="preserve"> at</w:t>
      </w:r>
      <w:proofErr w:type="spellEnd"/>
      <w:r w:rsidR="00441A6E">
        <w:t xml:space="preserve"> time </w:t>
      </w:r>
      <w:r w:rsidR="00441A6E" w:rsidRPr="00285ED8">
        <w:rPr>
          <w:i/>
          <w:iCs/>
        </w:rPr>
        <w:t>t</w:t>
      </w:r>
      <w:r w:rsidR="004834D1">
        <w:t xml:space="preserve"> </w:t>
      </w:r>
      <w:r>
        <w:t xml:space="preserve">(equation </w:t>
      </w:r>
      <w:r w:rsidR="00C44C95">
        <w:t>8</w:t>
      </w:r>
      <w:r>
        <w:t>)</w:t>
      </w:r>
      <w:r w:rsidR="00446388">
        <w:t>.</w:t>
      </w:r>
      <w:r w:rsidR="000F2625">
        <w:t xml:space="preserve">  </w:t>
      </w:r>
      <w:r w:rsidR="00AF334E">
        <w:t xml:space="preserve">It </w:t>
      </w:r>
      <w:r w:rsidR="00446388">
        <w:t>sum</w:t>
      </w:r>
      <w:r w:rsidR="0000736B">
        <w:t>s</w:t>
      </w:r>
      <w:r w:rsidR="00446388">
        <w:t xml:space="preserve"> up the effective range a </w:t>
      </w:r>
      <w:r w:rsidR="00731496">
        <w:t>vehicle</w:t>
      </w:r>
      <w:r w:rsidR="00446388">
        <w:t xml:space="preserve"> can get from all possible </w:t>
      </w:r>
      <w:r w:rsidR="00731496">
        <w:t xml:space="preserve">charging </w:t>
      </w:r>
      <w:r w:rsidR="007315B8">
        <w:t>options</w:t>
      </w:r>
      <w:r w:rsidR="00446388">
        <w:t xml:space="preserve"> (</w:t>
      </w:r>
      <w:r w:rsidR="007315B8">
        <w:t>at</w:t>
      </w:r>
      <w:r w:rsidR="00446388">
        <w:t xml:space="preserve"> home, work, and public stops) </w:t>
      </w:r>
      <w:r w:rsidR="006374E7">
        <w:t xml:space="preserve">and provides a </w:t>
      </w:r>
      <w:r w:rsidR="00446388">
        <w:t xml:space="preserve">conservative estimate of </w:t>
      </w:r>
      <w:r w:rsidR="000233BA">
        <w:t xml:space="preserve">the </w:t>
      </w:r>
      <w:r w:rsidR="00446388">
        <w:t xml:space="preserve">total effective range of BEV </w:t>
      </w:r>
      <w:r w:rsidR="00F3685C">
        <w:t>in</w:t>
      </w:r>
      <w:r w:rsidR="00446388">
        <w:t xml:space="preserve"> region </w:t>
      </w:r>
      <w:proofErr w:type="spellStart"/>
      <w:r w:rsidR="00446388" w:rsidRPr="00285ED8">
        <w:rPr>
          <w:i/>
          <w:iCs/>
        </w:rPr>
        <w:t>r</w:t>
      </w:r>
      <w:r w:rsidR="00446388">
        <w:t xml:space="preserve"> at</w:t>
      </w:r>
      <w:proofErr w:type="spellEnd"/>
      <w:r w:rsidR="00446388">
        <w:t xml:space="preserve"> time </w:t>
      </w:r>
      <w:r w:rsidR="00446388" w:rsidRPr="00285ED8">
        <w:rPr>
          <w:i/>
          <w:iCs/>
        </w:rPr>
        <w:t>t</w:t>
      </w:r>
      <w:r w:rsidR="00446388">
        <w:t>.</w:t>
      </w:r>
    </w:p>
    <w:tbl>
      <w:tblPr>
        <w:tblW w:w="5000" w:type="pct"/>
        <w:tblLook w:val="04A0" w:firstRow="1" w:lastRow="0" w:firstColumn="1" w:lastColumn="0" w:noHBand="0" w:noVBand="1"/>
      </w:tblPr>
      <w:tblGrid>
        <w:gridCol w:w="8424"/>
        <w:gridCol w:w="936"/>
      </w:tblGrid>
      <w:tr w:rsidR="001806DB" w:rsidRPr="00F84713" w14:paraId="53FB82CD" w14:textId="77777777" w:rsidTr="001806DB">
        <w:trPr>
          <w:trHeight w:val="540"/>
        </w:trPr>
        <w:tc>
          <w:tcPr>
            <w:tcW w:w="4500" w:type="pct"/>
          </w:tcPr>
          <w:p w14:paraId="2295F45D" w14:textId="641B950F" w:rsidR="001806DB" w:rsidRPr="00F84713" w:rsidRDefault="00E907D6" w:rsidP="00C53F8C">
            <w:pPr>
              <w:spacing w:line="240" w:lineRule="auto"/>
            </w:pPr>
            <m:oMathPara>
              <m:oMath>
                <m:sSub>
                  <m:sSubPr>
                    <m:ctrlPr>
                      <w:rPr>
                        <w:rFonts w:ascii="Cambria Math" w:hAnsi="Cambria Math"/>
                      </w:rPr>
                    </m:ctrlPr>
                  </m:sSubPr>
                  <m:e>
                    <m:r>
                      <m:rPr>
                        <m:sty m:val="p"/>
                      </m:rPr>
                      <w:rPr>
                        <w:rFonts w:ascii="Cambria Math" w:hAnsi="Cambria Math"/>
                      </w:rPr>
                      <m:t>eVKT</m:t>
                    </m:r>
                  </m:e>
                  <m:sub>
                    <m:r>
                      <m:rPr>
                        <m:sty m:val="p"/>
                      </m:rPr>
                      <w:rPr>
                        <w:rFonts w:ascii="Cambria Math" w:hAnsi="Cambria Math"/>
                      </w:rPr>
                      <m:t>t,r</m:t>
                    </m:r>
                  </m:sub>
                </m:sSub>
                <m:r>
                  <m:rPr>
                    <m:sty m:val="p"/>
                  </m:rPr>
                  <w:rPr>
                    <w:rFonts w:ascii="Cambria Math" w:hAnsi="Cambria Math"/>
                  </w:rPr>
                  <m:t>=</m:t>
                </m:r>
                <m:func>
                  <m:funcPr>
                    <m:ctrlPr>
                      <w:rPr>
                        <w:rFonts w:ascii="Cambria Math" w:hAnsi="Cambria Math"/>
                        <w:iCs/>
                      </w:rPr>
                    </m:ctrlPr>
                  </m:funcPr>
                  <m:fName>
                    <m:r>
                      <w:rPr>
                        <w:rFonts w:ascii="Cambria Math" w:hAnsi="Cambria Math"/>
                      </w:rPr>
                      <m:t>min</m:t>
                    </m:r>
                  </m:fName>
                  <m:e>
                    <m:d>
                      <m:dPr>
                        <m:ctrlPr>
                          <w:rPr>
                            <w:rFonts w:ascii="Cambria Math" w:hAnsi="Cambria Math"/>
                            <w:iCs/>
                          </w:rPr>
                        </m:ctrlPr>
                      </m:dPr>
                      <m:e>
                        <m:sSub>
                          <m:sSubPr>
                            <m:ctrlPr>
                              <w:rPr>
                                <w:rFonts w:ascii="Cambria Math" w:hAnsi="Cambria Math"/>
                              </w:rPr>
                            </m:ctrlPr>
                          </m:sSubPr>
                          <m:e>
                            <m:r>
                              <w:rPr>
                                <w:rFonts w:ascii="Cambria Math" w:hAnsi="Cambria Math"/>
                              </w:rPr>
                              <m:t>e</m:t>
                            </m:r>
                          </m:e>
                          <m:sub>
                            <m:r>
                              <w:rPr>
                                <w:rFonts w:ascii="Cambria Math" w:hAnsi="Cambria Math"/>
                              </w:rPr>
                              <m:t>H</m:t>
                            </m:r>
                          </m:sub>
                        </m:sSub>
                        <m:sSub>
                          <m:sSubPr>
                            <m:ctrlPr>
                              <w:rPr>
                                <w:rFonts w:ascii="Cambria Math" w:hAnsi="Cambria Math"/>
                              </w:rPr>
                            </m:ctrlPr>
                          </m:sSubPr>
                          <m:e>
                            <m:r>
                              <w:rPr>
                                <w:rFonts w:ascii="Cambria Math" w:hAnsi="Cambria Math"/>
                              </w:rPr>
                              <m:t>tc</m:t>
                            </m:r>
                          </m:e>
                          <m:sub>
                            <m:r>
                              <w:rPr>
                                <w:rFonts w:ascii="Cambria Math" w:hAnsi="Cambria Math"/>
                              </w:rPr>
                              <m:t>H</m:t>
                            </m:r>
                          </m:sub>
                        </m:sSub>
                        <m:sSub>
                          <m:sSubPr>
                            <m:ctrlPr>
                              <w:rPr>
                                <w:rFonts w:ascii="Cambria Math" w:hAnsi="Cambria Math"/>
                                <w:iCs/>
                              </w:rPr>
                            </m:ctrlPr>
                          </m:sSubPr>
                          <m:e>
                            <m:r>
                              <w:rPr>
                                <w:rFonts w:ascii="Cambria Math" w:hAnsi="Cambria Math"/>
                              </w:rPr>
                              <m:t>Q</m:t>
                            </m:r>
                          </m:e>
                          <m:sub>
                            <m:r>
                              <w:rPr>
                                <w:rFonts w:ascii="Cambria Math" w:hAnsi="Cambria Math"/>
                              </w:rPr>
                              <m:t>H</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BEV</m:t>
                            </m:r>
                            <m:r>
                              <w:rPr>
                                <w:rFonts w:ascii="Cambria Math" w:hAnsi="Cambria Math"/>
                              </w:rPr>
                              <m:t>,</m:t>
                            </m:r>
                            <m:r>
                              <w:rPr>
                                <w:rFonts w:ascii="Cambria Math" w:hAnsi="Cambria Math"/>
                              </w:rPr>
                              <m:t>t</m:t>
                            </m:r>
                          </m:sub>
                        </m:sSub>
                        <m:r>
                          <w:rPr>
                            <w:rFonts w:ascii="Cambria Math" w:hAnsi="Cambria Math"/>
                          </w:rPr>
                          <m:t>,</m:t>
                        </m:r>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e>
                    </m:d>
                    <m:r>
                      <m:rPr>
                        <m:sty m:val="p"/>
                      </m:rPr>
                      <w:rPr>
                        <w:rFonts w:ascii="Cambria Math" w:hAnsi="Cambria Math"/>
                      </w:rPr>
                      <m:t>+</m:t>
                    </m:r>
                    <m:func>
                      <m:funcPr>
                        <m:ctrlPr>
                          <w:rPr>
                            <w:rFonts w:ascii="Cambria Math" w:hAnsi="Cambria Math"/>
                            <w:iCs/>
                          </w:rPr>
                        </m:ctrlPr>
                      </m:funcPr>
                      <m:fName>
                        <m:r>
                          <w:rPr>
                            <w:rFonts w:ascii="Cambria Math" w:hAnsi="Cambria Math"/>
                          </w:rPr>
                          <m:t>min</m:t>
                        </m:r>
                      </m:fName>
                      <m:e>
                        <m:d>
                          <m:dPr>
                            <m:ctrlPr>
                              <w:rPr>
                                <w:rFonts w:ascii="Cambria Math" w:hAnsi="Cambria Math"/>
                                <w:iCs/>
                              </w:rPr>
                            </m:ctrlPr>
                          </m:dPr>
                          <m:e>
                            <m:sSub>
                              <m:sSubPr>
                                <m:ctrlPr>
                                  <w:rPr>
                                    <w:rFonts w:ascii="Cambria Math" w:hAnsi="Cambria Math"/>
                                  </w:rPr>
                                </m:ctrlPr>
                              </m:sSubPr>
                              <m:e>
                                <m:r>
                                  <w:rPr>
                                    <w:rFonts w:ascii="Cambria Math" w:hAnsi="Cambria Math"/>
                                  </w:rPr>
                                  <m:t>e</m:t>
                                </m:r>
                              </m:e>
                              <m:sub>
                                <m:r>
                                  <w:rPr>
                                    <w:rFonts w:ascii="Cambria Math" w:hAnsi="Cambria Math"/>
                                  </w:rPr>
                                  <m:t>W</m:t>
                                </m:r>
                              </m:sub>
                            </m:sSub>
                            <m:sSub>
                              <m:sSubPr>
                                <m:ctrlPr>
                                  <w:rPr>
                                    <w:rFonts w:ascii="Cambria Math" w:hAnsi="Cambria Math"/>
                                  </w:rPr>
                                </m:ctrlPr>
                              </m:sSubPr>
                              <m:e>
                                <m:r>
                                  <w:rPr>
                                    <w:rFonts w:ascii="Cambria Math" w:hAnsi="Cambria Math"/>
                                  </w:rPr>
                                  <m:t>tc</m:t>
                                </m:r>
                              </m:e>
                              <m:sub>
                                <m:r>
                                  <w:rPr>
                                    <w:rFonts w:ascii="Cambria Math" w:hAnsi="Cambria Math"/>
                                  </w:rPr>
                                  <m:t>W</m:t>
                                </m:r>
                              </m:sub>
                            </m:sSub>
                            <m:sSub>
                              <m:sSubPr>
                                <m:ctrlPr>
                                  <w:rPr>
                                    <w:rFonts w:ascii="Cambria Math" w:hAnsi="Cambria Math"/>
                                    <w:iCs/>
                                  </w:rPr>
                                </m:ctrlPr>
                              </m:sSubPr>
                              <m:e>
                                <m:r>
                                  <w:rPr>
                                    <w:rFonts w:ascii="Cambria Math" w:hAnsi="Cambria Math"/>
                                  </w:rPr>
                                  <m:t>Q</m:t>
                                </m:r>
                              </m:e>
                              <m:sub>
                                <m:r>
                                  <w:rPr>
                                    <w:rFonts w:ascii="Cambria Math" w:hAnsi="Cambria Math"/>
                                  </w:rPr>
                                  <m:t>W</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BEV</m:t>
                                </m:r>
                              </m:sub>
                            </m:sSub>
                            <m:r>
                              <w:rPr>
                                <w:rFonts w:ascii="Cambria Math" w:hAnsi="Cambria Math"/>
                              </w:rPr>
                              <m:t>,</m:t>
                            </m:r>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e>
                        </m:d>
                      </m:e>
                    </m:func>
                  </m:e>
                </m:func>
                <m:r>
                  <m:rPr>
                    <m:sty m:val="p"/>
                  </m:rPr>
                  <w:rPr>
                    <w:rFonts w:ascii="Cambria Math" w:hAnsi="Cambria Math"/>
                  </w:rPr>
                  <m:t xml:space="preserve"> te +</m:t>
                </m:r>
                <m:func>
                  <m:funcPr>
                    <m:ctrlPr>
                      <w:rPr>
                        <w:rFonts w:ascii="Cambria Math" w:hAnsi="Cambria Math"/>
                        <w:iCs/>
                      </w:rPr>
                    </m:ctrlPr>
                  </m:funcPr>
                  <m:fName>
                    <m:r>
                      <w:rPr>
                        <w:rFonts w:ascii="Cambria Math" w:hAnsi="Cambria Math"/>
                      </w:rPr>
                      <m:t>min</m:t>
                    </m:r>
                  </m:fName>
                  <m:e>
                    <m:d>
                      <m:dPr>
                        <m:ctrlPr>
                          <w:rPr>
                            <w:rFonts w:ascii="Cambria Math" w:hAnsi="Cambria Math"/>
                            <w:iCs/>
                          </w:rPr>
                        </m:ctrlPr>
                      </m:dPr>
                      <m:e>
                        <m:nary>
                          <m:naryPr>
                            <m:chr m:val="∑"/>
                            <m:limLoc m:val="undOvr"/>
                            <m:supHide m:val="1"/>
                            <m:ctrlPr>
                              <w:rPr>
                                <w:rFonts w:ascii="Cambria Math" w:hAnsi="Cambria Math"/>
                                <w:iCs/>
                              </w:rPr>
                            </m:ctrlPr>
                          </m:naryPr>
                          <m:sub>
                            <m:r>
                              <w:rPr>
                                <w:rFonts w:ascii="Cambria Math" w:hAnsi="Cambria Math"/>
                              </w:rPr>
                              <m:t>k</m:t>
                            </m:r>
                          </m:sub>
                          <m:sup/>
                          <m:e>
                            <m:sSub>
                              <m:sSubPr>
                                <m:ctrlPr>
                                  <w:rPr>
                                    <w:rFonts w:ascii="Cambria Math" w:hAnsi="Cambria Math"/>
                                    <w:iCs/>
                                  </w:rPr>
                                </m:ctrlPr>
                              </m:sSubPr>
                              <m:e>
                                <m:r>
                                  <w:rPr>
                                    <w:rFonts w:ascii="Cambria Math" w:hAnsi="Cambria Math"/>
                                  </w:rPr>
                                  <m:t>e</m:t>
                                </m:r>
                              </m:e>
                              <m:sub>
                                <m:r>
                                  <w:rPr>
                                    <w:rFonts w:ascii="Cambria Math" w:hAnsi="Cambria Math"/>
                                  </w:rPr>
                                  <m:t>k</m:t>
                                </m:r>
                              </m:sub>
                            </m:sSub>
                            <m:sSub>
                              <m:sSubPr>
                                <m:ctrlPr>
                                  <w:rPr>
                                    <w:rFonts w:ascii="Cambria Math" w:hAnsi="Cambria Math"/>
                                    <w:iCs/>
                                  </w:rPr>
                                </m:ctrlPr>
                              </m:sSubPr>
                              <m:e>
                                <m:r>
                                  <w:rPr>
                                    <w:rFonts w:ascii="Cambria Math" w:hAnsi="Cambria Math"/>
                                  </w:rPr>
                                  <m:t>Q</m:t>
                                </m:r>
                              </m:e>
                              <m:sub>
                                <m:r>
                                  <w:rPr>
                                    <w:rFonts w:ascii="Cambria Math" w:hAnsi="Cambria Math"/>
                                  </w:rPr>
                                  <m:t>P</m:t>
                                </m:r>
                                <m:r>
                                  <m:rPr>
                                    <m:sty m:val="p"/>
                                  </m:rPr>
                                  <w:rPr>
                                    <w:rFonts w:ascii="Cambria Math" w:hAnsi="Cambria Math"/>
                                  </w:rPr>
                                  <m:t>,</m:t>
                                </m:r>
                                <m:r>
                                  <w:rPr>
                                    <w:rFonts w:ascii="Cambria Math" w:hAnsi="Cambria Math"/>
                                  </w:rPr>
                                  <m:t>k</m:t>
                                </m:r>
                                <m:r>
                                  <w:rPr>
                                    <w:rFonts w:ascii="Cambria Math" w:hAnsi="Cambria Math"/>
                                  </w:rPr>
                                  <m:t>,</m:t>
                                </m:r>
                                <m:r>
                                  <w:rPr>
                                    <w:rFonts w:ascii="Cambria Math" w:hAnsi="Cambria Math"/>
                                  </w:rPr>
                                  <m:t>r</m:t>
                                </m:r>
                              </m:sub>
                            </m:sSub>
                            <m:sSub>
                              <m:sSubPr>
                                <m:ctrlPr>
                                  <w:rPr>
                                    <w:rFonts w:ascii="Cambria Math" w:hAnsi="Cambria Math"/>
                                    <w:i/>
                                  </w:rPr>
                                </m:ctrlPr>
                              </m:sSubPr>
                              <m:e>
                                <m:r>
                                  <w:rPr>
                                    <w:rFonts w:ascii="Cambria Math" w:hAnsi="Cambria Math"/>
                                  </w:rPr>
                                  <m:t>tc</m:t>
                                </m:r>
                              </m:e>
                              <m:sub>
                                <m:r>
                                  <w:rPr>
                                    <w:rFonts w:ascii="Cambria Math" w:hAnsi="Cambria Math"/>
                                  </w:rPr>
                                  <m:t>r</m:t>
                                </m:r>
                                <m:r>
                                  <w:rPr>
                                    <w:rFonts w:ascii="Cambria Math" w:hAnsi="Cambria Math"/>
                                  </w:rPr>
                                  <m:t>,</m:t>
                                </m:r>
                                <m:r>
                                  <w:rPr>
                                    <w:rFonts w:ascii="Cambria Math" w:hAnsi="Cambria Math"/>
                                  </w:rPr>
                                  <m:t>t</m:t>
                                </m:r>
                              </m:sub>
                            </m:sSub>
                            <m: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BEV</m:t>
                                </m:r>
                                <m:r>
                                  <w:rPr>
                                    <w:rFonts w:ascii="Cambria Math" w:hAnsi="Cambria Math"/>
                                  </w:rPr>
                                  <m:t>,</m:t>
                                </m:r>
                                <m:r>
                                  <w:rPr>
                                    <w:rFonts w:ascii="Cambria Math" w:hAnsi="Cambria Math"/>
                                  </w:rPr>
                                  <m:t>t</m:t>
                                </m:r>
                              </m:sub>
                            </m:sSub>
                          </m:e>
                        </m:nary>
                        <m:r>
                          <w:rPr>
                            <w:rFonts w:ascii="Cambria Math" w:hAnsi="Cambria Math"/>
                          </w:rPr>
                          <m:t>,</m:t>
                        </m:r>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e>
                    </m:d>
                  </m:e>
                </m:func>
              </m:oMath>
            </m:oMathPara>
          </w:p>
        </w:tc>
        <w:tc>
          <w:tcPr>
            <w:tcW w:w="500" w:type="pct"/>
          </w:tcPr>
          <w:p w14:paraId="6DCC5C3D" w14:textId="77777777" w:rsidR="001806DB" w:rsidRPr="00F84713" w:rsidRDefault="001806DB" w:rsidP="00C52DAD">
            <w:pPr>
              <w:pStyle w:val="ListParagraph"/>
              <w:numPr>
                <w:ilvl w:val="0"/>
                <w:numId w:val="30"/>
              </w:numPr>
              <w:spacing w:after="0" w:line="240" w:lineRule="auto"/>
            </w:pPr>
          </w:p>
        </w:tc>
      </w:tr>
      <w:tr w:rsidR="00747389" w:rsidRPr="00F84713" w14:paraId="185900D9" w14:textId="77777777" w:rsidTr="00285ED8">
        <w:trPr>
          <w:trHeight w:val="540"/>
        </w:trPr>
        <w:tc>
          <w:tcPr>
            <w:tcW w:w="4471" w:type="pct"/>
          </w:tcPr>
          <w:p w14:paraId="3AA4AAAA" w14:textId="2A36DE14" w:rsidR="00747389" w:rsidRPr="001C6A7D" w:rsidRDefault="00E907D6" w:rsidP="001C6A7D">
            <w:pPr>
              <w:spacing w:line="240" w:lineRule="auto"/>
            </w:pPr>
            <m:oMath>
              <m:sSub>
                <m:sSubPr>
                  <m:ctrlPr>
                    <w:rPr>
                      <w:rFonts w:ascii="Cambria Math" w:hAnsi="Cambria Math"/>
                      <w:i/>
                    </w:rPr>
                  </m:ctrlPr>
                </m:sSubPr>
                <m:e>
                  <m:r>
                    <w:rPr>
                      <w:rFonts w:ascii="Cambria Math" w:hAnsi="Cambria Math"/>
                    </w:rPr>
                    <m:t>tc</m:t>
                  </m:r>
                </m:e>
                <m:sub>
                  <m:r>
                    <w:rPr>
                      <w:rFonts w:ascii="Cambria Math" w:hAnsi="Cambria Math"/>
                    </w:rPr>
                    <m:t>r</m:t>
                  </m:r>
                  <m:r>
                    <w:rPr>
                      <w:rFonts w:ascii="Cambria Math" w:hAnsi="Cambria Math"/>
                    </w:rPr>
                    <m:t>,</m:t>
                  </m:r>
                  <m:r>
                    <w:rPr>
                      <w:rFonts w:ascii="Cambria Math" w:hAnsi="Cambria Math"/>
                    </w:rPr>
                    <m:t>t</m:t>
                  </m:r>
                </m:sub>
              </m:sSub>
              <m:r>
                <m:rPr>
                  <m:sty m:val="p"/>
                </m:rPr>
                <w:rPr>
                  <w:rFonts w:ascii="Cambria Math" w:hAnsi="Cambria Math"/>
                </w:rPr>
                <m:t>=(2×</m:t>
              </m:r>
              <m:sSubSup>
                <m:sSubSupPr>
                  <m:ctrlPr>
                    <w:rPr>
                      <w:rFonts w:ascii="Cambria Math" w:hAnsi="Cambria Math"/>
                      <w:i/>
                    </w:rPr>
                  </m:ctrlPr>
                </m:sSubSupPr>
                <m:e>
                  <m:r>
                    <w:rPr>
                      <w:rFonts w:ascii="Cambria Math" w:hAnsi="Cambria Math"/>
                    </w:rPr>
                    <m:t>q</m:t>
                  </m:r>
                </m:e>
                <m:sub>
                  <m:r>
                    <w:rPr>
                      <w:rFonts w:ascii="Cambria Math" w:hAnsi="Cambria Math"/>
                    </w:rPr>
                    <m:t>r</m:t>
                  </m:r>
                  <m:r>
                    <w:rPr>
                      <w:rFonts w:ascii="Cambria Math" w:hAnsi="Cambria Math"/>
                    </w:rPr>
                    <m:t>,</m:t>
                  </m:r>
                  <m:r>
                    <w:rPr>
                      <w:rFonts w:ascii="Cambria Math" w:hAnsi="Cambria Math"/>
                    </w:rPr>
                    <m:t>t</m:t>
                  </m:r>
                  <m:ctrlPr>
                    <w:rPr>
                      <w:rFonts w:ascii="Cambria Math" w:hAnsi="Cambria Math"/>
                    </w:rPr>
                  </m:ctrlPr>
                </m:sub>
                <m:sup>
                  <m:r>
                    <w:rPr>
                      <w:rFonts w:ascii="Cambria Math" w:hAnsi="Cambria Math"/>
                    </w:rPr>
                    <m:t>P</m:t>
                  </m:r>
                  <m:r>
                    <m:rPr>
                      <m:sty m:val="p"/>
                    </m:rPr>
                    <w:rPr>
                      <w:rFonts w:ascii="Cambria Math" w:hAnsi="Cambria Math"/>
                    </w:rPr>
                    <m:t>,</m:t>
                  </m:r>
                  <m:r>
                    <w:rPr>
                      <w:rFonts w:ascii="Cambria Math" w:hAnsi="Cambria Math"/>
                    </w:rPr>
                    <m:t>L</m:t>
                  </m:r>
                  <m:r>
                    <m:rPr>
                      <m:sty m:val="p"/>
                    </m:rPr>
                    <w:rPr>
                      <w:rFonts w:ascii="Cambria Math" w:hAnsi="Cambria Math"/>
                    </w:rPr>
                    <m:t>2</m:t>
                  </m:r>
                </m:sup>
              </m:sSubSup>
              <m:r>
                <m:rPr>
                  <m:sty m:val="p"/>
                </m:rPr>
                <w:rPr>
                  <w:rFonts w:ascii="Cambria Math" w:hAnsi="Cambria Math"/>
                </w:rPr>
                <m:t>+min⁡(2,</m:t>
              </m:r>
              <m:f>
                <m:fPr>
                  <m:ctrlPr>
                    <w:rPr>
                      <w:rFonts w:ascii="Cambria Math" w:hAnsi="Cambria Math"/>
                      <w:iCs/>
                    </w:rPr>
                  </m:ctrlPr>
                </m:fPr>
                <m:num>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num>
                <m:den>
                  <m:sSubSup>
                    <m:sSubSupPr>
                      <m:ctrlPr>
                        <w:rPr>
                          <w:rFonts w:ascii="Cambria Math" w:hAnsi="Cambria Math"/>
                          <w:i/>
                        </w:rPr>
                      </m:ctrlPr>
                    </m:sSubSupPr>
                    <m:e>
                      <m:r>
                        <w:rPr>
                          <w:rFonts w:ascii="Cambria Math" w:hAnsi="Cambria Math"/>
                        </w:rPr>
                        <m:t>γ</m:t>
                      </m:r>
                    </m:e>
                    <m:sub>
                      <m:r>
                        <w:rPr>
                          <w:rFonts w:ascii="Cambria Math" w:hAnsi="Cambria Math"/>
                        </w:rPr>
                        <m:t>t</m:t>
                      </m:r>
                    </m:sub>
                    <m:sup>
                      <m:r>
                        <w:rPr>
                          <w:rFonts w:ascii="Cambria Math" w:hAnsi="Cambria Math"/>
                        </w:rPr>
                        <m:t>BEV</m:t>
                      </m:r>
                    </m:sup>
                  </m:sSubSup>
                  <m:r>
                    <m:rPr>
                      <m:sty m:val="p"/>
                    </m:rPr>
                    <w:rPr>
                      <w:rFonts w:ascii="Cambria Math" w:hAnsi="Cambria Math"/>
                    </w:rPr>
                    <m:t>×50</m:t>
                  </m:r>
                </m:den>
              </m:f>
              <m:r>
                <m:rPr>
                  <m:sty m:val="p"/>
                </m:rP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r</m:t>
                  </m:r>
                  <m:r>
                    <w:rPr>
                      <w:rFonts w:ascii="Cambria Math" w:hAnsi="Cambria Math"/>
                    </w:rPr>
                    <m:t>,</m:t>
                  </m:r>
                  <m:r>
                    <w:rPr>
                      <w:rFonts w:ascii="Cambria Math" w:hAnsi="Cambria Math"/>
                    </w:rPr>
                    <m:t>t</m:t>
                  </m:r>
                  <m:ctrlPr>
                    <w:rPr>
                      <w:rFonts w:ascii="Cambria Math" w:hAnsi="Cambria Math"/>
                    </w:rPr>
                  </m:ctrlPr>
                </m:sub>
                <m:sup>
                  <m:r>
                    <w:rPr>
                      <w:rFonts w:ascii="Cambria Math" w:hAnsi="Cambria Math"/>
                    </w:rPr>
                    <m:t>P</m:t>
                  </m:r>
                  <m:r>
                    <m:rPr>
                      <m:sty m:val="p"/>
                    </m:rPr>
                    <w:rPr>
                      <w:rFonts w:ascii="Cambria Math" w:hAnsi="Cambria Math"/>
                    </w:rPr>
                    <m:t>,DC</m:t>
                  </m:r>
                </m:sup>
              </m:sSubSup>
              <m:r>
                <m:rPr>
                  <m:sty m:val="p"/>
                </m:rP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r</m:t>
                  </m:r>
                  <m:r>
                    <w:rPr>
                      <w:rFonts w:ascii="Cambria Math" w:hAnsi="Cambria Math"/>
                    </w:rPr>
                    <m:t>,</m:t>
                  </m:r>
                  <m:r>
                    <w:rPr>
                      <w:rFonts w:ascii="Cambria Math" w:hAnsi="Cambria Math"/>
                    </w:rPr>
                    <m:t>t</m:t>
                  </m:r>
                  <m:ctrlPr>
                    <w:rPr>
                      <w:rFonts w:ascii="Cambria Math" w:hAnsi="Cambria Math"/>
                    </w:rPr>
                  </m:ctrlPr>
                </m:sub>
                <m:sup>
                  <m:r>
                    <w:rPr>
                      <w:rFonts w:ascii="Cambria Math" w:hAnsi="Cambria Math"/>
                    </w:rPr>
                    <m:t>P</m:t>
                  </m:r>
                  <m:r>
                    <m:rPr>
                      <m:sty m:val="p"/>
                    </m:rPr>
                    <w:rPr>
                      <w:rFonts w:ascii="Cambria Math" w:hAnsi="Cambria Math"/>
                    </w:rPr>
                    <m:t>,</m:t>
                  </m:r>
                  <m:r>
                    <w:rPr>
                      <w:rFonts w:ascii="Cambria Math" w:hAnsi="Cambria Math"/>
                    </w:rPr>
                    <m:t>L</m:t>
                  </m:r>
                  <m:r>
                    <m:rPr>
                      <m:sty m:val="p"/>
                    </m:rPr>
                    <w:rPr>
                      <w:rFonts w:ascii="Cambria Math" w:hAnsi="Cambria Math"/>
                    </w:rPr>
                    <m:t>2</m:t>
                  </m:r>
                </m:sup>
              </m:sSubSup>
              <m:r>
                <m:rPr>
                  <m:sty m:val="p"/>
                </m:rPr>
                <w:rPr>
                  <w:rFonts w:ascii="Cambria Math" w:hAnsi="Cambria Math"/>
                </w:rPr>
                <m:t>+</m:t>
              </m:r>
              <m:sSubSup>
                <m:sSubSupPr>
                  <m:ctrlPr>
                    <w:rPr>
                      <w:rFonts w:ascii="Cambria Math" w:hAnsi="Cambria Math"/>
                      <w:i/>
                    </w:rPr>
                  </m:ctrlPr>
                </m:sSubSupPr>
                <m:e>
                  <m:r>
                    <w:rPr>
                      <w:rFonts w:ascii="Cambria Math" w:hAnsi="Cambria Math"/>
                    </w:rPr>
                    <m:t>q</m:t>
                  </m:r>
                </m:e>
                <m:sub>
                  <m:r>
                    <w:rPr>
                      <w:rFonts w:ascii="Cambria Math" w:hAnsi="Cambria Math"/>
                    </w:rPr>
                    <m:t>r</m:t>
                  </m:r>
                  <m:r>
                    <w:rPr>
                      <w:rFonts w:ascii="Cambria Math" w:hAnsi="Cambria Math"/>
                    </w:rPr>
                    <m:t>,</m:t>
                  </m:r>
                  <m:r>
                    <w:rPr>
                      <w:rFonts w:ascii="Cambria Math" w:hAnsi="Cambria Math"/>
                    </w:rPr>
                    <m:t>t</m:t>
                  </m:r>
                  <m:ctrlPr>
                    <w:rPr>
                      <w:rFonts w:ascii="Cambria Math" w:hAnsi="Cambria Math"/>
                    </w:rPr>
                  </m:ctrlPr>
                </m:sub>
                <m:sup>
                  <m:r>
                    <w:rPr>
                      <w:rFonts w:ascii="Cambria Math" w:hAnsi="Cambria Math"/>
                    </w:rPr>
                    <m:t>P</m:t>
                  </m:r>
                  <m:r>
                    <m:rPr>
                      <m:sty m:val="p"/>
                    </m:rPr>
                    <w:rPr>
                      <w:rFonts w:ascii="Cambria Math" w:hAnsi="Cambria Math"/>
                    </w:rPr>
                    <m:t>,DC</m:t>
                  </m:r>
                </m:sup>
              </m:sSubSup>
              <m:r>
                <m:rPr>
                  <m:sty m:val="p"/>
                </m:rPr>
                <w:rPr>
                  <w:rFonts w:ascii="Cambria Math" w:hAnsi="Cambria Math"/>
                </w:rPr>
                <m:t>)</m:t>
              </m:r>
            </m:oMath>
            <w:r w:rsidR="00747389">
              <w:t xml:space="preserve">  </w:t>
            </w:r>
          </w:p>
        </w:tc>
        <w:tc>
          <w:tcPr>
            <w:tcW w:w="529" w:type="pct"/>
          </w:tcPr>
          <w:p w14:paraId="5A3402B7" w14:textId="77777777" w:rsidR="00747389" w:rsidRPr="00F84713" w:rsidRDefault="00747389" w:rsidP="00747389">
            <w:pPr>
              <w:pStyle w:val="ListParagraph"/>
              <w:numPr>
                <w:ilvl w:val="0"/>
                <w:numId w:val="30"/>
              </w:numPr>
              <w:spacing w:after="0" w:line="240" w:lineRule="auto"/>
            </w:pPr>
          </w:p>
        </w:tc>
      </w:tr>
    </w:tbl>
    <w:p w14:paraId="44271A7E" w14:textId="09FCD1B2" w:rsidR="004C4719" w:rsidRDefault="004C4719" w:rsidP="001C6A7D">
      <w:pPr>
        <w:spacing w:line="240" w:lineRule="auto"/>
        <w:ind w:firstLine="0"/>
      </w:pPr>
      <w:r>
        <w:t>T</w:t>
      </w:r>
      <w:r w:rsidR="00441A6E">
        <w:t xml:space="preserve">he </w:t>
      </w:r>
      <w:r>
        <w:t xml:space="preserve">first term on the </w:t>
      </w:r>
      <w:r w:rsidR="000233BA">
        <w:t>right-</w:t>
      </w:r>
      <w:r w:rsidR="00441A6E">
        <w:t>hand side</w:t>
      </w:r>
      <w:r w:rsidR="00926887">
        <w:t xml:space="preserve"> of equation 9 of </w:t>
      </w:r>
      <w:proofErr w:type="spellStart"/>
      <w:r w:rsidR="00926887">
        <w:t>eV</w:t>
      </w:r>
      <w:r w:rsidR="00C44C95">
        <w:t>K</w:t>
      </w:r>
      <w:r w:rsidR="00926887">
        <w:t>T</w:t>
      </w:r>
      <w:proofErr w:type="spellEnd"/>
      <w:r>
        <w:t xml:space="preserve"> is the effective range obtained at home, in which </w:t>
      </w:r>
      <w:proofErr w:type="spellStart"/>
      <w:r w:rsidRPr="00E83A60">
        <w:rPr>
          <w:i/>
          <w:iCs/>
        </w:rPr>
        <w:t>e</w:t>
      </w:r>
      <w:r w:rsidRPr="00E83A60">
        <w:rPr>
          <w:i/>
          <w:iCs/>
          <w:vertAlign w:val="subscript"/>
        </w:rPr>
        <w:t>H</w:t>
      </w:r>
      <w:proofErr w:type="spellEnd"/>
      <w:r>
        <w:rPr>
          <w:vertAlign w:val="subscript"/>
        </w:rPr>
        <w:t xml:space="preserve"> </w:t>
      </w:r>
      <w:r w:rsidR="00747389">
        <w:t xml:space="preserve">is </w:t>
      </w:r>
      <w:r>
        <w:t xml:space="preserve">the charging capacity of 6.6 kW for L2 charging portal for most home chargers, </w:t>
      </w:r>
      <w:proofErr w:type="spellStart"/>
      <w:r w:rsidRPr="00E83A60">
        <w:rPr>
          <w:i/>
          <w:iCs/>
        </w:rPr>
        <w:t>tc</w:t>
      </w:r>
      <w:r w:rsidRPr="00E83A60">
        <w:rPr>
          <w:i/>
          <w:iCs/>
          <w:vertAlign w:val="subscript"/>
        </w:rPr>
        <w:t>H</w:t>
      </w:r>
      <w:proofErr w:type="spellEnd"/>
      <w:r>
        <w:t xml:space="preserve"> is the hours spent at the charging location (assuming 8 hours at home), and </w:t>
      </w:r>
      <w:r w:rsidRPr="00E83A60">
        <w:rPr>
          <w:i/>
          <w:iCs/>
        </w:rPr>
        <w:t>Q</w:t>
      </w:r>
      <w:r w:rsidRPr="00E83A60">
        <w:rPr>
          <w:i/>
          <w:iCs/>
          <w:vertAlign w:val="subscript"/>
        </w:rPr>
        <w:t>H</w:t>
      </w:r>
      <w:r>
        <w:rPr>
          <w:vertAlign w:val="subscript"/>
        </w:rPr>
        <w:t xml:space="preserve"> </w:t>
      </w:r>
      <w:r>
        <w:t xml:space="preserve">is the binary variable to decide </w:t>
      </w:r>
      <w:proofErr w:type="gramStart"/>
      <w:r>
        <w:t>whether or not</w:t>
      </w:r>
      <w:proofErr w:type="gramEnd"/>
      <w:r>
        <w:t xml:space="preserve"> to buy </w:t>
      </w:r>
      <w:r w:rsidR="00F3685C">
        <w:t xml:space="preserve">a </w:t>
      </w:r>
      <w:r>
        <w:t>home charger. The multiplication of the above term (</w:t>
      </w:r>
      <m:oMath>
        <m:sSub>
          <m:sSubPr>
            <m:ctrlPr>
              <w:rPr>
                <w:rFonts w:ascii="Cambria Math" w:hAnsi="Cambria Math"/>
              </w:rPr>
            </m:ctrlPr>
          </m:sSubPr>
          <m:e>
            <m:r>
              <w:rPr>
                <w:rFonts w:ascii="Cambria Math" w:hAnsi="Cambria Math"/>
              </w:rPr>
              <m:t>e</m:t>
            </m:r>
          </m:e>
          <m:sub>
            <m:r>
              <w:rPr>
                <w:rFonts w:ascii="Cambria Math" w:hAnsi="Cambria Math"/>
              </w:rPr>
              <m:t>H</m:t>
            </m:r>
          </m:sub>
        </m:sSub>
        <m:sSub>
          <m:sSubPr>
            <m:ctrlPr>
              <w:rPr>
                <w:rFonts w:ascii="Cambria Math" w:hAnsi="Cambria Math"/>
              </w:rPr>
            </m:ctrlPr>
          </m:sSubPr>
          <m:e>
            <m:r>
              <w:rPr>
                <w:rFonts w:ascii="Cambria Math" w:hAnsi="Cambria Math"/>
              </w:rPr>
              <m:t>tc</m:t>
            </m:r>
          </m:e>
          <m:sub>
            <m:r>
              <w:rPr>
                <w:rFonts w:ascii="Cambria Math" w:hAnsi="Cambria Math"/>
              </w:rPr>
              <m:t>H</m:t>
            </m:r>
          </m:sub>
        </m:sSub>
        <m:sSub>
          <m:sSubPr>
            <m:ctrlPr>
              <w:rPr>
                <w:rFonts w:ascii="Cambria Math" w:hAnsi="Cambria Math"/>
                <w:iCs/>
              </w:rPr>
            </m:ctrlPr>
          </m:sSubPr>
          <m:e>
            <m:r>
              <w:rPr>
                <w:rFonts w:ascii="Cambria Math" w:hAnsi="Cambria Math"/>
              </w:rPr>
              <m:t>Q</m:t>
            </m:r>
          </m:e>
          <m:sub>
            <m:r>
              <w:rPr>
                <w:rFonts w:ascii="Cambria Math" w:hAnsi="Cambria Math"/>
              </w:rPr>
              <m:t>H</m:t>
            </m:r>
          </m:sub>
        </m:sSub>
      </m:oMath>
      <w:r>
        <w:rPr>
          <w:iCs/>
        </w:rPr>
        <w:t>) is the total capacity (in kWh)</w:t>
      </w:r>
      <w:r w:rsidR="00A275AF">
        <w:rPr>
          <w:iCs/>
        </w:rPr>
        <w:t xml:space="preserve"> of a</w:t>
      </w:r>
      <w:r>
        <w:rPr>
          <w:iCs/>
        </w:rPr>
        <w:t xml:space="preserve"> BEV charge</w:t>
      </w:r>
      <w:r w:rsidR="00A275AF">
        <w:rPr>
          <w:iCs/>
        </w:rPr>
        <w:t>d</w:t>
      </w:r>
      <w:r>
        <w:rPr>
          <w:iCs/>
        </w:rPr>
        <w:t xml:space="preserve"> at home</w:t>
      </w:r>
      <w:r w:rsidR="00A275AF">
        <w:rPr>
          <w:iCs/>
        </w:rPr>
        <w:t xml:space="preserve">; this is </w:t>
      </w:r>
      <w:r>
        <w:rPr>
          <w:iCs/>
        </w:rPr>
        <w:t xml:space="preserve">then divided by </w:t>
      </w:r>
      <m:oMath>
        <m:sSub>
          <m:sSubPr>
            <m:ctrlPr>
              <w:rPr>
                <w:rFonts w:ascii="Cambria Math" w:hAnsi="Cambria Math"/>
              </w:rPr>
            </m:ctrlPr>
          </m:sSubPr>
          <m:e>
            <m:r>
              <w:rPr>
                <w:rFonts w:ascii="Cambria Math" w:hAnsi="Cambria Math"/>
              </w:rPr>
              <m:t>γ</m:t>
            </m:r>
          </m:e>
          <m:sub>
            <m:r>
              <w:rPr>
                <w:rFonts w:ascii="Cambria Math" w:hAnsi="Cambria Math"/>
              </w:rPr>
              <m:t>BEV,t</m:t>
            </m:r>
          </m:sub>
        </m:sSub>
      </m:oMath>
      <w:r>
        <w:t xml:space="preserve"> </w:t>
      </w:r>
      <w:r w:rsidR="00446388">
        <w:t>(</w:t>
      </w:r>
      <w:r w:rsidR="0000736B">
        <w:t>kilometer</w:t>
      </w:r>
      <w:r w:rsidR="00446388">
        <w:t xml:space="preserve"> per kWh) </w:t>
      </w:r>
      <w:r w:rsidR="00A275AF">
        <w:t>to</w:t>
      </w:r>
      <w:r>
        <w:t xml:space="preserve"> get the effective </w:t>
      </w:r>
      <w:r w:rsidR="00A95FD1">
        <w:t>VKT</w:t>
      </w:r>
      <w:r>
        <w:t xml:space="preserve">. We then take the minimum </w:t>
      </w:r>
      <w:r w:rsidR="00747F1D">
        <w:t xml:space="preserve">of </w:t>
      </w:r>
      <w:r>
        <w:t xml:space="preserve">the </w:t>
      </w:r>
      <w:r w:rsidR="00A95FD1">
        <w:t>VKT</w:t>
      </w:r>
      <w:r w:rsidR="00747F1D">
        <w:t xml:space="preserve"> that can be obtained from being</w:t>
      </w:r>
      <w:r>
        <w:t xml:space="preserve"> charged at home and the range capacity</w:t>
      </w:r>
      <w:r w:rsidR="00446388">
        <w:t xml:space="preserve">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rsidR="00446388">
        <w:t>)</w:t>
      </w:r>
      <w:r>
        <w:t xml:space="preserve"> </w:t>
      </w:r>
      <w:r w:rsidR="000A6C3B">
        <w:t xml:space="preserve">of </w:t>
      </w:r>
      <w:r>
        <w:t xml:space="preserve">a BEV </w:t>
      </w:r>
      <w:r w:rsidR="000A6C3B">
        <w:t xml:space="preserve">since the BEV </w:t>
      </w:r>
      <w:proofErr w:type="spellStart"/>
      <w:r w:rsidR="000A6C3B">
        <w:t>can not</w:t>
      </w:r>
      <w:proofErr w:type="spellEnd"/>
      <w:r>
        <w:t xml:space="preserve"> run beyond </w:t>
      </w:r>
      <w:r w:rsidR="000A6C3B">
        <w:t>its</w:t>
      </w:r>
      <w:r>
        <w:t xml:space="preserve"> charging capacity with a single charge. </w:t>
      </w:r>
      <w:r w:rsidR="00446388">
        <w:t>The maximum range with a full charge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rsidR="00446388">
        <w:t xml:space="preserve">) is obtained from </w:t>
      </w:r>
      <w:r w:rsidR="000233BA">
        <w:t xml:space="preserve">the </w:t>
      </w:r>
      <w:r w:rsidR="00446388">
        <w:t xml:space="preserve">sales-weighted average of BEVs </w:t>
      </w:r>
      <w:r w:rsidR="000233BA">
        <w:lastRenderedPageBreak/>
        <w:t xml:space="preserve">options </w:t>
      </w:r>
      <w:r w:rsidR="00446388">
        <w:t>with range</w:t>
      </w:r>
      <w:r w:rsidR="000233BA">
        <w:t>s</w:t>
      </w:r>
      <w:r w:rsidR="00446388">
        <w:t xml:space="preserve"> of 100 miles, 200 miles, and 300 miles from AEO (2019)</w:t>
      </w:r>
      <w:r w:rsidR="00446388">
        <w:rPr>
          <w:rStyle w:val="FootnoteReference"/>
        </w:rPr>
        <w:footnoteReference w:id="4"/>
      </w:r>
      <w:r w:rsidR="00446388">
        <w:t xml:space="preserve">. </w:t>
      </w:r>
      <w:r>
        <w:t xml:space="preserve">The second term </w:t>
      </w:r>
      <w:r w:rsidR="0000736B">
        <w:t xml:space="preserve">on the right-hand side of equation 9 </w:t>
      </w:r>
      <w:r>
        <w:t xml:space="preserve">is the effective range obtained at work, similarly </w:t>
      </w:r>
      <w:r w:rsidR="00446388">
        <w:t>from the charging capacity</w:t>
      </w:r>
      <w:r>
        <w:t xml:space="preserve"> </w:t>
      </w:r>
      <w:proofErr w:type="spellStart"/>
      <w:r>
        <w:t>e</w:t>
      </w:r>
      <w:r>
        <w:rPr>
          <w:vertAlign w:val="subscript"/>
        </w:rPr>
        <w:t>W</w:t>
      </w:r>
      <w:proofErr w:type="spellEnd"/>
      <w:r>
        <w:rPr>
          <w:vertAlign w:val="subscript"/>
        </w:rPr>
        <w:t xml:space="preserve"> </w:t>
      </w:r>
      <w:r w:rsidRPr="00285ED8">
        <w:t>(</w:t>
      </w:r>
      <w:r w:rsidRPr="004C4719">
        <w:t>6.6 kW for L2 charging portal</w:t>
      </w:r>
      <w:r w:rsidRPr="00285ED8">
        <w:t>)</w:t>
      </w:r>
      <w:r>
        <w:t xml:space="preserve">, charging time </w:t>
      </w:r>
      <w:proofErr w:type="spellStart"/>
      <w:r>
        <w:t>tc</w:t>
      </w:r>
      <w:r w:rsidR="0000736B">
        <w:rPr>
          <w:vertAlign w:val="subscript"/>
        </w:rPr>
        <w:t>W</w:t>
      </w:r>
      <w:proofErr w:type="spellEnd"/>
      <w:r>
        <w:rPr>
          <w:vertAlign w:val="subscript"/>
        </w:rPr>
        <w:t xml:space="preserve"> </w:t>
      </w:r>
      <w:r>
        <w:t xml:space="preserve">(assuming 8 hours at </w:t>
      </w:r>
      <w:r w:rsidR="0000736B">
        <w:t>work</w:t>
      </w:r>
      <w:r>
        <w:t>), and Q</w:t>
      </w:r>
      <w:r w:rsidR="0000736B">
        <w:rPr>
          <w:vertAlign w:val="subscript"/>
        </w:rPr>
        <w:t>W</w:t>
      </w:r>
      <w:r>
        <w:rPr>
          <w:vertAlign w:val="subscript"/>
        </w:rPr>
        <w:t xml:space="preserve"> </w:t>
      </w:r>
      <w:r>
        <w:t xml:space="preserve">binary input parameter of work charger ownership, and finally divided by </w:t>
      </w:r>
      <m:oMath>
        <m:sSub>
          <m:sSubPr>
            <m:ctrlPr>
              <w:rPr>
                <w:rFonts w:ascii="Cambria Math" w:hAnsi="Cambria Math"/>
              </w:rPr>
            </m:ctrlPr>
          </m:sSubPr>
          <m:e>
            <m:r>
              <w:rPr>
                <w:rFonts w:ascii="Cambria Math" w:hAnsi="Cambria Math"/>
              </w:rPr>
              <m:t>γ</m:t>
            </m:r>
          </m:e>
          <m:sub>
            <m:r>
              <w:rPr>
                <w:rFonts w:ascii="Cambria Math" w:hAnsi="Cambria Math"/>
              </w:rPr>
              <m:t>BEV,t</m:t>
            </m:r>
          </m:sub>
        </m:sSub>
      </m:oMath>
      <w:r w:rsidR="00446388">
        <w:t xml:space="preserve"> and</w:t>
      </w:r>
      <w:r w:rsidR="00747389">
        <w:t xml:space="preserve"> then set a</w:t>
      </w:r>
      <w:r w:rsidR="00446388">
        <w:t xml:space="preserve"> maximum to be at </w:t>
      </w:r>
      <w:r w:rsidR="0000736B">
        <w:t>battery</w:t>
      </w:r>
      <w:r w:rsidR="00446388">
        <w:t xml:space="preserve"> range capacity (</w:t>
      </w:r>
      <m:oMath>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oMath>
      <w:r w:rsidR="00446388">
        <w:t>). Four possible charging availability combinations are considered besides the public charging: Home and Work (Q</w:t>
      </w:r>
      <w:r w:rsidR="00446388">
        <w:rPr>
          <w:vertAlign w:val="subscript"/>
        </w:rPr>
        <w:t>H</w:t>
      </w:r>
      <w:r w:rsidR="00446388">
        <w:t>=</w:t>
      </w:r>
      <w:r w:rsidR="00446388" w:rsidRPr="00640C5C">
        <w:t xml:space="preserve"> </w:t>
      </w:r>
      <w:r w:rsidR="00446388">
        <w:t>Q</w:t>
      </w:r>
      <w:r w:rsidR="00446388">
        <w:rPr>
          <w:vertAlign w:val="subscript"/>
        </w:rPr>
        <w:t>W</w:t>
      </w:r>
      <w:r w:rsidR="00446388">
        <w:t xml:space="preserve"> =1), Home only (Q</w:t>
      </w:r>
      <w:r w:rsidR="00446388">
        <w:rPr>
          <w:vertAlign w:val="subscript"/>
        </w:rPr>
        <w:t>H</w:t>
      </w:r>
      <w:r w:rsidR="00446388">
        <w:t>=1, Q</w:t>
      </w:r>
      <w:r w:rsidR="00446388">
        <w:rPr>
          <w:vertAlign w:val="subscript"/>
        </w:rPr>
        <w:t>W</w:t>
      </w:r>
      <w:r w:rsidR="00446388">
        <w:t>=0), Work only (Q</w:t>
      </w:r>
      <w:r w:rsidR="00446388">
        <w:rPr>
          <w:vertAlign w:val="subscript"/>
        </w:rPr>
        <w:t>H</w:t>
      </w:r>
      <w:r w:rsidR="00446388">
        <w:t>=0, Q</w:t>
      </w:r>
      <w:r w:rsidR="00446388">
        <w:rPr>
          <w:vertAlign w:val="subscript"/>
        </w:rPr>
        <w:t>W</w:t>
      </w:r>
      <w:r w:rsidR="00446388">
        <w:t>=1), and none of the above (Q</w:t>
      </w:r>
      <w:r w:rsidR="00446388">
        <w:rPr>
          <w:vertAlign w:val="subscript"/>
        </w:rPr>
        <w:t>H</w:t>
      </w:r>
      <w:r w:rsidR="00446388">
        <w:t>=</w:t>
      </w:r>
      <w:r w:rsidR="00446388" w:rsidRPr="00640C5C">
        <w:t xml:space="preserve"> </w:t>
      </w:r>
      <w:r w:rsidR="00446388">
        <w:t>Q</w:t>
      </w:r>
      <w:r w:rsidR="00446388">
        <w:rPr>
          <w:vertAlign w:val="subscript"/>
        </w:rPr>
        <w:t>W</w:t>
      </w:r>
      <w:r w:rsidR="00446388">
        <w:t xml:space="preserve"> =0). </w:t>
      </w:r>
      <w:r>
        <w:t xml:space="preserve"> </w:t>
      </w:r>
      <w:r w:rsidR="00446388">
        <w:t xml:space="preserve">We assume as in </w:t>
      </w:r>
      <w:r w:rsidR="00446388">
        <w:fldChar w:fldCharType="begin" w:fldLock="1"/>
      </w:r>
      <w:r w:rsidR="00446388">
        <w:instrText>ADDIN CSL_CITATION {"citationItems":[{"id":"ITEM-1","itemData":{"DOI":"10.1016/J.ENECO.2018.06.028","ISSN":"0140-9883","abstract":"Long-term energy systems models have been used extensively in energy planning and climate policy analysis. However, specifically in energy systems optimization models, heterogeneity of consumer preferences for competing energy technologies (e.g., vehicles), has not been adequately represented, leading to behaviorally unrealistic modeling results. This can lead to policy analysis results that are viewed by stakeholders as clearly deficient. This paper shows how heterogeneous consumer behavioral effects can be introduced into these models in the form of perceived disutility costs, to more realistically capture consumer choice in making technology purchase decisions. We developed a novel methodology that incorporates the theory of a classic consumer choice model into a commonly used long-term energy systems modeling framework using a case study of light-duty vehicles. A diverse set of consumer segments (thirty-six) is created to represent observable, identifiable differences in factors such as annual driving distances and attitude towards risks of new technology. Non-monetary or “disutility” costs associated with these factors are introduced to capture the differences in preferences across consumer segments for various technologies. We also create clones within each consumer segment to capture randomly distributed unobservable differences in preferences. We provide and review results for a specific example that includes external factors such as recharging/refueling station availability, battery size of electric vehicles, recharging time and perceived technology risks. Although the example is for light-duty vehicles in the US using a specific modeling system, this approach can be implemented more broadly to model the adoption of consumer technologies in other sectors or regions in similar energy systems modeling frameworks.","author":[{"dropping-particle":"","family":"Ramea","given":"Kalai","non-dropping-particle":"","parse-names":false,"suffix":""},{"dropping-particle":"","family":"Bunch","given":"David S.","non-dropping-particle":"","parse-names":false,"suffix":""},{"dropping-particle":"","family":"Yang","given":"Christopher","non-dropping-particle":"","parse-names":false,"suffix":""},{"dropping-particle":"","family":"Yeh","given":"Sonia","non-dropping-particle":"","parse-names":false,"suffix":""},{"dropping-particle":"","family":"Ogden","given":"Joan M.","non-dropping-particle":"","parse-names":false,"suffix":""}],"container-title":"Energy Economics","id":"ITEM-1","issued":{"date-parts":[["2018","8","1"]]},"note":"In general, these studies point to the fact that consumer investment decisions are often dominated by non-monetary costs","page":"663-676","publisher":"North-Holland","title":"Integration of behavioral effects from vehicle choice models into long-term energy systems optimization models","type":"article-journal","volume":"74"},"uris":["http://www.mendeley.com/documents/?uuid=2de22eca-d4a8-3b34-98ea-ee817d9481b5"]}],"mendeley":{"formattedCitation":"(Ramea et al. 2018)","manualFormatting":"Ramea et al. (2018)","plainTextFormattedCitation":"(Ramea et al. 2018)","previouslyFormattedCitation":"(Ramea et al. 2018)"},"properties":{"noteIndex":0},"schema":"https://github.com/citation-style-language/schema/raw/master/csl-citation.json"}</w:instrText>
      </w:r>
      <w:r w:rsidR="00446388">
        <w:fldChar w:fldCharType="separate"/>
      </w:r>
      <w:r w:rsidR="00446388">
        <w:rPr>
          <w:noProof/>
        </w:rPr>
        <w:t>Ramea et al. (2018)</w:t>
      </w:r>
      <w:r w:rsidR="00446388">
        <w:fldChar w:fldCharType="end"/>
      </w:r>
      <w:r w:rsidR="00446388">
        <w:t xml:space="preserve"> that of all BEV owners</w:t>
      </w:r>
      <w:r w:rsidR="00D82C80">
        <w:t xml:space="preserve"> in 2016</w:t>
      </w:r>
      <w:r w:rsidR="00446388">
        <w:t>, 52% have home chargers and 5% have work charge</w:t>
      </w:r>
      <w:r w:rsidR="00446388" w:rsidRPr="00D82C80">
        <w:t xml:space="preserve">rs. Home chargers cost an extra $2,500 for consumers and </w:t>
      </w:r>
      <w:r w:rsidR="00273797" w:rsidRPr="00D82C80">
        <w:t xml:space="preserve">the choice of installing a home charger </w:t>
      </w:r>
      <w:r w:rsidR="00E83A60" w:rsidRPr="00D82C80">
        <w:t xml:space="preserve">after 2016 </w:t>
      </w:r>
      <w:r w:rsidR="00273797" w:rsidRPr="00D82C80">
        <w:t xml:space="preserve">is </w:t>
      </w:r>
      <w:r w:rsidR="00446388" w:rsidRPr="00D82C80">
        <w:t>endogenously determine</w:t>
      </w:r>
      <w:r w:rsidR="00DE542D" w:rsidRPr="00D82C80">
        <w:t>d and affects</w:t>
      </w:r>
      <w:r w:rsidR="00446388" w:rsidRPr="00D82C80">
        <w:t xml:space="preserve"> the </w:t>
      </w:r>
      <w:proofErr w:type="spellStart"/>
      <w:r w:rsidR="000233BA" w:rsidRPr="00D82C80">
        <w:t>eVKT</w:t>
      </w:r>
      <w:proofErr w:type="spellEnd"/>
      <w:r w:rsidR="000233BA" w:rsidRPr="00D82C80">
        <w:t xml:space="preserve"> </w:t>
      </w:r>
      <w:r w:rsidR="00446388" w:rsidRPr="00D82C80">
        <w:t>of a BEV</w:t>
      </w:r>
      <w:r w:rsidR="000233BA" w:rsidRPr="00D82C80">
        <w:t xml:space="preserve"> and home charger share in the year 2016 and onwards</w:t>
      </w:r>
      <w:r w:rsidR="00446388" w:rsidRPr="00D82C80">
        <w:t>.</w:t>
      </w:r>
    </w:p>
    <w:p w14:paraId="4BF3E434" w14:textId="6BA2CB84" w:rsidR="00747389" w:rsidRDefault="00446388" w:rsidP="001C6A7D">
      <w:pPr>
        <w:spacing w:line="240" w:lineRule="auto"/>
        <w:ind w:firstLine="0"/>
      </w:pPr>
      <w:r>
        <w:t>The third term o</w:t>
      </w:r>
      <w:r w:rsidR="001D648F">
        <w:t>n</w:t>
      </w:r>
      <w:r>
        <w:t xml:space="preserve"> the </w:t>
      </w:r>
      <w:r w:rsidR="000233BA">
        <w:t>right-</w:t>
      </w:r>
      <w:r>
        <w:t>hand side</w:t>
      </w:r>
      <w:r w:rsidR="001D648F">
        <w:t xml:space="preserve"> of equation 9</w:t>
      </w:r>
      <w:r>
        <w:t xml:space="preserve"> is the effective range obtained at public charging</w:t>
      </w:r>
      <w:r w:rsidR="00747389">
        <w:t xml:space="preserve"> available</w:t>
      </w:r>
      <w:r>
        <w:t xml:space="preserve">, </w:t>
      </w:r>
      <w:r w:rsidR="00747389">
        <w:t xml:space="preserve">whose </w:t>
      </w:r>
      <w:r>
        <w:t xml:space="preserve">availability depends on the region </w:t>
      </w:r>
      <w:r w:rsidRPr="00D82C80">
        <w:rPr>
          <w:i/>
          <w:iCs/>
        </w:rPr>
        <w:t>r</w:t>
      </w:r>
      <w:r>
        <w:t>. Two types of public chargers are considered</w:t>
      </w:r>
      <w:r w:rsidR="000233BA">
        <w:t xml:space="preserve"> </w:t>
      </w:r>
      <w:r>
        <w:t>(</w:t>
      </w:r>
      <w:r w:rsidR="00926887">
        <w:t xml:space="preserve">denoted as </w:t>
      </w:r>
      <w:r>
        <w:t>k): regular charger L2 with 6.6 kW</w:t>
      </w:r>
      <w:r w:rsidR="00D0671D">
        <w:t xml:space="preserve"> of charging capacity,</w:t>
      </w:r>
      <w:r>
        <w:t xml:space="preserve"> and DC fast charger with 50 kW fast charging</w:t>
      </w:r>
      <w:r>
        <w:rPr>
          <w:rStyle w:val="FootnoteReference"/>
        </w:rPr>
        <w:footnoteReference w:id="5"/>
      </w:r>
      <w:r>
        <w:t>.</w:t>
      </w:r>
      <w:r w:rsidRPr="00446388">
        <w:t xml:space="preserve"> </w:t>
      </w:r>
      <w:proofErr w:type="spellStart"/>
      <w:proofErr w:type="gramStart"/>
      <w:r w:rsidR="00747389">
        <w:t>Q</w:t>
      </w:r>
      <w:r>
        <w:rPr>
          <w:vertAlign w:val="subscript"/>
        </w:rPr>
        <w:t>P,t</w:t>
      </w:r>
      <w:proofErr w:type="gramEnd"/>
      <w:r>
        <w:rPr>
          <w:vertAlign w:val="subscript"/>
        </w:rPr>
        <w:t>,r</w:t>
      </w:r>
      <w:proofErr w:type="spellEnd"/>
      <w:r>
        <w:rPr>
          <w:vertAlign w:val="subscript"/>
        </w:rPr>
        <w:t xml:space="preserve"> </w:t>
      </w:r>
      <w:r>
        <w:t xml:space="preserve">is the public charger availability in percentage relative to gasoline stations, measured by the ratio of the numbers of public charging to the gasoline stations in each region </w:t>
      </w:r>
      <w:proofErr w:type="spellStart"/>
      <w:r w:rsidRPr="00285ED8">
        <w:rPr>
          <w:i/>
          <w:iCs/>
        </w:rPr>
        <w:t>r</w:t>
      </w:r>
      <w:r>
        <w:t xml:space="preserve"> at</w:t>
      </w:r>
      <w:proofErr w:type="spellEnd"/>
      <w:r>
        <w:t xml:space="preserve"> time </w:t>
      </w:r>
      <w:r w:rsidRPr="00285ED8">
        <w:rPr>
          <w:i/>
          <w:iCs/>
        </w:rPr>
        <w:t>t</w:t>
      </w:r>
      <w:r>
        <w:t xml:space="preserve"> based on Alternative Fuel Data Center</w:t>
      </w:r>
      <w:r>
        <w:rPr>
          <w:rStyle w:val="FootnoteReference"/>
        </w:rPr>
        <w:footnoteReference w:id="6"/>
      </w:r>
      <w:r>
        <w:t xml:space="preserve"> and North American Industry Classification System</w:t>
      </w:r>
      <w:r>
        <w:rPr>
          <w:rStyle w:val="FootnoteReference"/>
        </w:rPr>
        <w:footnoteReference w:id="7"/>
      </w:r>
      <w:r w:rsidR="00D0671D">
        <w:t>(Figure A5)</w:t>
      </w:r>
      <w:r>
        <w:t>.</w:t>
      </w:r>
      <w:r w:rsidRPr="00446388">
        <w:t xml:space="preserve"> </w:t>
      </w:r>
      <w:r w:rsidR="00D0671D">
        <w:t>We assume</w:t>
      </w:r>
      <w:r w:rsidR="000233BA">
        <w:t xml:space="preserve"> that</w:t>
      </w:r>
      <w:r w:rsidR="00D0671D">
        <w:t xml:space="preserve"> if the density is the same as gasoline stations, the charging option is always approachable and ready to </w:t>
      </w:r>
      <w:r w:rsidR="009F08FE">
        <w:t>obtain</w:t>
      </w:r>
      <w:r w:rsidR="00D0671D">
        <w:t xml:space="preserve"> </w:t>
      </w:r>
      <w:r w:rsidR="00A95FD1">
        <w:t xml:space="preserve">VKT </w:t>
      </w:r>
      <w:r w:rsidR="00D0671D">
        <w:t>from the public charging. The</w:t>
      </w:r>
      <w:r>
        <w:t xml:space="preserve"> public stations and portals are assumed to increase at 2% annually without policy support</w:t>
      </w:r>
      <w:r w:rsidR="000233BA">
        <w:t>,</w:t>
      </w:r>
      <w:r>
        <w:t xml:space="preserve"> according to the AEO outlook </w:t>
      </w:r>
      <w:r>
        <w:fldChar w:fldCharType="begin" w:fldLock="1"/>
      </w:r>
      <w:r>
        <w:instrText>ADDIN CSL_CITATION {"citationItems":[{"id":"ITEM-1","itemData":{"author":[{"dropping-particle":"","family":"EIA","given":"","non-dropping-particle":"","parse-names":false,"suffix":""}],"id":"ITEM-1","issued":{"date-parts":[["2019"]]},"title":"Annual Energy Outlook 2019 with projections to 2050","type":"report"},"uris":["http://www.mendeley.com/documents/?uuid=8b4a11f7-d6ca-362a-9e56-9a361ad4a409"]}],"mendeley":{"formattedCitation":"(EIA 2019)","plainTextFormattedCitation":"(EIA 2019)","previouslyFormattedCitation":"(EIA 2019)"},"properties":{"noteIndex":0},"schema":"https://github.com/citation-style-language/schema/raw/master/csl-citation.json"}</w:instrText>
      </w:r>
      <w:r>
        <w:fldChar w:fldCharType="separate"/>
      </w:r>
      <w:r>
        <w:rPr>
          <w:noProof/>
        </w:rPr>
        <w:t>(EIA 2019)</w:t>
      </w:r>
      <w:r>
        <w:fldChar w:fldCharType="end"/>
      </w:r>
      <w:r>
        <w:t>.</w:t>
      </w:r>
      <w:r w:rsidR="00747389">
        <w:t xml:space="preserve"> The time spent at the charging station is </w:t>
      </w:r>
      <w:r w:rsidR="000233BA">
        <w:t xml:space="preserve">the </w:t>
      </w:r>
      <w:r w:rsidR="00747389">
        <w:t>a</w:t>
      </w:r>
      <w:r w:rsidR="00600CA8">
        <w:t>vailability-</w:t>
      </w:r>
      <w:r w:rsidR="00747389">
        <w:t xml:space="preserve">weighted </w:t>
      </w:r>
      <w:r w:rsidR="000233BA">
        <w:t xml:space="preserve">(Q) </w:t>
      </w:r>
      <w:r w:rsidR="00747389">
        <w:t xml:space="preserve">average of time required </w:t>
      </w:r>
      <w:r w:rsidR="000233BA">
        <w:t>for</w:t>
      </w:r>
      <w:r w:rsidR="00600CA8">
        <w:t xml:space="preserve"> regular Level 2 charger portal and DC fast-charging</w:t>
      </w:r>
      <w:r w:rsidR="00D0671D">
        <w:t xml:space="preserve"> given in equation 10</w:t>
      </w:r>
      <w:r w:rsidR="00600CA8">
        <w:t>.</w:t>
      </w:r>
      <w:r w:rsidR="00747389">
        <w:t xml:space="preserve"> </w:t>
      </w:r>
      <w:r w:rsidR="00D0671D">
        <w:t>It</w:t>
      </w:r>
      <w:r w:rsidR="00747389">
        <w:t xml:space="preserve"> is assumed to </w:t>
      </w:r>
      <w:r w:rsidR="00747389" w:rsidRPr="00600CA8">
        <w:t>b</w:t>
      </w:r>
      <w:r w:rsidR="00747389" w:rsidRPr="00285ED8">
        <w:t>e limited to a 2-hour duration for simplicit</w:t>
      </w:r>
      <w:r w:rsidR="00747389" w:rsidRPr="00600CA8">
        <w:t>y</w:t>
      </w:r>
      <w:r w:rsidR="00D0671D">
        <w:t xml:space="preserve"> generally for </w:t>
      </w:r>
      <w:proofErr w:type="gramStart"/>
      <w:r w:rsidR="00D0671D">
        <w:t>both two</w:t>
      </w:r>
      <w:proofErr w:type="gramEnd"/>
      <w:r w:rsidR="00D0671D">
        <w:t xml:space="preserve"> types of public charging</w:t>
      </w:r>
      <w:r w:rsidR="00747389">
        <w:t xml:space="preserve">. Fast DC charging </w:t>
      </w:r>
      <w:proofErr w:type="gramStart"/>
      <w:r w:rsidR="00747389">
        <w:t>needs</w:t>
      </w:r>
      <w:proofErr w:type="gramEnd"/>
      <w:r w:rsidR="00747389">
        <w:t xml:space="preserve"> less time to fully charge an electric vehicle with a power capacity of 50 kW. Assuming the vehicle owner will most likely need charging when the battery state-of-charge (SOC) is 20% </w:t>
      </w:r>
      <w:r w:rsidR="00600CA8">
        <w:t>of full charge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rsidR="00600CA8">
        <w:t>/</w:t>
      </w:r>
      <m:oMath>
        <m:sSub>
          <m:sSubPr>
            <m:ctrlPr>
              <w:rPr>
                <w:rFonts w:ascii="Cambria Math" w:hAnsi="Cambria Math"/>
                <w:i/>
              </w:rPr>
            </m:ctrlPr>
          </m:sSubPr>
          <m:e>
            <m:r>
              <w:rPr>
                <w:rFonts w:ascii="Cambria Math" w:hAnsi="Cambria Math"/>
              </w:rPr>
              <m:t>γ</m:t>
            </m:r>
          </m:e>
          <m:sub>
            <m:r>
              <w:rPr>
                <w:rFonts w:ascii="Cambria Math" w:hAnsi="Cambria Math"/>
              </w:rPr>
              <m:t>BEV</m:t>
            </m:r>
          </m:sub>
        </m:sSub>
      </m:oMath>
      <w:r w:rsidR="00600CA8">
        <w:t xml:space="preserve"> in kWh) </w:t>
      </w:r>
      <w:r w:rsidR="00747389">
        <w:t xml:space="preserve">and will stop charging at 80% of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rsidR="00747389">
        <w:t xml:space="preserve">, the time required in hours to get 60% of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rsidR="00600CA8">
        <w:t xml:space="preserve"> </w:t>
      </w:r>
      <w:r w:rsidR="00747389">
        <w:t xml:space="preserve">from fast charging is </w:t>
      </w:r>
      <w:r w:rsidR="00600CA8">
        <w:t xml:space="preserve">then divided by 50kW capacity of fast charger and </w:t>
      </w:r>
      <w:r w:rsidR="000233BA">
        <w:t xml:space="preserve">becomes </w:t>
      </w:r>
      <m:oMath>
        <m:r>
          <m:rPr>
            <m:sty m:val="p"/>
          </m:rPr>
          <w:rPr>
            <w:rFonts w:ascii="Cambria Math" w:hAnsi="Cambria Math"/>
          </w:rPr>
          <m:t>min⁡</m:t>
        </m:r>
        <m:r>
          <w:rPr>
            <w:rFonts w:ascii="Cambria Math" w:hAnsi="Cambria Math"/>
          </w:rPr>
          <m:t>(2,</m:t>
        </m:r>
        <m:f>
          <m:fPr>
            <m:ctrlPr>
              <w:rPr>
                <w:rFonts w:ascii="Cambria Math" w:hAnsi="Cambria Math"/>
                <w:i/>
                <w:iCs/>
              </w:rPr>
            </m:ctrlPr>
          </m:fPr>
          <m:num>
            <m:r>
              <w:rPr>
                <w:rFonts w:ascii="Cambria Math" w:hAnsi="Cambria Math"/>
              </w:rPr>
              <m:t>60%</m:t>
            </m:r>
            <m:sSup>
              <m:sSupPr>
                <m:ctrlPr>
                  <w:rPr>
                    <w:rFonts w:ascii="Cambria Math" w:hAnsi="Cambria Math"/>
                    <w:i/>
                    <w:iCs/>
                  </w:rPr>
                </m:ctrlPr>
              </m:sSupPr>
              <m:e>
                <m:r>
                  <w:rPr>
                    <w:rFonts w:ascii="Cambria Math" w:hAnsi="Cambria Math"/>
                  </w:rPr>
                  <m:t>×R</m:t>
                </m:r>
              </m:e>
              <m:sup>
                <m:r>
                  <w:rPr>
                    <w:rFonts w:ascii="Cambria Math" w:hAnsi="Cambria Math"/>
                  </w:rPr>
                  <m:t>max</m:t>
                </m:r>
              </m:sup>
            </m:sSup>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BEV</m:t>
                </m:r>
              </m:sub>
            </m:sSub>
          </m:num>
          <m:den>
            <m:r>
              <w:rPr>
                <w:rFonts w:ascii="Cambria Math" w:hAnsi="Cambria Math"/>
              </w:rPr>
              <m:t>50</m:t>
            </m:r>
          </m:den>
        </m:f>
        <m:r>
          <w:rPr>
            <w:rFonts w:ascii="Cambria Math" w:hAnsi="Cambria Math"/>
          </w:rPr>
          <m:t>)</m:t>
        </m:r>
      </m:oMath>
      <w:r w:rsidR="00600CA8">
        <w:t xml:space="preserve">, where the maximum charging hours are assumed </w:t>
      </w:r>
      <w:r w:rsidR="009F08FE">
        <w:t>cannot</w:t>
      </w:r>
      <w:r w:rsidR="00600CA8">
        <w:t xml:space="preserve"> surpass 2 hours that reaches to the limit of patience waiting in the public.</w:t>
      </w:r>
    </w:p>
    <w:p w14:paraId="43272CFA" w14:textId="05436B78" w:rsidR="00086AEC" w:rsidRDefault="0061555E" w:rsidP="001C6A7D">
      <w:pPr>
        <w:spacing w:line="240" w:lineRule="auto"/>
        <w:ind w:firstLine="720"/>
      </w:pPr>
      <w:r>
        <w:t>We want to highlight the</w:t>
      </w:r>
      <w:r w:rsidR="000B077D" w:rsidRPr="006F6C8A">
        <w:t xml:space="preserve"> stochastic </w:t>
      </w:r>
      <w:r>
        <w:t>process in the quantification of range limitation to capture the behavioral characteristics</w:t>
      </w:r>
      <w:r w:rsidR="00FE657C">
        <w:t xml:space="preserve">, specifically pictured in Figure </w:t>
      </w:r>
      <w:r w:rsidR="0000736B">
        <w:t>A</w:t>
      </w:r>
      <w:r w:rsidR="00FE657C">
        <w:t>4</w:t>
      </w:r>
      <w:r>
        <w:t xml:space="preserve">. </w:t>
      </w:r>
      <w:r w:rsidR="00FC7AC7">
        <w:t xml:space="preserve">Unlike the deterministic range limitation cost used by </w:t>
      </w:r>
      <w:r w:rsidR="00FC7AC7">
        <w:fldChar w:fldCharType="begin" w:fldLock="1"/>
      </w:r>
      <w:r w:rsidR="00FC7AC7">
        <w:instrText>ADDIN CSL_CITATION {"citationItems":[{"id":"ITEM-1","itemData":{"author":[{"dropping-particle":"","family":"Kubendran","given":"Kalaivani Ramea","non-dropping-particle":"","parse-names":false,"suffix":""}],"id":"ITEM-1","issued":{"date-parts":[["2016"]]},"publisher":"University of California, Davis","title":"Integration of vehicle consumer choice in energy system models and its implications for climate policy analysis","type":"thesis"},"uris":["http://www.mendeley.com/documents/?uuid=bbdde607-0020-4c22-b4c5-59d9a36148b3"]}],"mendeley":{"formattedCitation":"(Kubendran 2016)","manualFormatting":"Kubendran (2016)","plainTextFormattedCitation":"(Kubendran 2016)","previouslyFormattedCitation":"(Kubendran 2016)"},"properties":{"noteIndex":0},"schema":"https://github.com/citation-style-language/schema/raw/master/csl-citation.json"}</w:instrText>
      </w:r>
      <w:r w:rsidR="00FC7AC7">
        <w:fldChar w:fldCharType="separate"/>
      </w:r>
      <w:r w:rsidR="00FC7AC7">
        <w:rPr>
          <w:noProof/>
        </w:rPr>
        <w:t>Kubendran (2016)</w:t>
      </w:r>
      <w:r w:rsidR="00FC7AC7">
        <w:fldChar w:fldCharType="end"/>
      </w:r>
      <w:r w:rsidR="00FC7AC7">
        <w:t xml:space="preserve">, we randomly pick </w:t>
      </w:r>
      <w:r w:rsidR="00FB187D">
        <w:t xml:space="preserve">daily </w:t>
      </w:r>
      <w:r w:rsidR="00A95FD1">
        <w:rPr>
          <w:rFonts w:eastAsia="Times New Roman"/>
          <w:color w:val="000000"/>
        </w:rPr>
        <w:t>kilometers</w:t>
      </w:r>
      <w:r w:rsidR="00A95FD1" w:rsidRPr="00C53F8C">
        <w:rPr>
          <w:rFonts w:eastAsia="Times New Roman"/>
          <w:color w:val="000000"/>
        </w:rPr>
        <w:t xml:space="preserve"> </w:t>
      </w:r>
      <w:r w:rsidR="00C6372A">
        <w:t>(</w:t>
      </w:r>
      <m:oMath>
        <m:r>
          <w:rPr>
            <w:rFonts w:ascii="Cambria Math" w:hAnsi="Cambria Math"/>
          </w:rPr>
          <m:t>VK</m:t>
        </m:r>
        <m:sSub>
          <m:sSubPr>
            <m:ctrlPr>
              <w:rPr>
                <w:rFonts w:ascii="Cambria Math" w:hAnsi="Cambria Math"/>
              </w:rPr>
            </m:ctrlPr>
          </m:sSubPr>
          <m:e>
            <m:r>
              <w:rPr>
                <w:rFonts w:ascii="Cambria Math" w:hAnsi="Cambria Math"/>
              </w:rPr>
              <m:t>T</m:t>
            </m:r>
          </m:e>
          <m:sub>
            <m:r>
              <w:rPr>
                <w:rFonts w:ascii="Cambria Math" w:hAnsi="Cambria Math"/>
              </w:rPr>
              <m:t>day</m:t>
            </m:r>
            <m:r>
              <m:rPr>
                <m:sty m:val="p"/>
              </m:rPr>
              <w:rPr>
                <w:rFonts w:ascii="Cambria Math" w:hAnsi="Cambria Math"/>
              </w:rPr>
              <m:t>,</m:t>
            </m:r>
            <m:r>
              <w:rPr>
                <w:rFonts w:ascii="Cambria Math" w:hAnsi="Cambria Math"/>
              </w:rPr>
              <m:t>a</m:t>
            </m:r>
            <m:r>
              <m:rPr>
                <m:sty m:val="p"/>
              </m:rPr>
              <w:rPr>
                <w:rFonts w:ascii="Cambria Math" w:hAnsi="Cambria Math"/>
              </w:rPr>
              <m:t xml:space="preserve">, </m:t>
            </m:r>
            <m:r>
              <w:rPr>
                <w:rFonts w:ascii="Cambria Math" w:hAnsi="Cambria Math"/>
              </w:rPr>
              <m:t>chrg</m:t>
            </m:r>
            <m:r>
              <m:rPr>
                <m:sty m:val="p"/>
              </m:rPr>
              <w:rPr>
                <w:rFonts w:ascii="Cambria Math" w:hAnsi="Cambria Math"/>
              </w:rPr>
              <m:t xml:space="preserve">, </m:t>
            </m:r>
            <m:r>
              <w:rPr>
                <w:rFonts w:ascii="Cambria Math" w:hAnsi="Cambria Math"/>
              </w:rPr>
              <m:t>md</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i</m:t>
            </m:r>
          </m:sub>
        </m:sSub>
      </m:oMath>
      <w:r w:rsidR="00C6372A" w:rsidRPr="00F82EFC">
        <w:t xml:space="preserve"> in equation 8)</w:t>
      </w:r>
      <w:r w:rsidR="00FB187D" w:rsidRPr="00F82EFC">
        <w:t xml:space="preserve"> from the </w:t>
      </w:r>
      <w:r w:rsidRPr="00F82EFC">
        <w:t xml:space="preserve">Gamma </w:t>
      </w:r>
      <w:r w:rsidR="00FB187D" w:rsidRPr="00F82EFC">
        <w:t>distribution</w:t>
      </w:r>
      <w:r w:rsidRPr="00F82EFC">
        <w:t xml:space="preserve"> </w:t>
      </w:r>
      <w:r w:rsidR="00F42260">
        <w:t xml:space="preserve">of daily VKT </w:t>
      </w:r>
      <w:r w:rsidR="00A753CD">
        <w:t xml:space="preserve">for </w:t>
      </w:r>
      <w:r w:rsidRPr="00F82EFC">
        <w:t>each day</w:t>
      </w:r>
      <w:r w:rsidR="0000736B">
        <w:t xml:space="preserve"> for</w:t>
      </w:r>
      <w:r w:rsidR="00A753CD">
        <w:t xml:space="preserve"> </w:t>
      </w:r>
      <w:r w:rsidR="00F82EFC" w:rsidRPr="0099742A">
        <w:t>10 times</w:t>
      </w:r>
      <w:r w:rsidR="00A753CD">
        <w:t>,</w:t>
      </w:r>
      <w:r w:rsidR="00F82EFC" w:rsidRPr="0099742A">
        <w:t xml:space="preserve"> for each</w:t>
      </w:r>
      <w:r w:rsidR="00F82EFC" w:rsidRPr="00F82EFC">
        <w:t xml:space="preserve"> BEV owner </w:t>
      </w:r>
      <w:r w:rsidR="00F82EFC" w:rsidRPr="00F82EFC">
        <w:rPr>
          <w:i/>
          <w:iCs/>
        </w:rPr>
        <w:t>i</w:t>
      </w:r>
      <w:r w:rsidR="00F82EFC" w:rsidRPr="00F82EFC">
        <w:t xml:space="preserve"> </w:t>
      </w:r>
      <w:r w:rsidR="005754D0">
        <w:t>from daily VKT demand distribution by groups (</w:t>
      </w:r>
      <w:r w:rsidR="005754D0" w:rsidRPr="003D095B">
        <w:rPr>
          <w:i/>
          <w:iCs/>
        </w:rPr>
        <w:t>md</w:t>
      </w:r>
      <w:r w:rsidR="005754D0">
        <w:t xml:space="preserve"> with low, medium, high driving demand) </w:t>
      </w:r>
      <w:r w:rsidR="00F82EFC" w:rsidRPr="00F82EFC">
        <w:t>for</w:t>
      </w:r>
      <w:r w:rsidR="00D64DBA">
        <w:t xml:space="preserve"> </w:t>
      </w:r>
      <w:r w:rsidR="00FB187D">
        <w:t>vehicle age</w:t>
      </w:r>
      <w:r w:rsidR="00F82EFC">
        <w:t>d</w:t>
      </w:r>
      <w:r w:rsidR="00FB187D">
        <w:t xml:space="preserve"> </w:t>
      </w:r>
      <w:r w:rsidR="00C6372A" w:rsidRPr="0099742A">
        <w:rPr>
          <w:i/>
          <w:iCs/>
        </w:rPr>
        <w:t>a</w:t>
      </w:r>
      <w:r w:rsidR="00FC7AC7">
        <w:t xml:space="preserve"> </w:t>
      </w:r>
      <w:r w:rsidR="00FB187D">
        <w:t xml:space="preserve">given </w:t>
      </w:r>
      <w:r w:rsidR="00FC7AC7">
        <w:t xml:space="preserve">different charge availability </w:t>
      </w:r>
      <w:proofErr w:type="spellStart"/>
      <w:r w:rsidR="00C6372A" w:rsidRPr="0099742A">
        <w:rPr>
          <w:i/>
          <w:iCs/>
        </w:rPr>
        <w:t>chrg</w:t>
      </w:r>
      <w:proofErr w:type="spellEnd"/>
      <w:r w:rsidR="00C6372A">
        <w:rPr>
          <w:i/>
          <w:iCs/>
        </w:rPr>
        <w:t xml:space="preserve"> </w:t>
      </w:r>
      <w:r w:rsidR="00C6372A">
        <w:t>(</w:t>
      </w:r>
      <w:r w:rsidR="000B077D">
        <w:t xml:space="preserve">with </w:t>
      </w:r>
      <w:r w:rsidR="00FC7AC7">
        <w:t xml:space="preserve">4 </w:t>
      </w:r>
      <w:r w:rsidR="000B077D">
        <w:t>combination of home and work chargers</w:t>
      </w:r>
      <w:r w:rsidR="00FC7AC7">
        <w:t>) in 20 electric market r</w:t>
      </w:r>
      <w:r w:rsidR="00F45962">
        <w:t>egi</w:t>
      </w:r>
      <w:r w:rsidR="00FC7AC7">
        <w:t>ons</w:t>
      </w:r>
      <w:r w:rsidR="000B077D">
        <w:t xml:space="preserve"> </w:t>
      </w:r>
      <w:r w:rsidR="004A281E" w:rsidRPr="00D82C80">
        <w:rPr>
          <w:i/>
          <w:iCs/>
        </w:rPr>
        <w:t>r</w:t>
      </w:r>
      <w:r w:rsidR="004A281E">
        <w:t xml:space="preserve"> </w:t>
      </w:r>
      <w:r w:rsidR="00FC7AC7" w:rsidRPr="00C6372A">
        <w:t xml:space="preserve">for 365 </w:t>
      </w:r>
      <w:r w:rsidR="00FC7AC7" w:rsidRPr="00C6372A">
        <w:lastRenderedPageBreak/>
        <w:t>days every year</w:t>
      </w:r>
      <w:r w:rsidR="00F82EFC">
        <w:t xml:space="preserve"> (</w:t>
      </w:r>
      <w:r w:rsidR="00F82EFC" w:rsidRPr="0099742A">
        <w:rPr>
          <w:i/>
          <w:iCs/>
        </w:rPr>
        <w:t>day</w:t>
      </w:r>
      <w:r w:rsidR="00F82EFC">
        <w:t>)</w:t>
      </w:r>
      <w:r w:rsidR="00FC7AC7" w:rsidRPr="00C6372A">
        <w:t>.</w:t>
      </w:r>
      <w:r w:rsidR="00F45962">
        <w:t xml:space="preserve"> </w:t>
      </w:r>
      <w:r w:rsidR="00BB40DA">
        <w:t xml:space="preserve">By randomly drawing the VKT from the distribution, we </w:t>
      </w:r>
      <w:r w:rsidR="0064537A">
        <w:t xml:space="preserve">believe we generate </w:t>
      </w:r>
      <w:proofErr w:type="gramStart"/>
      <w:r w:rsidR="0064537A">
        <w:t>a</w:t>
      </w:r>
      <w:r w:rsidR="00BB40DA">
        <w:t xml:space="preserve"> </w:t>
      </w:r>
      <w:r w:rsidR="004A281E">
        <w:t>representative</w:t>
      </w:r>
      <w:proofErr w:type="gramEnd"/>
      <w:r w:rsidR="004A281E">
        <w:t xml:space="preserve"> </w:t>
      </w:r>
      <w:r w:rsidR="00BB40DA">
        <w:t>daily driving behavior</w:t>
      </w:r>
      <w:r w:rsidR="00D410BA">
        <w:t xml:space="preserve"> for vehicle consumers in each region</w:t>
      </w:r>
      <w:r w:rsidR="00BB40DA">
        <w:t xml:space="preserve">. </w:t>
      </w:r>
    </w:p>
    <w:p w14:paraId="50F556A0" w14:textId="70A6CEBA" w:rsidR="00086AEC" w:rsidRPr="00163944" w:rsidRDefault="003B7447" w:rsidP="00D82C80">
      <w:pPr>
        <w:pStyle w:val="Heading4"/>
        <w:numPr>
          <w:ilvl w:val="0"/>
          <w:numId w:val="0"/>
        </w:numPr>
        <w:ind w:left="864" w:hanging="864"/>
        <w:rPr>
          <w:b/>
          <w:bCs/>
        </w:rPr>
      </w:pPr>
      <w:r w:rsidRPr="00163944">
        <w:rPr>
          <w:b/>
          <w:bCs/>
        </w:rPr>
        <w:t>A.1.</w:t>
      </w:r>
      <w:r w:rsidR="004075A7" w:rsidRPr="00163944">
        <w:rPr>
          <w:b/>
          <w:bCs/>
        </w:rPr>
        <w:t>4</w:t>
      </w:r>
      <w:r w:rsidRPr="00163944">
        <w:rPr>
          <w:b/>
          <w:bCs/>
        </w:rPr>
        <w:t xml:space="preserve">.2 </w:t>
      </w:r>
      <w:r w:rsidR="00FC7AC7" w:rsidRPr="00163944">
        <w:rPr>
          <w:b/>
          <w:bCs/>
        </w:rPr>
        <w:t xml:space="preserve">Waiting </w:t>
      </w:r>
      <w:r w:rsidR="00631551" w:rsidRPr="00163944">
        <w:rPr>
          <w:b/>
          <w:bCs/>
        </w:rPr>
        <w:t>Cost</w:t>
      </w:r>
    </w:p>
    <w:p w14:paraId="6F090FDD" w14:textId="12CC85D1" w:rsidR="00086AEC" w:rsidRDefault="00FC7AC7">
      <w:pPr>
        <w:spacing w:line="240" w:lineRule="auto"/>
      </w:pPr>
      <w:r>
        <w:t>We define the waiting cost as the time spent at charging stations waiting for a BEV to charge</w:t>
      </w:r>
      <w:r w:rsidR="00EA1B43">
        <w:t xml:space="preserve">, which is </w:t>
      </w:r>
      <w:r w:rsidR="009B43C5">
        <w:t>at the cost of</w:t>
      </w:r>
      <w:r w:rsidR="00EA1B43">
        <w:t xml:space="preserve"> the consumer surplus in the objective function (1) </w:t>
      </w:r>
      <w:r w:rsidR="0000736B">
        <w:t xml:space="preserve">in </w:t>
      </w:r>
      <w:r w:rsidR="00EA1B43">
        <w:t>line 6</w:t>
      </w:r>
      <w:r>
        <w:t xml:space="preserve">. The value of the waiting cost is obtained by </w:t>
      </w:r>
      <w:r w:rsidR="00B873AD">
        <w:t>multiplying</w:t>
      </w:r>
      <w:r>
        <w:t xml:space="preserve"> the total number of visits, the probability of needing public charging</w:t>
      </w:r>
      <w:r w:rsidR="00747389">
        <w:t xml:space="preserve"> (</w:t>
      </w:r>
      <m:oMath>
        <m:sSub>
          <m:sSubPr>
            <m:ctrlPr>
              <w:rPr>
                <w:rFonts w:ascii="Cambria Math" w:hAnsi="Cambria Math"/>
              </w:rPr>
            </m:ctrlPr>
          </m:sSubPr>
          <m:e>
            <m:r>
              <w:rPr>
                <w:rFonts w:ascii="Cambria Math" w:hAnsi="Cambria Math"/>
              </w:rPr>
              <m:t>P</m:t>
            </m:r>
          </m:e>
          <m:sub>
            <m:r>
              <w:rPr>
                <w:rFonts w:ascii="Cambria Math" w:hAnsi="Cambria Math"/>
              </w:rPr>
              <m:t>fix,chrg,t</m:t>
            </m:r>
          </m:sub>
        </m:sSub>
      </m:oMath>
      <w:r w:rsidR="00747389">
        <w:t>)</w:t>
      </w:r>
      <w:r>
        <w:t>, the average time spent at the charging station</w:t>
      </w:r>
      <w:r w:rsidR="00747389">
        <w:t xml:space="preserve"> (</w:t>
      </w:r>
      <m:oMath>
        <m:sSub>
          <m:sSubPr>
            <m:ctrlPr>
              <w:rPr>
                <w:rFonts w:ascii="Cambria Math" w:hAnsi="Cambria Math"/>
                <w:i/>
              </w:rPr>
            </m:ctrlPr>
          </m:sSubPr>
          <m:e>
            <m:r>
              <w:rPr>
                <w:rFonts w:ascii="Cambria Math" w:hAnsi="Cambria Math"/>
              </w:rPr>
              <m:t>tc</m:t>
            </m:r>
          </m:e>
          <m:sub>
            <m:r>
              <w:rPr>
                <w:rFonts w:ascii="Cambria Math" w:hAnsi="Cambria Math"/>
              </w:rPr>
              <m:t>r,t</m:t>
            </m:r>
          </m:sub>
        </m:sSub>
      </m:oMath>
      <w:r w:rsidR="00747389">
        <w:t>)</w:t>
      </w:r>
      <w:r w:rsidR="00FE657C">
        <w:t xml:space="preserve"> identical to the term defined in equation 10</w:t>
      </w:r>
      <w:r>
        <w:t>, and the value of time</w:t>
      </w:r>
      <w:r w:rsidR="0000736B">
        <w:t xml:space="preserve"> (</w:t>
      </w:r>
      <m:oMath>
        <m:sSubSup>
          <m:sSubSupPr>
            <m:ctrlPr>
              <w:rPr>
                <w:rFonts w:ascii="Cambria Math" w:hAnsi="Cambria Math"/>
                <w:i/>
              </w:rPr>
            </m:ctrlPr>
          </m:sSubSupPr>
          <m:e>
            <m:r>
              <w:rPr>
                <w:rFonts w:ascii="Cambria Math" w:hAnsi="Cambria Math"/>
              </w:rPr>
              <m:t>V</m:t>
            </m:r>
          </m:e>
          <m:sub>
            <m:r>
              <w:rPr>
                <w:rFonts w:ascii="Cambria Math" w:hAnsi="Cambria Math"/>
              </w:rPr>
              <m:t>i</m:t>
            </m:r>
          </m:sub>
          <m:sup>
            <m:r>
              <w:rPr>
                <w:rFonts w:ascii="Cambria Math" w:hAnsi="Cambria Math"/>
              </w:rPr>
              <m:t>t</m:t>
            </m:r>
          </m:sup>
        </m:sSubSup>
      </m:oMath>
      <w:r w:rsidR="0000736B">
        <w:t>) defined</w:t>
      </w:r>
      <w:r>
        <w:t xml:space="preserve"> in equation </w:t>
      </w:r>
      <w:r w:rsidR="00747389">
        <w:t>1</w:t>
      </w:r>
      <w:r w:rsidR="009038EC">
        <w:t>1</w:t>
      </w:r>
      <w:r>
        <w:t xml:space="preserve">. We quantify the number of visits to the public charging needed </w:t>
      </w:r>
      <w:r w:rsidR="006C702F">
        <w:t>by taking</w:t>
      </w:r>
      <w:r>
        <w:t xml:space="preserve"> the total annual </w:t>
      </w:r>
      <w:r w:rsidR="00A95FD1">
        <w:t xml:space="preserve">driving </w:t>
      </w:r>
      <w:r>
        <w:t>demand (</w:t>
      </w:r>
      <w:r w:rsidR="006C702F">
        <w:t>VKT</w:t>
      </w:r>
      <w:r>
        <w:t xml:space="preserve">) </w:t>
      </w:r>
      <w:r w:rsidR="006C702F">
        <w:t xml:space="preserve">divided </w:t>
      </w:r>
      <w:r w:rsidR="009B43C5">
        <w:t xml:space="preserve">by </w:t>
      </w:r>
      <w:r>
        <w:t xml:space="preserve">the range </w:t>
      </w:r>
      <w:r w:rsidR="0000736B">
        <w:t xml:space="preserve">capacity </w:t>
      </w:r>
      <w:r>
        <w:t>of the vehicle (</w:t>
      </w:r>
      <m:oMath>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oMath>
      <w:r>
        <w:t>)</w:t>
      </w:r>
      <w:r w:rsidR="00747389">
        <w:t>.</w:t>
      </w:r>
      <w:r>
        <w:t xml:space="preserve"> We </w:t>
      </w:r>
      <w:r w:rsidR="006D325F">
        <w:rPr>
          <w:rFonts w:hint="eastAsia"/>
        </w:rPr>
        <w:t>calc</w:t>
      </w:r>
      <w:r w:rsidR="006D325F">
        <w:t xml:space="preserve">ulate </w:t>
      </w:r>
      <w:r>
        <w:t xml:space="preserve">the probability of </w:t>
      </w:r>
      <w:r w:rsidR="0000736B">
        <w:t>needing the</w:t>
      </w:r>
      <w:r>
        <w:t xml:space="preserve"> public charging</w:t>
      </w:r>
      <w:r w:rsidR="006A1BE5">
        <w:t xml:space="preserve"> </w:t>
      </w:r>
      <w:r w:rsidR="00270BD6">
        <w:t>(</w:t>
      </w:r>
      <m:oMath>
        <m:sSub>
          <m:sSubPr>
            <m:ctrlPr>
              <w:rPr>
                <w:rFonts w:ascii="Cambria Math" w:hAnsi="Cambria Math"/>
              </w:rPr>
            </m:ctrlPr>
          </m:sSubPr>
          <m:e>
            <m:r>
              <w:rPr>
                <w:rFonts w:ascii="Cambria Math" w:hAnsi="Cambria Math"/>
              </w:rPr>
              <m:t>P</m:t>
            </m:r>
          </m:e>
          <m:sub>
            <m:r>
              <w:rPr>
                <w:rFonts w:ascii="Cambria Math" w:hAnsi="Cambria Math"/>
              </w:rPr>
              <m:t>fix,chrg,t</m:t>
            </m:r>
          </m:sub>
        </m:sSub>
      </m:oMath>
      <w:r w:rsidR="00270BD6">
        <w:t xml:space="preserve">) </w:t>
      </w:r>
      <w:r w:rsidR="006A1BE5">
        <w:t xml:space="preserve">by </w:t>
      </w:r>
      <w:r w:rsidR="00747389">
        <w:t xml:space="preserve">using </w:t>
      </w:r>
      <w:r w:rsidR="00221209">
        <w:t xml:space="preserve">the </w:t>
      </w:r>
      <w:r w:rsidR="00747389">
        <w:t>daily VKT</w:t>
      </w:r>
      <w:r w:rsidR="00600CA8">
        <w:t xml:space="preserve"> driving demand distribution</w:t>
      </w:r>
      <w:r w:rsidR="00A87C55">
        <w:t xml:space="preserve"> </w:t>
      </w:r>
      <w:r w:rsidR="00221209">
        <w:t xml:space="preserve">when driving demand </w:t>
      </w:r>
      <m:oMath>
        <m:sSub>
          <m:sSubPr>
            <m:ctrlPr>
              <w:rPr>
                <w:rFonts w:ascii="Cambria Math" w:hAnsi="Cambria Math"/>
              </w:rPr>
            </m:ctrlPr>
          </m:sSubPr>
          <m:e>
            <m:r>
              <w:rPr>
                <w:rFonts w:ascii="Cambria Math" w:hAnsi="Cambria Math"/>
              </w:rPr>
              <m:t>X</m:t>
            </m:r>
          </m:e>
          <m:sub>
            <m:r>
              <w:rPr>
                <w:rFonts w:ascii="Cambria Math" w:hAnsi="Cambria Math"/>
              </w:rPr>
              <m:t>day</m:t>
            </m:r>
            <m:r>
              <m:rPr>
                <m:sty m:val="p"/>
              </m:rPr>
              <w:rPr>
                <w:rFonts w:ascii="Cambria Math" w:hAnsi="Cambria Math"/>
              </w:rPr>
              <m:t xml:space="preserve">, </m:t>
            </m:r>
            <m:r>
              <w:rPr>
                <w:rFonts w:ascii="Cambria Math" w:hAnsi="Cambria Math"/>
              </w:rPr>
              <m:t>md</m:t>
            </m:r>
            <m:r>
              <m:rPr>
                <m:sty m:val="p"/>
              </m:rPr>
              <w:rPr>
                <w:rFonts w:ascii="Cambria Math" w:hAnsi="Cambria Math"/>
              </w:rPr>
              <m:t>,</m:t>
            </m:r>
            <m:r>
              <w:rPr>
                <w:rFonts w:ascii="Cambria Math" w:hAnsi="Cambria Math"/>
              </w:rPr>
              <m:t>i,t</m:t>
            </m:r>
          </m:sub>
        </m:sSub>
      </m:oMath>
      <w:r w:rsidR="00A87C55">
        <w:t xml:space="preserve"> exceeds the effective </w:t>
      </w:r>
      <w:r w:rsidR="00A95FD1">
        <w:t xml:space="preserve">VKT </w:t>
      </w:r>
      <w:r w:rsidR="009B43C5">
        <w:t xml:space="preserve">only </w:t>
      </w:r>
      <w:r w:rsidR="00A87C55">
        <w:t xml:space="preserve">obtained at home or work </w:t>
      </w:r>
      <m:oMath>
        <m:sSubSup>
          <m:sSubSupPr>
            <m:ctrlPr>
              <w:rPr>
                <w:rFonts w:ascii="Cambria Math" w:hAnsi="Cambria Math"/>
              </w:rPr>
            </m:ctrlPr>
          </m:sSubSupPr>
          <m:e>
            <m:r>
              <m:rPr>
                <m:sty m:val="p"/>
              </m:rPr>
              <w:rPr>
                <w:rFonts w:ascii="Cambria Math" w:hAnsi="Cambria Math"/>
              </w:rPr>
              <m:t>eVMT</m:t>
            </m:r>
          </m:e>
          <m:sub>
            <m:r>
              <m:rPr>
                <m:sty m:val="p"/>
              </m:rPr>
              <w:rPr>
                <w:rFonts w:ascii="Cambria Math" w:hAnsi="Cambria Math"/>
              </w:rPr>
              <m:t>chrg,t</m:t>
            </m:r>
          </m:sub>
          <m:sup>
            <m:r>
              <m:rPr>
                <m:sty m:val="p"/>
              </m:rPr>
              <w:rPr>
                <w:rFonts w:ascii="Cambria Math" w:hAnsi="Cambria Math"/>
              </w:rPr>
              <m:t>fix</m:t>
            </m:r>
          </m:sup>
        </m:sSubSup>
      </m:oMath>
      <w:r w:rsidR="00270BD6">
        <w:t xml:space="preserve"> in equation 1</w:t>
      </w:r>
      <w:r w:rsidR="009038EC">
        <w:t>2</w:t>
      </w:r>
      <w:r w:rsidR="00A87C55">
        <w:t xml:space="preserve">. The effective </w:t>
      </w:r>
      <w:r w:rsidR="00A95FD1">
        <w:t xml:space="preserve">VKT </w:t>
      </w:r>
      <w:r w:rsidR="0000736B">
        <w:t xml:space="preserve">in equation 13 </w:t>
      </w:r>
      <w:r w:rsidR="00221209">
        <w:t xml:space="preserve">is different from </w:t>
      </w:r>
      <w:r w:rsidR="0000736B">
        <w:t xml:space="preserve">equation </w:t>
      </w:r>
      <w:proofErr w:type="gramStart"/>
      <w:r w:rsidR="0000736B">
        <w:t>9 that</w:t>
      </w:r>
      <w:proofErr w:type="gramEnd"/>
      <w:r w:rsidR="0000736B">
        <w:t xml:space="preserve"> the obtained VKT </w:t>
      </w:r>
      <w:r w:rsidR="00221209">
        <w:t xml:space="preserve">excludes </w:t>
      </w:r>
      <w:r w:rsidR="0000736B">
        <w:t xml:space="preserve">those from </w:t>
      </w:r>
      <w:r w:rsidR="00221209">
        <w:t>public charging</w:t>
      </w:r>
      <w:r w:rsidR="009B43C5">
        <w:t>. That</w:t>
      </w:r>
      <w:r w:rsidR="00221209">
        <w:t xml:space="preserve"> is because the effective </w:t>
      </w:r>
      <w:r w:rsidR="00A95FD1">
        <w:t xml:space="preserve">VKT </w:t>
      </w:r>
      <w:r w:rsidR="00221209">
        <w:t xml:space="preserve">is now the </w:t>
      </w:r>
      <w:r w:rsidR="00A95FD1">
        <w:t xml:space="preserve">VKT </w:t>
      </w:r>
      <w:r w:rsidR="00221209">
        <w:t xml:space="preserve">obtained from existing chargers </w:t>
      </w:r>
      <w:r w:rsidR="00221209" w:rsidRPr="0099742A">
        <w:rPr>
          <w:i/>
          <w:iCs/>
        </w:rPr>
        <w:t>other than public charging</w:t>
      </w:r>
      <w:r w:rsidR="00221209">
        <w:t xml:space="preserve"> to determine the need </w:t>
      </w:r>
      <w:r w:rsidR="009B43C5">
        <w:t>for</w:t>
      </w:r>
      <w:r w:rsidR="00221209">
        <w:t xml:space="preserve"> public charging.</w:t>
      </w:r>
      <w:r w:rsidR="00A87C55">
        <w:t xml:space="preserve"> </w:t>
      </w:r>
    </w:p>
    <w:tbl>
      <w:tblPr>
        <w:tblW w:w="5000" w:type="pct"/>
        <w:tblLook w:val="04A0" w:firstRow="1" w:lastRow="0" w:firstColumn="1" w:lastColumn="0" w:noHBand="0" w:noVBand="1"/>
      </w:tblPr>
      <w:tblGrid>
        <w:gridCol w:w="8424"/>
        <w:gridCol w:w="936"/>
      </w:tblGrid>
      <w:tr w:rsidR="00A40066" w:rsidRPr="00F84713" w14:paraId="2D6C577A" w14:textId="77777777" w:rsidTr="00C76593">
        <w:trPr>
          <w:trHeight w:val="540"/>
        </w:trPr>
        <w:tc>
          <w:tcPr>
            <w:tcW w:w="4500" w:type="pct"/>
          </w:tcPr>
          <w:p w14:paraId="13428954" w14:textId="1D8BED8B" w:rsidR="00A40066" w:rsidRPr="00F84713" w:rsidRDefault="00E907D6" w:rsidP="00C53F8C">
            <w:pPr>
              <w:spacing w:line="240" w:lineRule="auto"/>
            </w:pPr>
            <m:oMathPara>
              <m:oMath>
                <m:sSubSup>
                  <m:sSubSupPr>
                    <m:ctrlPr>
                      <w:rPr>
                        <w:rFonts w:ascii="Cambria Math" w:hAnsi="Cambria Math"/>
                        <w:i/>
                      </w:rPr>
                    </m:ctrlPr>
                  </m:sSubSupPr>
                  <m:e>
                    <m:r>
                      <w:rPr>
                        <w:rFonts w:ascii="Cambria Math" w:hAnsi="Cambria Math"/>
                      </w:rPr>
                      <m:t>C</m:t>
                    </m:r>
                  </m:e>
                  <m:sub>
                    <m:r>
                      <w:rPr>
                        <w:rFonts w:ascii="Cambria Math" w:hAnsi="Cambria Math"/>
                      </w:rPr>
                      <m:t>t</m:t>
                    </m:r>
                    <m:r>
                      <w:rPr>
                        <w:rFonts w:ascii="Cambria Math" w:hAnsi="Cambria Math"/>
                      </w:rPr>
                      <m:t>,</m:t>
                    </m:r>
                    <m:r>
                      <w:rPr>
                        <w:rFonts w:ascii="Cambria Math" w:hAnsi="Cambria Math"/>
                      </w:rPr>
                      <m:t>i</m:t>
                    </m:r>
                  </m:sub>
                  <m:sup>
                    <m:r>
                      <w:rPr>
                        <w:rFonts w:ascii="Cambria Math" w:hAnsi="Cambria Math"/>
                      </w:rPr>
                      <m:t>wait</m:t>
                    </m:r>
                  </m:sup>
                </m:sSubSup>
                <m:r>
                  <m:rPr>
                    <m:sty m:val="p"/>
                  </m:rPr>
                  <w:rPr>
                    <w:rFonts w:ascii="Cambria Math" w:hAnsi="Cambria Math"/>
                  </w:rPr>
                  <m:t>=</m:t>
                </m:r>
                <m:nary>
                  <m:naryPr>
                    <m:chr m:val="∑"/>
                    <m:limLoc m:val="undOvr"/>
                    <m:supHide m:val="1"/>
                    <m:ctrlPr>
                      <w:rPr>
                        <w:rFonts w:ascii="Cambria Math" w:hAnsi="Cambria Math"/>
                      </w:rPr>
                    </m:ctrlPr>
                  </m:naryPr>
                  <m:sub>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up/>
                  <m:e>
                    <m:f>
                      <m:fPr>
                        <m:ctrlPr>
                          <w:rPr>
                            <w:rFonts w:ascii="Cambria Math" w:hAnsi="Cambria Math"/>
                            <w:iCs/>
                          </w:rPr>
                        </m:ctrlPr>
                      </m:fPr>
                      <m:num>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BEV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Sub>
                      </m:num>
                      <m:den>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den>
                    </m:f>
                  </m:e>
                </m:nary>
                <m:r>
                  <m:rPr>
                    <m:sty m:val="p"/>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fix</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Sub>
                <m:r>
                  <m:rPr>
                    <m:sty m:val="p"/>
                  </m:rPr>
                  <w:rPr>
                    <w:rFonts w:ascii="Cambria Math" w:hAnsi="Cambria Math"/>
                  </w:rPr>
                  <m:t>×</m:t>
                </m:r>
                <m:sSub>
                  <m:sSubPr>
                    <m:ctrlPr>
                      <w:rPr>
                        <w:rFonts w:ascii="Cambria Math" w:hAnsi="Cambria Math"/>
                        <w:i/>
                      </w:rPr>
                    </m:ctrlPr>
                  </m:sSubPr>
                  <m:e>
                    <m:r>
                      <w:rPr>
                        <w:rFonts w:ascii="Cambria Math" w:hAnsi="Cambria Math"/>
                      </w:rPr>
                      <m:t>tc</m:t>
                    </m:r>
                  </m:e>
                  <m:sub>
                    <m:r>
                      <w:rPr>
                        <w:rFonts w:ascii="Cambria Math" w:hAnsi="Cambria Math"/>
                      </w:rPr>
                      <m:t>r</m:t>
                    </m:r>
                    <m:r>
                      <w:rPr>
                        <w:rFonts w:ascii="Cambria Math" w:hAnsi="Cambria Math"/>
                      </w:rPr>
                      <m:t>,</m:t>
                    </m:r>
                    <m:r>
                      <w:rPr>
                        <w:rFonts w:ascii="Cambria Math" w:hAnsi="Cambria Math"/>
                      </w:rPr>
                      <m:t>t</m:t>
                    </m:r>
                  </m:sub>
                </m:sSub>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i</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up>
                    <m:r>
                      <w:rPr>
                        <w:rFonts w:ascii="Cambria Math" w:hAnsi="Cambria Math"/>
                      </w:rPr>
                      <m:t>t</m:t>
                    </m:r>
                  </m:sup>
                </m:sSubSup>
              </m:oMath>
            </m:oMathPara>
          </w:p>
        </w:tc>
        <w:tc>
          <w:tcPr>
            <w:tcW w:w="500" w:type="pct"/>
          </w:tcPr>
          <w:p w14:paraId="7A9B2877" w14:textId="77777777" w:rsidR="00A40066" w:rsidRPr="00F84713" w:rsidRDefault="00A40066" w:rsidP="00C52DAD">
            <w:pPr>
              <w:pStyle w:val="ListParagraph"/>
              <w:numPr>
                <w:ilvl w:val="0"/>
                <w:numId w:val="30"/>
              </w:numPr>
              <w:spacing w:after="0" w:line="240" w:lineRule="auto"/>
            </w:pPr>
          </w:p>
        </w:tc>
      </w:tr>
      <w:tr w:rsidR="00A40066" w:rsidRPr="00F84713" w14:paraId="09B71399" w14:textId="77777777" w:rsidTr="00C76593">
        <w:trPr>
          <w:trHeight w:val="540"/>
        </w:trPr>
        <w:tc>
          <w:tcPr>
            <w:tcW w:w="4500" w:type="pct"/>
          </w:tcPr>
          <w:p w14:paraId="3064B751" w14:textId="72BD24C7" w:rsidR="00A40066" w:rsidRDefault="00E907D6" w:rsidP="00C53F8C">
            <w:pPr>
              <w:spacing w:line="240" w:lineRule="auto"/>
              <w:rPr>
                <w:rFonts w:eastAsia="DengXian"/>
                <w:iCs/>
              </w:rPr>
            </w:pPr>
            <m:oMathPara>
              <m:oMath>
                <m:sSub>
                  <m:sSubPr>
                    <m:ctrlPr>
                      <w:rPr>
                        <w:rFonts w:ascii="Cambria Math" w:hAnsi="Cambria Math"/>
                      </w:rPr>
                    </m:ctrlPr>
                  </m:sSubPr>
                  <m:e>
                    <m:r>
                      <w:rPr>
                        <w:rFonts w:ascii="Cambria Math" w:hAnsi="Cambria Math"/>
                      </w:rPr>
                      <m:t>P</m:t>
                    </m:r>
                  </m:e>
                  <m:sub>
                    <m:r>
                      <w:rPr>
                        <w:rFonts w:ascii="Cambria Math" w:hAnsi="Cambria Math"/>
                      </w:rPr>
                      <m:t>fix</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Sub>
                <m:d>
                  <m:dPr>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day</m:t>
                        </m:r>
                        <m:r>
                          <m:rPr>
                            <m:sty m:val="p"/>
                          </m:rPr>
                          <w:rPr>
                            <w:rFonts w:ascii="Cambria Math" w:hAnsi="Cambria Math"/>
                          </w:rPr>
                          <m:t xml:space="preserve">, </m:t>
                        </m:r>
                        <m:r>
                          <w:rPr>
                            <w:rFonts w:ascii="Cambria Math" w:hAnsi="Cambria Math"/>
                          </w:rPr>
                          <m:t>md</m:t>
                        </m:r>
                        <m:r>
                          <m:rPr>
                            <m:sty m:val="p"/>
                          </m:rPr>
                          <w:rPr>
                            <w:rFonts w:ascii="Cambria Math" w:hAnsi="Cambria Math"/>
                          </w:rPr>
                          <m:t>,</m:t>
                        </m:r>
                        <m:r>
                          <w:rPr>
                            <w:rFonts w:ascii="Cambria Math" w:hAnsi="Cambria Math"/>
                          </w:rPr>
                          <m:t>i</m:t>
                        </m:r>
                        <m:r>
                          <w:rPr>
                            <w:rFonts w:ascii="Cambria Math" w:hAnsi="Cambria Math"/>
                          </w:rPr>
                          <m:t>,</m:t>
                        </m:r>
                        <m:r>
                          <w:rPr>
                            <w:rFonts w:ascii="Cambria Math" w:hAnsi="Cambria Math"/>
                          </w:rPr>
                          <m:t>t</m:t>
                        </m:r>
                      </m:sub>
                    </m:sSub>
                    <m:r>
                      <m:rPr>
                        <m:sty m:val="p"/>
                      </m:rPr>
                      <w:rPr>
                        <w:rFonts w:ascii="Cambria Math" w:hAnsi="Cambria Math"/>
                      </w:rPr>
                      <m:t>&gt;</m:t>
                    </m:r>
                    <m:sSubSup>
                      <m:sSubSupPr>
                        <m:ctrlPr>
                          <w:rPr>
                            <w:rFonts w:ascii="Cambria Math" w:hAnsi="Cambria Math"/>
                          </w:rPr>
                        </m:ctrlPr>
                      </m:sSubSupPr>
                      <m:e>
                        <m:r>
                          <m:rPr>
                            <m:sty m:val="p"/>
                          </m:rPr>
                          <w:rPr>
                            <w:rFonts w:ascii="Cambria Math" w:hAnsi="Cambria Math"/>
                          </w:rPr>
                          <m:t>eVKT</m:t>
                        </m:r>
                      </m:e>
                      <m:sub>
                        <m:r>
                          <m:rPr>
                            <m:sty m:val="p"/>
                          </m:rPr>
                          <w:rPr>
                            <w:rFonts w:ascii="Cambria Math" w:hAnsi="Cambria Math"/>
                          </w:rPr>
                          <m:t>chrg,t</m:t>
                        </m:r>
                      </m:sub>
                      <m:sup>
                        <m:r>
                          <m:rPr>
                            <m:sty m:val="p"/>
                          </m:rPr>
                          <w:rPr>
                            <w:rFonts w:ascii="Cambria Math" w:hAnsi="Cambria Math"/>
                          </w:rPr>
                          <m:t>fix</m:t>
                        </m:r>
                      </m:sup>
                    </m:sSubSup>
                  </m:e>
                </m:d>
                <m:r>
                  <m:rPr>
                    <m:sty m:val="p"/>
                  </m:rPr>
                  <w:rPr>
                    <w:rFonts w:ascii="Cambria Math" w:hAnsi="Cambria Math"/>
                  </w:rPr>
                  <m:t>=1-</m:t>
                </m:r>
                <m:nary>
                  <m:naryPr>
                    <m:limLoc m:val="subSup"/>
                    <m:ctrlPr>
                      <w:rPr>
                        <w:rFonts w:ascii="Cambria Math" w:hAnsi="Cambria Math"/>
                      </w:rPr>
                    </m:ctrlPr>
                  </m:naryPr>
                  <m:sub>
                    <m:r>
                      <m:rPr>
                        <m:sty m:val="p"/>
                      </m:rPr>
                      <w:rPr>
                        <w:rFonts w:ascii="Cambria Math" w:hAnsi="Cambria Math"/>
                      </w:rPr>
                      <m:t>0</m:t>
                    </m:r>
                  </m:sub>
                  <m:sup>
                    <m:sSubSup>
                      <m:sSubSupPr>
                        <m:ctrlPr>
                          <w:rPr>
                            <w:rFonts w:ascii="Cambria Math" w:hAnsi="Cambria Math"/>
                          </w:rPr>
                        </m:ctrlPr>
                      </m:sSubSupPr>
                      <m:e>
                        <m:r>
                          <m:rPr>
                            <m:sty m:val="p"/>
                          </m:rPr>
                          <w:rPr>
                            <w:rFonts w:ascii="Cambria Math" w:hAnsi="Cambria Math"/>
                          </w:rPr>
                          <m:t>eVKT</m:t>
                        </m:r>
                      </m:e>
                      <m:sub>
                        <m:r>
                          <m:rPr>
                            <m:sty m:val="p"/>
                          </m:rPr>
                          <w:rPr>
                            <w:rFonts w:ascii="Cambria Math" w:hAnsi="Cambria Math"/>
                          </w:rPr>
                          <m:t>chrg,t</m:t>
                        </m:r>
                      </m:sub>
                      <m:sup>
                        <m:r>
                          <m:rPr>
                            <m:sty m:val="p"/>
                          </m:rPr>
                          <w:rPr>
                            <w:rFonts w:ascii="Cambria Math" w:hAnsi="Cambria Math"/>
                          </w:rPr>
                          <m:t>fix</m:t>
                        </m:r>
                      </m:sup>
                    </m:sSubSup>
                  </m:sup>
                  <m:e>
                    <m:r>
                      <w:rPr>
                        <w:rFonts w:ascii="Cambria Math" w:hAnsi="Cambria Math"/>
                      </w:rPr>
                      <m:t>p</m:t>
                    </m:r>
                    <m:d>
                      <m:dPr>
                        <m:ctrlPr>
                          <w:rPr>
                            <w:rFonts w:ascii="Cambria Math" w:hAnsi="Cambria Math"/>
                          </w:rPr>
                        </m:ctrlPr>
                      </m:dPr>
                      <m:e>
                        <m:r>
                          <w:rPr>
                            <w:rFonts w:ascii="Cambria Math" w:hAnsi="Cambria Math"/>
                          </w:rPr>
                          <m:t>x</m:t>
                        </m:r>
                      </m:e>
                    </m:d>
                  </m:e>
                </m:nary>
                <m:r>
                  <w:rPr>
                    <w:rFonts w:ascii="Cambria Math" w:hAnsi="Cambria Math"/>
                  </w:rPr>
                  <m:t>dx</m:t>
                </m:r>
                <m:r>
                  <m:rPr>
                    <m:sty m:val="p"/>
                  </m:rPr>
                  <w:rPr>
                    <w:rFonts w:ascii="Cambria Math" w:hAnsi="Cambria Math"/>
                  </w:rPr>
                  <m:t xml:space="preserve"> </m:t>
                </m:r>
              </m:oMath>
            </m:oMathPara>
          </w:p>
        </w:tc>
        <w:tc>
          <w:tcPr>
            <w:tcW w:w="500" w:type="pct"/>
          </w:tcPr>
          <w:p w14:paraId="22D969A8" w14:textId="77777777" w:rsidR="00A40066" w:rsidRPr="00F84713" w:rsidRDefault="00A40066" w:rsidP="00C52DAD">
            <w:pPr>
              <w:pStyle w:val="ListParagraph"/>
              <w:numPr>
                <w:ilvl w:val="0"/>
                <w:numId w:val="30"/>
              </w:numPr>
              <w:spacing w:after="0" w:line="240" w:lineRule="auto"/>
            </w:pPr>
          </w:p>
        </w:tc>
      </w:tr>
      <w:tr w:rsidR="00A40066" w:rsidRPr="00F84713" w14:paraId="6392D915" w14:textId="77777777" w:rsidTr="00C76593">
        <w:trPr>
          <w:trHeight w:val="540"/>
        </w:trPr>
        <w:tc>
          <w:tcPr>
            <w:tcW w:w="4500" w:type="pct"/>
          </w:tcPr>
          <w:p w14:paraId="4A04D9DC" w14:textId="64E9ECFD" w:rsidR="00A40066" w:rsidRPr="00116248" w:rsidRDefault="00E907D6" w:rsidP="00C53F8C">
            <w:pPr>
              <w:spacing w:line="240" w:lineRule="auto"/>
              <w:rPr>
                <w:rFonts w:eastAsia="DengXian"/>
              </w:rPr>
            </w:pPr>
            <m:oMathPara>
              <m:oMath>
                <m:sSubSup>
                  <m:sSubSupPr>
                    <m:ctrlPr>
                      <w:rPr>
                        <w:rFonts w:ascii="Cambria Math" w:hAnsi="Cambria Math"/>
                      </w:rPr>
                    </m:ctrlPr>
                  </m:sSubSupPr>
                  <m:e>
                    <m:r>
                      <m:rPr>
                        <m:sty m:val="p"/>
                      </m:rPr>
                      <w:rPr>
                        <w:rFonts w:ascii="Cambria Math" w:hAnsi="Cambria Math"/>
                      </w:rPr>
                      <m:t>eVKT</m:t>
                    </m:r>
                  </m:e>
                  <m:sub>
                    <m:r>
                      <m:rPr>
                        <m:sty m:val="p"/>
                      </m:rPr>
                      <w:rPr>
                        <w:rFonts w:ascii="Cambria Math" w:hAnsi="Cambria Math"/>
                      </w:rPr>
                      <m:t>t</m:t>
                    </m:r>
                  </m:sub>
                  <m:sup>
                    <m:r>
                      <m:rPr>
                        <m:sty m:val="p"/>
                      </m:rPr>
                      <w:rPr>
                        <w:rFonts w:ascii="Cambria Math" w:hAnsi="Cambria Math"/>
                      </w:rPr>
                      <m:t>fix</m:t>
                    </m:r>
                  </m:sup>
                </m:sSubSup>
                <m:r>
                  <m:rPr>
                    <m:sty m:val="p"/>
                  </m:rPr>
                  <w:rPr>
                    <w:rFonts w:ascii="Cambria Math" w:hAnsi="Cambria Math"/>
                  </w:rPr>
                  <m:t>=</m:t>
                </m:r>
                <m:func>
                  <m:funcPr>
                    <m:ctrlPr>
                      <w:rPr>
                        <w:rFonts w:ascii="Cambria Math" w:hAnsi="Cambria Math"/>
                        <w:iCs/>
                      </w:rPr>
                    </m:ctrlPr>
                  </m:funcPr>
                  <m:fName>
                    <m:r>
                      <w:rPr>
                        <w:rFonts w:ascii="Cambria Math" w:hAnsi="Cambria Math"/>
                      </w:rPr>
                      <m:t>min</m:t>
                    </m:r>
                  </m:fName>
                  <m:e>
                    <m:d>
                      <m:dPr>
                        <m:ctrlPr>
                          <w:rPr>
                            <w:rFonts w:ascii="Cambria Math" w:hAnsi="Cambria Math"/>
                            <w:iCs/>
                          </w:rPr>
                        </m:ctrlPr>
                      </m:dPr>
                      <m:e>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H</m:t>
                            </m:r>
                          </m:sub>
                        </m:sSub>
                        <m:sSub>
                          <m:sSubPr>
                            <m:ctrlPr>
                              <w:rPr>
                                <w:rFonts w:ascii="Cambria Math" w:hAnsi="Cambria Math"/>
                              </w:rPr>
                            </m:ctrlPr>
                          </m:sSubPr>
                          <m:e>
                            <m:r>
                              <w:rPr>
                                <w:rFonts w:ascii="Cambria Math" w:hAnsi="Cambria Math"/>
                              </w:rPr>
                              <m:t>tc</m:t>
                            </m:r>
                          </m:e>
                          <m:sub>
                            <m:r>
                              <w:rPr>
                                <w:rFonts w:ascii="Cambria Math" w:hAnsi="Cambria Math"/>
                              </w:rPr>
                              <m:t>H</m:t>
                            </m:r>
                          </m:sub>
                        </m:sSub>
                        <m:sSub>
                          <m:sSubPr>
                            <m:ctrlPr>
                              <w:rPr>
                                <w:rFonts w:ascii="Cambria Math" w:hAnsi="Cambria Math"/>
                                <w:iCs/>
                              </w:rPr>
                            </m:ctrlPr>
                          </m:sSubPr>
                          <m:e>
                            <m:r>
                              <w:rPr>
                                <w:rFonts w:ascii="Cambria Math" w:hAnsi="Cambria Math"/>
                              </w:rPr>
                              <m:t>q</m:t>
                            </m:r>
                          </m:e>
                          <m:sub>
                            <m:r>
                              <w:rPr>
                                <w:rFonts w:ascii="Cambria Math" w:hAnsi="Cambria Math"/>
                              </w:rPr>
                              <m:t>H</m:t>
                            </m:r>
                          </m:sub>
                        </m:sSub>
                        <m:r>
                          <m:rPr>
                            <m:sty m:val="p"/>
                          </m:rPr>
                          <w:rPr>
                            <w:rFonts w:ascii="Cambria Math" w:hAnsi="Cambria Math"/>
                          </w:rPr>
                          <m:t>)+min⁡(</m:t>
                        </m:r>
                        <m:sSubSup>
                          <m:sSubSupPr>
                            <m:ctrlPr>
                              <w:rPr>
                                <w:rFonts w:ascii="Cambria Math" w:hAnsi="Cambria Math"/>
                                <w:i/>
                              </w:rPr>
                            </m:ctrlPr>
                          </m:sSubSupPr>
                          <m:e>
                            <m:r>
                              <w:rPr>
                                <w:rFonts w:ascii="Cambria Math" w:hAnsi="Cambria Math"/>
                              </w:rPr>
                              <m:t>R</m:t>
                            </m:r>
                          </m:e>
                          <m:sub>
                            <m:r>
                              <w:rPr>
                                <w:rFonts w:ascii="Cambria Math" w:hAnsi="Cambria Math"/>
                              </w:rPr>
                              <m:t>t</m:t>
                            </m:r>
                          </m:sub>
                          <m:sup>
                            <m:r>
                              <w:rPr>
                                <w:rFonts w:ascii="Cambria Math" w:hAnsi="Cambria Math"/>
                              </w:rPr>
                              <m:t>max</m:t>
                            </m:r>
                          </m:sup>
                        </m:sSubSup>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W</m:t>
                            </m:r>
                          </m:sub>
                        </m:sSub>
                        <m:sSub>
                          <m:sSubPr>
                            <m:ctrlPr>
                              <w:rPr>
                                <w:rFonts w:ascii="Cambria Math" w:hAnsi="Cambria Math"/>
                              </w:rPr>
                            </m:ctrlPr>
                          </m:sSubPr>
                          <m:e>
                            <m:r>
                              <w:rPr>
                                <w:rFonts w:ascii="Cambria Math" w:hAnsi="Cambria Math"/>
                              </w:rPr>
                              <m:t>tc</m:t>
                            </m:r>
                          </m:e>
                          <m:sub>
                            <m:r>
                              <w:rPr>
                                <w:rFonts w:ascii="Cambria Math" w:hAnsi="Cambria Math"/>
                              </w:rPr>
                              <m:t>W</m:t>
                            </m:r>
                          </m:sub>
                        </m:sSub>
                        <m:sSub>
                          <m:sSubPr>
                            <m:ctrlPr>
                              <w:rPr>
                                <w:rFonts w:ascii="Cambria Math" w:hAnsi="Cambria Math"/>
                                <w:iCs/>
                              </w:rPr>
                            </m:ctrlPr>
                          </m:sSubPr>
                          <m:e>
                            <m:r>
                              <w:rPr>
                                <w:rFonts w:ascii="Cambria Math" w:hAnsi="Cambria Math"/>
                              </w:rPr>
                              <m:t>q</m:t>
                            </m:r>
                          </m:e>
                          <m:sub>
                            <m:r>
                              <w:rPr>
                                <w:rFonts w:ascii="Cambria Math" w:hAnsi="Cambria Math"/>
                              </w:rPr>
                              <m:t>W</m:t>
                            </m:r>
                          </m:sub>
                        </m:sSub>
                      </m:e>
                    </m:d>
                  </m:e>
                </m:func>
              </m:oMath>
            </m:oMathPara>
          </w:p>
        </w:tc>
        <w:tc>
          <w:tcPr>
            <w:tcW w:w="500" w:type="pct"/>
          </w:tcPr>
          <w:p w14:paraId="3726B8F8" w14:textId="77777777" w:rsidR="00A40066" w:rsidRPr="00F84713" w:rsidRDefault="00A40066" w:rsidP="00C52DAD">
            <w:pPr>
              <w:pStyle w:val="ListParagraph"/>
              <w:numPr>
                <w:ilvl w:val="0"/>
                <w:numId w:val="30"/>
              </w:numPr>
              <w:spacing w:after="0" w:line="240" w:lineRule="auto"/>
            </w:pPr>
          </w:p>
        </w:tc>
      </w:tr>
    </w:tbl>
    <w:p w14:paraId="5A3E49B2" w14:textId="56B82FAD" w:rsidR="00086AEC" w:rsidRDefault="00FC7AC7" w:rsidP="00D93C5B">
      <w:pPr>
        <w:spacing w:line="240" w:lineRule="auto"/>
        <w:ind w:firstLine="0"/>
      </w:pPr>
      <w:r>
        <w:rPr>
          <w:noProof/>
          <w:lang w:eastAsia="en-US"/>
        </w:rPr>
        <w:drawing>
          <wp:inline distT="0" distB="0" distL="0" distR="0" wp14:anchorId="467F0B3C" wp14:editId="12DEE360">
            <wp:extent cx="2831910" cy="1903370"/>
            <wp:effectExtent l="0" t="0" r="6985" b="1905"/>
            <wp:docPr id="27" name="Picture 27"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Map&#10;&#10;Description automatically generated"/>
                    <pic:cNvPicPr/>
                  </pic:nvPicPr>
                  <pic:blipFill>
                    <a:blip r:embed="rId16"/>
                    <a:stretch>
                      <a:fillRect/>
                    </a:stretch>
                  </pic:blipFill>
                  <pic:spPr>
                    <a:xfrm>
                      <a:off x="0" y="0"/>
                      <a:ext cx="2854881" cy="1918809"/>
                    </a:xfrm>
                    <a:prstGeom prst="rect">
                      <a:avLst/>
                    </a:prstGeom>
                  </pic:spPr>
                </pic:pic>
              </a:graphicData>
            </a:graphic>
          </wp:inline>
        </w:drawing>
      </w:r>
      <w:r>
        <w:rPr>
          <w:noProof/>
        </w:rPr>
        <w:t xml:space="preserve"> </w:t>
      </w:r>
      <w:r>
        <w:rPr>
          <w:noProof/>
          <w:lang w:eastAsia="en-US"/>
        </w:rPr>
        <w:drawing>
          <wp:inline distT="0" distB="0" distL="0" distR="0" wp14:anchorId="0BC5A6E8" wp14:editId="38A0BB45">
            <wp:extent cx="2859206" cy="1832518"/>
            <wp:effectExtent l="0" t="0" r="0" b="0"/>
            <wp:docPr id="29" name="Picture 2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Map&#10;&#10;Description automatically generated"/>
                    <pic:cNvPicPr/>
                  </pic:nvPicPr>
                  <pic:blipFill>
                    <a:blip r:embed="rId17"/>
                    <a:stretch>
                      <a:fillRect/>
                    </a:stretch>
                  </pic:blipFill>
                  <pic:spPr>
                    <a:xfrm>
                      <a:off x="0" y="0"/>
                      <a:ext cx="2896663" cy="1856525"/>
                    </a:xfrm>
                    <a:prstGeom prst="rect">
                      <a:avLst/>
                    </a:prstGeom>
                  </pic:spPr>
                </pic:pic>
              </a:graphicData>
            </a:graphic>
          </wp:inline>
        </w:drawing>
      </w:r>
      <w:r w:rsidRPr="00DE1FD0">
        <w:rPr>
          <w:b/>
          <w:bCs/>
        </w:rPr>
        <w:t xml:space="preserve">Figure </w:t>
      </w:r>
      <w:r w:rsidR="002644AE" w:rsidRPr="00DE1FD0">
        <w:rPr>
          <w:b/>
          <w:bCs/>
        </w:rPr>
        <w:t xml:space="preserve">A5 </w:t>
      </w:r>
      <w:r w:rsidRPr="00DE1FD0">
        <w:rPr>
          <w:b/>
          <w:bCs/>
        </w:rPr>
        <w:t xml:space="preserve">The DC </w:t>
      </w:r>
      <w:r w:rsidR="00DE1FD0" w:rsidRPr="00DE1FD0">
        <w:rPr>
          <w:b/>
          <w:bCs/>
        </w:rPr>
        <w:t xml:space="preserve">Fast-Charging Coverage Relative </w:t>
      </w:r>
      <w:r w:rsidR="00DE1FD0">
        <w:rPr>
          <w:b/>
          <w:bCs/>
        </w:rPr>
        <w:t>t</w:t>
      </w:r>
      <w:r w:rsidR="00DE1FD0" w:rsidRPr="00DE1FD0">
        <w:rPr>
          <w:b/>
          <w:bCs/>
        </w:rPr>
        <w:t xml:space="preserve">o Gasoline Station </w:t>
      </w:r>
      <w:r w:rsidR="00DE1FD0">
        <w:rPr>
          <w:b/>
          <w:bCs/>
        </w:rPr>
        <w:t>a</w:t>
      </w:r>
      <w:r w:rsidR="00DE1FD0" w:rsidRPr="00DE1FD0">
        <w:rPr>
          <w:b/>
          <w:bCs/>
        </w:rPr>
        <w:t xml:space="preserve">nd Retail Price </w:t>
      </w:r>
      <w:r w:rsidR="00DE1FD0">
        <w:rPr>
          <w:b/>
          <w:bCs/>
        </w:rPr>
        <w:t>o</w:t>
      </w:r>
      <w:r w:rsidR="00DE1FD0" w:rsidRPr="00DE1FD0">
        <w:rPr>
          <w:b/>
          <w:bCs/>
        </w:rPr>
        <w:t xml:space="preserve">f Electricity Across </w:t>
      </w:r>
      <w:r w:rsidR="00DE1FD0">
        <w:rPr>
          <w:b/>
          <w:bCs/>
        </w:rPr>
        <w:t>t</w:t>
      </w:r>
      <w:r w:rsidR="00DE1FD0" w:rsidRPr="00DE1FD0">
        <w:rPr>
          <w:b/>
          <w:bCs/>
        </w:rPr>
        <w:t xml:space="preserve">he </w:t>
      </w:r>
      <w:r w:rsidRPr="00DE1FD0">
        <w:rPr>
          <w:b/>
          <w:bCs/>
        </w:rPr>
        <w:t xml:space="preserve">US </w:t>
      </w:r>
      <w:r w:rsidR="00DE1FD0">
        <w:rPr>
          <w:b/>
          <w:bCs/>
        </w:rPr>
        <w:t>i</w:t>
      </w:r>
      <w:r w:rsidR="00DE1FD0" w:rsidRPr="00DE1FD0">
        <w:rPr>
          <w:b/>
          <w:bCs/>
        </w:rPr>
        <w:t>n 2020</w:t>
      </w:r>
      <w:r w:rsidR="008775B3">
        <w:rPr>
          <w:rStyle w:val="FootnoteReference"/>
        </w:rPr>
        <w:footnoteReference w:id="8"/>
      </w:r>
      <w:r w:rsidR="008775B3">
        <w:t xml:space="preserve"> </w:t>
      </w:r>
    </w:p>
    <w:p w14:paraId="41DF4FCE" w14:textId="4EFD0779" w:rsidR="00BE3BEC" w:rsidRDefault="00FC7AC7" w:rsidP="00FE657C">
      <w:pPr>
        <w:spacing w:line="240" w:lineRule="auto"/>
        <w:ind w:firstLine="0"/>
      </w:pPr>
      <w:r>
        <w:t>The value of time (</w:t>
      </w:r>
      <m:oMath>
        <m:sSubSup>
          <m:sSubSupPr>
            <m:ctrlPr>
              <w:rPr>
                <w:rFonts w:ascii="Cambria Math" w:hAnsi="Cambria Math"/>
                <w:i/>
              </w:rPr>
            </m:ctrlPr>
          </m:sSubSupPr>
          <m:e>
            <m:r>
              <w:rPr>
                <w:rFonts w:ascii="Cambria Math" w:hAnsi="Cambria Math"/>
              </w:rPr>
              <m:t>V</m:t>
            </m:r>
          </m:e>
          <m:sub>
            <m:r>
              <w:rPr>
                <w:rFonts w:ascii="Cambria Math" w:hAnsi="Cambria Math"/>
              </w:rPr>
              <m:t>i,r,md,a,chrg,t</m:t>
            </m:r>
          </m:sub>
          <m:sup>
            <m:r>
              <w:rPr>
                <w:rFonts w:ascii="Cambria Math" w:hAnsi="Cambria Math"/>
              </w:rPr>
              <m:t>t</m:t>
            </m:r>
          </m:sup>
        </m:sSubSup>
      </m:oMath>
      <w:r>
        <w:t>) is the opportunity cost of time spent on the road, which is</w:t>
      </w:r>
      <w:r w:rsidR="00BE3BEC">
        <w:t xml:space="preserve"> found to be</w:t>
      </w:r>
      <w:r>
        <w:t xml:space="preserve"> half of the income based on the </w:t>
      </w:r>
      <w:r>
        <w:fldChar w:fldCharType="begin" w:fldLock="1"/>
      </w:r>
      <w:r w:rsidR="00AD0E8B">
        <w:instrText>ADDIN CSL_CITATION {"citationItems":[{"id":"ITEM-1","itemData":{"URL":"https://www.transportation.gov/sites/dot.gov/files/docs/2015 Revised Value of Travel Time Guidance.pdf","accessed":{"date-parts":[["2020","5","5"]]},"author":[{"dropping-particle":"","family":"DOT","given":"","non-dropping-particle":"","parse-names":false,"suffix":""}],"id":"ITEM-1","issued":{"date-parts":[["2015"]]},"title":"2015 Revised Value of Travel Time Guidance","type":"webpage"},"uris":["http://www.mendeley.com/documents/?uuid=b24349d6-f49f-36c8-86a8-0e0950266f6c"]}],"mendeley":{"formattedCitation":"(DOT 2015)","manualFormatting":"DOT study (2015)","plainTextFormattedCitation":"(DOT 2015)","previouslyFormattedCitation":"(DOT 2015)"},"properties":{"noteIndex":0},"schema":"https://github.com/citation-style-language/schema/raw/master/csl-citation.json"}</w:instrText>
      </w:r>
      <w:r>
        <w:fldChar w:fldCharType="separate"/>
      </w:r>
      <w:r>
        <w:rPr>
          <w:noProof/>
        </w:rPr>
        <w:t>DOT study (2015)</w:t>
      </w:r>
      <w:r>
        <w:fldChar w:fldCharType="end"/>
      </w:r>
      <w:r w:rsidR="00BE3BEC">
        <w:t xml:space="preserve">. </w:t>
      </w:r>
      <w:r w:rsidR="0000736B">
        <w:t>T</w:t>
      </w:r>
      <w:r w:rsidR="00BE3BEC">
        <w:t>he income distribution</w:t>
      </w:r>
      <w:r w:rsidR="00BE3BEC" w:rsidRPr="00BE3BEC">
        <w:t xml:space="preserve"> </w:t>
      </w:r>
      <w:r w:rsidR="00BE3BEC">
        <w:t xml:space="preserve">of the </w:t>
      </w:r>
      <w:r w:rsidR="00BE3BEC">
        <w:lastRenderedPageBreak/>
        <w:t xml:space="preserve">US population </w:t>
      </w:r>
      <w:r w:rsidR="0000736B">
        <w:t xml:space="preserve">is </w:t>
      </w:r>
      <w:r w:rsidR="00BE3BEC">
        <w:t xml:space="preserve">from the Census Bureau </w:t>
      </w:r>
      <w:r w:rsidR="00BE3BEC">
        <w:fldChar w:fldCharType="begin" w:fldLock="1"/>
      </w:r>
      <w:r w:rsidR="00BE3BEC">
        <w:instrText>ADDIN CSL_CITATION {"citationItems":[{"id":"ITEM-1","itemData":{"author":[{"dropping-particle":"","family":"Semega","given":"Jessica L.","non-dropping-particle":"","parse-names":false,"suffix":""},{"dropping-particle":"","family":"Fontenot","given":"Kayla R.","non-dropping-particle":"","parse-names":false,"suffix":""},{"dropping-particle":"","family":"Kollar","given":"Melissa A.","non-dropping-particle":"","parse-names":false,"suffix":""}],"id":"ITEM-1","issued":{"date-parts":[["2017"]]},"title":"Income and Poverty in the United States: 2016","type":"report"},"uris":["http://www.mendeley.com/documents/?uuid=79421708-a3c3-3ac3-9d4d-e9e0be0f6f70"]}],"mendeley":{"formattedCitation":"(Semega, Fontenot and Kollar 2017)","plainTextFormattedCitation":"(Semega, Fontenot and Kollar 2017)","previouslyFormattedCitation":"(Semega, Fontenot and Kollar 2017)"},"properties":{"noteIndex":0},"schema":"https://github.com/citation-style-language/schema/raw/master/csl-citation.json"}</w:instrText>
      </w:r>
      <w:r w:rsidR="00BE3BEC">
        <w:fldChar w:fldCharType="separate"/>
      </w:r>
      <w:r w:rsidR="00BE3BEC" w:rsidRPr="00852133">
        <w:rPr>
          <w:noProof/>
        </w:rPr>
        <w:t>(Semega, Fontenot and Kollar 2017)</w:t>
      </w:r>
      <w:r w:rsidR="00BE3BEC">
        <w:fldChar w:fldCharType="end"/>
      </w:r>
      <w:r w:rsidR="00BE3BEC">
        <w:t xml:space="preserve">, </w:t>
      </w:r>
      <w:r w:rsidR="00FE657C">
        <w:t>and</w:t>
      </w:r>
      <w:r w:rsidR="00BE3BEC">
        <w:t xml:space="preserve"> </w:t>
      </w:r>
      <w:r w:rsidR="0000736B">
        <w:t xml:space="preserve">we </w:t>
      </w:r>
      <w:r w:rsidR="00BE3BEC">
        <w:t>draw 10 clones</w:t>
      </w:r>
      <w:r w:rsidR="0000736B">
        <w:t xml:space="preserve"> or representative consumers</w:t>
      </w:r>
      <w:r w:rsidR="00BE3BEC">
        <w:t xml:space="preserve"> (denotes as i) </w:t>
      </w:r>
      <w:r w:rsidR="0000736B">
        <w:t xml:space="preserve">with </w:t>
      </w:r>
      <w:r w:rsidR="00270BD6">
        <w:t>driving</w:t>
      </w:r>
      <w:r w:rsidR="00BE3BEC">
        <w:t xml:space="preserve"> demand group </w:t>
      </w:r>
      <w:r w:rsidR="00BE3BEC" w:rsidRPr="0099742A">
        <w:rPr>
          <w:i/>
          <w:iCs/>
        </w:rPr>
        <w:t>md</w:t>
      </w:r>
      <w:r w:rsidR="00BE3BEC">
        <w:t xml:space="preserve">, vehicle age </w:t>
      </w:r>
      <w:r w:rsidR="00BE3BEC" w:rsidRPr="0002517D">
        <w:rPr>
          <w:i/>
          <w:iCs/>
        </w:rPr>
        <w:t>a</w:t>
      </w:r>
      <w:r w:rsidR="00BE3BEC">
        <w:t xml:space="preserve">, with charging availability </w:t>
      </w:r>
      <w:proofErr w:type="spellStart"/>
      <w:r w:rsidR="00BE3BEC" w:rsidRPr="00712BBC">
        <w:rPr>
          <w:i/>
          <w:iCs/>
        </w:rPr>
        <w:t>chrg</w:t>
      </w:r>
      <w:proofErr w:type="spellEnd"/>
      <w:r w:rsidR="00BE3BEC">
        <w:rPr>
          <w:i/>
          <w:iCs/>
        </w:rPr>
        <w:t>,</w:t>
      </w:r>
      <w:r w:rsidR="00BE3BEC">
        <w:t xml:space="preserve"> of time </w:t>
      </w:r>
      <w:r w:rsidR="00BE3BEC" w:rsidRPr="0099742A">
        <w:rPr>
          <w:i/>
          <w:iCs/>
        </w:rPr>
        <w:t>t</w:t>
      </w:r>
      <w:r w:rsidR="00BE3BEC">
        <w:t xml:space="preserve"> </w:t>
      </w:r>
      <w:r w:rsidR="00FE657C">
        <w:t>in</w:t>
      </w:r>
      <w:r w:rsidR="00BE3BEC">
        <w:t xml:space="preserve"> region </w:t>
      </w:r>
      <w:r w:rsidR="00BE3BEC" w:rsidRPr="0099742A">
        <w:rPr>
          <w:i/>
          <w:iCs/>
        </w:rPr>
        <w:t>r</w:t>
      </w:r>
      <w:r w:rsidR="00BE3BEC">
        <w:t xml:space="preserve"> to represent the value of time across the US</w:t>
      </w:r>
      <w:r w:rsidR="0000736B">
        <w:t xml:space="preserve"> as part of </w:t>
      </w:r>
      <w:r w:rsidR="002A1C35">
        <w:t xml:space="preserve">Monte Carlo process. Though there </w:t>
      </w:r>
      <w:r w:rsidR="009B43C5">
        <w:t xml:space="preserve">are </w:t>
      </w:r>
      <w:r w:rsidR="002A1C35">
        <w:t>only 10 clones, the</w:t>
      </w:r>
      <w:r w:rsidR="009B43C5">
        <w:t xml:space="preserve"> cloning strategy applied to the</w:t>
      </w:r>
      <w:r w:rsidR="002A1C35">
        <w:t xml:space="preserve"> segmentation of the vehicle age, region, </w:t>
      </w:r>
      <w:r w:rsidR="009B43C5">
        <w:t xml:space="preserve">and </w:t>
      </w:r>
      <w:r w:rsidR="002A1C35">
        <w:t>charging availability for BEV</w:t>
      </w:r>
      <w:r w:rsidR="000D6392">
        <w:t xml:space="preserve"> e</w:t>
      </w:r>
      <w:r w:rsidR="002A1C35">
        <w:t>nlarge</w:t>
      </w:r>
      <w:r w:rsidR="000D6392">
        <w:t>s</w:t>
      </w:r>
      <w:r w:rsidR="002A1C35">
        <w:t xml:space="preserve"> the</w:t>
      </w:r>
      <w:r w:rsidR="000D6392">
        <w:t xml:space="preserve"> number of</w:t>
      </w:r>
      <w:r w:rsidR="002A1C35">
        <w:t xml:space="preserve"> total drawings from the income distribution </w:t>
      </w:r>
      <w:r w:rsidR="009B43C5">
        <w:t xml:space="preserve">and </w:t>
      </w:r>
      <w:r w:rsidR="0084647E">
        <w:t xml:space="preserve">should result in a reasonable representation of the </w:t>
      </w:r>
      <w:r w:rsidR="002A1C35">
        <w:t>US population.</w:t>
      </w:r>
    </w:p>
    <w:p w14:paraId="5DC6D6BB" w14:textId="257E05DD" w:rsidR="00086AEC" w:rsidRDefault="00FC7AC7" w:rsidP="0099742A">
      <w:pPr>
        <w:spacing w:line="240" w:lineRule="auto"/>
        <w:ind w:firstLine="0"/>
      </w:pPr>
      <w:r>
        <w:t xml:space="preserve">We assume the plug-in hybrid vehicle (PHEV) owner has the option to </w:t>
      </w:r>
      <w:r w:rsidR="00E815B6">
        <w:t xml:space="preserve">use </w:t>
      </w:r>
      <w:r>
        <w:t xml:space="preserve">gasoline and thus will not spend any extra time in the public charging station or </w:t>
      </w:r>
      <w:r w:rsidR="00E815B6">
        <w:t xml:space="preserve">in making </w:t>
      </w:r>
      <w:r>
        <w:t>detour</w:t>
      </w:r>
      <w:r w:rsidR="00E815B6">
        <w:t>s</w:t>
      </w:r>
      <w:r>
        <w:t xml:space="preserve"> and </w:t>
      </w:r>
      <w:r w:rsidR="00032531">
        <w:t xml:space="preserve">that </w:t>
      </w:r>
      <w:r>
        <w:t>they have</w:t>
      </w:r>
      <w:r w:rsidR="00032531">
        <w:t xml:space="preserve"> an </w:t>
      </w:r>
      <w:proofErr w:type="gramStart"/>
      <w:r>
        <w:t>accessible chargers</w:t>
      </w:r>
      <w:proofErr w:type="gramEnd"/>
      <w:r>
        <w:t xml:space="preserve"> either at home or at work for use on the charge-depleting mode. We, therefore, exclude the waiting costs from the PHEV ownership costs.</w:t>
      </w:r>
    </w:p>
    <w:p w14:paraId="3028BED1" w14:textId="7DAE568B" w:rsidR="00086AEC" w:rsidRPr="00163944" w:rsidRDefault="003B7447" w:rsidP="00D82C80">
      <w:pPr>
        <w:pStyle w:val="Heading4"/>
        <w:numPr>
          <w:ilvl w:val="0"/>
          <w:numId w:val="0"/>
        </w:numPr>
        <w:ind w:left="864" w:hanging="864"/>
        <w:rPr>
          <w:b/>
          <w:bCs/>
        </w:rPr>
      </w:pPr>
      <w:r w:rsidRPr="00163944">
        <w:rPr>
          <w:b/>
          <w:bCs/>
        </w:rPr>
        <w:t>A.1.</w:t>
      </w:r>
      <w:r w:rsidR="004075A7" w:rsidRPr="00163944">
        <w:rPr>
          <w:b/>
          <w:bCs/>
        </w:rPr>
        <w:t>4</w:t>
      </w:r>
      <w:r w:rsidRPr="00163944">
        <w:rPr>
          <w:b/>
          <w:bCs/>
        </w:rPr>
        <w:t xml:space="preserve">.3 </w:t>
      </w:r>
      <w:r w:rsidR="00FC7AC7" w:rsidRPr="00163944">
        <w:rPr>
          <w:b/>
          <w:bCs/>
        </w:rPr>
        <w:t xml:space="preserve">Detour </w:t>
      </w:r>
      <w:r w:rsidR="00631551" w:rsidRPr="00163944">
        <w:rPr>
          <w:b/>
          <w:bCs/>
        </w:rPr>
        <w:t xml:space="preserve">Cost </w:t>
      </w:r>
    </w:p>
    <w:p w14:paraId="2E3A051E" w14:textId="1C02D13B" w:rsidR="00086AEC" w:rsidRDefault="00FC7AC7" w:rsidP="00DF2CFE">
      <w:pPr>
        <w:spacing w:line="240" w:lineRule="auto"/>
      </w:pPr>
      <w:r>
        <w:t xml:space="preserve">Detour cost is defined as the time cost to find the nearest station </w:t>
      </w:r>
      <w:r w:rsidR="0000736B">
        <w:t>to</w:t>
      </w:r>
      <w:r>
        <w:t xml:space="preserve"> charg</w:t>
      </w:r>
      <w:r w:rsidR="0000736B">
        <w:t>e</w:t>
      </w:r>
      <w:r>
        <w:t xml:space="preserve"> </w:t>
      </w:r>
      <w:r w:rsidR="0000736B">
        <w:t xml:space="preserve">BEV </w:t>
      </w:r>
      <w:r>
        <w:t>or</w:t>
      </w:r>
      <w:r w:rsidR="0000736B">
        <w:t xml:space="preserve"> to add </w:t>
      </w:r>
      <w:r>
        <w:t xml:space="preserve">E85 fuels </w:t>
      </w:r>
      <w:r w:rsidR="0000736B">
        <w:t>for</w:t>
      </w:r>
      <w:r>
        <w:t xml:space="preserve"> FFV</w:t>
      </w:r>
      <w:r w:rsidR="00EA1B43">
        <w:t>,</w:t>
      </w:r>
      <w:r w:rsidR="00EA1B43" w:rsidRPr="00EA1B43">
        <w:t xml:space="preserve"> </w:t>
      </w:r>
      <w:r w:rsidR="00EA1B43">
        <w:t xml:space="preserve">which is included as </w:t>
      </w:r>
      <w:r w:rsidR="0000736B">
        <w:t>cost</w:t>
      </w:r>
      <w:r w:rsidR="00EA1B43">
        <w:t xml:space="preserve"> of the consumer surplus in the objective function (1) </w:t>
      </w:r>
      <w:r w:rsidR="0000736B">
        <w:t xml:space="preserve">in </w:t>
      </w:r>
      <w:r w:rsidR="00EA1B43">
        <w:t>line 5. It</w:t>
      </w:r>
      <w:r>
        <w:t xml:space="preserve"> is a function of the </w:t>
      </w:r>
      <w:r w:rsidR="00973B31">
        <w:t xml:space="preserve">random draw of </w:t>
      </w:r>
      <w:r>
        <w:t>value of time</w:t>
      </w:r>
      <w:r w:rsidR="002A6AD8">
        <w:t xml:space="preserve"> (</w:t>
      </w:r>
      <m:oMath>
        <m:sSubSup>
          <m:sSubSupPr>
            <m:ctrlPr>
              <w:rPr>
                <w:rFonts w:ascii="Cambria Math" w:hAnsi="Cambria Math"/>
                <w:i/>
              </w:rPr>
            </m:ctrlPr>
          </m:sSubSupPr>
          <m:e>
            <m:r>
              <w:rPr>
                <w:rFonts w:ascii="Cambria Math" w:hAnsi="Cambria Math"/>
              </w:rPr>
              <m:t>V</m:t>
            </m:r>
          </m:e>
          <m:sub>
            <m:r>
              <w:rPr>
                <w:rFonts w:ascii="Cambria Math" w:hAnsi="Cambria Math"/>
              </w:rPr>
              <m:t>i,r,md,a,chrg,t</m:t>
            </m:r>
          </m:sub>
          <m:sup>
            <m:r>
              <w:rPr>
                <w:rFonts w:ascii="Cambria Math" w:hAnsi="Cambria Math"/>
              </w:rPr>
              <m:t>t</m:t>
            </m:r>
          </m:sup>
        </m:sSubSup>
      </m:oMath>
      <w:r w:rsidR="002A1C35">
        <w:t xml:space="preserve"> </w:t>
      </w:r>
      <w:r w:rsidR="002A6AD8">
        <w:t>in $/hour)</w:t>
      </w:r>
      <w:r w:rsidR="002A1C35">
        <w:t xml:space="preserve"> just discussed above in A.1.4.</w:t>
      </w:r>
      <w:r w:rsidR="0000736B">
        <w:t>2</w:t>
      </w:r>
      <w:r>
        <w:t xml:space="preserve">, </w:t>
      </w:r>
      <w:r w:rsidR="00A95FD1">
        <w:rPr>
          <w:rFonts w:eastAsia="Times New Roman"/>
          <w:color w:val="000000"/>
        </w:rPr>
        <w:t>kilometers</w:t>
      </w:r>
      <w:r w:rsidR="00A95FD1" w:rsidRPr="00C53F8C">
        <w:rPr>
          <w:rFonts w:eastAsia="Times New Roman"/>
          <w:color w:val="000000"/>
        </w:rPr>
        <w:t xml:space="preserve"> </w:t>
      </w:r>
      <w:r>
        <w:t>driven</w:t>
      </w:r>
      <w:r w:rsidR="002A6AD8">
        <w:t xml:space="preserve"> (</w:t>
      </w:r>
      <m:oMath>
        <m:r>
          <w:rPr>
            <w:rFonts w:ascii="Cambria Math" w:hAnsi="Cambria Math"/>
          </w:rPr>
          <m:t>VKT</m:t>
        </m:r>
      </m:oMath>
      <w:r w:rsidR="002A6AD8">
        <w:t xml:space="preserve">  in </w:t>
      </w:r>
      <w:r w:rsidR="00973B31">
        <w:t>kilometers</w:t>
      </w:r>
      <w:r w:rsidR="002A6AD8">
        <w:t xml:space="preserve">) </w:t>
      </w:r>
      <w:r>
        <w:t xml:space="preserve">, </w:t>
      </w:r>
      <w:r w:rsidR="002A6AD8">
        <w:t>fuel efficiency (</w:t>
      </w:r>
      <m:oMath>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t,v</m:t>
            </m:r>
          </m:sub>
          <m:sup>
            <m:r>
              <w:rPr>
                <w:rFonts w:ascii="Cambria Math" w:hAnsi="Cambria Math"/>
              </w:rPr>
              <m:t>max</m:t>
            </m:r>
          </m:sup>
        </m:sSubSup>
      </m:oMath>
      <w:r w:rsidR="002A6AD8">
        <w:t xml:space="preserve"> in mile per gallon), detour </w:t>
      </w:r>
      <w:r>
        <w:t>distance</w:t>
      </w:r>
      <w:r w:rsidR="002A6AD8">
        <w:t xml:space="preserve"> (</w:t>
      </w:r>
      <m:oMath>
        <m:sSub>
          <m:sSubPr>
            <m:ctrlPr>
              <w:rPr>
                <w:rFonts w:ascii="Cambria Math" w:hAnsi="Cambria Math"/>
                <w:i/>
                <w:iCs/>
              </w:rPr>
            </m:ctrlPr>
          </m:sSubPr>
          <m:e>
            <m:sSub>
              <m:sSubPr>
                <m:ctrlPr>
                  <w:rPr>
                    <w:rFonts w:ascii="Cambria Math" w:hAnsi="Cambria Math"/>
                  </w:rPr>
                </m:ctrlPr>
              </m:sSubPr>
              <m:e>
                <m:r>
                  <m:rPr>
                    <m:sty m:val="p"/>
                  </m:rPr>
                  <w:rPr>
                    <w:rFonts w:ascii="Cambria Math" w:hAnsi="Cambria Math"/>
                  </w:rPr>
                  <m:t>d</m:t>
                </m:r>
              </m:e>
              <m:sub>
                <m:r>
                  <m:rPr>
                    <m:sty m:val="p"/>
                  </m:rPr>
                  <w:rPr>
                    <w:rFonts w:ascii="Cambria Math" w:hAnsi="Cambria Math"/>
                  </w:rPr>
                  <m:t>detour</m:t>
                </m:r>
              </m:sub>
            </m:sSub>
          </m:e>
          <m:sub>
            <m:r>
              <w:rPr>
                <w:rFonts w:ascii="Cambria Math" w:hAnsi="Cambria Math"/>
              </w:rPr>
              <m:t>r</m:t>
            </m:r>
          </m:sub>
        </m:sSub>
      </m:oMath>
      <w:r w:rsidR="002A6AD8">
        <w:rPr>
          <w:iCs/>
        </w:rPr>
        <w:t xml:space="preserve"> in </w:t>
      </w:r>
      <w:r w:rsidR="00973B31">
        <w:t>kilometers</w:t>
      </w:r>
      <w:r w:rsidR="002A6AD8">
        <w:t>)</w:t>
      </w:r>
      <w:r>
        <w:t xml:space="preserve">, </w:t>
      </w:r>
      <w:r w:rsidR="002A6AD8">
        <w:t>probability of using public charging (</w:t>
      </w:r>
      <m:oMath>
        <m:sSub>
          <m:sSubPr>
            <m:ctrlPr>
              <w:rPr>
                <w:rFonts w:ascii="Cambria Math" w:hAnsi="Cambria Math"/>
              </w:rPr>
            </m:ctrlPr>
          </m:sSubPr>
          <m:e>
            <m:r>
              <w:rPr>
                <w:rFonts w:ascii="Cambria Math" w:hAnsi="Cambria Math"/>
              </w:rPr>
              <m:t>P</m:t>
            </m:r>
          </m:e>
          <m:sub>
            <m:r>
              <w:rPr>
                <w:rFonts w:ascii="Cambria Math" w:hAnsi="Cambria Math"/>
              </w:rPr>
              <m:t>fix,chrg,t</m:t>
            </m:r>
          </m:sub>
        </m:sSub>
      </m:oMath>
      <w:r w:rsidR="002A6AD8">
        <w:t xml:space="preserve">) </w:t>
      </w:r>
      <w:r>
        <w:t xml:space="preserve">and </w:t>
      </w:r>
      <w:r w:rsidR="0000736B">
        <w:t xml:space="preserve">average driving </w:t>
      </w:r>
      <w:r>
        <w:t xml:space="preserve">speed </w:t>
      </w:r>
      <w:r w:rsidR="002A6AD8">
        <w:t>(</w:t>
      </w:r>
      <w:r w:rsidR="002A1C35">
        <w:t xml:space="preserve">32 </w:t>
      </w:r>
      <w:r w:rsidR="002A6AD8">
        <w:t xml:space="preserve">mile per hour) </w:t>
      </w:r>
      <w:r w:rsidR="002A1C35">
        <w:t>used</w:t>
      </w:r>
      <w:r>
        <w:t xml:space="preserve"> in </w:t>
      </w:r>
      <w:r>
        <w:fldChar w:fldCharType="begin" w:fldLock="1"/>
      </w:r>
      <w:r>
        <w:instrText>ADDIN CSL_CITATION {"citationItems":[{"id":"ITEM-1","itemData":{"DOI":"10.1016/j.eneco.2014.06.022","ISBN":"01409883","ISSN":"01409883","abstract":"Consumption of high-ethanol gasoline blends must increase if United States renewable biofuel mandates are to rise above current levels as envisioned by the Renewable Fuel Standard. One such blend is E85 which contains no more than 85% ethanol and no less than 15% gasoline. We derive the demand for E85 based on a model of motorists' preferences for motor fuel blends and calibrate the demand for E85 using data on the location of flex vehicles and fuel stations that sell E85 in the United States. We also show how limits on the capacity of fuel stations to sell E85 affect demand and explore the potential future demand for E85 by increasing the number of fuel stations offering E85 and the number of flex vehicles. We show that the existing fleet of flex vehicles is sufficient to accommodate more than 15billiongallons of ethanol without a large price discount on E85 only if the number of stations that sell E85 increases substantially. Provided with fast enough installation of new E85 pumps, this level of consumption would be sufficient to meet the mandates envisioned for conventional ethanol by 2015.","author":[{"dropping-particle":"","family":"Pouliot","given":"Sébastien","non-dropping-particle":"","parse-names":false,"suffix":""},{"dropping-particle":"","family":"Babcock","given":"Bruce A.","non-dropping-particle":"","parse-names":false,"suffix":""}],"container-title":"Energy Economics","id":"ITEM-1","issued":{"date-parts":[["2014","9"]]},"note":"[Background]\nEPA reduced the impliementation of biofuel mandates RFS, which closely matches the capacity to blend ethanol in E10 gasoline.\n[Model]\nThe model accounted for the preference of consumers for high-ethanol fuel blends, and for the convenience cost incurred by owners of FFV to find E85 pump.\nThe aggregated demand is integration over the preference model H (logit function based on calibration from predicted data), and distance distribution G (3 different convenience costs). Therefore the demand function is a function of multiple varaibles of preferences, distances, numbers of FFV, prices, etc.\nThe result showed the demand curve shifts according to different preferences, different convenience cost model, and different E10 prices; also by fuel station target of gallon capacity, numbers of pumps, and numbers of FFV.\n[Issue]\nthe numbers of FFV from this paper is different from our dataset, because the FFV from our dataset exclude those FFV that run on gasoline","page":"134-143","publisher":"Elsevier B.V.","title":"The demand for E85: Geographical location and retail capacity constraints","type":"article-journal","volume":"45"},"uris":["http://www.mendeley.com/documents/?uuid=841c2e6e-e81f-4761-9c9a-de6845cea809"]}],"mendeley":{"formattedCitation":"(Pouliot and Babcock 2014)","manualFormatting":"Pouliot and Babcock (2014)","plainTextFormattedCitation":"(Pouliot and Babcock 2014)","previouslyFormattedCitation":"(Pouliot and Babcock 2014)"},"properties":{"noteIndex":0},"schema":"https://github.com/citation-style-language/schema/raw/master/csl-citation.json"}</w:instrText>
      </w:r>
      <w:r>
        <w:fldChar w:fldCharType="separate"/>
      </w:r>
      <w:r>
        <w:rPr>
          <w:noProof/>
        </w:rPr>
        <w:t>Pouliot and Babcock (2014)</w:t>
      </w:r>
      <w:r>
        <w:fldChar w:fldCharType="end"/>
      </w:r>
      <w:r>
        <w:t xml:space="preserve">. We applied the linear form of the detour cost with respect to the detour </w:t>
      </w:r>
      <w:r w:rsidR="006D325F">
        <w:t>d</w:t>
      </w:r>
      <w:r>
        <w:t xml:space="preserve">istance. </w:t>
      </w:r>
    </w:p>
    <w:tbl>
      <w:tblPr>
        <w:tblW w:w="4952" w:type="pct"/>
        <w:tblLayout w:type="fixed"/>
        <w:tblLook w:val="04A0" w:firstRow="1" w:lastRow="0" w:firstColumn="1" w:lastColumn="0" w:noHBand="0" w:noVBand="1"/>
      </w:tblPr>
      <w:tblGrid>
        <w:gridCol w:w="8730"/>
        <w:gridCol w:w="540"/>
      </w:tblGrid>
      <w:tr w:rsidR="00D837E6" w:rsidRPr="00D837E6" w14:paraId="4E33FBBE" w14:textId="77777777" w:rsidTr="00D837E6">
        <w:trPr>
          <w:trHeight w:val="604"/>
        </w:trPr>
        <w:tc>
          <w:tcPr>
            <w:tcW w:w="4709" w:type="pct"/>
          </w:tcPr>
          <w:p w14:paraId="3B0E2424" w14:textId="15535D97" w:rsidR="00983392" w:rsidRPr="0099742A" w:rsidRDefault="00E907D6" w:rsidP="00C52DAD">
            <w:pPr>
              <w:spacing w:line="240" w:lineRule="auto"/>
              <w:rPr>
                <w:sz w:val="22"/>
                <w:szCs w:val="22"/>
              </w:rPr>
            </w:pPr>
            <m:oMathPara>
              <m:oMath>
                <m:sSub>
                  <m:sSubPr>
                    <m:ctrlPr>
                      <w:rPr>
                        <w:rFonts w:ascii="Cambria Math" w:hAnsi="Cambria Math"/>
                        <w:iCs/>
                        <w:sz w:val="22"/>
                        <w:szCs w:val="22"/>
                      </w:rPr>
                    </m:ctrlPr>
                  </m:sSubPr>
                  <m:e>
                    <m:r>
                      <w:rPr>
                        <w:rFonts w:ascii="Cambria Math" w:hAnsi="Cambria Math"/>
                        <w:sz w:val="22"/>
                        <w:szCs w:val="22"/>
                      </w:rPr>
                      <m:t>C</m:t>
                    </m:r>
                  </m:e>
                  <m:sub>
                    <m:r>
                      <w:rPr>
                        <w:rFonts w:ascii="Cambria Math" w:hAnsi="Cambria Math"/>
                        <w:sz w:val="22"/>
                        <w:szCs w:val="22"/>
                      </w:rPr>
                      <m:t>detour</m:t>
                    </m:r>
                  </m:sub>
                </m:sSub>
                <m:r>
                  <m:rPr>
                    <m:sty m:val="p"/>
                  </m:rPr>
                  <w:rPr>
                    <w:rFonts w:ascii="Cambria Math" w:hAnsi="Cambria Math"/>
                    <w:sz w:val="22"/>
                    <w:szCs w:val="22"/>
                  </w:rPr>
                  <m:t xml:space="preserve"> =</m:t>
                </m:r>
                <m:nary>
                  <m:naryPr>
                    <m:chr m:val="∑"/>
                    <m:limLoc m:val="undOvr"/>
                    <m:supHide m:val="1"/>
                    <m:ctrlPr>
                      <w:rPr>
                        <w:rFonts w:ascii="Cambria Math" w:hAnsi="Cambria Math"/>
                        <w:sz w:val="22"/>
                        <w:szCs w:val="22"/>
                      </w:rPr>
                    </m:ctrlPr>
                  </m:naryPr>
                  <m:sub>
                    <m:r>
                      <w:rPr>
                        <w:rFonts w:ascii="Cambria Math" w:hAnsi="Cambria Math"/>
                        <w:sz w:val="22"/>
                        <w:szCs w:val="22"/>
                      </w:rPr>
                      <m:t>v</m:t>
                    </m:r>
                    <m:r>
                      <w:rPr>
                        <w:rFonts w:ascii="Cambria Math" w:hAnsi="Cambria Math"/>
                        <w:sz w:val="22"/>
                        <w:szCs w:val="22"/>
                      </w:rPr>
                      <m:t>,</m:t>
                    </m:r>
                    <m:r>
                      <w:rPr>
                        <w:rFonts w:ascii="Cambria Math" w:hAnsi="Cambria Math"/>
                        <w:sz w:val="22"/>
                        <w:szCs w:val="22"/>
                      </w:rPr>
                      <m:t>r</m:t>
                    </m:r>
                    <m:r>
                      <w:rPr>
                        <w:rFonts w:ascii="Cambria Math" w:hAnsi="Cambria Math"/>
                        <w:sz w:val="22"/>
                        <w:szCs w:val="22"/>
                      </w:rPr>
                      <m:t>,</m:t>
                    </m:r>
                    <m:r>
                      <w:rPr>
                        <w:rFonts w:ascii="Cambria Math" w:hAnsi="Cambria Math"/>
                        <w:sz w:val="22"/>
                        <w:szCs w:val="22"/>
                      </w:rPr>
                      <m:t>md</m:t>
                    </m:r>
                    <m:r>
                      <w:rPr>
                        <w:rFonts w:ascii="Cambria Math" w:hAnsi="Cambria Math"/>
                        <w:sz w:val="22"/>
                        <w:szCs w:val="22"/>
                      </w:rPr>
                      <m:t>,</m:t>
                    </m:r>
                    <m:r>
                      <w:rPr>
                        <w:rFonts w:ascii="Cambria Math" w:hAnsi="Cambria Math"/>
                        <w:sz w:val="22"/>
                        <w:szCs w:val="22"/>
                      </w:rPr>
                      <m:t>a</m:t>
                    </m:r>
                    <m:r>
                      <w:rPr>
                        <w:rFonts w:ascii="Cambria Math" w:hAnsi="Cambria Math"/>
                        <w:sz w:val="22"/>
                        <w:szCs w:val="22"/>
                      </w:rPr>
                      <m:t>,</m:t>
                    </m:r>
                    <m:r>
                      <w:rPr>
                        <w:rFonts w:ascii="Cambria Math" w:hAnsi="Cambria Math"/>
                        <w:sz w:val="22"/>
                        <w:szCs w:val="22"/>
                      </w:rPr>
                      <m:t>c</m:t>
                    </m:r>
                    <m:r>
                      <w:rPr>
                        <w:rFonts w:ascii="Cambria Math" w:hAnsi="Cambria Math"/>
                        <w:sz w:val="22"/>
                        <w:szCs w:val="22"/>
                      </w:rPr>
                      <m:t>h</m:t>
                    </m:r>
                    <m:r>
                      <w:rPr>
                        <w:rFonts w:ascii="Cambria Math" w:hAnsi="Cambria Math"/>
                        <w:sz w:val="22"/>
                        <w:szCs w:val="22"/>
                      </w:rPr>
                      <m:t>rg</m:t>
                    </m:r>
                  </m:sub>
                  <m:sup/>
                  <m:e>
                    <m:sSubSup>
                      <m:sSubSupPr>
                        <m:ctrlPr>
                          <w:rPr>
                            <w:rFonts w:ascii="Cambria Math" w:hAnsi="Cambria Math"/>
                            <w:i/>
                            <w:sz w:val="22"/>
                            <w:szCs w:val="22"/>
                          </w:rPr>
                        </m:ctrlPr>
                      </m:sSubSupPr>
                      <m:e>
                        <m:r>
                          <w:rPr>
                            <w:rFonts w:ascii="Cambria Math" w:hAnsi="Cambria Math"/>
                            <w:sz w:val="22"/>
                            <w:szCs w:val="22"/>
                          </w:rPr>
                          <m:t>V</m:t>
                        </m:r>
                      </m:e>
                      <m:sub>
                        <m:r>
                          <w:rPr>
                            <w:rFonts w:ascii="Cambria Math" w:hAnsi="Cambria Math"/>
                            <w:sz w:val="22"/>
                            <w:szCs w:val="22"/>
                          </w:rPr>
                          <m:t>i</m:t>
                        </m:r>
                        <m:r>
                          <w:rPr>
                            <w:rFonts w:ascii="Cambria Math" w:hAnsi="Cambria Math"/>
                            <w:sz w:val="22"/>
                            <w:szCs w:val="22"/>
                          </w:rPr>
                          <m:t>,</m:t>
                        </m:r>
                        <m:r>
                          <w:rPr>
                            <w:rFonts w:ascii="Cambria Math" w:hAnsi="Cambria Math"/>
                            <w:sz w:val="22"/>
                            <w:szCs w:val="22"/>
                          </w:rPr>
                          <m:t>r</m:t>
                        </m:r>
                        <m:r>
                          <w:rPr>
                            <w:rFonts w:ascii="Cambria Math" w:hAnsi="Cambria Math"/>
                            <w:sz w:val="22"/>
                            <w:szCs w:val="22"/>
                          </w:rPr>
                          <m:t>,</m:t>
                        </m:r>
                        <m:r>
                          <w:rPr>
                            <w:rFonts w:ascii="Cambria Math" w:hAnsi="Cambria Math"/>
                            <w:sz w:val="22"/>
                            <w:szCs w:val="22"/>
                          </w:rPr>
                          <m:t>md</m:t>
                        </m:r>
                        <m:r>
                          <w:rPr>
                            <w:rFonts w:ascii="Cambria Math" w:hAnsi="Cambria Math"/>
                            <w:sz w:val="22"/>
                            <w:szCs w:val="22"/>
                          </w:rPr>
                          <m:t>,</m:t>
                        </m:r>
                        <m:r>
                          <w:rPr>
                            <w:rFonts w:ascii="Cambria Math" w:hAnsi="Cambria Math"/>
                            <w:sz w:val="22"/>
                            <w:szCs w:val="22"/>
                          </w:rPr>
                          <m:t>a</m:t>
                        </m:r>
                        <m:r>
                          <w:rPr>
                            <w:rFonts w:ascii="Cambria Math" w:hAnsi="Cambria Math"/>
                            <w:sz w:val="22"/>
                            <w:szCs w:val="22"/>
                          </w:rPr>
                          <m:t>,</m:t>
                        </m:r>
                        <m:r>
                          <w:rPr>
                            <w:rFonts w:ascii="Cambria Math" w:hAnsi="Cambria Math"/>
                            <w:sz w:val="22"/>
                            <w:szCs w:val="22"/>
                          </w:rPr>
                          <m:t>c</m:t>
                        </m:r>
                        <m:r>
                          <w:rPr>
                            <w:rFonts w:ascii="Cambria Math" w:hAnsi="Cambria Math"/>
                            <w:sz w:val="22"/>
                            <w:szCs w:val="22"/>
                          </w:rPr>
                          <m:t>h</m:t>
                        </m:r>
                        <m:r>
                          <w:rPr>
                            <w:rFonts w:ascii="Cambria Math" w:hAnsi="Cambria Math"/>
                            <w:sz w:val="22"/>
                            <w:szCs w:val="22"/>
                          </w:rPr>
                          <m:t>rg</m:t>
                        </m:r>
                        <m:r>
                          <w:rPr>
                            <w:rFonts w:ascii="Cambria Math" w:hAnsi="Cambria Math"/>
                            <w:sz w:val="22"/>
                            <w:szCs w:val="22"/>
                          </w:rPr>
                          <m:t>,</m:t>
                        </m:r>
                        <m:r>
                          <w:rPr>
                            <w:rFonts w:ascii="Cambria Math" w:hAnsi="Cambria Math"/>
                            <w:sz w:val="22"/>
                            <w:szCs w:val="22"/>
                          </w:rPr>
                          <m:t>t</m:t>
                        </m:r>
                      </m:sub>
                      <m:sup>
                        <m:r>
                          <w:rPr>
                            <w:rFonts w:ascii="Cambria Math" w:hAnsi="Cambria Math"/>
                            <w:sz w:val="22"/>
                            <w:szCs w:val="22"/>
                          </w:rPr>
                          <m:t>t</m:t>
                        </m:r>
                      </m:sup>
                    </m:sSubSup>
                  </m:e>
                </m:nary>
                <m:f>
                  <m:fPr>
                    <m:ctrlPr>
                      <w:rPr>
                        <w:rFonts w:ascii="Cambria Math" w:hAnsi="Cambria Math"/>
                        <w:iCs/>
                        <w:sz w:val="22"/>
                        <w:szCs w:val="22"/>
                      </w:rPr>
                    </m:ctrlPr>
                  </m:fPr>
                  <m:num>
                    <m:sSub>
                      <m:sSubPr>
                        <m:ctrlPr>
                          <w:rPr>
                            <w:rFonts w:ascii="Cambria Math" w:hAnsi="Cambria Math"/>
                            <w:i/>
                            <w:sz w:val="22"/>
                            <w:szCs w:val="22"/>
                          </w:rPr>
                        </m:ctrlPr>
                      </m:sSubPr>
                      <m:e>
                        <m:r>
                          <w:rPr>
                            <w:rFonts w:ascii="Cambria Math" w:hAnsi="Cambria Math"/>
                            <w:sz w:val="22"/>
                            <w:szCs w:val="22"/>
                          </w:rPr>
                          <m:t>VKT</m:t>
                        </m:r>
                      </m:e>
                      <m:sub>
                        <m:r>
                          <w:rPr>
                            <w:rFonts w:ascii="Cambria Math" w:hAnsi="Cambria Math"/>
                            <w:sz w:val="22"/>
                            <w:szCs w:val="22"/>
                          </w:rPr>
                          <m:t>t</m:t>
                        </m:r>
                        <m:r>
                          <w:rPr>
                            <w:rFonts w:ascii="Cambria Math" w:hAnsi="Cambria Math"/>
                            <w:sz w:val="22"/>
                            <w:szCs w:val="22"/>
                          </w:rPr>
                          <m:t>,</m:t>
                        </m:r>
                        <m:r>
                          <w:rPr>
                            <w:rFonts w:ascii="Cambria Math" w:hAnsi="Cambria Math"/>
                            <w:sz w:val="22"/>
                            <w:szCs w:val="22"/>
                          </w:rPr>
                          <m:t>v</m:t>
                        </m:r>
                        <m:r>
                          <w:rPr>
                            <w:rFonts w:ascii="Cambria Math" w:hAnsi="Cambria Math"/>
                            <w:sz w:val="22"/>
                            <w:szCs w:val="22"/>
                          </w:rPr>
                          <m:t>,</m:t>
                        </m:r>
                        <m:r>
                          <w:rPr>
                            <w:rFonts w:ascii="Cambria Math" w:hAnsi="Cambria Math"/>
                            <w:sz w:val="22"/>
                            <w:szCs w:val="22"/>
                          </w:rPr>
                          <m:t>r</m:t>
                        </m:r>
                        <m:r>
                          <w:rPr>
                            <w:rFonts w:ascii="Cambria Math" w:hAnsi="Cambria Math"/>
                            <w:sz w:val="22"/>
                            <w:szCs w:val="22"/>
                          </w:rPr>
                          <m:t>,</m:t>
                        </m:r>
                        <m:r>
                          <w:rPr>
                            <w:rFonts w:ascii="Cambria Math" w:hAnsi="Cambria Math"/>
                            <w:sz w:val="22"/>
                            <w:szCs w:val="22"/>
                          </w:rPr>
                          <m:t>md</m:t>
                        </m:r>
                        <m:r>
                          <w:rPr>
                            <w:rFonts w:ascii="Cambria Math" w:hAnsi="Cambria Math"/>
                            <w:sz w:val="22"/>
                            <w:szCs w:val="22"/>
                          </w:rPr>
                          <m:t>,</m:t>
                        </m:r>
                        <m:r>
                          <w:rPr>
                            <w:rFonts w:ascii="Cambria Math" w:hAnsi="Cambria Math"/>
                            <w:sz w:val="22"/>
                            <w:szCs w:val="22"/>
                          </w:rPr>
                          <m:t>a</m:t>
                        </m:r>
                        <m:r>
                          <w:rPr>
                            <w:rFonts w:ascii="Cambria Math" w:hAnsi="Cambria Math"/>
                            <w:sz w:val="22"/>
                            <w:szCs w:val="22"/>
                          </w:rPr>
                          <m:t>,</m:t>
                        </m:r>
                        <m:r>
                          <w:rPr>
                            <w:rFonts w:ascii="Cambria Math" w:hAnsi="Cambria Math"/>
                            <w:sz w:val="22"/>
                            <w:szCs w:val="22"/>
                          </w:rPr>
                          <m:t>c</m:t>
                        </m:r>
                        <m:r>
                          <w:rPr>
                            <w:rFonts w:ascii="Cambria Math" w:hAnsi="Cambria Math"/>
                            <w:sz w:val="22"/>
                            <w:szCs w:val="22"/>
                          </w:rPr>
                          <m:t>h</m:t>
                        </m:r>
                        <m:r>
                          <w:rPr>
                            <w:rFonts w:ascii="Cambria Math" w:hAnsi="Cambria Math"/>
                            <w:sz w:val="22"/>
                            <w:szCs w:val="22"/>
                          </w:rPr>
                          <m:t>rg</m:t>
                        </m:r>
                      </m:sub>
                    </m:sSub>
                  </m:num>
                  <m:den>
                    <m:sSubSup>
                      <m:sSubSupPr>
                        <m:ctrlPr>
                          <w:rPr>
                            <w:rFonts w:ascii="Cambria Math" w:hAnsi="Cambria Math"/>
                            <w:i/>
                            <w:sz w:val="22"/>
                            <w:szCs w:val="22"/>
                          </w:rPr>
                        </m:ctrlPr>
                      </m:sSubSupPr>
                      <m:e>
                        <m:r>
                          <m:rPr>
                            <m:sty m:val="p"/>
                          </m:rPr>
                          <w:rPr>
                            <w:rFonts w:ascii="Cambria Math" w:hAnsi="Cambria Math"/>
                            <w:sz w:val="22"/>
                            <w:szCs w:val="22"/>
                          </w:rPr>
                          <m:t> </m:t>
                        </m:r>
                        <m:r>
                          <w:rPr>
                            <w:rFonts w:ascii="Cambria Math" w:hAnsi="Cambria Math"/>
                            <w:sz w:val="22"/>
                            <w:szCs w:val="22"/>
                          </w:rPr>
                          <m:t>R</m:t>
                        </m:r>
                      </m:e>
                      <m:sub>
                        <m:r>
                          <w:rPr>
                            <w:rFonts w:ascii="Cambria Math" w:hAnsi="Cambria Math"/>
                            <w:sz w:val="22"/>
                            <w:szCs w:val="22"/>
                          </w:rPr>
                          <m:t>t</m:t>
                        </m:r>
                        <m:r>
                          <w:rPr>
                            <w:rFonts w:ascii="Cambria Math" w:hAnsi="Cambria Math"/>
                            <w:sz w:val="22"/>
                            <w:szCs w:val="22"/>
                          </w:rPr>
                          <m:t>,</m:t>
                        </m:r>
                        <m:r>
                          <w:rPr>
                            <w:rFonts w:ascii="Cambria Math" w:hAnsi="Cambria Math"/>
                            <w:sz w:val="22"/>
                            <w:szCs w:val="22"/>
                          </w:rPr>
                          <m:t>v</m:t>
                        </m:r>
                      </m:sub>
                      <m:sup>
                        <m:r>
                          <w:rPr>
                            <w:rFonts w:ascii="Cambria Math" w:hAnsi="Cambria Math"/>
                            <w:sz w:val="22"/>
                            <w:szCs w:val="22"/>
                          </w:rPr>
                          <m:t>max</m:t>
                        </m:r>
                      </m:sup>
                    </m:sSubSup>
                  </m:den>
                </m:f>
                <m:sSub>
                  <m:sSubPr>
                    <m:ctrlPr>
                      <w:rPr>
                        <w:rFonts w:ascii="Cambria Math" w:hAnsi="Cambria Math"/>
                        <w:i/>
                        <w:iCs/>
                        <w:sz w:val="22"/>
                        <w:szCs w:val="22"/>
                      </w:rPr>
                    </m:ctrlPr>
                  </m:sSubPr>
                  <m:e>
                    <m:sSub>
                      <m:sSubPr>
                        <m:ctrlPr>
                          <w:rPr>
                            <w:rFonts w:ascii="Cambria Math" w:hAnsi="Cambria Math"/>
                            <w:sz w:val="22"/>
                            <w:szCs w:val="22"/>
                          </w:rPr>
                        </m:ctrlPr>
                      </m:sSubPr>
                      <m:e>
                        <m:r>
                          <m:rPr>
                            <m:sty m:val="p"/>
                          </m:rPr>
                          <w:rPr>
                            <w:rFonts w:ascii="Cambria Math" w:hAnsi="Cambria Math"/>
                            <w:sz w:val="22"/>
                            <w:szCs w:val="22"/>
                          </w:rPr>
                          <m:t>d</m:t>
                        </m:r>
                      </m:e>
                      <m:sub>
                        <m:r>
                          <m:rPr>
                            <m:sty m:val="p"/>
                          </m:rPr>
                          <w:rPr>
                            <w:rFonts w:ascii="Cambria Math" w:hAnsi="Cambria Math"/>
                            <w:sz w:val="22"/>
                            <w:szCs w:val="22"/>
                          </w:rPr>
                          <m:t>detour</m:t>
                        </m:r>
                      </m:sub>
                    </m:sSub>
                  </m:e>
                  <m:sub>
                    <m:r>
                      <w:rPr>
                        <w:rFonts w:ascii="Cambria Math" w:hAnsi="Cambria Math"/>
                        <w:sz w:val="22"/>
                        <w:szCs w:val="22"/>
                      </w:rPr>
                      <m:t>r</m:t>
                    </m:r>
                  </m:sub>
                </m:sSub>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fix</m:t>
                    </m:r>
                    <m:r>
                      <w:rPr>
                        <w:rFonts w:ascii="Cambria Math" w:hAnsi="Cambria Math"/>
                        <w:sz w:val="22"/>
                        <w:szCs w:val="22"/>
                      </w:rPr>
                      <m:t>,</m:t>
                    </m:r>
                    <m:r>
                      <w:rPr>
                        <w:rFonts w:ascii="Cambria Math" w:hAnsi="Cambria Math"/>
                        <w:sz w:val="22"/>
                        <w:szCs w:val="22"/>
                      </w:rPr>
                      <m:t>c</m:t>
                    </m:r>
                    <m:r>
                      <w:rPr>
                        <w:rFonts w:ascii="Cambria Math" w:hAnsi="Cambria Math"/>
                        <w:sz w:val="22"/>
                        <w:szCs w:val="22"/>
                      </w:rPr>
                      <m:t>h</m:t>
                    </m:r>
                    <m:r>
                      <w:rPr>
                        <w:rFonts w:ascii="Cambria Math" w:hAnsi="Cambria Math"/>
                        <w:sz w:val="22"/>
                        <w:szCs w:val="22"/>
                      </w:rPr>
                      <m:t>rg</m:t>
                    </m:r>
                    <m:r>
                      <w:rPr>
                        <w:rFonts w:ascii="Cambria Math" w:hAnsi="Cambria Math"/>
                        <w:sz w:val="22"/>
                        <w:szCs w:val="22"/>
                      </w:rPr>
                      <m:t>,</m:t>
                    </m:r>
                    <m:r>
                      <w:rPr>
                        <w:rFonts w:ascii="Cambria Math" w:hAnsi="Cambria Math"/>
                        <w:sz w:val="22"/>
                        <w:szCs w:val="22"/>
                      </w:rPr>
                      <m:t>t</m:t>
                    </m:r>
                  </m:sub>
                </m:sSub>
                <m:f>
                  <m:fPr>
                    <m:ctrlPr>
                      <w:rPr>
                        <w:rFonts w:ascii="Cambria Math" w:hAnsi="Cambria Math"/>
                        <w:iCs/>
                        <w:sz w:val="22"/>
                        <w:szCs w:val="22"/>
                      </w:rPr>
                    </m:ctrlPr>
                  </m:fPr>
                  <m:num>
                    <m:r>
                      <m:rPr>
                        <m:sty m:val="p"/>
                      </m:rPr>
                      <w:rPr>
                        <w:rFonts w:ascii="Cambria Math" w:hAnsi="Cambria Math"/>
                        <w:sz w:val="22"/>
                        <w:szCs w:val="22"/>
                      </w:rPr>
                      <m:t>2×1.3</m:t>
                    </m:r>
                    <m:r>
                      <m:rPr>
                        <m:sty m:val="b"/>
                      </m:rPr>
                      <w:rPr>
                        <w:rFonts w:ascii="Cambria Math" w:hAnsi="Cambria Math"/>
                        <w:sz w:val="22"/>
                        <w:szCs w:val="22"/>
                      </w:rPr>
                      <m:t> </m:t>
                    </m:r>
                    <m:r>
                      <m:rPr>
                        <m:sty m:val="p"/>
                      </m:rPr>
                      <w:rPr>
                        <w:rFonts w:ascii="Cambria Math" w:hAnsi="Cambria Math"/>
                        <w:sz w:val="22"/>
                        <w:szCs w:val="22"/>
                      </w:rPr>
                      <m:t>Euclidean coefficient</m:t>
                    </m:r>
                  </m:num>
                  <m:den>
                    <m:r>
                      <m:rPr>
                        <m:sty m:val="p"/>
                      </m:rPr>
                      <w:rPr>
                        <w:rFonts w:ascii="Cambria Math" w:hAnsi="Cambria Math"/>
                        <w:sz w:val="22"/>
                        <w:szCs w:val="22"/>
                      </w:rPr>
                      <m:t>32 mph</m:t>
                    </m:r>
                  </m:den>
                </m:f>
              </m:oMath>
            </m:oMathPara>
          </w:p>
          <w:p w14:paraId="1BF85191" w14:textId="650DBA52" w:rsidR="00983392" w:rsidRPr="00116248" w:rsidRDefault="00983392" w:rsidP="00C53F8C">
            <w:pPr>
              <w:spacing w:line="240" w:lineRule="auto"/>
              <w:rPr>
                <w:rFonts w:eastAsia="DengXian"/>
              </w:rPr>
            </w:pPr>
            <m:oMathPara>
              <m:oMath>
                <m:r>
                  <m:rPr>
                    <m:sty m:val="p"/>
                  </m:rPr>
                  <w:rPr>
                    <w:rFonts w:ascii="Cambria Math" w:hAnsi="Cambria Math"/>
                    <w:sz w:val="22"/>
                    <w:szCs w:val="22"/>
                  </w:rPr>
                  <m:t xml:space="preserve"> =0.082×</m:t>
                </m:r>
                <m:nary>
                  <m:naryPr>
                    <m:chr m:val="∑"/>
                    <m:limLoc m:val="undOvr"/>
                    <m:supHide m:val="1"/>
                    <m:ctrlPr>
                      <w:rPr>
                        <w:rFonts w:ascii="Cambria Math" w:hAnsi="Cambria Math"/>
                        <w:sz w:val="22"/>
                        <w:szCs w:val="22"/>
                      </w:rPr>
                    </m:ctrlPr>
                  </m:naryPr>
                  <m:sub>
                    <m:r>
                      <w:rPr>
                        <w:rFonts w:ascii="Cambria Math" w:hAnsi="Cambria Math"/>
                        <w:sz w:val="22"/>
                        <w:szCs w:val="22"/>
                      </w:rPr>
                      <m:t>v,r,md,a,chrg</m:t>
                    </m:r>
                  </m:sub>
                  <m:sup/>
                  <m:e>
                    <m:sSubSup>
                      <m:sSubSupPr>
                        <m:ctrlPr>
                          <w:rPr>
                            <w:rFonts w:ascii="Cambria Math" w:hAnsi="Cambria Math"/>
                            <w:i/>
                            <w:sz w:val="22"/>
                            <w:szCs w:val="22"/>
                          </w:rPr>
                        </m:ctrlPr>
                      </m:sSubSupPr>
                      <m:e>
                        <m:r>
                          <w:rPr>
                            <w:rFonts w:ascii="Cambria Math" w:hAnsi="Cambria Math"/>
                            <w:sz w:val="22"/>
                            <w:szCs w:val="22"/>
                          </w:rPr>
                          <m:t>V</m:t>
                        </m:r>
                      </m:e>
                      <m:sub>
                        <m:r>
                          <w:rPr>
                            <w:rFonts w:ascii="Cambria Math" w:hAnsi="Cambria Math"/>
                            <w:sz w:val="22"/>
                            <w:szCs w:val="22"/>
                          </w:rPr>
                          <m:t>i,r,md,a,chrg,t</m:t>
                        </m:r>
                      </m:sub>
                      <m:sup>
                        <m:r>
                          <w:rPr>
                            <w:rFonts w:ascii="Cambria Math" w:hAnsi="Cambria Math"/>
                            <w:sz w:val="22"/>
                            <w:szCs w:val="22"/>
                          </w:rPr>
                          <m:t>t</m:t>
                        </m:r>
                      </m:sup>
                    </m:sSubSup>
                  </m:e>
                </m:nary>
                <m:f>
                  <m:fPr>
                    <m:ctrlPr>
                      <w:rPr>
                        <w:rFonts w:ascii="Cambria Math" w:hAnsi="Cambria Math"/>
                        <w:iCs/>
                        <w:sz w:val="22"/>
                        <w:szCs w:val="22"/>
                      </w:rPr>
                    </m:ctrlPr>
                  </m:fPr>
                  <m:num>
                    <m:sSub>
                      <m:sSubPr>
                        <m:ctrlPr>
                          <w:rPr>
                            <w:rFonts w:ascii="Cambria Math" w:hAnsi="Cambria Math"/>
                            <w:i/>
                            <w:sz w:val="22"/>
                            <w:szCs w:val="22"/>
                          </w:rPr>
                        </m:ctrlPr>
                      </m:sSubPr>
                      <m:e>
                        <m:r>
                          <w:rPr>
                            <w:rFonts w:ascii="Cambria Math" w:hAnsi="Cambria Math"/>
                            <w:sz w:val="22"/>
                            <w:szCs w:val="22"/>
                          </w:rPr>
                          <m:t>VKT</m:t>
                        </m:r>
                      </m:e>
                      <m:sub>
                        <m:r>
                          <w:rPr>
                            <w:rFonts w:ascii="Cambria Math" w:hAnsi="Cambria Math"/>
                            <w:sz w:val="22"/>
                            <w:szCs w:val="22"/>
                          </w:rPr>
                          <m:t>t,v,r,md,a,chrg</m:t>
                        </m:r>
                      </m:sub>
                    </m:sSub>
                  </m:num>
                  <m:den>
                    <m:sSubSup>
                      <m:sSubSupPr>
                        <m:ctrlPr>
                          <w:rPr>
                            <w:rFonts w:ascii="Cambria Math" w:hAnsi="Cambria Math"/>
                            <w:i/>
                            <w:sz w:val="22"/>
                            <w:szCs w:val="22"/>
                          </w:rPr>
                        </m:ctrlPr>
                      </m:sSubSupPr>
                      <m:e>
                        <m:r>
                          <m:rPr>
                            <m:sty m:val="p"/>
                          </m:rPr>
                          <w:rPr>
                            <w:rFonts w:ascii="Cambria Math" w:hAnsi="Cambria Math"/>
                            <w:sz w:val="22"/>
                            <w:szCs w:val="22"/>
                          </w:rPr>
                          <m:t> </m:t>
                        </m:r>
                        <m:r>
                          <w:rPr>
                            <w:rFonts w:ascii="Cambria Math" w:hAnsi="Cambria Math"/>
                            <w:sz w:val="22"/>
                            <w:szCs w:val="22"/>
                          </w:rPr>
                          <m:t>R</m:t>
                        </m:r>
                      </m:e>
                      <m:sub>
                        <m:r>
                          <w:rPr>
                            <w:rFonts w:ascii="Cambria Math" w:hAnsi="Cambria Math"/>
                            <w:sz w:val="22"/>
                            <w:szCs w:val="22"/>
                          </w:rPr>
                          <m:t>t</m:t>
                        </m:r>
                      </m:sub>
                      <m:sup>
                        <m:r>
                          <w:rPr>
                            <w:rFonts w:ascii="Cambria Math" w:hAnsi="Cambria Math"/>
                            <w:sz w:val="22"/>
                            <w:szCs w:val="22"/>
                          </w:rPr>
                          <m:t>max</m:t>
                        </m:r>
                      </m:sup>
                    </m:sSubSup>
                  </m:den>
                </m:f>
                <m:sSub>
                  <m:sSubPr>
                    <m:ctrlPr>
                      <w:rPr>
                        <w:rFonts w:ascii="Cambria Math" w:hAnsi="Cambria Math"/>
                        <w:i/>
                        <w:iCs/>
                        <w:sz w:val="22"/>
                        <w:szCs w:val="22"/>
                      </w:rPr>
                    </m:ctrlPr>
                  </m:sSubPr>
                  <m:e>
                    <m:sSub>
                      <m:sSubPr>
                        <m:ctrlPr>
                          <w:rPr>
                            <w:rFonts w:ascii="Cambria Math" w:hAnsi="Cambria Math"/>
                            <w:sz w:val="22"/>
                            <w:szCs w:val="22"/>
                          </w:rPr>
                        </m:ctrlPr>
                      </m:sSubPr>
                      <m:e>
                        <m:r>
                          <m:rPr>
                            <m:sty m:val="p"/>
                          </m:rPr>
                          <w:rPr>
                            <w:rFonts w:ascii="Cambria Math" w:hAnsi="Cambria Math"/>
                            <w:sz w:val="22"/>
                            <w:szCs w:val="22"/>
                          </w:rPr>
                          <m:t>d</m:t>
                        </m:r>
                      </m:e>
                      <m:sub>
                        <m:r>
                          <m:rPr>
                            <m:sty m:val="p"/>
                          </m:rPr>
                          <w:rPr>
                            <w:rFonts w:ascii="Cambria Math" w:hAnsi="Cambria Math"/>
                            <w:sz w:val="22"/>
                            <w:szCs w:val="22"/>
                          </w:rPr>
                          <m:t>detour</m:t>
                        </m:r>
                      </m:sub>
                    </m:sSub>
                  </m:e>
                  <m:sub>
                    <m:r>
                      <w:rPr>
                        <w:rFonts w:ascii="Cambria Math" w:hAnsi="Cambria Math"/>
                        <w:sz w:val="22"/>
                        <w:szCs w:val="22"/>
                      </w:rPr>
                      <m:t>r</m:t>
                    </m:r>
                  </m:sub>
                </m:sSub>
                <m:sSub>
                  <m:sSubPr>
                    <m:ctrlPr>
                      <w:rPr>
                        <w:rFonts w:ascii="Cambria Math" w:hAnsi="Cambria Math"/>
                        <w:sz w:val="22"/>
                        <w:szCs w:val="22"/>
                      </w:rPr>
                    </m:ctrlPr>
                  </m:sSubPr>
                  <m:e>
                    <m:r>
                      <w:rPr>
                        <w:rFonts w:ascii="Cambria Math" w:hAnsi="Cambria Math"/>
                        <w:sz w:val="22"/>
                        <w:szCs w:val="22"/>
                      </w:rPr>
                      <m:t>P</m:t>
                    </m:r>
                  </m:e>
                  <m:sub>
                    <m:r>
                      <w:rPr>
                        <w:rFonts w:ascii="Cambria Math" w:hAnsi="Cambria Math"/>
                        <w:sz w:val="22"/>
                        <w:szCs w:val="22"/>
                      </w:rPr>
                      <m:t>fix,chrg,t</m:t>
                    </m:r>
                  </m:sub>
                </m:sSub>
              </m:oMath>
            </m:oMathPara>
          </w:p>
        </w:tc>
        <w:tc>
          <w:tcPr>
            <w:tcW w:w="291" w:type="pct"/>
          </w:tcPr>
          <w:p w14:paraId="205DEC03" w14:textId="1355B254" w:rsidR="00983392" w:rsidRPr="00D837E6" w:rsidRDefault="00D837E6" w:rsidP="0099742A">
            <w:pPr>
              <w:pStyle w:val="Equationnumber"/>
              <w:ind w:left="347"/>
            </w:pPr>
            <w:r w:rsidRPr="00D837E6">
              <w:t xml:space="preserve"> </w:t>
            </w:r>
          </w:p>
        </w:tc>
      </w:tr>
    </w:tbl>
    <w:p w14:paraId="3D05A0D8" w14:textId="77777777" w:rsidR="00983392" w:rsidRDefault="00983392" w:rsidP="0099742A">
      <w:pPr>
        <w:tabs>
          <w:tab w:val="left" w:pos="8910"/>
          <w:tab w:val="left" w:pos="9000"/>
        </w:tabs>
        <w:spacing w:line="240" w:lineRule="auto"/>
        <w:ind w:right="180"/>
      </w:pPr>
    </w:p>
    <w:p w14:paraId="0190AF0E" w14:textId="75437763" w:rsidR="00086AEC" w:rsidRDefault="00FC7AC7" w:rsidP="009038EC">
      <w:pPr>
        <w:spacing w:line="240" w:lineRule="auto"/>
        <w:rPr>
          <w:sz w:val="28"/>
          <w:szCs w:val="28"/>
        </w:rPr>
      </w:pPr>
      <w:r>
        <w:t xml:space="preserve">where the </w:t>
      </w:r>
      <m:oMath>
        <m:sSubSup>
          <m:sSubSupPr>
            <m:ctrlPr>
              <w:rPr>
                <w:rFonts w:ascii="Cambria Math" w:hAnsi="Cambria Math"/>
                <w:i/>
              </w:rPr>
            </m:ctrlPr>
          </m:sSubSupPr>
          <m:e>
            <m:r>
              <w:rPr>
                <w:rFonts w:ascii="Cambria Math" w:hAnsi="Cambria Math"/>
              </w:rPr>
              <m:t>V</m:t>
            </m:r>
          </m:e>
          <m:sub>
            <m:r>
              <w:rPr>
                <w:rFonts w:ascii="Cambria Math" w:hAnsi="Cambria Math"/>
              </w:rPr>
              <m:t>i,r,md,a,chrg,t</m:t>
            </m:r>
          </m:sub>
          <m:sup>
            <m:r>
              <w:rPr>
                <w:rFonts w:ascii="Cambria Math" w:hAnsi="Cambria Math"/>
              </w:rPr>
              <m:t>t</m:t>
            </m:r>
          </m:sup>
        </m:sSubSup>
      </m:oMath>
      <w:r>
        <w:t xml:space="preserve"> is the value of the time</w:t>
      </w:r>
      <w:r w:rsidR="00F953D5">
        <w:t xml:space="preserve"> defined in A.1.4.2</w:t>
      </w:r>
      <w:r>
        <w:t xml:space="preserve">; </w:t>
      </w:r>
      <m:oMath>
        <m:sSub>
          <m:sSubPr>
            <m:ctrlPr>
              <w:rPr>
                <w:rFonts w:ascii="Cambria Math" w:hAnsi="Cambria Math"/>
                <w:i/>
              </w:rPr>
            </m:ctrlPr>
          </m:sSubPr>
          <m:e>
            <m:r>
              <w:rPr>
                <w:rFonts w:ascii="Cambria Math" w:hAnsi="Cambria Math"/>
              </w:rPr>
              <m:t>VKT</m:t>
            </m:r>
          </m:e>
          <m:sub>
            <m:r>
              <w:rPr>
                <w:rFonts w:ascii="Cambria Math" w:hAnsi="Cambria Math"/>
              </w:rPr>
              <m:t>t,v,r,md,a,chrg</m:t>
            </m:r>
          </m:sub>
        </m:sSub>
      </m:oMath>
      <w:r w:rsidR="00F953D5">
        <w:t xml:space="preserve"> </w:t>
      </w:r>
      <w:r>
        <w:t xml:space="preserve">is the total </w:t>
      </w:r>
      <w:r w:rsidR="00973B31">
        <w:t xml:space="preserve">yearly </w:t>
      </w:r>
      <w:r w:rsidR="00A95FD1">
        <w:t xml:space="preserve">VKT </w:t>
      </w:r>
      <w:r>
        <w:t xml:space="preserve">driven </w:t>
      </w:r>
      <w:r w:rsidR="00270BD6">
        <w:t xml:space="preserve">of vehicle </w:t>
      </w:r>
      <w:r w:rsidR="00270BD6" w:rsidRPr="0099742A">
        <w:rPr>
          <w:i/>
          <w:iCs/>
        </w:rPr>
        <w:t>v</w:t>
      </w:r>
      <w:r w:rsidR="00270BD6">
        <w:t xml:space="preserve"> of driving demand group </w:t>
      </w:r>
      <w:r w:rsidR="00270BD6" w:rsidRPr="0002517D">
        <w:rPr>
          <w:i/>
          <w:iCs/>
        </w:rPr>
        <w:t>md</w:t>
      </w:r>
      <w:r w:rsidR="00270BD6">
        <w:t xml:space="preserve">, vehicle age </w:t>
      </w:r>
      <w:r w:rsidR="00270BD6" w:rsidRPr="0002517D">
        <w:rPr>
          <w:i/>
          <w:iCs/>
        </w:rPr>
        <w:t>a</w:t>
      </w:r>
      <w:r w:rsidR="00270BD6">
        <w:t xml:space="preserve">, with charging availability </w:t>
      </w:r>
      <w:proofErr w:type="spellStart"/>
      <w:r w:rsidR="00270BD6" w:rsidRPr="00712BBC">
        <w:rPr>
          <w:i/>
          <w:iCs/>
        </w:rPr>
        <w:t>chrg</w:t>
      </w:r>
      <w:proofErr w:type="spellEnd"/>
      <w:r w:rsidR="00270BD6">
        <w:rPr>
          <w:i/>
          <w:iCs/>
        </w:rPr>
        <w:t>,</w:t>
      </w:r>
      <w:r w:rsidR="00270BD6">
        <w:t xml:space="preserve"> of time </w:t>
      </w:r>
      <w:r w:rsidR="00270BD6" w:rsidRPr="0002517D">
        <w:rPr>
          <w:i/>
          <w:iCs/>
        </w:rPr>
        <w:t>t</w:t>
      </w:r>
      <w:r w:rsidR="00270BD6">
        <w:t xml:space="preserve"> of region </w:t>
      </w:r>
      <w:r w:rsidR="00270BD6" w:rsidRPr="0002517D">
        <w:rPr>
          <w:i/>
          <w:iCs/>
        </w:rPr>
        <w:t>r</w:t>
      </w:r>
      <w:r w:rsidR="00270BD6">
        <w:t xml:space="preserve"> that are </w:t>
      </w:r>
      <w:r>
        <w:t>endogenously determined by the model</w:t>
      </w:r>
      <w:r w:rsidR="00270BD6">
        <w:t>, divided by the maximum range of FFV with a full tank or BEV (</w:t>
      </w:r>
      <m:oMath>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t,v</m:t>
            </m:r>
          </m:sub>
          <m:sup>
            <m:r>
              <w:rPr>
                <w:rFonts w:ascii="Cambria Math" w:hAnsi="Cambria Math"/>
              </w:rPr>
              <m:t>max</m:t>
            </m:r>
          </m:sup>
        </m:sSubSup>
      </m:oMath>
      <w:r w:rsidR="00270BD6">
        <w:t>) to obtain the number of visit</w:t>
      </w:r>
      <w:r w:rsidR="00973B31">
        <w:t>s</w:t>
      </w:r>
      <w:r w:rsidR="00270BD6">
        <w:t xml:space="preserve"> </w:t>
      </w:r>
      <w:r w:rsidR="00973B31">
        <w:t xml:space="preserve">to </w:t>
      </w:r>
      <w:r w:rsidR="00270BD6">
        <w:t>public charging stations.</w:t>
      </w:r>
      <w:r>
        <w:t xml:space="preserve"> </w:t>
      </w:r>
      <m:oMath>
        <m:sSub>
          <m:sSubPr>
            <m:ctrlPr>
              <w:rPr>
                <w:rFonts w:ascii="Cambria Math" w:hAnsi="Cambria Math"/>
              </w:rPr>
            </m:ctrlPr>
          </m:sSubPr>
          <m:e>
            <m:r>
              <m:rPr>
                <m:sty m:val="p"/>
              </m:rPr>
              <w:rPr>
                <w:rFonts w:ascii="Cambria Math" w:hAnsi="Cambria Math"/>
              </w:rPr>
              <m:t>d</m:t>
            </m:r>
          </m:e>
          <m:sub>
            <m:r>
              <m:rPr>
                <m:sty m:val="p"/>
              </m:rPr>
              <w:rPr>
                <w:rFonts w:ascii="Cambria Math" w:hAnsi="Cambria Math"/>
              </w:rPr>
              <m:t>detour,r</m:t>
            </m:r>
          </m:sub>
        </m:sSub>
      </m:oMath>
      <w:r>
        <w:t xml:space="preserve"> is the detour distance varying across </w:t>
      </w:r>
      <w:r w:rsidR="00270BD6">
        <w:t xml:space="preserve">region </w:t>
      </w:r>
      <w:r w:rsidR="00270BD6" w:rsidRPr="0099742A">
        <w:rPr>
          <w:i/>
          <w:iCs/>
        </w:rPr>
        <w:t>r</w:t>
      </w:r>
      <w:r>
        <w:t xml:space="preserve">. </w:t>
      </w:r>
      <m:oMath>
        <m:sSub>
          <m:sSubPr>
            <m:ctrlPr>
              <w:rPr>
                <w:rFonts w:ascii="Cambria Math" w:hAnsi="Cambria Math"/>
              </w:rPr>
            </m:ctrlPr>
          </m:sSubPr>
          <m:e>
            <m:r>
              <w:rPr>
                <w:rFonts w:ascii="Cambria Math" w:hAnsi="Cambria Math"/>
              </w:rPr>
              <m:t>P</m:t>
            </m:r>
          </m:e>
          <m:sub>
            <m:r>
              <w:rPr>
                <w:rFonts w:ascii="Cambria Math" w:hAnsi="Cambria Math"/>
              </w:rPr>
              <m:t>fix,chrg,t</m:t>
            </m:r>
          </m:sub>
        </m:sSub>
      </m:oMath>
      <w:r>
        <w:t xml:space="preserve"> is the same probability of visiting the public charging </w:t>
      </w:r>
      <w:r>
        <w:rPr>
          <w:rFonts w:hint="eastAsia"/>
        </w:rPr>
        <w:t>for</w:t>
      </w:r>
      <w:r>
        <w:t xml:space="preserve"> BEV drivers defined in A.</w:t>
      </w:r>
      <w:r w:rsidR="003963CE">
        <w:t>1</w:t>
      </w:r>
      <w:r>
        <w:t>.</w:t>
      </w:r>
      <w:r w:rsidR="003963CE">
        <w:t>4.</w:t>
      </w:r>
      <w:r w:rsidR="00270BD6">
        <w:t>2</w:t>
      </w:r>
      <w:r>
        <w:t xml:space="preserve">, which is the probability of exceeding the </w:t>
      </w:r>
      <w:r w:rsidR="00A95FD1">
        <w:t xml:space="preserve">effective VKT </w:t>
      </w:r>
      <w:r>
        <w:t>gained at home or work charging. Same as Pouliot (2014), we assume a representative car with a running speed of 32 miles per hour</w:t>
      </w:r>
      <w:r w:rsidR="002A6AD8">
        <w:t xml:space="preserve"> and 1.3 </w:t>
      </w:r>
      <w:r w:rsidR="002A6AD8" w:rsidRPr="002A6AD8">
        <w:t>Euclidean coefficient</w:t>
      </w:r>
      <w:r w:rsidR="002A6AD8">
        <w:t xml:space="preserve"> for the round trip (</w:t>
      </w:r>
      <w:r w:rsidR="00973B31">
        <w:t xml:space="preserve">multiplied </w:t>
      </w:r>
      <w:r w:rsidR="002B1EBF">
        <w:t>by</w:t>
      </w:r>
      <w:r w:rsidR="002A6AD8">
        <w:t xml:space="preserve"> 2)</w:t>
      </w:r>
      <w:r w:rsidR="009038EC">
        <w:t xml:space="preserve">, and that will reduce the detour cost </w:t>
      </w:r>
      <w:r w:rsidR="002B1EBF">
        <w:t>for</w:t>
      </w:r>
      <w:r w:rsidR="009038EC">
        <w:t xml:space="preserve"> BEV to be equation 15. Whereas </w:t>
      </w:r>
      <w:r w:rsidR="00973B31">
        <w:t>the</w:t>
      </w:r>
      <w:r w:rsidR="009038EC">
        <w:t xml:space="preserve"> range capacity of FFV is the full tank of fuel (assumed to be 16.2 gallons as Pouliot (2014) times the fuel </w:t>
      </w:r>
      <w:r w:rsidR="009038EC" w:rsidRPr="009038EC">
        <w:t xml:space="preserve">efficiency </w:t>
      </w:r>
      <m:oMath>
        <m:sSub>
          <m:sSubPr>
            <m:ctrlPr>
              <w:rPr>
                <w:rFonts w:ascii="Cambria Math" w:hAnsi="Cambria Math"/>
                <w:iCs/>
              </w:rPr>
            </m:ctrlPr>
          </m:sSubPr>
          <m:e>
            <m:r>
              <w:rPr>
                <w:rFonts w:ascii="Cambria Math" w:hAnsi="Cambria Math"/>
              </w:rPr>
              <m:t>γ</m:t>
            </m:r>
          </m:e>
          <m:sub>
            <m:r>
              <w:rPr>
                <w:rFonts w:ascii="Cambria Math" w:hAnsi="Cambria Math"/>
              </w:rPr>
              <m:t>FFV</m:t>
            </m:r>
          </m:sub>
        </m:sSub>
      </m:oMath>
      <w:r w:rsidR="009038EC" w:rsidRPr="0099742A">
        <w:rPr>
          <w:iCs/>
        </w:rPr>
        <w:t xml:space="preserve">, </w:t>
      </w:r>
      <w:r w:rsidR="00973B31">
        <w:rPr>
          <w:iCs/>
        </w:rPr>
        <w:t>and</w:t>
      </w:r>
      <w:r w:rsidR="00973B31" w:rsidRPr="0099742A">
        <w:rPr>
          <w:iCs/>
        </w:rPr>
        <w:t xml:space="preserve"> </w:t>
      </w:r>
      <w:r w:rsidR="009038EC" w:rsidRPr="0099742A">
        <w:rPr>
          <w:iCs/>
        </w:rPr>
        <w:t>the probability of need</w:t>
      </w:r>
      <w:r w:rsidR="00973B31">
        <w:rPr>
          <w:iCs/>
        </w:rPr>
        <w:t>ing</w:t>
      </w:r>
      <w:r w:rsidR="009038EC" w:rsidRPr="0099742A">
        <w:rPr>
          <w:iCs/>
        </w:rPr>
        <w:t xml:space="preserve"> a public charging is always 1.</w:t>
      </w:r>
      <w:r w:rsidR="009038EC">
        <w:rPr>
          <w:iCs/>
        </w:rPr>
        <w:t xml:space="preserve"> The</w:t>
      </w:r>
      <w:r w:rsidR="002B1EBF">
        <w:rPr>
          <w:iCs/>
        </w:rPr>
        <w:t xml:space="preserve"> </w:t>
      </w:r>
      <w:r w:rsidR="00EA1B43">
        <w:t xml:space="preserve">total </w:t>
      </w:r>
      <w:r>
        <w:t xml:space="preserve">detour price of E85 is </w:t>
      </w:r>
      <w:r w:rsidR="009038EC">
        <w:t>then reduced to equation 16</w:t>
      </w:r>
      <w:r>
        <w:t xml:space="preserve">. </w:t>
      </w:r>
      <w:r w:rsidR="00973B31">
        <w:t>E</w:t>
      </w:r>
      <w:r w:rsidR="004B7EAF">
        <w:t>quation</w:t>
      </w:r>
      <w:r w:rsidR="00973B31">
        <w:t>s</w:t>
      </w:r>
      <w:r w:rsidR="004B7EAF">
        <w:t xml:space="preserve"> 1</w:t>
      </w:r>
      <w:r w:rsidR="001D3541">
        <w:t>5</w:t>
      </w:r>
      <w:r w:rsidR="004B7EAF">
        <w:t xml:space="preserve"> and 1</w:t>
      </w:r>
      <w:r w:rsidR="001D3541">
        <w:t>6</w:t>
      </w:r>
      <w:r w:rsidR="004B7EAF">
        <w:t xml:space="preserve"> </w:t>
      </w:r>
      <w:r w:rsidR="0000736B">
        <w:t xml:space="preserve">roughly </w:t>
      </w:r>
      <w:r w:rsidR="004B7EAF">
        <w:t xml:space="preserve">show that the detour cost would be more expensive for FFV </w:t>
      </w:r>
      <w:r w:rsidR="0000736B">
        <w:t xml:space="preserve">E85 refueling </w:t>
      </w:r>
      <w:r w:rsidR="004B7EAF">
        <w:t xml:space="preserve">than BEV when the range capacity of BEV exceeds the range of FFV with </w:t>
      </w:r>
      <w:r w:rsidR="00973B31">
        <w:t xml:space="preserve">a </w:t>
      </w:r>
      <w:r w:rsidR="004B7EAF">
        <w:t>one-time refill</w:t>
      </w:r>
      <w:r w:rsidR="00973B31">
        <w:t>,</w:t>
      </w:r>
      <w:r w:rsidR="004B7EAF">
        <w:t xml:space="preserve"> whereas FFV will always need to rely on the public charging to refill E85.</w:t>
      </w:r>
    </w:p>
    <w:tbl>
      <w:tblPr>
        <w:tblW w:w="5000" w:type="pct"/>
        <w:tblLook w:val="04A0" w:firstRow="1" w:lastRow="0" w:firstColumn="1" w:lastColumn="0" w:noHBand="0" w:noVBand="1"/>
      </w:tblPr>
      <w:tblGrid>
        <w:gridCol w:w="8424"/>
        <w:gridCol w:w="936"/>
      </w:tblGrid>
      <w:tr w:rsidR="00983392" w:rsidRPr="00F84713" w14:paraId="4F066C35" w14:textId="77777777" w:rsidTr="00C76593">
        <w:trPr>
          <w:trHeight w:val="540"/>
        </w:trPr>
        <w:tc>
          <w:tcPr>
            <w:tcW w:w="4500" w:type="pct"/>
          </w:tcPr>
          <w:p w14:paraId="475DF192" w14:textId="2EC5A8CF" w:rsidR="00983392" w:rsidRPr="00116248" w:rsidRDefault="00E907D6" w:rsidP="00C53F8C">
            <w:pPr>
              <w:spacing w:line="240" w:lineRule="auto"/>
              <w:rPr>
                <w:rFonts w:eastAsia="DengXian"/>
              </w:rPr>
            </w:pPr>
            <m:oMath>
              <m:sSubSup>
                <m:sSubSupPr>
                  <m:ctrlPr>
                    <w:rPr>
                      <w:rFonts w:ascii="Cambria Math" w:hAnsi="Cambria Math"/>
                    </w:rPr>
                  </m:ctrlPr>
                </m:sSubSupPr>
                <m:e>
                  <m:r>
                    <w:rPr>
                      <w:rFonts w:ascii="Cambria Math" w:hAnsi="Cambria Math"/>
                    </w:rPr>
                    <m:t>C</m:t>
                  </m:r>
                </m:e>
                <m:sub>
                  <m:r>
                    <w:rPr>
                      <w:rFonts w:ascii="Cambria Math" w:hAnsi="Cambria Math"/>
                    </w:rPr>
                    <m:t>i</m:t>
                  </m:r>
                </m:sub>
                <m:sup>
                  <m:r>
                    <w:rPr>
                      <w:rFonts w:ascii="Cambria Math" w:hAnsi="Cambria Math"/>
                    </w:rPr>
                    <m:t>c</m:t>
                  </m:r>
                  <m:r>
                    <w:rPr>
                      <w:rFonts w:ascii="Cambria Math" w:hAnsi="Cambria Math"/>
                    </w:rPr>
                    <m:t>h</m:t>
                  </m:r>
                  <m:r>
                    <w:rPr>
                      <w:rFonts w:ascii="Cambria Math" w:hAnsi="Cambria Math"/>
                    </w:rPr>
                    <m:t>rg</m:t>
                  </m:r>
                  <m:r>
                    <w:rPr>
                      <w:rFonts w:ascii="Cambria Math" w:hAnsi="Cambria Math"/>
                    </w:rPr>
                    <m:t xml:space="preserve"> </m:t>
                  </m:r>
                  <m:r>
                    <w:rPr>
                      <w:rFonts w:ascii="Cambria Math" w:hAnsi="Cambria Math"/>
                    </w:rPr>
                    <m:t>detour</m:t>
                  </m:r>
                </m:sup>
              </m:sSubSup>
              <m:r>
                <m:rPr>
                  <m:sty m:val="p"/>
                </m:rPr>
                <w:rPr>
                  <w:rFonts w:ascii="Cambria Math" w:hAnsi="Cambria Math"/>
                </w:rPr>
                <m:t xml:space="preserve"> =0.082×</m:t>
              </m:r>
              <m:nary>
                <m:naryPr>
                  <m:chr m:val="∑"/>
                  <m:limLoc m:val="undOvr"/>
                  <m:supHide m:val="1"/>
                  <m:ctrlPr>
                    <w:rPr>
                      <w:rFonts w:ascii="Cambria Math" w:hAnsi="Cambria Math"/>
                    </w:rPr>
                  </m:ctrlPr>
                </m:naryPr>
                <m:sub>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up/>
                <m:e>
                  <m:sSubSup>
                    <m:sSubSupPr>
                      <m:ctrlPr>
                        <w:rPr>
                          <w:rFonts w:ascii="Cambria Math" w:hAnsi="Cambria Math"/>
                          <w:i/>
                        </w:rPr>
                      </m:ctrlPr>
                    </m:sSubSupPr>
                    <m:e>
                      <m:r>
                        <w:rPr>
                          <w:rFonts w:ascii="Cambria Math" w:hAnsi="Cambria Math"/>
                        </w:rPr>
                        <m:t>V</m:t>
                      </m:r>
                    </m:e>
                    <m:sub>
                      <m:r>
                        <w:rPr>
                          <w:rFonts w:ascii="Cambria Math" w:hAnsi="Cambria Math"/>
                        </w:rPr>
                        <m:t>i</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up>
                      <m:r>
                        <w:rPr>
                          <w:rFonts w:ascii="Cambria Math" w:hAnsi="Cambria Math"/>
                        </w:rPr>
                        <m:t>t</m:t>
                      </m:r>
                    </m:sup>
                  </m:sSubSup>
                </m:e>
              </m:nary>
              <m:f>
                <m:fPr>
                  <m:ctrlPr>
                    <w:rPr>
                      <w:rFonts w:ascii="Cambria Math" w:hAnsi="Cambria Math"/>
                      <w:iCs/>
                    </w:rPr>
                  </m:ctrlPr>
                </m:fPr>
                <m:num>
                  <m:sSub>
                    <m:sSubPr>
                      <m:ctrlPr>
                        <w:rPr>
                          <w:rFonts w:ascii="Cambria Math" w:hAnsi="Cambria Math"/>
                          <w:i/>
                        </w:rPr>
                      </m:ctrlPr>
                    </m:sSub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FFV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Sub>
                </m:num>
                <m:den>
                  <m:sSubSup>
                    <m:sSubSupPr>
                      <m:ctrlPr>
                        <w:rPr>
                          <w:rFonts w:ascii="Cambria Math" w:hAnsi="Cambria Math"/>
                          <w:i/>
                        </w:rPr>
                      </m:ctrlPr>
                    </m:sSubSupPr>
                    <m:e>
                      <m:r>
                        <m:rPr>
                          <m:sty m:val="p"/>
                        </m:rPr>
                        <w:rPr>
                          <w:rFonts w:ascii="Cambria Math" w:hAnsi="Cambria Math"/>
                        </w:rPr>
                        <m:t> </m:t>
                      </m:r>
                      <m:r>
                        <w:rPr>
                          <w:rFonts w:ascii="Cambria Math" w:hAnsi="Cambria Math"/>
                        </w:rPr>
                        <m:t>R</m:t>
                      </m:r>
                    </m:e>
                    <m:sub>
                      <m:r>
                        <w:rPr>
                          <w:rFonts w:ascii="Cambria Math" w:hAnsi="Cambria Math"/>
                        </w:rPr>
                        <m:t>t</m:t>
                      </m:r>
                    </m:sub>
                    <m:sup>
                      <m:r>
                        <w:rPr>
                          <w:rFonts w:ascii="Cambria Math" w:hAnsi="Cambria Math"/>
                        </w:rPr>
                        <m:t>max</m:t>
                      </m:r>
                    </m:sup>
                  </m:sSubSup>
                </m:den>
              </m:f>
              <m:sSub>
                <m:sSubPr>
                  <m:ctrlPr>
                    <w:rPr>
                      <w:rFonts w:ascii="Cambria Math" w:hAnsi="Cambria Math"/>
                    </w:rPr>
                  </m:ctrlPr>
                </m:sSubPr>
                <m:e>
                  <m:r>
                    <m:rPr>
                      <m:sty m:val="p"/>
                    </m:rPr>
                    <w:rPr>
                      <w:rFonts w:ascii="Cambria Math" w:hAnsi="Cambria Math"/>
                    </w:rPr>
                    <m:t>d</m:t>
                  </m:r>
                </m:e>
                <m:sub>
                  <m:r>
                    <m:rPr>
                      <m:sty m:val="p"/>
                    </m:rPr>
                    <w:rPr>
                      <w:rFonts w:ascii="Cambria Math" w:hAnsi="Cambria Math"/>
                    </w:rPr>
                    <m:t>r,charging</m:t>
                  </m:r>
                </m:sub>
              </m:sSub>
              <m:sSub>
                <m:sSubPr>
                  <m:ctrlPr>
                    <w:rPr>
                      <w:rFonts w:ascii="Cambria Math" w:hAnsi="Cambria Math"/>
                    </w:rPr>
                  </m:ctrlPr>
                </m:sSubPr>
                <m:e>
                  <m:r>
                    <w:rPr>
                      <w:rFonts w:ascii="Cambria Math" w:hAnsi="Cambria Math"/>
                    </w:rPr>
                    <m:t>P</m:t>
                  </m:r>
                </m:e>
                <m:sub>
                  <m:r>
                    <w:rPr>
                      <w:rFonts w:ascii="Cambria Math" w:hAnsi="Cambria Math"/>
                    </w:rPr>
                    <m:t>fix</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Sub>
            </m:oMath>
            <w:r w:rsidR="005E2FE8">
              <w:rPr>
                <w:rFonts w:eastAsia="DengXian"/>
              </w:rPr>
              <w:t xml:space="preserve"> </w:t>
            </w:r>
          </w:p>
        </w:tc>
        <w:tc>
          <w:tcPr>
            <w:tcW w:w="500" w:type="pct"/>
          </w:tcPr>
          <w:p w14:paraId="7A093A17" w14:textId="77777777" w:rsidR="00983392" w:rsidRPr="00F84713" w:rsidRDefault="00983392" w:rsidP="00C52DAD">
            <w:pPr>
              <w:pStyle w:val="ListParagraph"/>
              <w:numPr>
                <w:ilvl w:val="0"/>
                <w:numId w:val="30"/>
              </w:numPr>
              <w:spacing w:after="0" w:line="240" w:lineRule="auto"/>
            </w:pPr>
          </w:p>
        </w:tc>
      </w:tr>
      <w:tr w:rsidR="009038EC" w:rsidRPr="00F84713" w14:paraId="367EFA28" w14:textId="77777777" w:rsidTr="0099742A">
        <w:trPr>
          <w:trHeight w:val="540"/>
        </w:trPr>
        <w:tc>
          <w:tcPr>
            <w:tcW w:w="4471" w:type="pct"/>
          </w:tcPr>
          <w:p w14:paraId="0F6321F5" w14:textId="6C461A04" w:rsidR="009038EC" w:rsidRDefault="00E907D6" w:rsidP="009038EC">
            <w:pPr>
              <w:spacing w:line="240" w:lineRule="auto"/>
              <w:rPr>
                <w:rFonts w:eastAsia="DengXian"/>
                <w:sz w:val="28"/>
                <w:szCs w:val="28"/>
              </w:rPr>
            </w:pPr>
            <m:oMathPara>
              <m:oMath>
                <m:sSubSup>
                  <m:sSubSupPr>
                    <m:ctrlPr>
                      <w:rPr>
                        <w:rFonts w:ascii="Cambria Math" w:hAnsi="Cambria Math"/>
                        <w:sz w:val="28"/>
                        <w:szCs w:val="28"/>
                      </w:rPr>
                    </m:ctrlPr>
                  </m:sSubSupPr>
                  <m:e>
                    <m:r>
                      <w:rPr>
                        <w:rFonts w:ascii="Cambria Math" w:hAnsi="Cambria Math"/>
                        <w:sz w:val="28"/>
                        <w:szCs w:val="28"/>
                      </w:rPr>
                      <m:t>C</m:t>
                    </m:r>
                  </m:e>
                  <m:sub>
                    <m:r>
                      <w:rPr>
                        <w:rFonts w:ascii="Cambria Math" w:hAnsi="Cambria Math"/>
                        <w:sz w:val="28"/>
                        <w:szCs w:val="28"/>
                      </w:rPr>
                      <m:t>i</m:t>
                    </m:r>
                  </m:sub>
                  <m:sup>
                    <m:r>
                      <w:rPr>
                        <w:rFonts w:ascii="Cambria Math" w:hAnsi="Cambria Math"/>
                        <w:sz w:val="28"/>
                        <w:szCs w:val="28"/>
                      </w:rPr>
                      <m:t>E</m:t>
                    </m:r>
                    <m:r>
                      <m:rPr>
                        <m:sty m:val="p"/>
                      </m:rPr>
                      <w:rPr>
                        <w:rFonts w:ascii="Cambria Math" w:hAnsi="Cambria Math"/>
                        <w:sz w:val="28"/>
                        <w:szCs w:val="28"/>
                      </w:rPr>
                      <m:t xml:space="preserve">85 </m:t>
                    </m:r>
                    <m:r>
                      <w:rPr>
                        <w:rFonts w:ascii="Cambria Math" w:hAnsi="Cambria Math"/>
                        <w:sz w:val="28"/>
                        <w:szCs w:val="28"/>
                      </w:rPr>
                      <m:t>detour</m:t>
                    </m:r>
                  </m:sup>
                </m:sSubSup>
                <m:r>
                  <m:rPr>
                    <m:sty m:val="p"/>
                  </m:rPr>
                  <w:rPr>
                    <w:rFonts w:ascii="Cambria Math" w:hAnsi="Cambria Math"/>
                    <w:sz w:val="28"/>
                    <w:szCs w:val="28"/>
                  </w:rPr>
                  <m:t xml:space="preserve"> =0.082</m:t>
                </m:r>
                <m:nary>
                  <m:naryPr>
                    <m:chr m:val="∑"/>
                    <m:limLoc m:val="undOvr"/>
                    <m:supHide m:val="1"/>
                    <m:ctrlPr>
                      <w:rPr>
                        <w:rFonts w:ascii="Cambria Math" w:hAnsi="Cambria Math"/>
                      </w:rPr>
                    </m:ctrlPr>
                  </m:naryPr>
                  <m:sub>
                    <m:r>
                      <w:rPr>
                        <w:rFonts w:ascii="Cambria Math" w:hAnsi="Cambria Math"/>
                      </w:rPr>
                      <m:t>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up/>
                  <m:e>
                    <m:sSubSup>
                      <m:sSubSupPr>
                        <m:ctrlPr>
                          <w:rPr>
                            <w:rFonts w:ascii="Cambria Math" w:hAnsi="Cambria Math"/>
                            <w:i/>
                          </w:rPr>
                        </m:ctrlPr>
                      </m:sSubSupPr>
                      <m:e>
                        <m:r>
                          <w:rPr>
                            <w:rFonts w:ascii="Cambria Math" w:hAnsi="Cambria Math"/>
                          </w:rPr>
                          <m:t>V</m:t>
                        </m:r>
                      </m:e>
                      <m:sub>
                        <m:r>
                          <w:rPr>
                            <w:rFonts w:ascii="Cambria Math" w:hAnsi="Cambria Math"/>
                          </w:rPr>
                          <m:t>i</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r>
                          <w:rPr>
                            <w:rFonts w:ascii="Cambria Math" w:hAnsi="Cambria Math"/>
                          </w:rPr>
                          <m:t>,</m:t>
                        </m:r>
                        <m:r>
                          <w:rPr>
                            <w:rFonts w:ascii="Cambria Math" w:hAnsi="Cambria Math"/>
                          </w:rPr>
                          <m:t>t</m:t>
                        </m:r>
                      </m:sub>
                      <m:sup>
                        <m:r>
                          <w:rPr>
                            <w:rFonts w:ascii="Cambria Math" w:hAnsi="Cambria Math"/>
                          </w:rPr>
                          <m:t>t</m:t>
                        </m:r>
                      </m:sup>
                    </m:sSubSup>
                  </m:e>
                </m:nary>
                <m:f>
                  <m:fPr>
                    <m:ctrlPr>
                      <w:rPr>
                        <w:rFonts w:ascii="Cambria Math" w:hAnsi="Cambria Math"/>
                        <w:iCs/>
                      </w:rPr>
                    </m:ctrlPr>
                  </m:fPr>
                  <m:num>
                    <m:sSubSup>
                      <m:sSubSupPr>
                        <m:ctrlPr>
                          <w:rPr>
                            <w:rFonts w:ascii="Cambria Math" w:hAnsi="Cambria Math"/>
                            <w:i/>
                          </w:rPr>
                        </m:ctrlPr>
                      </m:sSubSupPr>
                      <m:e>
                        <m:r>
                          <w:rPr>
                            <w:rFonts w:ascii="Cambria Math" w:hAnsi="Cambria Math"/>
                          </w:rPr>
                          <m:t>VKT</m:t>
                        </m:r>
                      </m:e>
                      <m:sub>
                        <m:r>
                          <w:rPr>
                            <w:rFonts w:ascii="Cambria Math" w:hAnsi="Cambria Math"/>
                          </w:rPr>
                          <m:t>t</m:t>
                        </m:r>
                        <m:r>
                          <w:rPr>
                            <w:rFonts w:ascii="Cambria Math" w:hAnsi="Cambria Math"/>
                          </w:rPr>
                          <m:t>,</m:t>
                        </m:r>
                        <m:r>
                          <w:rPr>
                            <w:rFonts w:ascii="Cambria Math" w:hAnsi="Cambria Math"/>
                          </w:rPr>
                          <m:t>FFV</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a</m:t>
                        </m:r>
                        <m:r>
                          <w:rPr>
                            <w:rFonts w:ascii="Cambria Math" w:hAnsi="Cambria Math"/>
                          </w:rPr>
                          <m:t>,</m:t>
                        </m:r>
                        <m:r>
                          <w:rPr>
                            <w:rFonts w:ascii="Cambria Math" w:hAnsi="Cambria Math"/>
                          </w:rPr>
                          <m:t>c</m:t>
                        </m:r>
                        <m:r>
                          <w:rPr>
                            <w:rFonts w:ascii="Cambria Math" w:hAnsi="Cambria Math"/>
                          </w:rPr>
                          <m:t>h</m:t>
                        </m:r>
                        <m:r>
                          <w:rPr>
                            <w:rFonts w:ascii="Cambria Math" w:hAnsi="Cambria Math"/>
                          </w:rPr>
                          <m:t>rg</m:t>
                        </m:r>
                      </m:sub>
                      <m:sup>
                        <m:r>
                          <w:rPr>
                            <w:rFonts w:ascii="Cambria Math" w:hAnsi="Cambria Math"/>
                          </w:rPr>
                          <m:t>E</m:t>
                        </m:r>
                        <m:r>
                          <w:rPr>
                            <w:rFonts w:ascii="Cambria Math" w:hAnsi="Cambria Math"/>
                          </w:rPr>
                          <m:t>85</m:t>
                        </m:r>
                      </m:sup>
                    </m:sSubSup>
                  </m:num>
                  <m:den>
                    <m:sSub>
                      <m:sSubPr>
                        <m:ctrlPr>
                          <w:rPr>
                            <w:rFonts w:ascii="Cambria Math" w:hAnsi="Cambria Math"/>
                            <w:iCs/>
                            <w:sz w:val="28"/>
                            <w:szCs w:val="28"/>
                          </w:rPr>
                        </m:ctrlPr>
                      </m:sSubPr>
                      <m:e>
                        <m:r>
                          <w:rPr>
                            <w:rFonts w:ascii="Cambria Math" w:hAnsi="Cambria Math"/>
                            <w:sz w:val="28"/>
                            <w:szCs w:val="28"/>
                          </w:rPr>
                          <m:t>γ</m:t>
                        </m:r>
                      </m:e>
                      <m:sub>
                        <m:r>
                          <w:rPr>
                            <w:rFonts w:ascii="Cambria Math" w:hAnsi="Cambria Math"/>
                            <w:sz w:val="28"/>
                            <w:szCs w:val="28"/>
                          </w:rPr>
                          <m:t>FFV</m:t>
                        </m:r>
                      </m:sub>
                    </m:sSub>
                    <m:r>
                      <m:rPr>
                        <m:sty m:val="p"/>
                      </m:rPr>
                      <w:rPr>
                        <w:rFonts w:ascii="Cambria Math" w:hAnsi="Cambria Math"/>
                        <w:sz w:val="28"/>
                        <w:szCs w:val="28"/>
                      </w:rPr>
                      <m:t>×16.2</m:t>
                    </m:r>
                  </m:den>
                </m:f>
                <m:sSub>
                  <m:sSubPr>
                    <m:ctrlPr>
                      <w:rPr>
                        <w:rFonts w:ascii="Cambria Math" w:hAnsi="Cambria Math"/>
                        <w:sz w:val="28"/>
                        <w:szCs w:val="28"/>
                      </w:rPr>
                    </m:ctrlPr>
                  </m:sSubPr>
                  <m:e>
                    <m:r>
                      <m:rPr>
                        <m:sty m:val="p"/>
                      </m:rPr>
                      <w:rPr>
                        <w:rFonts w:ascii="Cambria Math" w:hAnsi="Cambria Math"/>
                        <w:sz w:val="28"/>
                        <w:szCs w:val="28"/>
                      </w:rPr>
                      <m:t>d</m:t>
                    </m:r>
                  </m:e>
                  <m:sub>
                    <m:r>
                      <m:rPr>
                        <m:sty m:val="p"/>
                      </m:rPr>
                      <w:rPr>
                        <w:rFonts w:ascii="Cambria Math" w:hAnsi="Cambria Math"/>
                        <w:sz w:val="28"/>
                        <w:szCs w:val="28"/>
                      </w:rPr>
                      <m:t>r,E85</m:t>
                    </m:r>
                  </m:sub>
                </m:sSub>
              </m:oMath>
            </m:oMathPara>
          </w:p>
        </w:tc>
        <w:tc>
          <w:tcPr>
            <w:tcW w:w="529" w:type="pct"/>
          </w:tcPr>
          <w:p w14:paraId="691A7171" w14:textId="77777777" w:rsidR="009038EC" w:rsidRPr="00F84713" w:rsidRDefault="009038EC" w:rsidP="009038EC">
            <w:pPr>
              <w:pStyle w:val="ListParagraph"/>
              <w:numPr>
                <w:ilvl w:val="0"/>
                <w:numId w:val="30"/>
              </w:numPr>
              <w:spacing w:after="0" w:line="240" w:lineRule="auto"/>
            </w:pPr>
          </w:p>
        </w:tc>
      </w:tr>
    </w:tbl>
    <w:p w14:paraId="33C1F58E" w14:textId="77777777" w:rsidR="00983392" w:rsidRDefault="00983392" w:rsidP="00C53F8C">
      <w:pPr>
        <w:spacing w:line="240" w:lineRule="auto"/>
        <w:rPr>
          <w:sz w:val="28"/>
          <w:szCs w:val="28"/>
        </w:rPr>
      </w:pPr>
    </w:p>
    <w:p w14:paraId="26986BB4" w14:textId="683BA888" w:rsidR="00086AEC" w:rsidRDefault="00C2208D" w:rsidP="00D93C5B">
      <w:pPr>
        <w:pStyle w:val="NoSpacing"/>
        <w:ind w:firstLine="0"/>
      </w:pPr>
      <w:r w:rsidRPr="00D82C80">
        <w:rPr>
          <w:noProof/>
          <w:bdr w:val="dashed" w:sz="4" w:space="0" w:color="auto"/>
        </w:rPr>
        <w:drawing>
          <wp:inline distT="0" distB="0" distL="0" distR="0" wp14:anchorId="6622E538" wp14:editId="499C5122">
            <wp:extent cx="5590010" cy="3773606"/>
            <wp:effectExtent l="19050" t="19050" r="10795" b="177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t="4559" r="1472" b="9359"/>
                    <a:stretch/>
                  </pic:blipFill>
                  <pic:spPr bwMode="auto">
                    <a:xfrm>
                      <a:off x="0" y="0"/>
                      <a:ext cx="5595899" cy="3777581"/>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40689409" w14:textId="0C65F25B" w:rsidR="00086AEC" w:rsidRPr="00F311A8" w:rsidRDefault="00FC7AC7" w:rsidP="006E22E7">
      <w:pPr>
        <w:pStyle w:val="NoSpacing"/>
        <w:ind w:firstLine="0"/>
        <w:rPr>
          <w:b/>
          <w:bCs/>
        </w:rPr>
      </w:pPr>
      <w:r w:rsidRPr="00F311A8">
        <w:rPr>
          <w:b/>
          <w:bCs/>
        </w:rPr>
        <w:t xml:space="preserve">Figure </w:t>
      </w:r>
      <w:r w:rsidR="002644AE" w:rsidRPr="00F311A8">
        <w:rPr>
          <w:b/>
          <w:bCs/>
        </w:rPr>
        <w:t xml:space="preserve">A6 </w:t>
      </w:r>
      <w:r w:rsidRPr="00F311A8">
        <w:rPr>
          <w:b/>
          <w:bCs/>
        </w:rPr>
        <w:t>Regi</w:t>
      </w:r>
      <w:r w:rsidR="004E61A3" w:rsidRPr="00F311A8">
        <w:rPr>
          <w:b/>
          <w:bCs/>
        </w:rPr>
        <w:t>o</w:t>
      </w:r>
      <w:r w:rsidRPr="00F311A8">
        <w:rPr>
          <w:b/>
          <w:bCs/>
        </w:rPr>
        <w:t xml:space="preserve">nal </w:t>
      </w:r>
      <w:r w:rsidR="00F311A8" w:rsidRPr="00F311A8">
        <w:rPr>
          <w:b/>
          <w:bCs/>
        </w:rPr>
        <w:t xml:space="preserve">Average </w:t>
      </w:r>
      <w:r w:rsidR="00A95FD1" w:rsidRPr="00F311A8">
        <w:rPr>
          <w:b/>
          <w:bCs/>
        </w:rPr>
        <w:t xml:space="preserve">VKT </w:t>
      </w:r>
      <w:r w:rsidR="00F311A8" w:rsidRPr="00F311A8">
        <w:rPr>
          <w:b/>
          <w:bCs/>
        </w:rPr>
        <w:t xml:space="preserve">Distance </w:t>
      </w:r>
      <w:r w:rsidR="00F311A8">
        <w:rPr>
          <w:b/>
          <w:bCs/>
        </w:rPr>
        <w:t>t</w:t>
      </w:r>
      <w:r w:rsidR="00F311A8" w:rsidRPr="00F311A8">
        <w:rPr>
          <w:b/>
          <w:bCs/>
        </w:rPr>
        <w:t xml:space="preserve">o </w:t>
      </w:r>
      <w:r w:rsidR="00F311A8">
        <w:rPr>
          <w:b/>
          <w:bCs/>
        </w:rPr>
        <w:t>t</w:t>
      </w:r>
      <w:r w:rsidR="00F311A8" w:rsidRPr="00F311A8">
        <w:rPr>
          <w:b/>
          <w:bCs/>
        </w:rPr>
        <w:t xml:space="preserve">he Nearest Station </w:t>
      </w:r>
      <w:r w:rsidR="00F311A8">
        <w:rPr>
          <w:b/>
          <w:bCs/>
        </w:rPr>
        <w:t>i</w:t>
      </w:r>
      <w:r w:rsidR="00F311A8" w:rsidRPr="00F311A8">
        <w:rPr>
          <w:b/>
          <w:bCs/>
        </w:rPr>
        <w:t xml:space="preserve">n </w:t>
      </w:r>
      <w:r w:rsidR="00F311A8">
        <w:rPr>
          <w:b/>
          <w:bCs/>
        </w:rPr>
        <w:t>t</w:t>
      </w:r>
      <w:r w:rsidR="00F311A8" w:rsidRPr="00F311A8">
        <w:rPr>
          <w:b/>
          <w:bCs/>
        </w:rPr>
        <w:t xml:space="preserve">he </w:t>
      </w:r>
      <w:r w:rsidRPr="00F311A8">
        <w:rPr>
          <w:b/>
          <w:bCs/>
        </w:rPr>
        <w:t xml:space="preserve">US </w:t>
      </w:r>
      <w:r w:rsidR="00F311A8">
        <w:rPr>
          <w:b/>
          <w:bCs/>
        </w:rPr>
        <w:t>i</w:t>
      </w:r>
      <w:r w:rsidR="00F311A8" w:rsidRPr="00F311A8">
        <w:rPr>
          <w:b/>
          <w:bCs/>
        </w:rPr>
        <w:t xml:space="preserve">n 2016 </w:t>
      </w:r>
      <w:r w:rsidR="00F311A8">
        <w:rPr>
          <w:b/>
          <w:bCs/>
        </w:rPr>
        <w:t>a</w:t>
      </w:r>
      <w:r w:rsidR="00F311A8" w:rsidRPr="00F311A8">
        <w:rPr>
          <w:b/>
          <w:bCs/>
        </w:rPr>
        <w:t>nd 2030</w:t>
      </w:r>
    </w:p>
    <w:p w14:paraId="0703F2BB" w14:textId="77777777" w:rsidR="00086AEC" w:rsidRDefault="00086AEC" w:rsidP="006E22E7">
      <w:pPr>
        <w:pStyle w:val="NoSpacing"/>
        <w:ind w:firstLine="0"/>
      </w:pPr>
    </w:p>
    <w:p w14:paraId="3D839672" w14:textId="461AD3BA" w:rsidR="00086AEC" w:rsidRDefault="00FC7AC7" w:rsidP="00C53F8C">
      <w:pPr>
        <w:spacing w:line="240" w:lineRule="auto"/>
      </w:pPr>
      <w:r>
        <w:t>We obtain the detour distance (denoted as d in the unit of a mile) by measuring the distance from the centroid of the zip code zone to the nearest refueling station for E85 or BEV charging stations. The dataset is available from NREL</w:t>
      </w:r>
      <w:r>
        <w:rPr>
          <w:rStyle w:val="FootnoteReference"/>
        </w:rPr>
        <w:footnoteReference w:id="9"/>
      </w:r>
      <w:r>
        <w:t xml:space="preserve">. The state-level detour distance in 2016 is shown in Figure </w:t>
      </w:r>
      <w:r w:rsidR="008D5ADF">
        <w:t xml:space="preserve">A6 </w:t>
      </w:r>
      <w:r>
        <w:t>and averaged to the electricity market region. The distances in 2030 are extrapolated based on the scenario assumptions.</w:t>
      </w:r>
    </w:p>
    <w:p w14:paraId="7A168416" w14:textId="77777777" w:rsidR="00D30854" w:rsidRDefault="00D30854" w:rsidP="00C53F8C">
      <w:pPr>
        <w:spacing w:line="240" w:lineRule="auto"/>
      </w:pPr>
    </w:p>
    <w:p w14:paraId="7C2F7B30" w14:textId="0E394DC1" w:rsidR="00086AEC" w:rsidRDefault="00FC7AC7" w:rsidP="00D82C80">
      <w:pPr>
        <w:pStyle w:val="Heading3"/>
        <w:numPr>
          <w:ilvl w:val="0"/>
          <w:numId w:val="0"/>
        </w:numPr>
        <w:ind w:left="720" w:hanging="720"/>
      </w:pPr>
      <w:r>
        <w:t>A.</w:t>
      </w:r>
      <w:r w:rsidR="003B7447">
        <w:t>1.</w:t>
      </w:r>
      <w:r w:rsidR="00276CA3">
        <w:t>5</w:t>
      </w:r>
      <w:r>
        <w:t xml:space="preserve"> Idiosyncratic </w:t>
      </w:r>
      <w:r w:rsidR="00065AC6">
        <w:t>P</w:t>
      </w:r>
      <w:r>
        <w:t>references</w:t>
      </w:r>
    </w:p>
    <w:p w14:paraId="77094194" w14:textId="143B37A3" w:rsidR="006C30DE" w:rsidRDefault="00FC7AC7" w:rsidP="006C30DE">
      <w:pPr>
        <w:spacing w:after="0" w:line="240" w:lineRule="auto"/>
        <w:rPr>
          <w:color w:val="000000"/>
        </w:rPr>
      </w:pPr>
      <w:r>
        <w:t xml:space="preserve">We capture the idiosyncratic preference towards the vehicle fuel type by </w:t>
      </w:r>
      <w:r w:rsidR="00EA1B43">
        <w:t xml:space="preserve">building and </w:t>
      </w:r>
      <w:r>
        <w:t xml:space="preserve">calibrating the error terms </w:t>
      </w:r>
      <w:r w:rsidR="00EA1B43">
        <w:t xml:space="preserve">that reflect the unobserved variable that affect the preferences or </w:t>
      </w:r>
    </w:p>
    <w:p w14:paraId="6A8FB7E9" w14:textId="28484199" w:rsidR="006C30DE" w:rsidRDefault="006C30DE" w:rsidP="006C30DE">
      <w:pPr>
        <w:spacing w:after="0" w:line="240" w:lineRule="auto"/>
      </w:pPr>
      <w:r>
        <w:rPr>
          <w:noProof/>
        </w:rPr>
        <w:lastRenderedPageBreak/>
        <w:drawing>
          <wp:inline distT="0" distB="0" distL="0" distR="0" wp14:anchorId="01A9551A" wp14:editId="1A39BEF8">
            <wp:extent cx="4623207" cy="2882188"/>
            <wp:effectExtent l="0" t="0" r="6350" b="13970"/>
            <wp:docPr id="12" name="Chart 12">
              <a:extLst xmlns:a="http://schemas.openxmlformats.org/drawingml/2006/main">
                <a:ext uri="{FF2B5EF4-FFF2-40B4-BE49-F238E27FC236}">
                  <a16:creationId xmlns:a16="http://schemas.microsoft.com/office/drawing/2014/main" id="{FFB8DC94-D4AE-4E7E-80A1-B579B228572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667F64C9" w14:textId="62373E26" w:rsidR="006C30DE" w:rsidRDefault="006C30DE" w:rsidP="006C30DE">
      <w:pPr>
        <w:pStyle w:val="Caption"/>
        <w:rPr>
          <w:b/>
          <w:bCs/>
        </w:rPr>
      </w:pPr>
      <w:r w:rsidRPr="00F311A8">
        <w:rPr>
          <w:b/>
          <w:bCs/>
        </w:rPr>
        <w:t>Figure A</w:t>
      </w:r>
      <w:r w:rsidR="000A0F7C" w:rsidRPr="00F311A8">
        <w:rPr>
          <w:b/>
          <w:bCs/>
        </w:rPr>
        <w:t>7</w:t>
      </w:r>
      <w:r w:rsidRPr="00F311A8">
        <w:rPr>
          <w:b/>
          <w:bCs/>
        </w:rPr>
        <w:t xml:space="preserve"> The </w:t>
      </w:r>
      <w:r w:rsidR="00F311A8" w:rsidRPr="00F311A8">
        <w:rPr>
          <w:b/>
          <w:bCs/>
        </w:rPr>
        <w:t>Histogram of the Error Terms for Each Vehicle Type</w:t>
      </w:r>
    </w:p>
    <w:p w14:paraId="373D9650" w14:textId="77777777" w:rsidR="009C07CE" w:rsidRPr="009C07CE" w:rsidRDefault="009C07CE" w:rsidP="009C07CE"/>
    <w:p w14:paraId="35903610" w14:textId="1D889372" w:rsidR="006C30DE" w:rsidRDefault="000A0F7C" w:rsidP="00F311A8">
      <w:pPr>
        <w:spacing w:line="240" w:lineRule="auto"/>
        <w:ind w:firstLine="0"/>
      </w:pPr>
      <w:r w:rsidRPr="00D82C80">
        <w:rPr>
          <w:noProof/>
          <w:bdr w:val="single" w:sz="8" w:space="0" w:color="auto"/>
        </w:rPr>
        <w:drawing>
          <wp:inline distT="0" distB="0" distL="0" distR="0" wp14:anchorId="5A5E35ED" wp14:editId="18246D19">
            <wp:extent cx="5758121" cy="25730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t="8148" b="34018"/>
                    <a:stretch/>
                  </pic:blipFill>
                  <pic:spPr bwMode="auto">
                    <a:xfrm>
                      <a:off x="0" y="0"/>
                      <a:ext cx="5762862" cy="2575194"/>
                    </a:xfrm>
                    <a:prstGeom prst="rect">
                      <a:avLst/>
                    </a:prstGeom>
                    <a:noFill/>
                    <a:ln w="9525" cap="flat" cmpd="sng" algn="ctr">
                      <a:no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16FF3B20" w14:textId="5BE004CF" w:rsidR="000A0F7C" w:rsidRDefault="000A0F7C" w:rsidP="0099742A">
      <w:pPr>
        <w:pStyle w:val="BodyText"/>
        <w:spacing w:line="240" w:lineRule="auto"/>
        <w:ind w:firstLine="432"/>
        <w:rPr>
          <w:b/>
          <w:bCs/>
        </w:rPr>
      </w:pPr>
      <w:r w:rsidRPr="00F311A8">
        <w:rPr>
          <w:b/>
          <w:bCs/>
        </w:rPr>
        <w:t xml:space="preserve">Figure A8 The </w:t>
      </w:r>
      <w:r w:rsidR="00F311A8" w:rsidRPr="00F311A8">
        <w:rPr>
          <w:b/>
          <w:bCs/>
        </w:rPr>
        <w:t xml:space="preserve">Normalized Cross-Sectional Data </w:t>
      </w:r>
      <w:r w:rsidR="00F311A8">
        <w:rPr>
          <w:b/>
          <w:bCs/>
        </w:rPr>
        <w:t>o</w:t>
      </w:r>
      <w:r w:rsidR="00F311A8" w:rsidRPr="00F311A8">
        <w:rPr>
          <w:b/>
          <w:bCs/>
        </w:rPr>
        <w:t xml:space="preserve">f Search Interest Relative </w:t>
      </w:r>
      <w:r w:rsidR="00F311A8">
        <w:rPr>
          <w:b/>
          <w:bCs/>
        </w:rPr>
        <w:t>t</w:t>
      </w:r>
      <w:r w:rsidR="00F311A8" w:rsidRPr="00F311A8">
        <w:rPr>
          <w:b/>
          <w:bCs/>
        </w:rPr>
        <w:t xml:space="preserve">o </w:t>
      </w:r>
      <w:r w:rsidR="00F311A8">
        <w:rPr>
          <w:b/>
          <w:bCs/>
        </w:rPr>
        <w:t>t</w:t>
      </w:r>
      <w:r w:rsidR="00F311A8" w:rsidRPr="00F311A8">
        <w:rPr>
          <w:b/>
          <w:bCs/>
        </w:rPr>
        <w:t xml:space="preserve">he Highest Count </w:t>
      </w:r>
      <w:r w:rsidR="00F311A8">
        <w:rPr>
          <w:b/>
          <w:bCs/>
        </w:rPr>
        <w:t>o</w:t>
      </w:r>
      <w:r w:rsidR="00F311A8" w:rsidRPr="00F311A8">
        <w:rPr>
          <w:b/>
          <w:bCs/>
        </w:rPr>
        <w:t xml:space="preserve">f </w:t>
      </w:r>
      <w:r w:rsidR="00F311A8">
        <w:rPr>
          <w:b/>
          <w:bCs/>
        </w:rPr>
        <w:t>t</w:t>
      </w:r>
      <w:r w:rsidR="00F311A8" w:rsidRPr="00F311A8">
        <w:rPr>
          <w:b/>
          <w:bCs/>
        </w:rPr>
        <w:t xml:space="preserve">he State </w:t>
      </w:r>
      <w:r w:rsidR="00F311A8">
        <w:rPr>
          <w:b/>
          <w:bCs/>
        </w:rPr>
        <w:t>i</w:t>
      </w:r>
      <w:r w:rsidR="00F311A8" w:rsidRPr="00F311A8">
        <w:rPr>
          <w:b/>
          <w:bCs/>
        </w:rPr>
        <w:t xml:space="preserve">n </w:t>
      </w:r>
      <w:r w:rsidR="00F311A8">
        <w:rPr>
          <w:b/>
          <w:bCs/>
        </w:rPr>
        <w:t>t</w:t>
      </w:r>
      <w:r w:rsidR="00F311A8" w:rsidRPr="00F311A8">
        <w:rPr>
          <w:b/>
          <w:bCs/>
        </w:rPr>
        <w:t xml:space="preserve">he </w:t>
      </w:r>
      <w:r w:rsidR="00CA670F" w:rsidRPr="00F311A8">
        <w:rPr>
          <w:b/>
          <w:bCs/>
        </w:rPr>
        <w:t>US</w:t>
      </w:r>
      <w:r w:rsidRPr="00F311A8">
        <w:rPr>
          <w:b/>
          <w:bCs/>
        </w:rPr>
        <w:t xml:space="preserve"> </w:t>
      </w:r>
      <w:r w:rsidR="00F311A8">
        <w:rPr>
          <w:b/>
          <w:bCs/>
        </w:rPr>
        <w:t>f</w:t>
      </w:r>
      <w:r w:rsidR="00F311A8" w:rsidRPr="00F311A8">
        <w:rPr>
          <w:b/>
          <w:bCs/>
        </w:rPr>
        <w:t xml:space="preserve">or Five Keywords </w:t>
      </w:r>
      <w:r w:rsidR="00F311A8">
        <w:rPr>
          <w:b/>
          <w:bCs/>
        </w:rPr>
        <w:t>i</w:t>
      </w:r>
      <w:r w:rsidR="00F311A8" w:rsidRPr="00F311A8">
        <w:rPr>
          <w:b/>
          <w:bCs/>
        </w:rPr>
        <w:t xml:space="preserve">n 2020 Provided </w:t>
      </w:r>
      <w:r w:rsidR="00F311A8">
        <w:rPr>
          <w:b/>
          <w:bCs/>
        </w:rPr>
        <w:t>b</w:t>
      </w:r>
      <w:r w:rsidR="00F311A8" w:rsidRPr="00F311A8">
        <w:rPr>
          <w:b/>
          <w:bCs/>
        </w:rPr>
        <w:t xml:space="preserve">y </w:t>
      </w:r>
      <w:r w:rsidR="00CA670F" w:rsidRPr="00F311A8">
        <w:rPr>
          <w:b/>
          <w:bCs/>
        </w:rPr>
        <w:t xml:space="preserve">Google </w:t>
      </w:r>
      <w:r w:rsidR="00F311A8" w:rsidRPr="00F311A8">
        <w:rPr>
          <w:b/>
          <w:bCs/>
        </w:rPr>
        <w:t xml:space="preserve">Trend Data </w:t>
      </w:r>
    </w:p>
    <w:p w14:paraId="5A5D04A7" w14:textId="77777777" w:rsidR="009C07CE" w:rsidRDefault="009C07CE" w:rsidP="009C07CE">
      <w:pPr>
        <w:pStyle w:val="BodyText"/>
        <w:spacing w:line="240" w:lineRule="auto"/>
      </w:pPr>
    </w:p>
    <w:p w14:paraId="6D937C68" w14:textId="670136D4" w:rsidR="00D93C5B" w:rsidRPr="00F311A8" w:rsidRDefault="009C07CE" w:rsidP="009C07CE">
      <w:pPr>
        <w:pStyle w:val="BodyText"/>
        <w:spacing w:line="240" w:lineRule="auto"/>
        <w:rPr>
          <w:b/>
          <w:bCs/>
        </w:rPr>
      </w:pPr>
      <w:r>
        <w:t xml:space="preserve">purchase decision in the random utility framework. The idiosyncratic preference could vary </w:t>
      </w:r>
      <w:r>
        <w:rPr>
          <w:rFonts w:hint="eastAsia"/>
        </w:rPr>
        <w:t>based</w:t>
      </w:r>
      <w:r>
        <w:t xml:space="preserve"> on different reasons, including positive belief in technological improvement, environmental consciousness, or negative fear of battery life, safety concerns, and so on. Briefly speaking, we first build upon the standard error terms of Gumble distribution that represents the nested correlation for five powertrains; we then apply the regional distribution in interest for each fuel type over time from Google trend to capture the spatial variation, and finally calibrate </w:t>
      </w:r>
      <w:r>
        <w:lastRenderedPageBreak/>
        <w:t>them to monetary value (</w:t>
      </w:r>
      <m:oMath>
        <m:sSub>
          <m:sSubPr>
            <m:ctrlPr>
              <w:rPr>
                <w:rFonts w:ascii="Cambria Math" w:eastAsia="Times New Roman" w:hAnsi="Cambria Math"/>
                <w:color w:val="000000"/>
              </w:rPr>
            </m:ctrlPr>
          </m:sSubPr>
          <m:e>
            <m:r>
              <m:rPr>
                <m:sty m:val="p"/>
              </m:rPr>
              <w:rPr>
                <w:rFonts w:ascii="Cambria Math" w:eastAsia="Times New Roman" w:hAnsi="Cambria Math"/>
                <w:color w:val="000000"/>
              </w:rPr>
              <m:t>ε</m:t>
            </m:r>
            <m:ctrlPr>
              <w:rPr>
                <w:rFonts w:ascii="Cambria Math" w:hAnsi="Cambria Math"/>
                <w:i/>
              </w:rPr>
            </m:ctrlPr>
          </m:e>
          <m:sub>
            <m:r>
              <w:rPr>
                <w:rFonts w:ascii="Cambria Math" w:hAnsi="Cambria Math"/>
              </w:rPr>
              <m:t>v,r,i</m:t>
            </m:r>
          </m:sub>
        </m:sSub>
      </m:oMath>
      <w:r>
        <w:rPr>
          <w:color w:val="000000"/>
        </w:rPr>
        <w:t xml:space="preserve">) </w:t>
      </w:r>
      <w:r>
        <w:t>from 2016 to 2019 to validate transportation sector in the objective function 1 for all the vehicles in stock (</w:t>
      </w:r>
      <m:oMath>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v,r,md,a</m:t>
            </m:r>
          </m:sub>
        </m:sSub>
      </m:oMath>
      <w:r>
        <w:t xml:space="preserve">) in line 6 as part of the consumer surplus </w:t>
      </w:r>
      <m:oMath>
        <m:nary>
          <m:naryPr>
            <m:chr m:val="∑"/>
            <m:limLoc m:val="undOvr"/>
            <m:supHide m:val="1"/>
            <m:ctrlPr>
              <w:rPr>
                <w:rFonts w:ascii="Cambria Math" w:hAnsi="Cambria Math" w:cstheme="minorBidi"/>
                <w:i/>
              </w:rPr>
            </m:ctrlPr>
          </m:naryPr>
          <m:sub>
            <m:r>
              <w:rPr>
                <w:rFonts w:ascii="Cambria Math" w:hAnsi="Cambria Math"/>
              </w:rPr>
              <m:t>v,r,md,a</m:t>
            </m:r>
          </m:sub>
          <m:sup/>
          <m:e>
            <m:sSub>
              <m:sSubPr>
                <m:ctrlPr>
                  <w:rPr>
                    <w:rFonts w:ascii="Cambria Math" w:hAnsi="Cambria Math" w:cstheme="minorBidi"/>
                    <w:i/>
                  </w:rPr>
                </m:ctrlPr>
              </m:sSubPr>
              <m:e>
                <m:r>
                  <w:rPr>
                    <w:rFonts w:ascii="Cambria Math" w:hAnsi="Cambria Math" w:cstheme="minorBidi"/>
                  </w:rPr>
                  <m:t>S</m:t>
                </m:r>
              </m:e>
              <m:sub>
                <m:r>
                  <w:rPr>
                    <w:rFonts w:ascii="Cambria Math" w:hAnsi="Cambria Math" w:cstheme="minorBidi"/>
                  </w:rPr>
                  <m:t>t,</m:t>
                </m:r>
                <m:r>
                  <w:rPr>
                    <w:rFonts w:ascii="Cambria Math" w:hAnsi="Cambria Math"/>
                  </w:rPr>
                  <m:t>v,r,md,a</m:t>
                </m:r>
              </m:sub>
            </m:sSub>
          </m:e>
        </m:nary>
        <m:sSub>
          <m:sSubPr>
            <m:ctrlPr>
              <w:rPr>
                <w:rFonts w:ascii="Cambria Math" w:eastAsia="Times New Roman" w:hAnsi="Cambria Math"/>
                <w:color w:val="000000"/>
              </w:rPr>
            </m:ctrlPr>
          </m:sSubPr>
          <m:e>
            <m:r>
              <m:rPr>
                <m:sty m:val="p"/>
              </m:rPr>
              <w:rPr>
                <w:rFonts w:ascii="Cambria Math" w:eastAsia="Times New Roman" w:hAnsi="Cambria Math"/>
                <w:color w:val="000000"/>
              </w:rPr>
              <m:t>ε</m:t>
            </m:r>
            <m:ctrlPr>
              <w:rPr>
                <w:rFonts w:ascii="Cambria Math" w:hAnsi="Cambria Math"/>
                <w:i/>
              </w:rPr>
            </m:ctrlPr>
          </m:e>
          <m:sub>
            <m:r>
              <w:rPr>
                <w:rFonts w:ascii="Cambria Math" w:hAnsi="Cambria Math"/>
              </w:rPr>
              <m:t>v,r,i</m:t>
            </m:r>
          </m:sub>
        </m:sSub>
      </m:oMath>
      <w:r>
        <w:t>. The distribution of established monetary value of idiosyncratic preference term (</w:t>
      </w:r>
      <m:oMath>
        <m:sSub>
          <m:sSubPr>
            <m:ctrlPr>
              <w:rPr>
                <w:rFonts w:ascii="Cambria Math" w:eastAsia="Times New Roman" w:hAnsi="Cambria Math"/>
                <w:color w:val="000000"/>
              </w:rPr>
            </m:ctrlPr>
          </m:sSubPr>
          <m:e>
            <m:r>
              <m:rPr>
                <m:sty m:val="p"/>
              </m:rPr>
              <w:rPr>
                <w:rFonts w:ascii="Cambria Math" w:eastAsia="Times New Roman" w:hAnsi="Cambria Math"/>
                <w:color w:val="000000"/>
              </w:rPr>
              <m:t>ε</m:t>
            </m:r>
            <m:ctrlPr>
              <w:rPr>
                <w:rFonts w:ascii="Cambria Math" w:hAnsi="Cambria Math"/>
                <w:i/>
              </w:rPr>
            </m:ctrlPr>
          </m:e>
          <m:sub>
            <m:r>
              <w:rPr>
                <w:rFonts w:ascii="Cambria Math" w:hAnsi="Cambria Math"/>
              </w:rPr>
              <m:t>v,r,i</m:t>
            </m:r>
          </m:sub>
        </m:sSub>
      </m:oMath>
      <w:r>
        <w:rPr>
          <w:color w:val="000000"/>
        </w:rPr>
        <w:t xml:space="preserve">) </w:t>
      </w:r>
      <w:r>
        <w:t xml:space="preserve">by vehicle type </w:t>
      </w:r>
      <w:r w:rsidRPr="0099742A">
        <w:rPr>
          <w:i/>
          <w:iCs/>
        </w:rPr>
        <w:t>v</w:t>
      </w:r>
      <w:r>
        <w:t xml:space="preserve"> </w:t>
      </w:r>
      <w:r>
        <w:rPr>
          <w:color w:val="000000"/>
        </w:rPr>
        <w:t>is provided in Figure A.7 and across the region in Figure A. 8.  We elaborate each step in the following paragraphs.</w:t>
      </w:r>
    </w:p>
    <w:p w14:paraId="1AA543FA" w14:textId="4486198A" w:rsidR="00A75FEC" w:rsidRDefault="000A0F7C" w:rsidP="00983392">
      <w:pPr>
        <w:spacing w:line="240" w:lineRule="auto"/>
      </w:pPr>
      <w:r>
        <w:t>First a</w:t>
      </w:r>
      <w:r w:rsidR="003E0790">
        <w:t>s shown in equation 17, t</w:t>
      </w:r>
      <w:r w:rsidR="00FC7AC7">
        <w:t xml:space="preserve">he </w:t>
      </w:r>
      <w:r w:rsidR="009F2538">
        <w:t>fundamental concept</w:t>
      </w:r>
      <w:r>
        <w:t xml:space="preserve"> of the random error term is </w:t>
      </w:r>
      <w:r w:rsidR="009F2538">
        <w:t xml:space="preserve">from the discrete choice model </w:t>
      </w:r>
      <w:r>
        <w:t xml:space="preserve">that </w:t>
      </w:r>
      <w:r w:rsidR="00FC7AC7">
        <w:t xml:space="preserve">the probability of </w:t>
      </w:r>
      <w:r w:rsidR="009F2538">
        <w:t>choosing</w:t>
      </w:r>
      <w:r w:rsidR="00FC7AC7">
        <w:t xml:space="preserve"> between two alternatives </w:t>
      </w:r>
      <w:r w:rsidR="00DC5EA6">
        <w:t xml:space="preserve">is determined by relative difference between error terms, which also </w:t>
      </w:r>
      <w:r w:rsidR="00FC7AC7">
        <w:t xml:space="preserve">defines the relative correlation between </w:t>
      </w:r>
      <w:r w:rsidR="00A75FEC">
        <w:t xml:space="preserve">alternative </w:t>
      </w:r>
      <w:r w:rsidR="00FC7AC7">
        <w:t xml:space="preserve">options </w:t>
      </w:r>
      <w:r w:rsidR="00FC7AC7">
        <w:fldChar w:fldCharType="begin" w:fldLock="1"/>
      </w:r>
      <w:r w:rsidR="00FC7AC7">
        <w:instrText>ADDIN CSL_CITATION {"citationItems":[{"id":"ITEM-1","itemData":{"DOI":"10.1017/CBO9780511753930","ISBN":"9780511753930","abstract":"Focusing on the many advances that are made possible by simulation, this book describes the new generation of discrete choice methods. Researchers use these statistical methods to examine the choices that consumers, households, firms, and other agents make. Each of the major models is covered: logit, generalized extreme value, or GEV (including nested and cross-nested logits), probit, and mixed logit, plus a variety of specifications that build on these basics. The procedures are applicable in many fields, including energy, transportation, environmental studies, health, labor, and marketing.","author":[{"dropping-particle":"","family":"Train","given":"Kenneth E.","non-dropping-particle":"","parse-names":false,"suffix":""}],"container-title":"Discrete Choice Methods with Simulation","id":"ITEM-1","issued":{"date-parts":[["2003"]]},"number-of-pages":"1-334","title":"Discrete choice methods with simulation","type":"book","volume":"9780521816"},"uris":["http://www.mendeley.com/documents/?uuid=ce98a2b3-8f18-4ed4-8f58-28a4348e44c9"]}],"mendeley":{"formattedCitation":"(Train 2003)","plainTextFormattedCitation":"(Train 2003)","previouslyFormattedCitation":"(Train 2003)"},"properties":{"noteIndex":0},"schema":"https://github.com/citation-style-language/schema/raw/master/csl-citation.json"}</w:instrText>
      </w:r>
      <w:r w:rsidR="00FC7AC7">
        <w:fldChar w:fldCharType="separate"/>
      </w:r>
      <w:r w:rsidR="00FC7AC7">
        <w:rPr>
          <w:noProof/>
        </w:rPr>
        <w:t>(Train 2003)</w:t>
      </w:r>
      <w:r w:rsidR="00FC7AC7">
        <w:fldChar w:fldCharType="end"/>
      </w:r>
      <w:r w:rsidR="003E0790">
        <w:t xml:space="preserve">. </w:t>
      </w:r>
      <w:r w:rsidR="00C12141">
        <w:t>For example, t</w:t>
      </w:r>
      <w:r w:rsidR="003E0790">
        <w:t>he probability of BEV being chosen over other vehicles</w:t>
      </w:r>
      <w:r w:rsidR="00C12141">
        <w:t xml:space="preserve"> depends on the differences of the error term of BEV and other vehicle j and </w:t>
      </w:r>
      <w:r w:rsidR="00DC5EA6">
        <w:t xml:space="preserve">the probability </w:t>
      </w:r>
      <w:r w:rsidR="00C12141">
        <w:t>distributions</w:t>
      </w:r>
      <w:r w:rsidR="00DC5EA6">
        <w:t xml:space="preserve"> of the error term </w:t>
      </w:r>
      <m:oMath>
        <m:r>
          <w:rPr>
            <w:rFonts w:ascii="Cambria Math" w:hAnsi="Cambria Math"/>
          </w:rPr>
          <m:t>f</m:t>
        </m:r>
        <m:d>
          <m:dPr>
            <m:ctrlPr>
              <w:rPr>
                <w:rFonts w:ascii="Cambria Math" w:hAnsi="Cambria Math"/>
                <w:i/>
                <w:iCs/>
              </w:rPr>
            </m:ctrlPr>
          </m:dPr>
          <m:e>
            <m:r>
              <w:rPr>
                <w:rFonts w:ascii="Cambria Math" w:hAnsi="Cambria Math"/>
              </w:rPr>
              <m:t>ε</m:t>
            </m:r>
          </m:e>
        </m:d>
      </m:oMath>
      <w:r w:rsidR="005572BD">
        <w:t>.</w:t>
      </w:r>
      <w:r w:rsidR="00C12141">
        <w:t xml:space="preserve"> </w:t>
      </w:r>
    </w:p>
    <w:tbl>
      <w:tblPr>
        <w:tblW w:w="5000" w:type="pct"/>
        <w:tblLook w:val="04A0" w:firstRow="1" w:lastRow="0" w:firstColumn="1" w:lastColumn="0" w:noHBand="0" w:noVBand="1"/>
      </w:tblPr>
      <w:tblGrid>
        <w:gridCol w:w="8424"/>
        <w:gridCol w:w="936"/>
      </w:tblGrid>
      <w:tr w:rsidR="00983392" w:rsidRPr="00F84713" w14:paraId="0E5865C8" w14:textId="77777777" w:rsidTr="00C76593">
        <w:trPr>
          <w:trHeight w:val="540"/>
        </w:trPr>
        <w:tc>
          <w:tcPr>
            <w:tcW w:w="4500" w:type="pct"/>
          </w:tcPr>
          <w:p w14:paraId="24E6C1C4" w14:textId="29936CCF" w:rsidR="00983392" w:rsidRPr="00116248" w:rsidRDefault="00703527" w:rsidP="00C53F8C">
            <w:pPr>
              <w:spacing w:line="240" w:lineRule="auto"/>
              <w:rPr>
                <w:rFonts w:eastAsia="DengXian"/>
              </w:rPr>
            </w:pPr>
            <m:oMathPara>
              <m:oMath>
                <m:r>
                  <w:rPr>
                    <w:rFonts w:ascii="Cambria Math" w:hAnsi="Cambria Math"/>
                  </w:rPr>
                  <m:t>Prob</m:t>
                </m:r>
                <m:d>
                  <m:dPr>
                    <m:ctrlPr>
                      <w:rPr>
                        <w:rFonts w:ascii="Cambria Math" w:hAnsi="Cambria Math"/>
                        <w:i/>
                        <w:iCs/>
                      </w:rPr>
                    </m:ctrlPr>
                  </m:dPr>
                  <m:e>
                    <m:sSub>
                      <m:sSubPr>
                        <m:ctrlPr>
                          <w:rPr>
                            <w:rFonts w:ascii="Cambria Math" w:hAnsi="Cambria Math"/>
                            <w:i/>
                            <w:iCs/>
                          </w:rPr>
                        </m:ctrlPr>
                      </m:sSubPr>
                      <m:e>
                        <m:r>
                          <w:rPr>
                            <w:rFonts w:ascii="Cambria Math" w:hAnsi="Cambria Math"/>
                          </w:rPr>
                          <m:t>U</m:t>
                        </m:r>
                      </m:e>
                      <m:sub>
                        <m:r>
                          <w:rPr>
                            <w:rFonts w:ascii="Cambria Math" w:hAnsi="Cambria Math"/>
                          </w:rPr>
                          <m:t>BEV</m:t>
                        </m:r>
                      </m:sub>
                    </m:sSub>
                    <m:r>
                      <w:rPr>
                        <w:rFonts w:ascii="Cambria Math" w:hAnsi="Cambria Math"/>
                      </w:rPr>
                      <m:t>&gt;</m:t>
                    </m:r>
                    <m:sSub>
                      <m:sSubPr>
                        <m:ctrlPr>
                          <w:rPr>
                            <w:rFonts w:ascii="Cambria Math" w:hAnsi="Cambria Math"/>
                            <w:i/>
                            <w:iCs/>
                          </w:rPr>
                        </m:ctrlPr>
                      </m:sSubPr>
                      <m:e>
                        <m:r>
                          <w:rPr>
                            <w:rFonts w:ascii="Cambria Math" w:hAnsi="Cambria Math"/>
                          </w:rPr>
                          <m:t>U</m:t>
                        </m:r>
                      </m:e>
                      <m:sub>
                        <m:r>
                          <w:rPr>
                            <w:rFonts w:ascii="Cambria Math" w:hAnsi="Cambria Math"/>
                          </w:rPr>
                          <m:t>j</m:t>
                        </m:r>
                      </m:sub>
                    </m:sSub>
                    <m:r>
                      <w:rPr>
                        <w:rFonts w:ascii="Cambria Math" w:hAnsi="Cambria Math"/>
                      </w:rPr>
                      <m:t>, ∀j≠BEV</m:t>
                    </m:r>
                  </m:e>
                </m:d>
                <m:r>
                  <w:rPr>
                    <w:rFonts w:ascii="Cambria Math" w:hAnsi="Cambria Math"/>
                  </w:rPr>
                  <m:t>=</m:t>
                </m:r>
                <m:nary>
                  <m:naryPr>
                    <m:limLoc m:val="undOvr"/>
                    <m:subHide m:val="1"/>
                    <m:supHide m:val="1"/>
                    <m:ctrlPr>
                      <w:rPr>
                        <w:rFonts w:ascii="Cambria Math" w:hAnsi="Cambria Math"/>
                        <w:i/>
                        <w:iCs/>
                      </w:rPr>
                    </m:ctrlPr>
                  </m:naryPr>
                  <m:sub/>
                  <m:sup/>
                  <m:e>
                    <m:r>
                      <w:rPr>
                        <w:rFonts w:ascii="Cambria Math" w:hAnsi="Cambria Math"/>
                      </w:rPr>
                      <m:t>I</m:t>
                    </m:r>
                    <m:d>
                      <m:dPr>
                        <m:ctrlPr>
                          <w:rPr>
                            <w:rFonts w:ascii="Cambria Math" w:hAnsi="Cambria Math"/>
                            <w:i/>
                            <w:iCs/>
                          </w:rPr>
                        </m:ctrlPr>
                      </m:dPr>
                      <m:e>
                        <m:sSub>
                          <m:sSubPr>
                            <m:ctrlPr>
                              <w:rPr>
                                <w:rFonts w:ascii="Cambria Math" w:hAnsi="Cambria Math"/>
                                <w:i/>
                                <w:iCs/>
                              </w:rPr>
                            </m:ctrlPr>
                          </m:sSubPr>
                          <m:e>
                            <m:r>
                              <w:rPr>
                                <w:rFonts w:ascii="Cambria Math" w:hAnsi="Cambria Math"/>
                              </w:rPr>
                              <m:t>ε</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ε</m:t>
                            </m:r>
                          </m:e>
                          <m:sub>
                            <m:r>
                              <w:rPr>
                                <w:rFonts w:ascii="Cambria Math" w:hAnsi="Cambria Math"/>
                              </w:rPr>
                              <m:t>BEV</m:t>
                            </m:r>
                          </m:sub>
                        </m:sSub>
                        <m:r>
                          <w:rPr>
                            <w:rFonts w:ascii="Cambria Math" w:hAnsi="Cambria Math"/>
                          </w:rPr>
                          <m:t>&lt;</m:t>
                        </m:r>
                        <m:sSub>
                          <m:sSubPr>
                            <m:ctrlPr>
                              <w:rPr>
                                <w:rFonts w:ascii="Cambria Math" w:hAnsi="Cambria Math"/>
                                <w:i/>
                                <w:iCs/>
                              </w:rPr>
                            </m:ctrlPr>
                          </m:sSubPr>
                          <m:e>
                            <m:r>
                              <w:rPr>
                                <w:rFonts w:ascii="Cambria Math" w:hAnsi="Cambria Math"/>
                              </w:rPr>
                              <m:t>V</m:t>
                            </m:r>
                          </m:e>
                          <m:sub>
                            <m:r>
                              <w:rPr>
                                <w:rFonts w:ascii="Cambria Math" w:hAnsi="Cambria Math"/>
                              </w:rPr>
                              <m:t>BEV</m:t>
                            </m:r>
                          </m:sub>
                        </m:sSub>
                        <m:r>
                          <w:rPr>
                            <w:rFonts w:ascii="Cambria Math" w:hAnsi="Cambria Math"/>
                          </w:rPr>
                          <m:t>-</m:t>
                        </m:r>
                        <m:sSub>
                          <m:sSubPr>
                            <m:ctrlPr>
                              <w:rPr>
                                <w:rFonts w:ascii="Cambria Math" w:hAnsi="Cambria Math"/>
                                <w:i/>
                                <w:iCs/>
                              </w:rPr>
                            </m:ctrlPr>
                          </m:sSubPr>
                          <m:e>
                            <m:r>
                              <w:rPr>
                                <w:rFonts w:ascii="Cambria Math" w:hAnsi="Cambria Math"/>
                              </w:rPr>
                              <m:t>V</m:t>
                            </m:r>
                          </m:e>
                          <m:sub>
                            <m:r>
                              <w:rPr>
                                <w:rFonts w:ascii="Cambria Math" w:hAnsi="Cambria Math"/>
                              </w:rPr>
                              <m:t>j</m:t>
                            </m:r>
                          </m:sub>
                        </m:sSub>
                        <m:r>
                          <w:rPr>
                            <w:rFonts w:ascii="Cambria Math" w:hAnsi="Cambria Math"/>
                          </w:rPr>
                          <m:t>, ∀j≠i</m:t>
                        </m:r>
                      </m:e>
                    </m:d>
                    <m:r>
                      <w:rPr>
                        <w:rFonts w:ascii="Cambria Math" w:hAnsi="Cambria Math"/>
                      </w:rPr>
                      <m:t> f</m:t>
                    </m:r>
                    <m:d>
                      <m:dPr>
                        <m:ctrlPr>
                          <w:rPr>
                            <w:rFonts w:ascii="Cambria Math" w:hAnsi="Cambria Math"/>
                            <w:i/>
                            <w:iCs/>
                          </w:rPr>
                        </m:ctrlPr>
                      </m:dPr>
                      <m:e>
                        <m:r>
                          <w:rPr>
                            <w:rFonts w:ascii="Cambria Math" w:hAnsi="Cambria Math"/>
                          </w:rPr>
                          <m:t>ε</m:t>
                        </m:r>
                      </m:e>
                    </m:d>
                    <m:r>
                      <w:rPr>
                        <w:rFonts w:ascii="Cambria Math" w:hAnsi="Cambria Math"/>
                      </w:rPr>
                      <m:t>dε</m:t>
                    </m:r>
                  </m:e>
                </m:nary>
              </m:oMath>
            </m:oMathPara>
          </w:p>
        </w:tc>
        <w:tc>
          <w:tcPr>
            <w:tcW w:w="500" w:type="pct"/>
          </w:tcPr>
          <w:p w14:paraId="43A43A2B" w14:textId="77777777" w:rsidR="00983392" w:rsidRPr="00F84713" w:rsidRDefault="00983392" w:rsidP="0099742A">
            <w:pPr>
              <w:pStyle w:val="ListParagraph"/>
              <w:numPr>
                <w:ilvl w:val="0"/>
                <w:numId w:val="30"/>
              </w:numPr>
              <w:spacing w:after="0" w:line="240" w:lineRule="auto"/>
              <w:ind w:hanging="627"/>
            </w:pPr>
          </w:p>
        </w:tc>
      </w:tr>
    </w:tbl>
    <w:p w14:paraId="4495D03B" w14:textId="4246852F" w:rsidR="00086AEC" w:rsidRDefault="00F66BA8" w:rsidP="00163944">
      <w:pPr>
        <w:widowControl w:val="0"/>
        <w:spacing w:line="240" w:lineRule="auto"/>
        <w:ind w:firstLine="0"/>
      </w:pPr>
      <w:r>
        <w:t xml:space="preserve">Where </w:t>
      </w:r>
      <m:oMath>
        <m:sSub>
          <m:sSubPr>
            <m:ctrlPr>
              <w:rPr>
                <w:rFonts w:ascii="Cambria Math" w:hAnsi="Cambria Math"/>
                <w:i/>
                <w:iCs/>
              </w:rPr>
            </m:ctrlPr>
          </m:sSubPr>
          <m:e>
            <m:r>
              <w:rPr>
                <w:rFonts w:ascii="Cambria Math" w:hAnsi="Cambria Math"/>
              </w:rPr>
              <m:t>U</m:t>
            </m:r>
          </m:e>
          <m:sub>
            <m:r>
              <w:rPr>
                <w:rFonts w:ascii="Cambria Math" w:hAnsi="Cambria Math"/>
              </w:rPr>
              <m:t>j</m:t>
            </m:r>
          </m:sub>
        </m:sSub>
      </m:oMath>
      <w:r w:rsidR="007E7BA0">
        <w:rPr>
          <w:iCs/>
        </w:rPr>
        <w:t xml:space="preserve"> </w:t>
      </w:r>
      <w:r w:rsidR="00260826">
        <w:rPr>
          <w:iCs/>
        </w:rPr>
        <w:t xml:space="preserve">can be </w:t>
      </w:r>
      <w:r w:rsidR="007E7BA0">
        <w:rPr>
          <w:iCs/>
        </w:rPr>
        <w:t>simplified as</w:t>
      </w:r>
      <w:r w:rsidR="00C12141">
        <w:rPr>
          <w:iCs/>
        </w:rPr>
        <w:t xml:space="preserve"> </w:t>
      </w:r>
      <w:r w:rsidR="00260826">
        <w:rPr>
          <w:iCs/>
        </w:rPr>
        <w:t xml:space="preserve">the </w:t>
      </w:r>
      <w:r w:rsidR="00C12141">
        <w:rPr>
          <w:iCs/>
        </w:rPr>
        <w:t xml:space="preserve">observed utility </w:t>
      </w:r>
      <w:r w:rsidR="00260826">
        <w:rPr>
          <w:iCs/>
        </w:rPr>
        <w:t xml:space="preserve">plus </w:t>
      </w:r>
      <w:r w:rsidR="00C12141">
        <w:rPr>
          <w:iCs/>
        </w:rPr>
        <w:t>the error term</w:t>
      </w:r>
      <w:r w:rsidR="007E7BA0">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j</m:t>
            </m:r>
          </m:sub>
        </m:sSub>
        <m:r>
          <w:rPr>
            <w:rFonts w:ascii="Cambria Math" w:hAnsi="Cambria Math"/>
          </w:rPr>
          <m:t>+</m:t>
        </m:r>
        <m:sSub>
          <m:sSubPr>
            <m:ctrlPr>
              <w:rPr>
                <w:rFonts w:ascii="Cambria Math" w:hAnsi="Cambria Math"/>
                <w:i/>
                <w:iCs/>
              </w:rPr>
            </m:ctrlPr>
          </m:sSubPr>
          <m:e>
            <m:r>
              <w:rPr>
                <w:rFonts w:ascii="Cambria Math" w:hAnsi="Cambria Math"/>
              </w:rPr>
              <m:t>ε</m:t>
            </m:r>
          </m:e>
          <m:sub>
            <m:r>
              <w:rPr>
                <w:rFonts w:ascii="Cambria Math" w:hAnsi="Cambria Math"/>
              </w:rPr>
              <m:t>j</m:t>
            </m:r>
          </m:sub>
        </m:sSub>
      </m:oMath>
      <w:r w:rsidR="00C12141">
        <w:rPr>
          <w:iCs/>
        </w:rPr>
        <w:t>, where</w:t>
      </w:r>
      <w:r w:rsidR="007E7BA0">
        <w:rPr>
          <w:iCs/>
        </w:rPr>
        <w:t xml:space="preserve"> </w:t>
      </w:r>
      <m:oMath>
        <m:sSub>
          <m:sSubPr>
            <m:ctrlPr>
              <w:rPr>
                <w:rFonts w:ascii="Cambria Math" w:hAnsi="Cambria Math"/>
                <w:i/>
                <w:iCs/>
              </w:rPr>
            </m:ctrlPr>
          </m:sSubPr>
          <m:e>
            <m:r>
              <w:rPr>
                <w:rFonts w:ascii="Cambria Math" w:hAnsi="Cambria Math"/>
              </w:rPr>
              <m:t>V</m:t>
            </m:r>
          </m:e>
          <m:sub>
            <m:r>
              <w:rPr>
                <w:rFonts w:ascii="Cambria Math" w:hAnsi="Cambria Math"/>
              </w:rPr>
              <m:t>j</m:t>
            </m:r>
          </m:sub>
        </m:sSub>
      </m:oMath>
      <w:r>
        <w:rPr>
          <w:iCs/>
        </w:rPr>
        <w:t xml:space="preserve"> is </w:t>
      </w:r>
      <w:r w:rsidR="007E7BA0">
        <w:rPr>
          <w:iCs/>
        </w:rPr>
        <w:t xml:space="preserve">the </w:t>
      </w:r>
      <w:r w:rsidR="00736DC4">
        <w:rPr>
          <w:iCs/>
        </w:rPr>
        <w:t xml:space="preserve">observable </w:t>
      </w:r>
      <w:r w:rsidR="008B1A9A">
        <w:rPr>
          <w:iCs/>
        </w:rPr>
        <w:t xml:space="preserve">utility </w:t>
      </w:r>
      <w:r w:rsidR="007E7BA0">
        <w:rPr>
          <w:iCs/>
        </w:rPr>
        <w:t xml:space="preserve">and </w:t>
      </w:r>
      <m:oMath>
        <m:sSub>
          <m:sSubPr>
            <m:ctrlPr>
              <w:rPr>
                <w:rFonts w:ascii="Cambria Math" w:hAnsi="Cambria Math"/>
                <w:i/>
                <w:iCs/>
              </w:rPr>
            </m:ctrlPr>
          </m:sSubPr>
          <m:e>
            <m:r>
              <w:rPr>
                <w:rFonts w:ascii="Cambria Math" w:hAnsi="Cambria Math"/>
              </w:rPr>
              <m:t>ε</m:t>
            </m:r>
          </m:e>
          <m:sub>
            <m:r>
              <w:rPr>
                <w:rFonts w:ascii="Cambria Math" w:hAnsi="Cambria Math"/>
              </w:rPr>
              <m:t>j</m:t>
            </m:r>
          </m:sub>
        </m:sSub>
      </m:oMath>
      <w:r>
        <w:rPr>
          <w:iCs/>
        </w:rPr>
        <w:t xml:space="preserve"> is the</w:t>
      </w:r>
      <w:r w:rsidR="007E7BA0">
        <w:rPr>
          <w:iCs/>
        </w:rPr>
        <w:t xml:space="preserve"> unobservable</w:t>
      </w:r>
      <w:r>
        <w:rPr>
          <w:iCs/>
        </w:rPr>
        <w:t xml:space="preserve"> error terms. </w:t>
      </w:r>
      <w:r w:rsidR="005572BD">
        <w:t xml:space="preserve"> </w:t>
      </w:r>
      <w:r>
        <w:t xml:space="preserve">We </w:t>
      </w:r>
      <w:r w:rsidR="008775B3">
        <w:t xml:space="preserve">use </w:t>
      </w:r>
      <w:r>
        <w:t>the error term</w:t>
      </w:r>
      <w:r w:rsidR="008775B3">
        <w:t>s</w:t>
      </w:r>
      <w:r>
        <w:t xml:space="preserve"> provided by </w:t>
      </w:r>
      <w:r>
        <w:fldChar w:fldCharType="begin" w:fldLock="1"/>
      </w:r>
      <w:r>
        <w:instrText>ADDIN CSL_CITATION {"citationItems":[{"id":"ITEM-1","itemData":{"DOI":"10.1016/J.ENECO.2018.06.028","ISSN":"0140-9883","abstract":"Long-term energy systems models have been used extensively in energy planning and climate policy analysis. However, specifically in energy systems optimization models, heterogeneity of consumer preferences for competing energy technologies (e.g., vehicles), has not been adequately represented, leading to behaviorally unrealistic modeling results. This can lead to policy analysis results that are viewed by stakeholders as clearly deficient. This paper shows how heterogeneous consumer behavioral effects can be introduced into these models in the form of perceived disutility costs, to more realistically capture consumer choice in making technology purchase decisions. We developed a novel methodology that incorporates the theory of a classic consumer choice model into a commonly used long-term energy systems modeling framework using a case study of light-duty vehicles. A diverse set of consumer segments (thirty-six) is created to represent observable, identifiable differences in factors such as annual driving distances and attitude towards risks of new technology. Non-monetary or “disutility” costs associated with these factors are introduced to capture the differences in preferences across consumer segments for various technologies. We also create clones within each consumer segment to capture randomly distributed unobservable differences in preferences. We provide and review results for a specific example that includes external factors such as recharging/refueling station availability, battery size of electric vehicles, recharging time and perceived technology risks. Although the example is for light-duty vehicles in the US using a specific modeling system, this approach can be implemented more broadly to model the adoption of consumer technologies in other sectors or regions in similar energy systems modeling frameworks.","author":[{"dropping-particle":"","family":"Ramea","given":"Kalai","non-dropping-particle":"","parse-names":false,"suffix":""},{"dropping-particle":"","family":"Bunch","given":"David S.","non-dropping-particle":"","parse-names":false,"suffix":""},{"dropping-particle":"","family":"Yang","given":"Christopher","non-dropping-particle":"","parse-names":false,"suffix":""},{"dropping-particle":"","family":"Yeh","given":"Sonia","non-dropping-particle":"","parse-names":false,"suffix":""},{"dropping-particle":"","family":"Ogden","given":"Joan M.","non-dropping-particle":"","parse-names":false,"suffix":""}],"container-title":"Energy Economics","id":"ITEM-1","issued":{"date-parts":[["2018","8","1"]]},"note":"In general, these studies point to the fact that consumer investment decisions are often dominated by non-monetary costs","page":"663-676","publisher":"North-Holland","title":"Integration of behavioral effects from vehicle choice models into long-term energy systems optimization models","type":"article-journal","volume":"74"},"uris":["http://www.mendeley.com/documents/?uuid=2de22eca-d4a8-3b34-98ea-ee817d9481b5"]}],"mendeley":{"formattedCitation":"(Ramea et al. 2018)","manualFormatting":"Ramea et al. (2018)","plainTextFormattedCitation":"(Ramea et al. 2018)","previouslyFormattedCitation":"(Ramea et al. 2018)"},"properties":{"noteIndex":0},"schema":"https://github.com/citation-style-language/schema/raw/master/csl-citation.json"}</w:instrText>
      </w:r>
      <w:r>
        <w:fldChar w:fldCharType="separate"/>
      </w:r>
      <w:r>
        <w:rPr>
          <w:noProof/>
        </w:rPr>
        <w:t>Ramea et al. (2018)</w:t>
      </w:r>
      <w:r>
        <w:fldChar w:fldCharType="end"/>
      </w:r>
      <w:r>
        <w:t xml:space="preserve"> that </w:t>
      </w:r>
      <w:r w:rsidRPr="00575823">
        <w:t>represent</w:t>
      </w:r>
      <w:r>
        <w:t xml:space="preserve"> the </w:t>
      </w:r>
      <w:r w:rsidR="008775B3">
        <w:t xml:space="preserve">vehicle </w:t>
      </w:r>
      <w:r>
        <w:t xml:space="preserve">choices </w:t>
      </w:r>
      <w:r w:rsidR="008775B3">
        <w:t xml:space="preserve">of US market </w:t>
      </w:r>
      <w:r>
        <w:t xml:space="preserve">under a </w:t>
      </w:r>
      <w:r w:rsidR="005572BD">
        <w:t xml:space="preserve">similar </w:t>
      </w:r>
      <w:r>
        <w:t>nested multinomial logit model</w:t>
      </w:r>
      <w:r w:rsidR="000A0F7C">
        <w:t xml:space="preserve"> (Figure A9)</w:t>
      </w:r>
      <w:r w:rsidR="005572BD">
        <w:t>,</w:t>
      </w:r>
      <w:r>
        <w:t xml:space="preserve"> </w:t>
      </w:r>
      <w:r w:rsidR="005572BD">
        <w:t xml:space="preserve">which has </w:t>
      </w:r>
      <w:r>
        <w:t xml:space="preserve">correlated error terms within the same nest of the engine type but independent across the different drivetrain nests </w:t>
      </w:r>
      <w:r>
        <w:fldChar w:fldCharType="begin" w:fldLock="1"/>
      </w:r>
      <w:r>
        <w:instrText>ADDIN CSL_CITATION {"citationItems":[{"id":"ITEM-1","itemData":{"DOI":"10.1016/J.JOCM.2016.04.001","ISSN":"1755-5345","abstract":"The initial motivation leading to the results in this paper was a problem most choice modeling researchers may have not considered: how to simulate random disturbance terms from nested logit (NL) models. We develop an approach using results from Cardell (1997), who proved the existence of a probability distribution (C(λ)) that could be used to formulate NL models based on statistically independent variance components. These components can be interpreted as unobserved preference heterogeneity for the choice ‘dimensions’ used to define NL tree structures. Simulation aside, we consider this formulation to have other practical advantages for empirical work, but it does not appear to have penetrated the literature (possibly due to notational obstacles). We use notation from Daly (2001) to implement an equivalent representation, which also establishes mathematical equivalence between Cardell (1997) and other important results in the NL literature.","author":[{"dropping-particle":"","family":"Bunch","given":"David S.","non-dropping-particle":"","parse-names":false,"suffix":""},{"dropping-particle":"","family":"Rocke","given":"David M.","non-dropping-particle":"","parse-names":false,"suffix":""}],"container-title":"Journal of Choice Modelling","id":"ITEM-1","issued":{"date-parts":[["2016","12","1"]]},"note":"The paper provided the structural modeling work of the nested logit specifications and the microsimulation of random disturbance terms.\n\n--provide the unobserved preference heterogeneity\n--MNL has limitations of independence from irrelevant alternatives, and unrealisitc substitution patterns across alternatives.\n--Precondition of using this method: Adhere to the hierachical structure, nominal levels of qualitative attributes, and all random disturbance have the same scale/variance.\n--Technically, not very sure how this was derived. But the discussion session mentioned its more simplified way to investigating other general distribution families.\n--For the compite nodes\n--Modeling comparsons:\n* mixed MNL allows more flexibility or behavioral concepts but requires simulation methodologies.\n*GEV-based model has closed-form expressions, but more complexity.","page":"30-35","publisher":"Elsevier","title":"Variance-component-based nested logit specifications: Improved formulation, and practical microsimulation of random disturbance terms","type":"article-journal","volume":"21"},"uris":["http://www.mendeley.com/documents/?uuid=015b98d0-1d29-39cf-ad86-9e15b5157133"]}],"mendeley":{"formattedCitation":"(Bunch and Rocke 2016)","plainTextFormattedCitation":"(Bunch and Rocke 2016)","previouslyFormattedCitation":"(Bunch and Rocke 2016)"},"properties":{"noteIndex":0},"schema":"https://github.com/citation-style-language/schema/raw/master/csl-citation.json"}</w:instrText>
      </w:r>
      <w:r>
        <w:fldChar w:fldCharType="separate"/>
      </w:r>
      <w:r>
        <w:rPr>
          <w:noProof/>
        </w:rPr>
        <w:t>(Bunch and Rocke 2016)</w:t>
      </w:r>
      <w:r>
        <w:fldChar w:fldCharType="end"/>
      </w:r>
      <w:r>
        <w:t xml:space="preserve">. The error terms follow a standard Gumbel distribution with </w:t>
      </w:r>
      <w:r w:rsidR="000A0F7C">
        <w:t xml:space="preserve">a </w:t>
      </w:r>
      <w:r>
        <w:t>location parameter of 0 and scale parameter of 1 for each vehicle type and are correlated within the nests (as shown in the top left of Figure A</w:t>
      </w:r>
      <w:r w:rsidR="000A0F7C">
        <w:t>10</w:t>
      </w:r>
      <w:r>
        <w:t xml:space="preserve">). </w:t>
      </w:r>
    </w:p>
    <w:p w14:paraId="52AA1B4B" w14:textId="7ED0CFEC" w:rsidR="000A0F7C" w:rsidRPr="008F3930" w:rsidRDefault="000A0F7C" w:rsidP="00C53F8C">
      <w:pPr>
        <w:spacing w:line="240" w:lineRule="auto"/>
      </w:pPr>
      <w:r w:rsidRPr="00D82C80">
        <w:rPr>
          <w:noProof/>
          <w:bdr w:val="single" w:sz="8" w:space="0" w:color="auto"/>
        </w:rPr>
        <w:drawing>
          <wp:inline distT="0" distB="0" distL="0" distR="0" wp14:anchorId="1D3451D9" wp14:editId="57C2DB2C">
            <wp:extent cx="5711209" cy="343399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4980" cy="3436261"/>
                    </a:xfrm>
                    <a:prstGeom prst="rect">
                      <a:avLst/>
                    </a:prstGeom>
                    <a:noFill/>
                  </pic:spPr>
                </pic:pic>
              </a:graphicData>
            </a:graphic>
          </wp:inline>
        </w:drawing>
      </w:r>
      <w:r w:rsidRPr="008F3930">
        <w:rPr>
          <w:b/>
          <w:bCs/>
        </w:rPr>
        <w:t xml:space="preserve">Figure A9 </w:t>
      </w:r>
      <w:r w:rsidR="00CC6A50" w:rsidRPr="008F3930">
        <w:rPr>
          <w:b/>
          <w:bCs/>
        </w:rPr>
        <w:t>N</w:t>
      </w:r>
      <w:r w:rsidRPr="008F3930">
        <w:rPr>
          <w:b/>
          <w:bCs/>
        </w:rPr>
        <w:t xml:space="preserve">ested </w:t>
      </w:r>
      <w:r w:rsidR="008F3930" w:rsidRPr="008F3930">
        <w:rPr>
          <w:b/>
          <w:bCs/>
        </w:rPr>
        <w:t xml:space="preserve">Structure Applied </w:t>
      </w:r>
      <w:r w:rsidR="008F3930">
        <w:rPr>
          <w:b/>
          <w:bCs/>
        </w:rPr>
        <w:t>i</w:t>
      </w:r>
      <w:r w:rsidR="008F3930" w:rsidRPr="008F3930">
        <w:rPr>
          <w:b/>
          <w:bCs/>
        </w:rPr>
        <w:t xml:space="preserve">n This Model. </w:t>
      </w:r>
      <w:r w:rsidR="00163944">
        <w:t>B</w:t>
      </w:r>
      <w:r w:rsidR="008F3930" w:rsidRPr="008F3930">
        <w:t xml:space="preserve">lack dots represent random </w:t>
      </w:r>
      <w:r w:rsidR="002A5A73">
        <w:t>preference</w:t>
      </w:r>
      <w:r w:rsidR="008F3930" w:rsidRPr="008F3930">
        <w:t xml:space="preserve"> terms; only three </w:t>
      </w:r>
      <w:r w:rsidR="00163944">
        <w:t xml:space="preserve">of ten </w:t>
      </w:r>
      <w:r w:rsidR="008F3930" w:rsidRPr="008F3930">
        <w:t>clones are shown here due to limited space</w:t>
      </w:r>
      <w:r w:rsidR="00163944">
        <w:t>.</w:t>
      </w:r>
    </w:p>
    <w:p w14:paraId="564C9A34" w14:textId="22FCB88E" w:rsidR="000D2E16" w:rsidRDefault="005572BD" w:rsidP="00F5230B">
      <w:pPr>
        <w:spacing w:line="240" w:lineRule="auto"/>
      </w:pPr>
      <w:proofErr w:type="gramStart"/>
      <w:r>
        <w:lastRenderedPageBreak/>
        <w:t>In order to</w:t>
      </w:r>
      <w:proofErr w:type="gramEnd"/>
      <w:r>
        <w:t xml:space="preserve"> show the spatial variations in different fuel types of the vehicle, w</w:t>
      </w:r>
      <w:r w:rsidR="00793C37">
        <w:t xml:space="preserve">e </w:t>
      </w:r>
      <w:r>
        <w:t xml:space="preserve">apply the </w:t>
      </w:r>
      <w:r w:rsidR="00793C37">
        <w:t>regional multipliers from Google Trend</w:t>
      </w:r>
      <w:r w:rsidR="0000736B">
        <w:t xml:space="preserve"> data</w:t>
      </w:r>
      <w:r w:rsidR="00793C37">
        <w:t xml:space="preserve">. </w:t>
      </w:r>
      <w:r w:rsidR="00CA670F">
        <w:t xml:space="preserve">The Google trend data </w:t>
      </w:r>
      <w:r w:rsidR="00CA670F" w:rsidRPr="00F04E0C">
        <w:t xml:space="preserve">are </w:t>
      </w:r>
      <w:r w:rsidR="00CA670F" w:rsidRPr="00CA670F">
        <w:t xml:space="preserve">used to monitor the real-time and archived information on Google queries that reveal preferences </w:t>
      </w:r>
      <w:r w:rsidR="00CA670F" w:rsidRPr="00F04E0C">
        <w:t xml:space="preserve">or interests over time and across regions </w:t>
      </w:r>
      <w:r w:rsidR="00CA670F" w:rsidRPr="00CA670F">
        <w:fldChar w:fldCharType="begin" w:fldLock="1"/>
      </w:r>
      <w:r w:rsidR="00CA670F" w:rsidRPr="00CA670F">
        <w:instrText>ADDIN CSL_CITATION {"citationItems":[{"id":"ITEM-1","itemData":{"DOI":"10.2196/13439","ISSN":"2369-2960","author":[{"dropping-particle":"","family":"Mavragani","given":"Amaryllis","non-dropping-particle":"","parse-names":false,"suffix":""},{"dropping-particle":"","family":"Ochoa","given":"Gabriela","non-dropping-particle":"","parse-names":false,"suffix":""}],"container-title":"JMIR Public Health and Surveillance","id":"ITEM-1","issue":"2","issued":{"date-parts":[["2019","5","29"]]},"page":"e13439","title":"Google Trends in Infodemiology and Infoveillance: Methodology Framework","type":"article-journal","volume":"5"},"uris":["http://www.mendeley.com/documents/?uuid=4f765977-ccb4-40ea-b474-63c02d46ae6a"]},{"id":"ITEM-2","itemData":{"abstract":"Using non-linear machine learning methods and a proper backtest procedure, we critically examine the claim that Google Trends can predict future price returns. We first review the many potential biases that may influence backtests with this kind of data positively, the choice of keywords being by far the greatest culprit. We then argue that the real question is whether such data contain more predictability than price returns themselves: our backtest yields a performance of about 17bps per week which only weakly depends on the kind of data on which predictors are based, i.e. either past price returns or Google Trends data, or both.","author":[{"dropping-particle":"","family":"Challet","given":"Damien","non-dropping-particle":"","parse-names":false,"suffix":""},{"dropping-particle":"","family":"Bel","given":"Ahmed","non-dropping-particle":"","parse-names":false,"suffix":""},{"dropping-particle":"","family":"Ayed","given":"Hadj","non-dropping-particle":"","parse-names":false,"suffix":""}],"id":"ITEM-2","issued":{"date-parts":[["2014"]]},"title":"Do Google Trend data contain more predictability than price returns?","type":"report"},"uris":["http://www.mendeley.com/documents/?uuid=c4bcabdc-fc83-3ce0-af86-5b67d1c6aac6"]}],"mendeley":{"formattedCitation":"(Mavragani and Ochoa 2019; Challet, Bel and Ayed 2014)","plainTextFormattedCitation":"(Mavragani and Ochoa 2019; Challet, Bel and Ayed 2014)","previouslyFormattedCitation":"(Mavragani and Ochoa 2019; Challet, Bel and Ayed 2014)"},"properties":{"noteIndex":0},"schema":"https://github.com/citation-style-language/schema/raw/master/csl-citation.json"}</w:instrText>
      </w:r>
      <w:r w:rsidR="00CA670F" w:rsidRPr="00CA670F">
        <w:fldChar w:fldCharType="separate"/>
      </w:r>
      <w:r w:rsidR="00CA670F" w:rsidRPr="00CA670F">
        <w:rPr>
          <w:noProof/>
        </w:rPr>
        <w:t>(Mavragani and Ochoa 2019; Challet, Bel and Ayed 2014)</w:t>
      </w:r>
      <w:r w:rsidR="00CA670F" w:rsidRPr="00CA670F">
        <w:fldChar w:fldCharType="end"/>
      </w:r>
      <w:r w:rsidR="00CA670F" w:rsidRPr="00CA670F">
        <w:t xml:space="preserve">. </w:t>
      </w:r>
      <w:r w:rsidR="00793C37">
        <w:t xml:space="preserve">Google Trend provides the normalized </w:t>
      </w:r>
      <w:r w:rsidR="00CA670F">
        <w:t xml:space="preserve">metrics of </w:t>
      </w:r>
      <w:r w:rsidR="00793C37">
        <w:t xml:space="preserve">search requests </w:t>
      </w:r>
      <w:r w:rsidR="00F5230B">
        <w:t xml:space="preserve">relative to the highest </w:t>
      </w:r>
      <w:r w:rsidR="00260826">
        <w:t xml:space="preserve">search </w:t>
      </w:r>
      <w:r w:rsidR="00F5230B">
        <w:t xml:space="preserve">count </w:t>
      </w:r>
      <w:r w:rsidR="00793C37">
        <w:t>in a given time frame</w:t>
      </w:r>
      <w:r w:rsidR="00095C93">
        <w:t xml:space="preserve"> (</w:t>
      </w:r>
      <w:r w:rsidR="00575823">
        <w:t xml:space="preserve">can be </w:t>
      </w:r>
      <w:r w:rsidR="00095C93">
        <w:t xml:space="preserve">daily, monthly, </w:t>
      </w:r>
      <w:proofErr w:type="gramStart"/>
      <w:r w:rsidR="00095C93">
        <w:t xml:space="preserve">yearly) </w:t>
      </w:r>
      <w:r w:rsidR="00793C37">
        <w:t xml:space="preserve"> across</w:t>
      </w:r>
      <w:proofErr w:type="gramEnd"/>
      <w:r w:rsidR="00793C37">
        <w:t xml:space="preserve"> the region.</w:t>
      </w:r>
      <w:r w:rsidR="00585829">
        <w:t xml:space="preserve"> The normalization of the regional search </w:t>
      </w:r>
      <w:r w:rsidR="000751C3">
        <w:t xml:space="preserve">interest </w:t>
      </w:r>
      <w:r w:rsidR="0000736B">
        <w:t xml:space="preserve">done by Google Trend </w:t>
      </w:r>
      <w:r w:rsidR="000751C3">
        <w:t>is to divide the search</w:t>
      </w:r>
      <w:r w:rsidR="00793C37">
        <w:t xml:space="preserve"> </w:t>
      </w:r>
      <w:r w:rsidR="000751C3">
        <w:t xml:space="preserve">count </w:t>
      </w:r>
      <w:r w:rsidR="00260826">
        <w:rPr>
          <w:rFonts w:hint="eastAsia"/>
        </w:rPr>
        <w:t>o</w:t>
      </w:r>
      <w:r w:rsidR="00260826">
        <w:t xml:space="preserve">f region r </w:t>
      </w:r>
      <w:r w:rsidR="000751C3">
        <w:t xml:space="preserve">of vehicle </w:t>
      </w:r>
      <w:r w:rsidR="000751C3" w:rsidRPr="0099742A">
        <w:rPr>
          <w:i/>
          <w:iCs/>
        </w:rPr>
        <w:t>v</w:t>
      </w:r>
      <w:r w:rsidR="00260826">
        <w:rPr>
          <w:i/>
          <w:iCs/>
        </w:rPr>
        <w:t xml:space="preserve"> </w:t>
      </w:r>
      <w:r w:rsidR="00260826" w:rsidRPr="002E3D9C">
        <w:t>at time t</w:t>
      </w:r>
      <w:r w:rsidR="00F37477">
        <w:rPr>
          <w:i/>
          <w:iCs/>
        </w:rPr>
        <w:t xml:space="preserve"> </w:t>
      </w:r>
      <w:r w:rsidR="00F37477">
        <w:t>(S</w:t>
      </w:r>
      <w:r w:rsidR="00F37477">
        <w:rPr>
          <w:rFonts w:hint="eastAsia"/>
        </w:rPr>
        <w:t>e</w:t>
      </w:r>
      <w:r w:rsidR="00F37477">
        <w:t xml:space="preserve">arch </w:t>
      </w:r>
      <w:proofErr w:type="spellStart"/>
      <w:proofErr w:type="gramStart"/>
      <w:r w:rsidR="00F37477">
        <w:t>Count</w:t>
      </w:r>
      <w:r w:rsidR="00F37477" w:rsidRPr="000D2E16">
        <w:rPr>
          <w:vertAlign w:val="subscript"/>
        </w:rPr>
        <w:t>v,t</w:t>
      </w:r>
      <w:proofErr w:type="gramEnd"/>
      <w:r w:rsidR="00F37477" w:rsidRPr="000D2E16">
        <w:rPr>
          <w:vertAlign w:val="subscript"/>
        </w:rPr>
        <w:t>,r</w:t>
      </w:r>
      <w:proofErr w:type="spellEnd"/>
      <w:r w:rsidR="00F37477">
        <w:t>)</w:t>
      </w:r>
      <w:r w:rsidR="000751C3">
        <w:t xml:space="preserve"> by the highest search volume of the state </w:t>
      </w:r>
      <w:r w:rsidR="000751C3">
        <w:rPr>
          <w:rFonts w:hint="eastAsia"/>
        </w:rPr>
        <w:t>in</w:t>
      </w:r>
      <w:r w:rsidR="000751C3">
        <w:t xml:space="preserve"> the US</w:t>
      </w:r>
      <w:r w:rsidR="00575823">
        <w:t xml:space="preserve"> (</w:t>
      </w:r>
      <w:proofErr w:type="spellStart"/>
      <w:r w:rsidR="00F37477">
        <w:t>max</w:t>
      </w:r>
      <w:r w:rsidR="00F37477" w:rsidRPr="000D2E16">
        <w:rPr>
          <w:vertAlign w:val="subscript"/>
        </w:rPr>
        <w:t>r</w:t>
      </w:r>
      <w:proofErr w:type="spellEnd"/>
      <w:r w:rsidR="00F37477">
        <w:t>(S</w:t>
      </w:r>
      <w:r w:rsidR="00F37477">
        <w:rPr>
          <w:rFonts w:hint="eastAsia"/>
        </w:rPr>
        <w:t>e</w:t>
      </w:r>
      <w:r w:rsidR="00F37477">
        <w:t xml:space="preserve">arch </w:t>
      </w:r>
      <w:proofErr w:type="spellStart"/>
      <w:r w:rsidR="00F37477">
        <w:t>Count</w:t>
      </w:r>
      <w:r w:rsidR="00F37477" w:rsidRPr="000D2E16">
        <w:rPr>
          <w:vertAlign w:val="subscript"/>
        </w:rPr>
        <w:t>v,t,r</w:t>
      </w:r>
      <w:proofErr w:type="spellEnd"/>
      <w:r w:rsidR="00F37477">
        <w:t xml:space="preserve">) in </w:t>
      </w:r>
      <w:r w:rsidR="00575823">
        <w:t>equation 18),</w:t>
      </w:r>
      <w:r w:rsidR="000751C3">
        <w:t xml:space="preserve"> so that the measurement of search interests are all in the scale of 0 to 1.</w:t>
      </w:r>
      <w:r w:rsidR="00F5230B">
        <w:t xml:space="preserve"> </w:t>
      </w:r>
      <w:r w:rsidR="00793C37" w:rsidRPr="00CA670F">
        <w:t>We first use representative car models or brands as the keywords for three vehicle</w:t>
      </w:r>
      <w:r w:rsidR="00793C37">
        <w:t xml:space="preserve"> types: </w:t>
      </w:r>
      <w:r w:rsidR="00CA670F">
        <w:t>“</w:t>
      </w:r>
      <w:r w:rsidR="00793C37">
        <w:t>Toyota Camry</w:t>
      </w:r>
      <w:r w:rsidR="00CA670F">
        <w:t>”</w:t>
      </w:r>
      <w:r w:rsidR="00793C37">
        <w:t xml:space="preserve"> for the conventional vehicle (CV), </w:t>
      </w:r>
      <w:r w:rsidR="00CA670F">
        <w:t>“</w:t>
      </w:r>
      <w:r w:rsidR="00793C37">
        <w:t>Tesla</w:t>
      </w:r>
      <w:r w:rsidR="00CA670F">
        <w:t>”</w:t>
      </w:r>
      <w:r w:rsidR="00793C37">
        <w:t xml:space="preserve"> for battery electric vehicle (BEV), and </w:t>
      </w:r>
      <w:r w:rsidR="00CA670F">
        <w:t>“</w:t>
      </w:r>
      <w:r w:rsidR="00793C37">
        <w:t>Toyota Prius</w:t>
      </w:r>
      <w:r w:rsidR="00CA670F">
        <w:t>”</w:t>
      </w:r>
      <w:r w:rsidR="00793C37">
        <w:t xml:space="preserve"> for Plug-in Hybrid Electric Vehicle (PHEV). To represent the search interest for the flex-fuel vehicle (FFV) and hybrid electric vehicle (HBV) that do not have a representative vehicle model in the US market, we use “E85” and “Hybrid Electric” as the search keyword. </w:t>
      </w:r>
      <w:r w:rsidR="006D7877">
        <w:t xml:space="preserve">The </w:t>
      </w:r>
      <w:r w:rsidR="00095C93">
        <w:t>spatial variation of search interest across the state</w:t>
      </w:r>
      <w:r w:rsidR="00D424DC">
        <w:t xml:space="preserve"> </w:t>
      </w:r>
      <w:r w:rsidR="006D7877">
        <w:t xml:space="preserve">is shown in </w:t>
      </w:r>
      <w:r w:rsidR="00D424DC">
        <w:t xml:space="preserve">Figure </w:t>
      </w:r>
      <w:r w:rsidR="00CA670F">
        <w:t>A8</w:t>
      </w:r>
      <w:r w:rsidR="00191CED">
        <w:t>.</w:t>
      </w:r>
    </w:p>
    <w:tbl>
      <w:tblPr>
        <w:tblW w:w="5000" w:type="pct"/>
        <w:tblLook w:val="04A0" w:firstRow="1" w:lastRow="0" w:firstColumn="1" w:lastColumn="0" w:noHBand="0" w:noVBand="1"/>
      </w:tblPr>
      <w:tblGrid>
        <w:gridCol w:w="8424"/>
        <w:gridCol w:w="936"/>
      </w:tblGrid>
      <w:tr w:rsidR="000D2E16" w:rsidRPr="00F84713" w14:paraId="0553C404" w14:textId="77777777" w:rsidTr="00152A47">
        <w:trPr>
          <w:trHeight w:val="540"/>
        </w:trPr>
        <w:tc>
          <w:tcPr>
            <w:tcW w:w="4500" w:type="pct"/>
          </w:tcPr>
          <w:p w14:paraId="1165D61F" w14:textId="695F4CA0" w:rsidR="000D2E16" w:rsidRPr="00116248" w:rsidRDefault="00EA1B43" w:rsidP="00152A47">
            <w:pPr>
              <w:spacing w:line="240" w:lineRule="auto"/>
              <w:rPr>
                <w:rFonts w:eastAsia="DengXian"/>
              </w:rPr>
            </w:pPr>
            <w:bookmarkStart w:id="5" w:name="_Hlk138791102"/>
            <w:r>
              <w:t xml:space="preserve">Search </w:t>
            </w:r>
            <w:proofErr w:type="spellStart"/>
            <w:proofErr w:type="gramStart"/>
            <w:r w:rsidR="000D2E16">
              <w:t>Interest</w:t>
            </w:r>
            <w:r w:rsidR="000D2E16">
              <w:rPr>
                <w:vertAlign w:val="subscript"/>
              </w:rPr>
              <w:t>v,t</w:t>
            </w:r>
            <w:proofErr w:type="gramEnd"/>
            <w:r w:rsidR="000D2E16">
              <w:rPr>
                <w:vertAlign w:val="subscript"/>
              </w:rPr>
              <w:t>,r</w:t>
            </w:r>
            <w:proofErr w:type="spellEnd"/>
            <w:r w:rsidR="000D2E16">
              <w:t>= S</w:t>
            </w:r>
            <w:r w:rsidR="000D2E16">
              <w:rPr>
                <w:rFonts w:hint="eastAsia"/>
              </w:rPr>
              <w:t>e</w:t>
            </w:r>
            <w:r w:rsidR="000D2E16">
              <w:t xml:space="preserve">arch </w:t>
            </w:r>
            <w:proofErr w:type="spellStart"/>
            <w:r w:rsidR="000D2E16">
              <w:t>Count</w:t>
            </w:r>
            <w:r w:rsidR="000D2E16" w:rsidRPr="000D2E16">
              <w:rPr>
                <w:vertAlign w:val="subscript"/>
              </w:rPr>
              <w:t>v,t,r</w:t>
            </w:r>
            <w:proofErr w:type="spellEnd"/>
            <w:r w:rsidR="000D2E16">
              <w:t xml:space="preserve"> / </w:t>
            </w:r>
            <w:r w:rsidR="006D7877">
              <w:rPr>
                <w:rFonts w:hint="eastAsia"/>
              </w:rPr>
              <w:t>×</w:t>
            </w:r>
            <w:r w:rsidR="006D7877">
              <w:rPr>
                <w:rFonts w:hint="eastAsia"/>
              </w:rPr>
              <w:t>1</w:t>
            </w:r>
            <w:r w:rsidR="006D7877">
              <w:t>00%</w:t>
            </w:r>
            <w:r w:rsidR="003E5699">
              <w:t xml:space="preserve"> </w:t>
            </w:r>
            <m:oMath>
              <m:r>
                <m:rPr>
                  <m:sty m:val="p"/>
                </m:rPr>
                <w:rPr>
                  <w:rFonts w:ascii="Cambria Math" w:hAnsi="Cambria Math"/>
                </w:rPr>
                <m:t xml:space="preserve">∀ </m:t>
              </m:r>
              <m:r>
                <m:rPr>
                  <m:sty m:val="p"/>
                </m:rPr>
                <w:rPr>
                  <w:rFonts w:ascii="Cambria Math" w:hAnsi="Cambria Math" w:hint="eastAsia"/>
                </w:rPr>
                <m:t>v</m:t>
              </m:r>
              <m:r>
                <m:rPr>
                  <m:sty m:val="p"/>
                </m:rPr>
                <w:rPr>
                  <w:rFonts w:ascii="Cambria Math" w:hAnsi="Cambria Math"/>
                </w:rPr>
                <m:t>,t</m:t>
              </m:r>
            </m:oMath>
            <w:bookmarkEnd w:id="5"/>
          </w:p>
        </w:tc>
        <w:tc>
          <w:tcPr>
            <w:tcW w:w="500" w:type="pct"/>
          </w:tcPr>
          <w:p w14:paraId="0AD415C4" w14:textId="77777777" w:rsidR="000D2E16" w:rsidRPr="00F84713" w:rsidRDefault="000D2E16" w:rsidP="0099742A">
            <w:pPr>
              <w:pStyle w:val="ListParagraph"/>
              <w:numPr>
                <w:ilvl w:val="0"/>
                <w:numId w:val="30"/>
              </w:numPr>
              <w:spacing w:after="0" w:line="240" w:lineRule="auto"/>
              <w:ind w:hanging="537"/>
            </w:pPr>
          </w:p>
        </w:tc>
      </w:tr>
    </w:tbl>
    <w:p w14:paraId="497E2266" w14:textId="68CD2462" w:rsidR="00086AEC" w:rsidRDefault="00095C93" w:rsidP="00C53F8C">
      <w:pPr>
        <w:spacing w:line="240" w:lineRule="auto"/>
      </w:pPr>
      <w:r>
        <w:t xml:space="preserve">For example, the highest search interest </w:t>
      </w:r>
      <w:r w:rsidR="00CA670F">
        <w:t xml:space="preserve">of </w:t>
      </w:r>
      <w:r>
        <w:t>Toyota Camry is in the state of Mississippi</w:t>
      </w:r>
      <w:r w:rsidR="00D424DC">
        <w:t xml:space="preserve"> </w:t>
      </w:r>
      <w:r w:rsidR="00CA670F">
        <w:t xml:space="preserve">and </w:t>
      </w:r>
      <w:r w:rsidR="003F7CA4">
        <w:t xml:space="preserve">so </w:t>
      </w:r>
      <w:r w:rsidR="00CA670F">
        <w:t xml:space="preserve">California </w:t>
      </w:r>
      <w:r w:rsidR="003F7CA4">
        <w:t xml:space="preserve">only </w:t>
      </w:r>
      <w:r w:rsidR="00CA670F">
        <w:t>has a search interest of 50%</w:t>
      </w:r>
      <w:r w:rsidR="00D24E0E">
        <w:t>,</w:t>
      </w:r>
      <w:r w:rsidR="00CA670F">
        <w:t xml:space="preserve"> </w:t>
      </w:r>
      <w:r w:rsidR="003F7CA4">
        <w:t>meaning it</w:t>
      </w:r>
      <w:r w:rsidR="00CA670F">
        <w:t xml:space="preserve"> only has 50% of the search count in Mississippi</w:t>
      </w:r>
      <w:r w:rsidR="000D2E16">
        <w:t>;</w:t>
      </w:r>
      <w:r>
        <w:t xml:space="preserve"> whereas the searches of electric vehicles (Tesla, Toyota Prius, and hybrid electric) are primarily concentrated in California</w:t>
      </w:r>
      <w:r w:rsidR="000D2E16">
        <w:t xml:space="preserve"> with values of 100%</w:t>
      </w:r>
      <w:r>
        <w:t>; and search</w:t>
      </w:r>
      <w:r w:rsidR="0000736B">
        <w:t xml:space="preserve"> interest</w:t>
      </w:r>
      <w:r>
        <w:t xml:space="preserve"> for E85 cluster in the Midwest</w:t>
      </w:r>
      <w:r w:rsidR="00CA670F">
        <w:t xml:space="preserve"> area</w:t>
      </w:r>
      <w:r>
        <w:t>. We collect the data for each fuel type of vehicle from 2016 to 2019 across 51 states and average</w:t>
      </w:r>
      <w:r w:rsidR="00252D70">
        <w:t xml:space="preserve"> these</w:t>
      </w:r>
      <w:r>
        <w:t xml:space="preserve"> 20 </w:t>
      </w:r>
      <w:r w:rsidR="009A16DF">
        <w:t xml:space="preserve">electricity market </w:t>
      </w:r>
      <w:r>
        <w:t>regions</w:t>
      </w:r>
      <w:r w:rsidR="00CD7094">
        <w:t xml:space="preserve"> </w:t>
      </w:r>
      <w:r w:rsidR="009A16DF">
        <w:t>(</w:t>
      </w:r>
      <w:r w:rsidR="00CA670F">
        <w:t xml:space="preserve">Search </w:t>
      </w:r>
      <w:proofErr w:type="spellStart"/>
      <w:proofErr w:type="gramStart"/>
      <w:r w:rsidR="00CA670F">
        <w:t>Interest</w:t>
      </w:r>
      <w:r w:rsidR="00CA670F">
        <w:rPr>
          <w:vertAlign w:val="subscript"/>
        </w:rPr>
        <w:t>v,t</w:t>
      </w:r>
      <w:proofErr w:type="gramEnd"/>
      <w:r w:rsidR="00CA670F">
        <w:rPr>
          <w:vertAlign w:val="subscript"/>
        </w:rPr>
        <w:t>,r</w:t>
      </w:r>
      <w:proofErr w:type="spellEnd"/>
      <w:r w:rsidR="009A16DF">
        <w:t>).</w:t>
      </w:r>
      <w:r>
        <w:t xml:space="preserve"> </w:t>
      </w:r>
    </w:p>
    <w:p w14:paraId="29737261" w14:textId="256CF8ED" w:rsidR="00A40066" w:rsidRDefault="009717CA" w:rsidP="00983392">
      <w:pPr>
        <w:spacing w:line="240" w:lineRule="auto"/>
      </w:pPr>
      <w:r>
        <w:t xml:space="preserve">After multiplying </w:t>
      </w:r>
      <w:r w:rsidRPr="00D24E0E">
        <w:t xml:space="preserve">the spatial variation </w:t>
      </w:r>
      <w:r w:rsidR="0000736B">
        <w:t>by</w:t>
      </w:r>
      <w:r w:rsidRPr="00D24E0E">
        <w:t xml:space="preserve"> the standard error terms, w</w:t>
      </w:r>
      <w:r w:rsidR="00DB25DE" w:rsidRPr="00D24E0E">
        <w:t xml:space="preserve">e then calibrate the alternative-specific constant </w:t>
      </w:r>
      <w:r w:rsidR="00736DC4" w:rsidRPr="0099742A">
        <w:rPr>
          <w:i/>
          <w:iCs/>
        </w:rPr>
        <w:t>c</w:t>
      </w:r>
      <w:r w:rsidR="00DB25DE" w:rsidRPr="00D24E0E">
        <w:t xml:space="preserve"> and the scaling multiplier </w:t>
      </w:r>
      <w:r w:rsidR="001304A3" w:rsidRPr="0099742A">
        <w:rPr>
          <w:rFonts w:eastAsia="Times New Roman"/>
          <w:i/>
          <w:iCs/>
          <w:color w:val="000000"/>
        </w:rPr>
        <w:t>α</w:t>
      </w:r>
      <w:r w:rsidR="00DB25DE" w:rsidRPr="00D24E0E">
        <w:t xml:space="preserve"> to </w:t>
      </w:r>
      <w:r w:rsidR="00793C37" w:rsidRPr="00D24E0E">
        <w:t xml:space="preserve">emulate the </w:t>
      </w:r>
      <w:r w:rsidR="00DB25DE" w:rsidRPr="00D24E0E">
        <w:t xml:space="preserve">heteroskedastic errors </w:t>
      </w:r>
      <w:r w:rsidR="00793C37" w:rsidRPr="00D24E0E">
        <w:fldChar w:fldCharType="begin" w:fldLock="1"/>
      </w:r>
      <w:r w:rsidR="00793C37" w:rsidRPr="00D24E0E">
        <w:instrText>ADDIN CSL_CITATION {"citationItems":[{"id":"ITEM-1","itemData":{"DOI":"10.1017/CBO9780511753930","ISBN":"9780511753930","abstract":"Focusing on the many advances that are made possible by simulation, this book describes the new generation of discrete choice methods. Researchers use these statistical methods to examine the choices that consumers, households, firms, and other agents make. Each of the major models is covered: logit, generalized extreme value, or GEV (including nested and cross-nested logits), probit, and mixed logit, plus a variety of specifications that build on these basics. The procedures are applicable in many fields, including energy, transportation, environmental studies, health, labor, and marketing.","author":[{"dropping-particle":"","family":"Train","given":"Kenneth E.","non-dropping-particle":"","parse-names":false,"suffix":""}],"container-title":"Discrete Choice Methods with Simulation","id":"ITEM-1","issued":{"date-parts":[["2003"]]},"number-of-pages":"1-334","title":"Discrete choice methods with simulation","type":"book","volume":"9780521816"},"uris":["http://www.mendeley.com/documents/?uuid=ce98a2b3-8f18-4ed4-8f58-28a4348e44c9"]}],"mendeley":{"formattedCitation":"(Train 2003)","plainTextFormattedCitation":"(Train 2003)","previouslyFormattedCitation":"(Train 2003)"},"properties":{"noteIndex":0},"schema":"https://github.com/citation-style-language/schema/raw/master/csl-citation.json"}</w:instrText>
      </w:r>
      <w:r w:rsidR="00793C37" w:rsidRPr="00D24E0E">
        <w:fldChar w:fldCharType="separate"/>
      </w:r>
      <w:r w:rsidR="00793C37" w:rsidRPr="00D24E0E">
        <w:rPr>
          <w:noProof/>
        </w:rPr>
        <w:t>(Train 2003)</w:t>
      </w:r>
      <w:r w:rsidR="00793C37" w:rsidRPr="00D24E0E">
        <w:fldChar w:fldCharType="end"/>
      </w:r>
      <w:r w:rsidR="00793C37" w:rsidRPr="00D24E0E">
        <w:t xml:space="preserve"> by </w:t>
      </w:r>
      <w:r w:rsidR="0000736B">
        <w:t>region</w:t>
      </w:r>
      <w:r w:rsidR="00793C37" w:rsidRPr="00D24E0E">
        <w:t>.</w:t>
      </w:r>
      <w:r w:rsidR="00DB25DE" w:rsidRPr="00D24E0E">
        <w:t xml:space="preserve"> </w:t>
      </w:r>
      <w:r w:rsidRPr="00D24E0E">
        <w:rPr>
          <w:rFonts w:eastAsia="Times New Roman"/>
          <w:color w:val="000000"/>
        </w:rPr>
        <w:t>α</w:t>
      </w:r>
      <w:r w:rsidRPr="00D24E0E">
        <w:t xml:space="preserve"> and c are calibrated iteratively</w:t>
      </w:r>
      <w:r w:rsidR="0000736B">
        <w:t>.</w:t>
      </w:r>
      <w:r w:rsidRPr="00D24E0E">
        <w:t xml:space="preserve"> </w:t>
      </w:r>
      <w:r w:rsidR="00DB25DE" w:rsidRPr="00D24E0E">
        <w:t xml:space="preserve">The idiosyncratic preference </w:t>
      </w:r>
      <w:r w:rsidR="0000736B">
        <w:t xml:space="preserve">calibration </w:t>
      </w:r>
      <w:r w:rsidR="00DB25DE" w:rsidRPr="00D24E0E">
        <w:t xml:space="preserve">follows the function </w:t>
      </w:r>
      <w:r w:rsidR="00A40066" w:rsidRPr="00D24E0E">
        <w:t>below</w:t>
      </w:r>
      <w:r w:rsidR="00A40066">
        <w:t>:</w:t>
      </w:r>
    </w:p>
    <w:tbl>
      <w:tblPr>
        <w:tblW w:w="5000" w:type="pct"/>
        <w:tblLook w:val="04A0" w:firstRow="1" w:lastRow="0" w:firstColumn="1" w:lastColumn="0" w:noHBand="0" w:noVBand="1"/>
      </w:tblPr>
      <w:tblGrid>
        <w:gridCol w:w="8424"/>
        <w:gridCol w:w="936"/>
      </w:tblGrid>
      <w:tr w:rsidR="00983392" w:rsidRPr="00F84713" w14:paraId="2E3E93DE" w14:textId="77777777" w:rsidTr="00C76593">
        <w:trPr>
          <w:trHeight w:val="540"/>
        </w:trPr>
        <w:tc>
          <w:tcPr>
            <w:tcW w:w="4500" w:type="pct"/>
          </w:tcPr>
          <w:p w14:paraId="7A86FEF3" w14:textId="197AB450" w:rsidR="00983392" w:rsidRPr="00116248" w:rsidRDefault="00E907D6" w:rsidP="00C53F8C">
            <w:pPr>
              <w:spacing w:line="240" w:lineRule="auto"/>
              <w:rPr>
                <w:rFonts w:eastAsia="DengXian"/>
              </w:rPr>
            </w:pPr>
            <m:oMath>
              <m:sSub>
                <m:sSubPr>
                  <m:ctrlPr>
                    <w:rPr>
                      <w:rFonts w:ascii="Cambria Math" w:hAnsi="Cambria Math"/>
                    </w:rPr>
                  </m:ctrlPr>
                </m:sSubPr>
                <m:e>
                  <m:r>
                    <m:rPr>
                      <m:sty m:val="p"/>
                    </m:rPr>
                    <w:rPr>
                      <w:rFonts w:ascii="Cambria Math" w:hAnsi="Cambria Math"/>
                    </w:rPr>
                    <m:t>ε</m:t>
                  </m:r>
                </m:e>
                <m:sub>
                  <m:r>
                    <w:rPr>
                      <w:rFonts w:ascii="Cambria Math" w:hAnsi="Cambria Math"/>
                    </w:rPr>
                    <m:t>v</m:t>
                  </m:r>
                  <m:r>
                    <w:rPr>
                      <w:rFonts w:ascii="Cambria Math" w:hAnsi="Cambria Math"/>
                    </w:rPr>
                    <m:t>,</m:t>
                  </m:r>
                  <m:r>
                    <w:rPr>
                      <w:rFonts w:ascii="Cambria Math" w:hAnsi="Cambria Math"/>
                    </w:rPr>
                    <m:t>t</m:t>
                  </m:r>
                  <m:r>
                    <w:rPr>
                      <w:rFonts w:ascii="Cambria Math" w:hAnsi="Cambria Math"/>
                    </w:rPr>
                    <m:t>,</m:t>
                  </m:r>
                  <m:r>
                    <w:rPr>
                      <w:rFonts w:ascii="Cambria Math" w:hAnsi="Cambria Math"/>
                    </w:rPr>
                    <m:t>r</m:t>
                  </m:r>
                  <m:r>
                    <w:rPr>
                      <w:rFonts w:ascii="Cambria Math" w:hAnsi="Cambria Math"/>
                    </w:rPr>
                    <m:t>,</m:t>
                  </m:r>
                  <m:r>
                    <w:rPr>
                      <w:rFonts w:ascii="Cambria Math" w:hAnsi="Cambria Math"/>
                    </w:rPr>
                    <m:t>md</m:t>
                  </m:r>
                  <m:r>
                    <w:rPr>
                      <w:rFonts w:ascii="Cambria Math" w:hAnsi="Cambria Math"/>
                    </w:rPr>
                    <m:t>,</m:t>
                  </m:r>
                  <m:r>
                    <w:rPr>
                      <w:rFonts w:ascii="Cambria Math" w:hAnsi="Cambria Math"/>
                    </w:rPr>
                    <m:t>i</m:t>
                  </m:r>
                </m:sub>
              </m:sSub>
            </m:oMath>
            <w:r w:rsidR="00EB097F">
              <w:t xml:space="preserve"> </w:t>
            </w:r>
            <w:r w:rsidR="00983392">
              <w:t xml:space="preserve"> = </w:t>
            </w:r>
            <w:r w:rsidR="00DF2CFE">
              <w:rPr>
                <w:rFonts w:eastAsia="Times New Roman"/>
                <w:color w:val="000000"/>
              </w:rPr>
              <w:t>α</w:t>
            </w:r>
            <w:r w:rsidR="00983392">
              <w:t>×</w:t>
            </w:r>
            <w:r w:rsidR="00EA1B43">
              <w:t xml:space="preserve">Search </w:t>
            </w:r>
            <w:proofErr w:type="spellStart"/>
            <w:proofErr w:type="gramStart"/>
            <w:r w:rsidR="00EA1B43">
              <w:t>Interest</w:t>
            </w:r>
            <w:r w:rsidR="00983392">
              <w:rPr>
                <w:vertAlign w:val="subscript"/>
              </w:rPr>
              <w:t>v,t</w:t>
            </w:r>
            <w:proofErr w:type="gramEnd"/>
            <w:r w:rsidR="00983392">
              <w:rPr>
                <w:vertAlign w:val="subscript"/>
              </w:rPr>
              <w:t>,r</w:t>
            </w:r>
            <w:proofErr w:type="spellEnd"/>
            <w:r w:rsidR="00983392">
              <w:t>×(</w:t>
            </w:r>
            <w:proofErr w:type="spellStart"/>
            <w:r w:rsidR="00983392">
              <w:t>ε</w:t>
            </w:r>
            <w:r w:rsidR="00983392">
              <w:rPr>
                <w:vertAlign w:val="subscript"/>
              </w:rPr>
              <w:t>v</w:t>
            </w:r>
            <w:r w:rsidR="00983392">
              <w:t>+c</w:t>
            </w:r>
            <w:proofErr w:type="spellEnd"/>
            <w:r w:rsidR="00983392">
              <w:t xml:space="preserve">). </w:t>
            </w:r>
          </w:p>
        </w:tc>
        <w:tc>
          <w:tcPr>
            <w:tcW w:w="500" w:type="pct"/>
          </w:tcPr>
          <w:p w14:paraId="27EF9BF3" w14:textId="77777777" w:rsidR="00983392" w:rsidRPr="00F84713" w:rsidRDefault="00983392" w:rsidP="00C52DAD">
            <w:pPr>
              <w:pStyle w:val="ListParagraph"/>
              <w:numPr>
                <w:ilvl w:val="0"/>
                <w:numId w:val="30"/>
              </w:numPr>
              <w:spacing w:after="0" w:line="240" w:lineRule="auto"/>
            </w:pPr>
          </w:p>
        </w:tc>
      </w:tr>
    </w:tbl>
    <w:p w14:paraId="1D1EECC4" w14:textId="1DA575FD" w:rsidR="0000736B" w:rsidRDefault="00DB25DE" w:rsidP="009717CA">
      <w:pPr>
        <w:spacing w:line="240" w:lineRule="auto"/>
      </w:pPr>
      <w:r>
        <w:t xml:space="preserve">The systematic differentiation of </w:t>
      </w:r>
      <w:r w:rsidR="0000736B">
        <w:t xml:space="preserve">monetized </w:t>
      </w:r>
      <w:r>
        <w:t>preference</w:t>
      </w:r>
      <w:r w:rsidR="005E7A84">
        <w:t>s</w:t>
      </w:r>
      <w:r>
        <w:t xml:space="preserve"> across vehicle type v, region r (</w:t>
      </w:r>
      <m:oMath>
        <m:sSub>
          <m:sSubPr>
            <m:ctrlPr>
              <w:rPr>
                <w:rFonts w:ascii="Cambria Math" w:hAnsi="Cambria Math"/>
              </w:rPr>
            </m:ctrlPr>
          </m:sSubPr>
          <m:e>
            <m:r>
              <m:rPr>
                <m:sty m:val="p"/>
              </m:rPr>
              <w:rPr>
                <w:rFonts w:ascii="Cambria Math" w:hAnsi="Cambria Math"/>
              </w:rPr>
              <m:t>ε</m:t>
            </m:r>
          </m:e>
          <m:sub>
            <m:r>
              <w:rPr>
                <w:rFonts w:ascii="Cambria Math" w:hAnsi="Cambria Math"/>
              </w:rPr>
              <m:t>v,t,r,md,i</m:t>
            </m:r>
          </m:sub>
        </m:sSub>
      </m:oMath>
      <w:r>
        <w:t xml:space="preserve">) </w:t>
      </w:r>
      <w:r w:rsidR="00882D70">
        <w:rPr>
          <w:rFonts w:hint="eastAsia"/>
        </w:rPr>
        <w:t>is</w:t>
      </w:r>
      <w:r w:rsidR="00882D70">
        <w:t xml:space="preserve"> </w:t>
      </w:r>
      <w:r w:rsidR="0000736B">
        <w:t xml:space="preserve">then </w:t>
      </w:r>
      <w:r w:rsidR="00882D70">
        <w:t xml:space="preserve">multiplied by the vehicle stocks and </w:t>
      </w:r>
      <w:r w:rsidR="009717CA">
        <w:t xml:space="preserve">added to the objective function value that represents the </w:t>
      </w:r>
      <w:r w:rsidR="00D24E0E">
        <w:t xml:space="preserve">monetary </w:t>
      </w:r>
      <w:r w:rsidR="009717CA">
        <w:t>valu</w:t>
      </w:r>
      <w:r w:rsidR="00D24E0E">
        <w:t>e</w:t>
      </w:r>
      <w:r w:rsidR="009717CA">
        <w:t xml:space="preserve"> of the </w:t>
      </w:r>
      <w:r>
        <w:t>unobserved psychological preference</w:t>
      </w:r>
      <w:r w:rsidR="009717CA">
        <w:t xml:space="preserve"> (utility/disutility)</w:t>
      </w:r>
      <w:r>
        <w:t xml:space="preserve"> </w:t>
      </w:r>
      <w:r w:rsidR="009717CA">
        <w:t xml:space="preserve">per unit of the vehicle still in use </w:t>
      </w:r>
      <w:r>
        <w:t>under the nested multinomial logit model framework</w:t>
      </w:r>
      <w:r w:rsidR="00AD62A7">
        <w:t xml:space="preserve"> </w:t>
      </w:r>
      <w:r w:rsidR="00AD62A7">
        <w:fldChar w:fldCharType="begin" w:fldLock="1"/>
      </w:r>
      <w:r w:rsidR="00AD62A7">
        <w:instrText>ADDIN CSL_CITATION {"citationItems":[{"id":"ITEM-1","itemData":{"DOI":"10.1017/CBO9780511753930","ISBN":"9780511753930","abstract":"Focusing on the many advances that are made possible by simulation, this book describes the new generation of discrete choice methods. Researchers use these statistical methods to examine the choices that consumers, households, firms, and other agents make. Each of the major models is covered: logit, generalized extreme value, or GEV (including nested and cross-nested logits), probit, and mixed logit, plus a variety of specifications that build on these basics. The procedures are applicable in many fields, including energy, transportation, environmental studies, health, labor, and marketing.","author":[{"dropping-particle":"","family":"Train","given":"Kenneth E.","non-dropping-particle":"","parse-names":false,"suffix":""}],"container-title":"Discrete Choice Methods with Simulation","id":"ITEM-1","issued":{"date-parts":[["2003"]]},"number-of-pages":"1-334","title":"Discrete choice methods with simulation","type":"book","volume":"9780521816"},"uris":["http://www.mendeley.com/documents/?uuid=ce98a2b3-8f18-4ed4-8f58-28a4348e44c9"]}],"mendeley":{"formattedCitation":"(Train 2003)","plainTextFormattedCitation":"(Train 2003)","previouslyFormattedCitation":"(Train 2003)"},"properties":{"noteIndex":0},"schema":"https://github.com/citation-style-language/schema/raw/master/csl-citation.json"}</w:instrText>
      </w:r>
      <w:r w:rsidR="00AD62A7">
        <w:fldChar w:fldCharType="separate"/>
      </w:r>
      <w:r w:rsidR="00AD62A7">
        <w:rPr>
          <w:noProof/>
        </w:rPr>
        <w:t>(Train 2003)</w:t>
      </w:r>
      <w:r w:rsidR="00AD62A7">
        <w:fldChar w:fldCharType="end"/>
      </w:r>
      <w:r>
        <w:t xml:space="preserve">. </w:t>
      </w:r>
      <w:r w:rsidR="0000736B">
        <w:t xml:space="preserve">It </w:t>
      </w:r>
      <w:proofErr w:type="gramStart"/>
      <w:r w:rsidR="0000736B">
        <w:t>help</w:t>
      </w:r>
      <w:proofErr w:type="gramEnd"/>
      <w:r w:rsidR="0000736B">
        <w:t xml:space="preserve"> </w:t>
      </w:r>
      <w:r w:rsidR="0000736B" w:rsidRPr="00D24E0E">
        <w:t>validate the model from 2016 to 2019</w:t>
      </w:r>
      <w:r w:rsidR="0000736B" w:rsidRPr="0000736B">
        <w:t xml:space="preserve"> </w:t>
      </w:r>
      <w:r w:rsidR="0000736B" w:rsidRPr="00D24E0E">
        <w:t>so that the observed vehicle stock at the national level would be close to the simulated outcome from the model.</w:t>
      </w:r>
    </w:p>
    <w:p w14:paraId="10DE24E7" w14:textId="0276A830" w:rsidR="00C4656D" w:rsidRDefault="00DB25DE" w:rsidP="009717CA">
      <w:pPr>
        <w:spacing w:line="240" w:lineRule="auto"/>
      </w:pPr>
      <w:r>
        <w:t xml:space="preserve">Figure </w:t>
      </w:r>
      <w:r w:rsidR="009717CA">
        <w:t xml:space="preserve">A10 </w:t>
      </w:r>
      <w:r>
        <w:t xml:space="preserve">(second row) shows the correlation between the error terms and the variance-covariance matrix of the error difference terms. </w:t>
      </w:r>
      <w:r w:rsidR="00793C37">
        <w:t xml:space="preserve">The results show that </w:t>
      </w:r>
      <w:r w:rsidR="00335D94">
        <w:t xml:space="preserve">after </w:t>
      </w:r>
      <w:r w:rsidR="00793C37">
        <w:t xml:space="preserve">the adjustment the correlation coefficient matrix of the error terms and the variance-covariance matrix </w:t>
      </w:r>
      <w:r w:rsidR="00335D94">
        <w:t xml:space="preserve">has </w:t>
      </w:r>
      <w:r w:rsidR="00793C37">
        <w:t>a similar pattern as the original nested error terms.</w:t>
      </w:r>
      <w:r w:rsidR="00C4656D">
        <w:t xml:space="preserve"> </w:t>
      </w:r>
    </w:p>
    <w:p w14:paraId="357F2B97" w14:textId="690F0799" w:rsidR="00793C37" w:rsidDel="005572BD" w:rsidRDefault="00793C37" w:rsidP="005572BD">
      <w:pPr>
        <w:spacing w:line="240" w:lineRule="auto"/>
      </w:pPr>
      <w:r>
        <w:lastRenderedPageBreak/>
        <w:t xml:space="preserve"> </w:t>
      </w:r>
      <w:r w:rsidDel="005572BD">
        <w:rPr>
          <w:noProof/>
          <w:lang w:eastAsia="en-US"/>
        </w:rPr>
        <w:drawing>
          <wp:inline distT="0" distB="0" distL="0" distR="0" wp14:anchorId="3D2C0D8D" wp14:editId="32993097">
            <wp:extent cx="4565176" cy="2724231"/>
            <wp:effectExtent l="19050" t="19050" r="26035" b="19050"/>
            <wp:docPr id="4" name="Picture 4" descr="Calendar,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alendar, treemap chart&#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582917" cy="2734818"/>
                    </a:xfrm>
                    <a:prstGeom prst="rect">
                      <a:avLst/>
                    </a:prstGeom>
                    <a:noFill/>
                    <a:ln>
                      <a:solidFill>
                        <a:schemeClr val="tx1"/>
                      </a:solidFill>
                    </a:ln>
                  </pic:spPr>
                </pic:pic>
              </a:graphicData>
            </a:graphic>
          </wp:inline>
        </w:drawing>
      </w:r>
    </w:p>
    <w:p w14:paraId="6AB81186" w14:textId="0EFF40ED" w:rsidR="00793C37" w:rsidRPr="008F3930" w:rsidRDefault="00793C37" w:rsidP="0099742A">
      <w:pPr>
        <w:spacing w:line="240" w:lineRule="auto"/>
        <w:rPr>
          <w:rStyle w:val="BodyTextChar"/>
          <w:b/>
          <w:bCs/>
        </w:rPr>
      </w:pPr>
      <w:r w:rsidRPr="008F3930" w:rsidDel="005572BD">
        <w:rPr>
          <w:b/>
          <w:bCs/>
        </w:rPr>
        <w:t xml:space="preserve">Figure </w:t>
      </w:r>
      <w:r w:rsidR="009717CA" w:rsidRPr="008F3930" w:rsidDel="005572BD">
        <w:rPr>
          <w:b/>
          <w:bCs/>
        </w:rPr>
        <w:t>A</w:t>
      </w:r>
      <w:r w:rsidR="009717CA" w:rsidRPr="008F3930">
        <w:rPr>
          <w:b/>
          <w:bCs/>
        </w:rPr>
        <w:t>10</w:t>
      </w:r>
      <w:r w:rsidR="009717CA" w:rsidRPr="008F3930" w:rsidDel="005572BD">
        <w:rPr>
          <w:b/>
          <w:bCs/>
        </w:rPr>
        <w:t xml:space="preserve"> </w:t>
      </w:r>
      <w:r w:rsidRPr="008F3930" w:rsidDel="005572BD">
        <w:rPr>
          <w:b/>
          <w:bCs/>
        </w:rPr>
        <w:t xml:space="preserve">The </w:t>
      </w:r>
      <w:r w:rsidR="008F3930" w:rsidRPr="008F3930" w:rsidDel="005572BD">
        <w:rPr>
          <w:b/>
          <w:bCs/>
        </w:rPr>
        <w:t xml:space="preserve">Heatmap </w:t>
      </w:r>
      <w:r w:rsidR="008F3930">
        <w:rPr>
          <w:b/>
          <w:bCs/>
        </w:rPr>
        <w:t>o</w:t>
      </w:r>
      <w:r w:rsidR="008F3930" w:rsidRPr="008F3930" w:rsidDel="005572BD">
        <w:rPr>
          <w:b/>
          <w:bCs/>
        </w:rPr>
        <w:t xml:space="preserve">f </w:t>
      </w:r>
      <w:r w:rsidR="008F3930">
        <w:rPr>
          <w:b/>
          <w:bCs/>
        </w:rPr>
        <w:t>t</w:t>
      </w:r>
      <w:r w:rsidR="008F3930" w:rsidRPr="008F3930" w:rsidDel="005572BD">
        <w:rPr>
          <w:b/>
          <w:bCs/>
        </w:rPr>
        <w:t xml:space="preserve">he Correlation Coefficient Matrix </w:t>
      </w:r>
      <w:r w:rsidR="008F3930">
        <w:rPr>
          <w:b/>
          <w:bCs/>
        </w:rPr>
        <w:t>a</w:t>
      </w:r>
      <w:r w:rsidR="008F3930" w:rsidRPr="008F3930" w:rsidDel="005572BD">
        <w:rPr>
          <w:b/>
          <w:bCs/>
        </w:rPr>
        <w:t>nd Variance-</w:t>
      </w:r>
      <w:r w:rsidR="008F3930" w:rsidRPr="008F3930" w:rsidDel="005572BD">
        <w:rPr>
          <w:rStyle w:val="BodyTextChar"/>
          <w:b/>
          <w:bCs/>
        </w:rPr>
        <w:t xml:space="preserve">Covariance Matrix Compared </w:t>
      </w:r>
      <w:r w:rsidR="008F3930">
        <w:rPr>
          <w:rStyle w:val="BodyTextChar"/>
          <w:b/>
          <w:bCs/>
        </w:rPr>
        <w:t>t</w:t>
      </w:r>
      <w:r w:rsidR="008F3930" w:rsidRPr="008F3930" w:rsidDel="005572BD">
        <w:rPr>
          <w:rStyle w:val="BodyTextChar"/>
          <w:b/>
          <w:bCs/>
        </w:rPr>
        <w:t xml:space="preserve">o </w:t>
      </w:r>
      <w:r w:rsidR="008F3930">
        <w:rPr>
          <w:rStyle w:val="BodyTextChar"/>
          <w:b/>
          <w:bCs/>
        </w:rPr>
        <w:t>t</w:t>
      </w:r>
      <w:r w:rsidR="008F3930" w:rsidRPr="008F3930" w:rsidDel="005572BD">
        <w:rPr>
          <w:rStyle w:val="BodyTextChar"/>
          <w:b/>
          <w:bCs/>
        </w:rPr>
        <w:t xml:space="preserve">he Nested Error Terms </w:t>
      </w:r>
      <w:r w:rsidR="008F3930">
        <w:rPr>
          <w:rStyle w:val="BodyTextChar"/>
          <w:b/>
          <w:bCs/>
        </w:rPr>
        <w:t>b</w:t>
      </w:r>
      <w:r w:rsidR="008F3930" w:rsidRPr="008F3930" w:rsidDel="005572BD">
        <w:rPr>
          <w:rStyle w:val="BodyTextChar"/>
          <w:b/>
          <w:bCs/>
        </w:rPr>
        <w:t xml:space="preserve">y </w:t>
      </w:r>
      <w:r w:rsidRPr="008F3930" w:rsidDel="005572BD">
        <w:rPr>
          <w:rStyle w:val="BodyTextChar"/>
          <w:b/>
          <w:bCs/>
        </w:rPr>
        <w:t xml:space="preserve">Ramea </w:t>
      </w:r>
      <w:r w:rsidR="008F3930">
        <w:rPr>
          <w:rStyle w:val="BodyTextChar"/>
          <w:b/>
          <w:bCs/>
        </w:rPr>
        <w:t>e</w:t>
      </w:r>
      <w:r w:rsidR="008F3930" w:rsidRPr="008F3930" w:rsidDel="005572BD">
        <w:rPr>
          <w:rStyle w:val="BodyTextChar"/>
          <w:b/>
          <w:bCs/>
        </w:rPr>
        <w:t xml:space="preserve">t </w:t>
      </w:r>
      <w:r w:rsidR="008F3930">
        <w:rPr>
          <w:rStyle w:val="BodyTextChar"/>
          <w:b/>
          <w:bCs/>
        </w:rPr>
        <w:t>a</w:t>
      </w:r>
      <w:r w:rsidR="008F3930" w:rsidRPr="008F3930" w:rsidDel="005572BD">
        <w:rPr>
          <w:rStyle w:val="BodyTextChar"/>
          <w:b/>
          <w:bCs/>
        </w:rPr>
        <w:t>l. (2018)</w:t>
      </w:r>
    </w:p>
    <w:p w14:paraId="6CC147AE" w14:textId="3285416F" w:rsidR="00793C37" w:rsidRDefault="00793C37" w:rsidP="00C53F8C">
      <w:pPr>
        <w:spacing w:line="240" w:lineRule="auto"/>
      </w:pPr>
    </w:p>
    <w:p w14:paraId="06CE4B4F" w14:textId="01367C4A" w:rsidR="004739DF" w:rsidRDefault="004739DF" w:rsidP="007B6D75">
      <w:pPr>
        <w:pStyle w:val="Heading2"/>
      </w:pPr>
      <w:r>
        <w:t>A.</w:t>
      </w:r>
      <w:r w:rsidR="00DD466B">
        <w:t>2</w:t>
      </w:r>
      <w:r>
        <w:t xml:space="preserve"> </w:t>
      </w:r>
      <w:r w:rsidR="00A65AD5">
        <w:t xml:space="preserve">Monte Carlo </w:t>
      </w:r>
      <w:r w:rsidR="00065AC6">
        <w:t>C</w:t>
      </w:r>
      <w:r w:rsidR="00A65AD5">
        <w:t xml:space="preserve">loning </w:t>
      </w:r>
      <w:r w:rsidR="00163944">
        <w:t>Approach</w:t>
      </w:r>
    </w:p>
    <w:p w14:paraId="01570A1C" w14:textId="473CB126" w:rsidR="0017005C" w:rsidRDefault="00AD62A7" w:rsidP="00C53F8C">
      <w:pPr>
        <w:spacing w:line="240" w:lineRule="auto"/>
      </w:pPr>
      <w:r>
        <w:t xml:space="preserve">We discussed the </w:t>
      </w:r>
      <w:r w:rsidR="0017005C">
        <w:t xml:space="preserve">stochastic procedures separately in each intangible cost section. </w:t>
      </w:r>
      <w:r w:rsidR="00443EC0">
        <w:t xml:space="preserve">We now </w:t>
      </w:r>
      <w:r w:rsidR="00D24E0E">
        <w:t xml:space="preserve">elaborate </w:t>
      </w:r>
      <w:r w:rsidR="0017005C">
        <w:t>dedicatedly in this section</w:t>
      </w:r>
      <w:r w:rsidR="0017005C" w:rsidDel="00D24E0E">
        <w:t xml:space="preserve"> </w:t>
      </w:r>
      <w:r w:rsidR="00324BFF">
        <w:t xml:space="preserve">the Monte Carlo cloning strategy </w:t>
      </w:r>
      <w:r w:rsidR="00241069">
        <w:t>applied</w:t>
      </w:r>
      <w:r w:rsidR="00324BFF">
        <w:t xml:space="preserve"> </w:t>
      </w:r>
      <w:r w:rsidR="00241069">
        <w:t>to</w:t>
      </w:r>
      <w:r w:rsidR="00443EC0">
        <w:t xml:space="preserve"> generate heterogeneous vehicle consumer </w:t>
      </w:r>
      <w:r w:rsidR="0017005C">
        <w:t xml:space="preserve">behaviors related with intangible costs </w:t>
      </w:r>
      <w:r w:rsidR="00443EC0">
        <w:t xml:space="preserve">in the </w:t>
      </w:r>
      <w:r w:rsidR="00241069">
        <w:t>US vehicle market.</w:t>
      </w:r>
      <w:r w:rsidR="00D24E0E">
        <w:t xml:space="preserve"> </w:t>
      </w:r>
    </w:p>
    <w:p w14:paraId="4138B158" w14:textId="45F02324" w:rsidR="00417FE7" w:rsidRDefault="00241069" w:rsidP="001228D6">
      <w:pPr>
        <w:spacing w:line="240" w:lineRule="auto"/>
      </w:pPr>
      <w:r>
        <w:t xml:space="preserve">Besides the consumer heterogeneity </w:t>
      </w:r>
      <w:r w:rsidR="001228D6">
        <w:t xml:space="preserve">in </w:t>
      </w:r>
      <w:r w:rsidR="0017005C">
        <w:t>the dimension</w:t>
      </w:r>
      <w:r w:rsidR="001228D6">
        <w:t>s</w:t>
      </w:r>
      <w:r w:rsidR="0017005C">
        <w:t xml:space="preserve"> of </w:t>
      </w:r>
      <w:r w:rsidR="00417FE7">
        <w:t xml:space="preserve">ownership of vehicles </w:t>
      </w:r>
      <w:r w:rsidR="001228D6">
        <w:t>(</w:t>
      </w:r>
      <w:r w:rsidR="00417FE7">
        <w:t xml:space="preserve">with 24 vehicle age groups having </w:t>
      </w:r>
      <w:r w:rsidR="00C52DAD">
        <w:t>3</w:t>
      </w:r>
      <w:r>
        <w:t xml:space="preserve"> </w:t>
      </w:r>
      <w:r w:rsidR="00417FE7">
        <w:t xml:space="preserve">varying </w:t>
      </w:r>
      <w:r>
        <w:t>driving demand</w:t>
      </w:r>
      <w:r w:rsidR="001228D6">
        <w:t>s</w:t>
      </w:r>
      <w:r>
        <w:t xml:space="preserve"> </w:t>
      </w:r>
      <w:r w:rsidR="00C358E2">
        <w:t xml:space="preserve">with </w:t>
      </w:r>
      <w:r w:rsidR="00422752" w:rsidRPr="009A16DF">
        <w:t>4 possible combination</w:t>
      </w:r>
      <w:r w:rsidR="0087774A">
        <w:t>s</w:t>
      </w:r>
      <w:r w:rsidR="00422752" w:rsidRPr="009A16DF">
        <w:t xml:space="preserve"> </w:t>
      </w:r>
      <w:r w:rsidR="00C358E2">
        <w:t xml:space="preserve">of charger availabilities </w:t>
      </w:r>
      <w:r>
        <w:t>in 20 regions</w:t>
      </w:r>
      <w:r w:rsidR="001228D6">
        <w:t>)</w:t>
      </w:r>
      <w:r w:rsidR="00417FE7">
        <w:t xml:space="preserve">, we </w:t>
      </w:r>
      <w:r w:rsidR="00443EC0">
        <w:t>also include</w:t>
      </w:r>
      <w:r w:rsidR="0017005C">
        <w:t xml:space="preserve"> three elements of behavioral</w:t>
      </w:r>
      <w:r w:rsidR="00443EC0">
        <w:t xml:space="preserve"> </w:t>
      </w:r>
      <w:r w:rsidR="001A4EB0">
        <w:t>variability</w:t>
      </w:r>
      <w:r w:rsidR="0017005C">
        <w:t>:</w:t>
      </w:r>
      <w:r w:rsidR="00417FE7">
        <w:t xml:space="preserve"> daily miles driven, value of time, and idiosyncratic preference</w:t>
      </w:r>
      <w:r w:rsidR="00443EC0">
        <w:t>s</w:t>
      </w:r>
      <w:r w:rsidR="00417FE7">
        <w:t xml:space="preserve">. </w:t>
      </w:r>
      <w:r w:rsidR="001228D6">
        <w:t xml:space="preserve">These distributional attributes would help to represent the population base to quantify the range limitation costs related to driving behaviors (A.1.4.1), waiting time for detours and charging (A.1.4.2 and A.1.4.3), as well as the idiosyncratic preferences (A.1.5). We </w:t>
      </w:r>
      <w:r w:rsidR="00417FE7">
        <w:t>parameterize</w:t>
      </w:r>
      <w:r w:rsidR="001228D6">
        <w:t xml:space="preserve"> the</w:t>
      </w:r>
      <w:r w:rsidR="00417FE7">
        <w:t xml:space="preserve"> Gamma distribution</w:t>
      </w:r>
      <w:r w:rsidR="005131C5">
        <w:t>s</w:t>
      </w:r>
      <w:r w:rsidR="001228D6">
        <w:t xml:space="preserve"> for daily miles driven</w:t>
      </w:r>
      <w:r w:rsidR="005131C5">
        <w:t xml:space="preserve"> by low, medium, and high driving demand</w:t>
      </w:r>
      <w:r w:rsidR="00417FE7">
        <w:t xml:space="preserve"> </w:t>
      </w:r>
      <w:r w:rsidR="005131C5">
        <w:t>group</w:t>
      </w:r>
      <w:r w:rsidR="00422752">
        <w:t xml:space="preserve"> </w:t>
      </w:r>
      <w:r w:rsidR="002E6327">
        <w:rPr>
          <w:rFonts w:hint="eastAsia"/>
        </w:rPr>
        <w:t>fr</w:t>
      </w:r>
      <w:r w:rsidR="002E6327">
        <w:t xml:space="preserve">om </w:t>
      </w:r>
      <w:r w:rsidR="00422752">
        <w:t xml:space="preserve">the mean and variance </w:t>
      </w:r>
      <w:r w:rsidR="00AD62A7">
        <w:t xml:space="preserve">of VKT </w:t>
      </w:r>
      <w:r w:rsidR="00422752">
        <w:t>from NHTS</w:t>
      </w:r>
      <w:r w:rsidR="005131C5">
        <w:t xml:space="preserve"> </w:t>
      </w:r>
      <w:r w:rsidR="00417FE7">
        <w:t>to represent the daily activity of drivers with different overall yearly driving demand</w:t>
      </w:r>
      <w:r w:rsidR="001228D6">
        <w:t xml:space="preserve">, and borrow the income distribution from Census Bureau </w:t>
      </w:r>
      <w:r w:rsidR="001228D6">
        <w:fldChar w:fldCharType="begin" w:fldLock="1"/>
      </w:r>
      <w:r w:rsidR="001228D6">
        <w:instrText>ADDIN CSL_CITATION {"citationItems":[{"id":"ITEM-1","itemData":{"author":[{"dropping-particle":"","family":"Semega","given":"Jessica L.","non-dropping-particle":"","parse-names":false,"suffix":""},{"dropping-particle":"","family":"Fontenot","given":"Kayla R.","non-dropping-particle":"","parse-names":false,"suffix":""},{"dropping-particle":"","family":"Kollar","given":"Melissa A.","non-dropping-particle":"","parse-names":false,"suffix":""}],"id":"ITEM-1","issued":{"date-parts":[["2017"]]},"title":"Income and Poverty in the United States: 2016","type":"report"},"uris":["http://www.mendeley.com/documents/?uuid=79421708-a3c3-3ac3-9d4d-e9e0be0f6f70"]}],"mendeley":{"formattedCitation":"(Semega et al. 2017)","plainTextFormattedCitation":"(Semega et al. 2017)","previouslyFormattedCitation":"(Semega et al. 2017)"},"properties":{"noteIndex":0},"schema":"https://github.com/citation-style-language/schema/raw/master/csl-citation.json"}</w:instrText>
      </w:r>
      <w:r w:rsidR="001228D6">
        <w:fldChar w:fldCharType="separate"/>
      </w:r>
      <w:r w:rsidR="001228D6" w:rsidRPr="00AD0E8B">
        <w:rPr>
          <w:noProof/>
        </w:rPr>
        <w:t>(Semega et al. 2017)</w:t>
      </w:r>
      <w:r w:rsidR="001228D6">
        <w:fldChar w:fldCharType="end"/>
      </w:r>
      <w:r w:rsidR="001228D6">
        <w:t xml:space="preserve"> to represent the value of time, as well as construct the monetary valuation of preference for vehicles by region calibrated by Google trend.</w:t>
      </w:r>
    </w:p>
    <w:p w14:paraId="43F10092" w14:textId="2AEAE576" w:rsidR="00443EC0" w:rsidRDefault="00AD62A7" w:rsidP="00C53F8C">
      <w:pPr>
        <w:spacing w:line="240" w:lineRule="auto"/>
      </w:pPr>
      <w:r>
        <w:t>Following</w:t>
      </w:r>
      <w:r w:rsidR="001228D6">
        <w:t xml:space="preserve"> the Monte Carlo simulation</w:t>
      </w:r>
      <w:r>
        <w:t xml:space="preserve"> procedure</w:t>
      </w:r>
      <w:r w:rsidR="001228D6">
        <w:t>, w</w:t>
      </w:r>
      <w:r w:rsidR="001A4EB0" w:rsidRPr="009A16DF">
        <w:t xml:space="preserve">e </w:t>
      </w:r>
      <w:r w:rsidR="001304A3">
        <w:t>define</w:t>
      </w:r>
      <w:r w:rsidR="001A4EB0" w:rsidRPr="009A16DF">
        <w:t xml:space="preserve"> 10 </w:t>
      </w:r>
      <w:r w:rsidR="001304A3">
        <w:t xml:space="preserve">individuals </w:t>
      </w:r>
      <w:r w:rsidR="001304A3" w:rsidRPr="009A16DF">
        <w:t xml:space="preserve">(also known as clones from </w:t>
      </w:r>
      <w:r w:rsidR="001304A3" w:rsidRPr="009A16DF">
        <w:fldChar w:fldCharType="begin" w:fldLock="1"/>
      </w:r>
      <w:r w:rsidR="00AD0E8B">
        <w:instrText>ADDIN CSL_CITATION {"citationItems":[{"id":"ITEM-1","itemData":{"DOI":"10.1016/J.ENECO.2018.06.028","ISSN":"0140-9883","abstract":"Long-term energy systems models have been used extensively in energy planning and climate policy analysis. However, specifically in energy systems optimization models, heterogeneity of consumer preferences for competing energy technologies (e.g., vehicles), has not been adequately represented, leading to behaviorally unrealistic modeling results. This can lead to policy analysis results that are viewed by stakeholders as clearly deficient. This paper shows how heterogeneous consumer behavioral effects can be introduced into these models in the form of perceived disutility costs, to more realistically capture consumer choice in making technology purchase decisions. We developed a novel methodology that incorporates the theory of a classic consumer choice model into a commonly used long-term energy systems modeling framework using a case study of light-duty vehicles. A diverse set of consumer segments (thirty-six) is created to represent observable, identifiable differences in factors such as annual driving distances and attitude towards risks of new technology. Non-monetary or “disutility” costs associated with these factors are introduced to capture the differences in preferences across consumer segments for various technologies. We also create clones within each consumer segment to capture randomly distributed unobservable differences in preferences. We provide and review results for a specific example that includes external factors such as recharging/refueling station availability, battery size of electric vehicles, recharging time and perceived technology risks. Although the example is for light-duty vehicles in the US using a specific modeling system, this approach can be implemented more broadly to model the adoption of consumer technologies in other sectors or regions in similar energy systems modeling frameworks.","author":[{"dropping-particle":"","family":"Ramea","given":"Kalai","non-dropping-particle":"","parse-names":false,"suffix":""},{"dropping-particle":"","family":"Bunch","given":"David S.","non-dropping-particle":"","parse-names":false,"suffix":""},{"dropping-particle":"","family":"Yang","given":"Christopher","non-dropping-particle":"","parse-names":false,"suffix":""},{"dropping-particle":"","family":"Yeh","given":"Sonia","non-dropping-particle":"","parse-names":false,"suffix":""},{"dropping-particle":"","family":"Ogden","given":"Joan M.","non-dropping-particle":"","parse-names":false,"suffix":""}],"container-title":"Energy Economics","id":"ITEM-1","issued":{"date-parts":[["2018","8","1"]]},"note":"In general, these studies point to the fact that consumer investment decisions are often dominated by non-monetary costs","page":"663-676","publisher":"North-Holland","title":"Integration of behavioral effects from vehicle choice models into long-term energy systems optimization models","type":"article-journal","volume":"74"},"uris":["http://www.mendeley.com/documents/?uuid=2de22eca-d4a8-3b34-98ea-ee817d9481b5"]}],"mendeley":{"formattedCitation":"(Ramea et al. 2018)","plainTextFormattedCitation":"(Ramea et al. 2018)","previouslyFormattedCitation":"(Ramea et al. 2018)"},"properties":{"noteIndex":0},"schema":"https://github.com/citation-style-language/schema/raw/master/csl-citation.json"}</w:instrText>
      </w:r>
      <w:r w:rsidR="001304A3" w:rsidRPr="009A16DF">
        <w:fldChar w:fldCharType="separate"/>
      </w:r>
      <w:r w:rsidR="001304A3" w:rsidRPr="009A16DF">
        <w:rPr>
          <w:noProof/>
        </w:rPr>
        <w:t>(Ramea et al. 2018)</w:t>
      </w:r>
      <w:r w:rsidR="001304A3" w:rsidRPr="009A16DF">
        <w:fldChar w:fldCharType="end"/>
      </w:r>
      <w:r w:rsidR="002E6327">
        <w:t>)</w:t>
      </w:r>
      <w:r w:rsidR="001304A3">
        <w:t xml:space="preserve"> and denoted as i in equation 1 in each representative vehicle ownership</w:t>
      </w:r>
      <w:r>
        <w:t xml:space="preserve"> segmented</w:t>
      </w:r>
      <w:r w:rsidR="001304A3" w:rsidRPr="009A16DF">
        <w:t xml:space="preserve"> </w:t>
      </w:r>
      <w:r>
        <w:t xml:space="preserve">by </w:t>
      </w:r>
      <w:r w:rsidR="00DC1FE7">
        <w:t>vehicle age</w:t>
      </w:r>
      <w:r w:rsidR="004C48E5">
        <w:t xml:space="preserve"> </w:t>
      </w:r>
      <w:r w:rsidR="00DC1FE7">
        <w:t>(</w:t>
      </w:r>
      <w:r w:rsidR="001A4EB0" w:rsidRPr="009A16DF">
        <w:t>24 vehicle age</w:t>
      </w:r>
      <w:r w:rsidR="00DC1FE7">
        <w:t>s)</w:t>
      </w:r>
      <w:r w:rsidR="00DC1FE7">
        <w:rPr>
          <w:rFonts w:hint="eastAsia"/>
        </w:rPr>
        <w:t>,</w:t>
      </w:r>
      <w:r w:rsidR="001A4EB0" w:rsidRPr="009A16DF">
        <w:t xml:space="preserve"> </w:t>
      </w:r>
      <w:r w:rsidR="00DC1FE7">
        <w:t xml:space="preserve">varying </w:t>
      </w:r>
      <w:r w:rsidR="004C48E5">
        <w:t>VKT</w:t>
      </w:r>
      <w:r w:rsidR="00443EC0" w:rsidRPr="009A16DF">
        <w:t xml:space="preserve"> </w:t>
      </w:r>
      <w:r w:rsidR="004C48E5">
        <w:t>d</w:t>
      </w:r>
      <w:r w:rsidR="001A4EB0" w:rsidRPr="009A16DF">
        <w:t xml:space="preserve">riving </w:t>
      </w:r>
      <w:r w:rsidR="00A75348">
        <w:t>behavior</w:t>
      </w:r>
      <w:r w:rsidR="00DC1FE7">
        <w:t xml:space="preserve"> (among 3 driving demand groups)</w:t>
      </w:r>
      <w:r w:rsidR="00A75348">
        <w:t xml:space="preserve"> </w:t>
      </w:r>
      <w:r w:rsidR="006E22E7">
        <w:t xml:space="preserve">and </w:t>
      </w:r>
      <w:r w:rsidR="00A75348">
        <w:t>equipped</w:t>
      </w:r>
      <w:r w:rsidR="006E22E7">
        <w:t xml:space="preserve"> </w:t>
      </w:r>
      <w:r w:rsidR="001A4EB0" w:rsidRPr="009A16DF">
        <w:t xml:space="preserve">with </w:t>
      </w:r>
      <w:r w:rsidR="00DC1FE7">
        <w:t xml:space="preserve">different </w:t>
      </w:r>
      <w:r w:rsidR="006E22E7">
        <w:t xml:space="preserve">availabilities of </w:t>
      </w:r>
      <w:r w:rsidR="001228D6">
        <w:t xml:space="preserve">the </w:t>
      </w:r>
      <w:r w:rsidR="001A4EB0" w:rsidRPr="009A16DF">
        <w:t xml:space="preserve">charger </w:t>
      </w:r>
      <w:r w:rsidR="00DC1FE7">
        <w:t xml:space="preserve">(4 possible availabilities) </w:t>
      </w:r>
      <w:r w:rsidR="001A4EB0" w:rsidRPr="009A16DF">
        <w:t>in 20 regions</w:t>
      </w:r>
      <w:r w:rsidR="006E22E7">
        <w:t xml:space="preserve"> across US</w:t>
      </w:r>
      <w:r w:rsidR="00DC1FE7">
        <w:t>.</w:t>
      </w:r>
      <w:r w:rsidR="001304A3">
        <w:t xml:space="preserve"> </w:t>
      </w:r>
      <w:r w:rsidR="00DC1FE7">
        <w:t xml:space="preserve">We then </w:t>
      </w:r>
      <w:r w:rsidR="001304A3">
        <w:t xml:space="preserve">draw values </w:t>
      </w:r>
      <w:r w:rsidR="00DC1FE7">
        <w:t xml:space="preserve">for each clone </w:t>
      </w:r>
      <w:r w:rsidR="001304A3">
        <w:t xml:space="preserve">from </w:t>
      </w:r>
      <w:r w:rsidR="001228D6">
        <w:t xml:space="preserve">the </w:t>
      </w:r>
      <w:r w:rsidR="001304A3">
        <w:t>above</w:t>
      </w:r>
      <w:r w:rsidR="00DC1FE7">
        <w:t>-mentioned</w:t>
      </w:r>
      <w:r w:rsidR="001304A3" w:rsidRPr="009A16DF">
        <w:t xml:space="preserve"> </w:t>
      </w:r>
      <w:r w:rsidR="001304A3">
        <w:t xml:space="preserve">three distributions (Daily VKT distribution, value of time distribution, and the idiosyncratic preferences) independently </w:t>
      </w:r>
      <w:r w:rsidR="001228D6">
        <w:t>(</w:t>
      </w:r>
      <w:r w:rsidR="001304A3">
        <w:t>for 10 times</w:t>
      </w:r>
      <w:r w:rsidR="001228D6">
        <w:t>)</w:t>
      </w:r>
      <w:r w:rsidR="00E934CD">
        <w:t xml:space="preserve"> to represent their distributional </w:t>
      </w:r>
      <w:r w:rsidR="001228D6">
        <w:t>behaviors</w:t>
      </w:r>
      <w:r w:rsidR="005131C5" w:rsidRPr="009A16DF">
        <w:t xml:space="preserve">. </w:t>
      </w:r>
      <w:r w:rsidR="00A75348">
        <w:t xml:space="preserve">We then </w:t>
      </w:r>
      <w:r w:rsidR="00130DBA">
        <w:t xml:space="preserve">feed </w:t>
      </w:r>
      <w:r w:rsidR="00A75348">
        <w:t>each clone (</w:t>
      </w:r>
      <w:r w:rsidR="00C52DAD">
        <w:t xml:space="preserve">denoted as </w:t>
      </w:r>
      <w:r w:rsidR="00A75348">
        <w:t>i</w:t>
      </w:r>
      <w:r w:rsidR="00C52DAD">
        <w:t xml:space="preserve"> in equation 1</w:t>
      </w:r>
      <w:r w:rsidR="00A75348">
        <w:t xml:space="preserve">) </w:t>
      </w:r>
      <w:r w:rsidR="00130DBA">
        <w:t>into the</w:t>
      </w:r>
      <w:r w:rsidR="00247154" w:rsidRPr="00A324DB">
        <w:t xml:space="preserve"> </w:t>
      </w:r>
      <w:r w:rsidR="00BA36D0" w:rsidRPr="00A324DB">
        <w:t>model</w:t>
      </w:r>
      <w:r w:rsidR="00BA36D0">
        <w:t xml:space="preserve"> </w:t>
      </w:r>
      <w:r w:rsidR="00130DBA">
        <w:t xml:space="preserve">to </w:t>
      </w:r>
      <w:r w:rsidR="00A75348">
        <w:t>solve</w:t>
      </w:r>
      <w:r w:rsidR="00130DBA">
        <w:t xml:space="preserve"> </w:t>
      </w:r>
      <w:r w:rsidR="00BA36D0">
        <w:lastRenderedPageBreak/>
        <w:t xml:space="preserve">endogenously </w:t>
      </w:r>
      <w:r w:rsidR="00A75348">
        <w:t xml:space="preserve">for </w:t>
      </w:r>
      <w:r w:rsidR="00BA36D0">
        <w:t>the best vehicle choice</w:t>
      </w:r>
      <w:r w:rsidR="00A75348">
        <w:t xml:space="preserve"> for these 5,760 </w:t>
      </w:r>
      <w:r w:rsidR="00A75348" w:rsidRPr="00DF2CFE">
        <w:t>customers</w:t>
      </w:r>
      <w:r w:rsidR="00BA36D0" w:rsidRPr="00DF2CFE">
        <w:t xml:space="preserve">. We </w:t>
      </w:r>
      <w:r w:rsidR="00AA1339" w:rsidRPr="00DF2CFE">
        <w:t>lastly</w:t>
      </w:r>
      <w:r w:rsidR="00BA36D0" w:rsidRPr="00DF2CFE">
        <w:t xml:space="preserve"> take the average of the vehicle choices</w:t>
      </w:r>
      <w:r w:rsidR="00AA1339" w:rsidRPr="00DF2CFE">
        <w:t xml:space="preserve"> output</w:t>
      </w:r>
      <w:r w:rsidR="00BA36D0" w:rsidRPr="00DF2CFE">
        <w:t xml:space="preserve"> </w:t>
      </w:r>
      <w:r w:rsidR="00130DBA" w:rsidRPr="00DF2CFE">
        <w:t>over</w:t>
      </w:r>
      <w:r w:rsidR="00BA36D0" w:rsidRPr="00DF2CFE">
        <w:t xml:space="preserve"> 10 clones to represent the choice of each heterogenous group</w:t>
      </w:r>
      <w:r w:rsidR="001228D6" w:rsidRPr="001228D6">
        <w:t xml:space="preserve"> </w:t>
      </w:r>
      <w:r w:rsidR="001228D6" w:rsidRPr="00DF2CFE">
        <w:t xml:space="preserve">considering </w:t>
      </w:r>
      <w:r w:rsidR="001228D6" w:rsidRPr="00C53F8C">
        <w:t>behavioral, economic, and geological features</w:t>
      </w:r>
      <w:r w:rsidR="00BA36D0" w:rsidRPr="00DF2CFE">
        <w:t xml:space="preserve">. </w:t>
      </w:r>
      <w:r w:rsidR="00AA1339" w:rsidRPr="00DF2CFE">
        <w:t>We limit</w:t>
      </w:r>
      <w:r w:rsidR="00C52DAD">
        <w:t xml:space="preserve"> </w:t>
      </w:r>
      <w:r w:rsidR="001228D6">
        <w:t xml:space="preserve">the </w:t>
      </w:r>
      <w:r w:rsidR="00C52DAD">
        <w:t>random</w:t>
      </w:r>
      <w:r w:rsidR="00AA1339">
        <w:t xml:space="preserve"> </w:t>
      </w:r>
      <w:proofErr w:type="gramStart"/>
      <w:r w:rsidR="00AA1339">
        <w:t>draw</w:t>
      </w:r>
      <w:proofErr w:type="gramEnd"/>
      <w:r w:rsidR="00AA1339">
        <w:t xml:space="preserve"> </w:t>
      </w:r>
      <w:r w:rsidR="001228D6">
        <w:t xml:space="preserve">to </w:t>
      </w:r>
      <w:r w:rsidR="00BA36D0">
        <w:t>only 10 clones due to the limitation of the computational capabilities of the model.</w:t>
      </w:r>
    </w:p>
    <w:p w14:paraId="0B7CF233" w14:textId="77777777" w:rsidR="00B41AAD" w:rsidRPr="00324BFF" w:rsidRDefault="00B41AAD" w:rsidP="00C53F8C">
      <w:pPr>
        <w:spacing w:line="240" w:lineRule="auto"/>
      </w:pPr>
    </w:p>
    <w:p w14:paraId="1083EC93" w14:textId="2465D374" w:rsidR="00FC2900" w:rsidRDefault="00DD466B" w:rsidP="007B6D75">
      <w:pPr>
        <w:pStyle w:val="Heading2"/>
      </w:pPr>
      <w:r>
        <w:t xml:space="preserve">A.3 </w:t>
      </w:r>
      <w:r w:rsidR="00FC2900" w:rsidRPr="002D0231">
        <w:t xml:space="preserve">Clean Vehicle (EV) Tax Credit </w:t>
      </w:r>
    </w:p>
    <w:p w14:paraId="77A0809B" w14:textId="373C92E8" w:rsidR="00DD466B" w:rsidRDefault="00DD466B" w:rsidP="00FC2900">
      <w:pPr>
        <w:pStyle w:val="Heading2"/>
      </w:pPr>
      <w:r>
        <w:t>A.3.1 Phasing-</w:t>
      </w:r>
      <w:r w:rsidR="00065AC6">
        <w:t xml:space="preserve">Out Tax Credit Before </w:t>
      </w:r>
      <w:r>
        <w:t>2023</w:t>
      </w:r>
    </w:p>
    <w:p w14:paraId="63729F89" w14:textId="1B0772D8" w:rsidR="00DD466B" w:rsidRDefault="00DD466B" w:rsidP="00DD466B">
      <w:pPr>
        <w:spacing w:line="240" w:lineRule="auto"/>
      </w:pPr>
      <w:r>
        <w:t xml:space="preserve">From 2010 to 2023, </w:t>
      </w:r>
      <w:r w:rsidR="00DD3C19">
        <w:t xml:space="preserve">the </w:t>
      </w:r>
      <w:r>
        <w:t xml:space="preserve">federal </w:t>
      </w:r>
      <w:r w:rsidR="00FC2900">
        <w:t>Clean Vehicle (</w:t>
      </w:r>
      <w:r>
        <w:t>EV</w:t>
      </w:r>
      <w:r w:rsidR="00FC2900">
        <w:t>)</w:t>
      </w:r>
      <w:r>
        <w:t xml:space="preserve"> tax credit program offers a tax credit to individuals who purchase new qualifying BEV and PHEV ($7,500 for BEV and $2,500 for PHEV). The eligible EV should also be manufactured by automakers </w:t>
      </w:r>
      <w:r w:rsidR="00DD3C19">
        <w:t xml:space="preserve">that have </w:t>
      </w:r>
      <w:r>
        <w:t xml:space="preserve">sold fewer than 200,000 qualifying </w:t>
      </w:r>
      <w:r w:rsidR="004E1533">
        <w:rPr>
          <w:rFonts w:hint="eastAsia"/>
        </w:rPr>
        <w:t>e</w:t>
      </w:r>
      <w:r w:rsidR="004E1533">
        <w:t xml:space="preserve">lectrified </w:t>
      </w:r>
      <w:r>
        <w:t xml:space="preserve">vehicles in the US. It began to phase out for Tesla in 2018 and then Toyota in 2019 after they sold more than 200,000 qualifying electric vehicles. The phase-out period is gradual in reducing tax credit amount from $7,500 to $3,750 and then to $1,875, and that takes place over quarters. As more EV producers reach the 200,000 BEV sales level, fewer EVs sold in the market will be eligible for EV tax credit, and thus the weighted tax credit to all EV buyers declines. We follow the same assumption of the declining EV tax credit from </w:t>
      </w:r>
      <w:r w:rsidR="004E1533">
        <w:t xml:space="preserve">2022 </w:t>
      </w:r>
      <w:r>
        <w:t>to 2030 as in Annual Energy Outlook (AEO) for the Phase-out tax credit scenario (Figure A1</w:t>
      </w:r>
      <w:r w:rsidR="00D837E6">
        <w:t>1</w:t>
      </w:r>
      <w:r>
        <w:t xml:space="preserve">). </w:t>
      </w:r>
    </w:p>
    <w:p w14:paraId="3F5F33E5" w14:textId="77777777" w:rsidR="00DD466B" w:rsidRDefault="00DD466B" w:rsidP="00DD466B">
      <w:pPr>
        <w:spacing w:line="240" w:lineRule="auto"/>
      </w:pPr>
      <w:r>
        <w:rPr>
          <w:noProof/>
          <w:lang w:eastAsia="en-US"/>
        </w:rPr>
        <w:drawing>
          <wp:inline distT="0" distB="0" distL="0" distR="0" wp14:anchorId="74945D12" wp14:editId="3C84CA25">
            <wp:extent cx="5213445" cy="2531110"/>
            <wp:effectExtent l="0" t="0" r="6350" b="2540"/>
            <wp:docPr id="1" name="Chart 1">
              <a:extLst xmlns:a="http://schemas.openxmlformats.org/drawingml/2006/main">
                <a:ext uri="{FF2B5EF4-FFF2-40B4-BE49-F238E27FC236}">
                  <a16:creationId xmlns:a16="http://schemas.microsoft.com/office/drawing/2014/main" id="{5CD26EB8-C126-4047-9775-F780DC1DB5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256ABF6" w14:textId="7C022CB9" w:rsidR="00DD466B" w:rsidRPr="00136B4F" w:rsidRDefault="00DD466B" w:rsidP="00DD466B">
      <w:pPr>
        <w:spacing w:line="240" w:lineRule="auto"/>
        <w:rPr>
          <w:b/>
          <w:bCs/>
        </w:rPr>
      </w:pPr>
      <w:r w:rsidRPr="00136B4F">
        <w:rPr>
          <w:b/>
          <w:bCs/>
        </w:rPr>
        <w:t>Figure A</w:t>
      </w:r>
      <w:r>
        <w:rPr>
          <w:b/>
          <w:bCs/>
        </w:rPr>
        <w:t>1</w:t>
      </w:r>
      <w:r w:rsidR="00D837E6">
        <w:rPr>
          <w:b/>
          <w:bCs/>
        </w:rPr>
        <w:t>1</w:t>
      </w:r>
      <w:r w:rsidRPr="00136B4F">
        <w:rPr>
          <w:b/>
          <w:bCs/>
        </w:rPr>
        <w:t xml:space="preserve"> The </w:t>
      </w:r>
      <w:r w:rsidR="007441F6" w:rsidRPr="00136B4F">
        <w:rPr>
          <w:b/>
          <w:bCs/>
        </w:rPr>
        <w:t xml:space="preserve">Phasing-Out </w:t>
      </w:r>
      <w:r w:rsidR="007441F6">
        <w:rPr>
          <w:b/>
          <w:bCs/>
        </w:rPr>
        <w:t xml:space="preserve">of </w:t>
      </w:r>
      <w:r w:rsidR="007441F6" w:rsidRPr="00136B4F">
        <w:rPr>
          <w:b/>
          <w:bCs/>
        </w:rPr>
        <w:t xml:space="preserve">Tax Credit </w:t>
      </w:r>
      <w:r w:rsidR="007441F6">
        <w:rPr>
          <w:b/>
          <w:bCs/>
        </w:rPr>
        <w:t>f</w:t>
      </w:r>
      <w:r w:rsidR="007441F6" w:rsidRPr="00136B4F">
        <w:rPr>
          <w:b/>
          <w:bCs/>
        </w:rPr>
        <w:t xml:space="preserve">or </w:t>
      </w:r>
      <w:r w:rsidRPr="00136B4F">
        <w:rPr>
          <w:b/>
          <w:bCs/>
        </w:rPr>
        <w:t xml:space="preserve">BEV </w:t>
      </w:r>
      <w:r w:rsidR="007441F6">
        <w:rPr>
          <w:b/>
          <w:bCs/>
        </w:rPr>
        <w:t>a</w:t>
      </w:r>
      <w:r w:rsidR="007441F6" w:rsidRPr="00136B4F">
        <w:rPr>
          <w:b/>
          <w:bCs/>
        </w:rPr>
        <w:t xml:space="preserve">nd </w:t>
      </w:r>
      <w:r w:rsidRPr="00136B4F">
        <w:rPr>
          <w:b/>
          <w:bCs/>
        </w:rPr>
        <w:t xml:space="preserve">PHEV </w:t>
      </w:r>
      <w:r w:rsidR="007441F6" w:rsidRPr="00136B4F">
        <w:rPr>
          <w:b/>
          <w:bCs/>
        </w:rPr>
        <w:t xml:space="preserve">Consumers </w:t>
      </w:r>
    </w:p>
    <w:p w14:paraId="78ECFC80" w14:textId="77777777" w:rsidR="0048585C" w:rsidRDefault="0048585C" w:rsidP="009C07CE"/>
    <w:p w14:paraId="120FD90E" w14:textId="3C9DC59C" w:rsidR="00DD466B" w:rsidRDefault="00DD466B" w:rsidP="0048585C">
      <w:pPr>
        <w:pStyle w:val="Heading3"/>
        <w:numPr>
          <w:ilvl w:val="0"/>
          <w:numId w:val="0"/>
        </w:numPr>
        <w:spacing w:line="240" w:lineRule="auto"/>
        <w:ind w:left="720" w:hanging="720"/>
      </w:pPr>
      <w:r>
        <w:t xml:space="preserve">A.3.2 Extended EV </w:t>
      </w:r>
      <w:r w:rsidR="00065AC6">
        <w:t>Tax Credi</w:t>
      </w:r>
      <w:r w:rsidR="0048585C">
        <w:t>t by</w:t>
      </w:r>
      <w:r w:rsidR="00065AC6">
        <w:t xml:space="preserve"> </w:t>
      </w:r>
      <w:r>
        <w:t>Inflation Reduction Act</w:t>
      </w:r>
    </w:p>
    <w:p w14:paraId="0506BC04" w14:textId="1071AC4C" w:rsidR="00DD466B" w:rsidRDefault="00DD466B" w:rsidP="00DD466B">
      <w:pPr>
        <w:spacing w:line="240" w:lineRule="auto"/>
      </w:pPr>
      <w:r>
        <w:t>The Inflation Reduction Act reestablished the federal tax credit for EV purchases and took effect on Jan 1</w:t>
      </w:r>
      <w:r>
        <w:rPr>
          <w:vertAlign w:val="superscript"/>
        </w:rPr>
        <w:t>st</w:t>
      </w:r>
      <w:r w:rsidR="009F08FE">
        <w:t>, 2023</w:t>
      </w:r>
      <w:r>
        <w:t xml:space="preserve">. It eliminates the 200,000 EV threshold for manufacturers and all </w:t>
      </w:r>
      <w:r w:rsidR="002E6327">
        <w:t>B</w:t>
      </w:r>
      <w:r>
        <w:t xml:space="preserve">EVs are eligible for $7,500 tax credit. However, the tax credit is subject to income eligibility criteria. Specifically, the modified adjusted gross income of buyers eligible for tax credit may not exceed $300,000 for married couples filing jointly, $225,000 for heads of households, and $150,000 for all other filers. Other complications for eligible vehicles include the vehicle price cap, place of </w:t>
      </w:r>
      <w:r>
        <w:lastRenderedPageBreak/>
        <w:t>the assembly plant, and source of battery material.</w:t>
      </w:r>
      <w:r w:rsidR="004E1533">
        <w:t xml:space="preserve"> For simplicity,</w:t>
      </w:r>
      <w:r>
        <w:t xml:space="preserve"> </w:t>
      </w:r>
      <w:r w:rsidR="004E1533">
        <w:t>t</w:t>
      </w:r>
      <w:r>
        <w:t xml:space="preserve">hey are not considered in this study. </w:t>
      </w:r>
    </w:p>
    <w:p w14:paraId="6E679554" w14:textId="7ECD1B13" w:rsidR="00DD466B" w:rsidRDefault="00DD466B" w:rsidP="00DD466B">
      <w:pPr>
        <w:spacing w:line="240" w:lineRule="auto"/>
      </w:pPr>
      <w:r>
        <w:t xml:space="preserve">Under the Inflation Reduction Act, these income thresholds are adjusted for inflation every three years beginning in 2025. We collect the income distribution of new vehicle buyers from market research company </w:t>
      </w:r>
      <w:proofErr w:type="spellStart"/>
      <w:r>
        <w:t>MaritzCX</w:t>
      </w:r>
      <w:proofErr w:type="spellEnd"/>
      <w:r>
        <w:t xml:space="preserve"> and find that the population that qualified for EV tax credit among existing 2021 BEV buyers and </w:t>
      </w:r>
      <w:r w:rsidR="00DD3C19">
        <w:t>overall new</w:t>
      </w:r>
      <w:r>
        <w:t xml:space="preserve"> vehicle buyers is 80% and 92% of the buyers, respectively. </w:t>
      </w:r>
      <w:r w:rsidR="004E1533">
        <w:t xml:space="preserve">That is because the current EV buyers </w:t>
      </w:r>
      <w:r w:rsidR="002E3D9C">
        <w:t>have</w:t>
      </w:r>
      <w:r w:rsidR="0019259A">
        <w:t xml:space="preserve"> higher income</w:t>
      </w:r>
      <w:r w:rsidR="004E1533">
        <w:t xml:space="preserve"> on average. </w:t>
      </w:r>
      <w:r>
        <w:t xml:space="preserve">We then propose </w:t>
      </w:r>
      <w:r w:rsidR="00E5476E">
        <w:t>a</w:t>
      </w:r>
      <w:r>
        <w:t xml:space="preserve"> population-weighted tax credit </w:t>
      </w:r>
      <w:r w:rsidR="003363EA">
        <w:rPr>
          <w:rFonts w:hint="eastAsia"/>
        </w:rPr>
        <w:t>t</w:t>
      </w:r>
      <w:r w:rsidR="003363EA">
        <w:t xml:space="preserve">o incorporate the income factor </w:t>
      </w:r>
      <w:r>
        <w:t xml:space="preserve">in our study. First, starting from a share of current EV buyers of 80%, the population qualified for tax credits will linearly increase to 92% in 2030. This </w:t>
      </w:r>
      <w:proofErr w:type="gramStart"/>
      <w:r>
        <w:t>is based on the assumption</w:t>
      </w:r>
      <w:proofErr w:type="gramEnd"/>
      <w:r>
        <w:t xml:space="preserve"> that the future BEV buyers will be no different from the </w:t>
      </w:r>
      <w:r w:rsidR="003363EA">
        <w:t xml:space="preserve">majority </w:t>
      </w:r>
      <w:r w:rsidR="00DD3C19">
        <w:t xml:space="preserve">overall </w:t>
      </w:r>
      <w:r>
        <w:t xml:space="preserve">all-new vehicle buyers in 2030, </w:t>
      </w:r>
      <w:r w:rsidR="004E1533">
        <w:t xml:space="preserve">specifically </w:t>
      </w:r>
      <w:r w:rsidR="003363EA">
        <w:t xml:space="preserve">if </w:t>
      </w:r>
      <w:r>
        <w:t>the BEV</w:t>
      </w:r>
      <w:r w:rsidR="003363EA">
        <w:t>s become cheaper</w:t>
      </w:r>
      <w:r>
        <w:t xml:space="preserve">, </w:t>
      </w:r>
      <w:r w:rsidR="003363EA">
        <w:t xml:space="preserve">more </w:t>
      </w:r>
      <w:r>
        <w:t>acceptance</w:t>
      </w:r>
      <w:r w:rsidR="003363EA">
        <w:t xml:space="preserve"> of the BEV technology</w:t>
      </w:r>
      <w:r>
        <w:t xml:space="preserve">, and more available </w:t>
      </w:r>
      <w:r w:rsidR="003363EA">
        <w:t xml:space="preserve">public </w:t>
      </w:r>
      <w:r>
        <w:t xml:space="preserve">chargers. </w:t>
      </w:r>
      <w:r w:rsidR="004E1533">
        <w:t>Admittedly</w:t>
      </w:r>
      <w:r w:rsidR="00E5476E">
        <w:t>, it could also be possible that</w:t>
      </w:r>
      <w:r>
        <w:t xml:space="preserve"> </w:t>
      </w:r>
      <w:r w:rsidR="003363EA">
        <w:t>less</w:t>
      </w:r>
      <w:r>
        <w:t xml:space="preserve"> population will </w:t>
      </w:r>
      <w:r w:rsidR="003363EA">
        <w:t>qualify</w:t>
      </w:r>
      <w:r>
        <w:t xml:space="preserve"> for the tax credit over time and will drop </w:t>
      </w:r>
      <w:r w:rsidR="003363EA">
        <w:t>i</w:t>
      </w:r>
      <w:r>
        <w:t>n 2030</w:t>
      </w:r>
      <w:r w:rsidR="00E5476E">
        <w:t>, especially when</w:t>
      </w:r>
      <w:r>
        <w:t xml:space="preserve"> </w:t>
      </w:r>
      <w:r w:rsidRPr="003363EA">
        <w:t xml:space="preserve">market acceptance of BEV weakens among the majority of vehicle buyers who have lower </w:t>
      </w:r>
      <w:proofErr w:type="gramStart"/>
      <w:r w:rsidRPr="003363EA">
        <w:t>incomes</w:t>
      </w:r>
      <w:proofErr w:type="gramEnd"/>
      <w:r w:rsidR="003363EA" w:rsidRPr="0099742A">
        <w:t xml:space="preserve"> or the inflation rises faster than the acceptance rate</w:t>
      </w:r>
      <w:r w:rsidR="000B73E2">
        <w:t xml:space="preserve"> (as shown in</w:t>
      </w:r>
      <w:r w:rsidRPr="003363EA">
        <w:t xml:space="preserve"> Figure A1</w:t>
      </w:r>
      <w:r w:rsidR="00D837E6">
        <w:t>2</w:t>
      </w:r>
      <w:r w:rsidR="000B73E2">
        <w:rPr>
          <w:rFonts w:hint="eastAsia"/>
        </w:rPr>
        <w:t>).</w:t>
      </w:r>
      <w:r w:rsidR="000B73E2">
        <w:t xml:space="preserve"> </w:t>
      </w:r>
      <w:r w:rsidR="003363EA">
        <w:t xml:space="preserve">In this paper, we discussed the most optimistic case when acceptance </w:t>
      </w:r>
      <w:r w:rsidR="000B73E2">
        <w:t xml:space="preserve">of BEV </w:t>
      </w:r>
      <w:r w:rsidR="003363EA">
        <w:t>and qualification</w:t>
      </w:r>
      <w:r w:rsidR="000B73E2">
        <w:t xml:space="preserve"> of tax credit</w:t>
      </w:r>
      <w:r w:rsidR="003363EA">
        <w:t xml:space="preserve"> rise.</w:t>
      </w:r>
    </w:p>
    <w:p w14:paraId="16D8BA58" w14:textId="77777777" w:rsidR="00DD466B" w:rsidRDefault="00DD466B" w:rsidP="00DD466B">
      <w:pPr>
        <w:spacing w:line="240" w:lineRule="auto"/>
      </w:pPr>
      <w:r>
        <w:rPr>
          <w:noProof/>
        </w:rPr>
        <w:drawing>
          <wp:inline distT="0" distB="0" distL="0" distR="0" wp14:anchorId="3535FED0" wp14:editId="558AD75E">
            <wp:extent cx="5153025" cy="2238499"/>
            <wp:effectExtent l="0" t="0" r="9525" b="9525"/>
            <wp:docPr id="5" name="Chart 5">
              <a:extLst xmlns:a="http://schemas.openxmlformats.org/drawingml/2006/main">
                <a:ext uri="{FF2B5EF4-FFF2-40B4-BE49-F238E27FC236}">
                  <a16:creationId xmlns:a16="http://schemas.microsoft.com/office/drawing/2014/main" id="{74884E23-077D-40A1-AE7D-B033865DB76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3717B24" w14:textId="2A764F25" w:rsidR="00DD466B" w:rsidRPr="007441F6" w:rsidRDefault="00DD466B" w:rsidP="00DD466B">
      <w:pPr>
        <w:spacing w:line="240" w:lineRule="auto"/>
        <w:rPr>
          <w:b/>
          <w:bCs/>
        </w:rPr>
      </w:pPr>
      <w:r w:rsidRPr="007441F6">
        <w:rPr>
          <w:b/>
          <w:bCs/>
        </w:rPr>
        <w:t>Figure A1</w:t>
      </w:r>
      <w:r w:rsidR="00D837E6" w:rsidRPr="007441F6">
        <w:rPr>
          <w:b/>
          <w:bCs/>
        </w:rPr>
        <w:t>2</w:t>
      </w:r>
      <w:r w:rsidRPr="007441F6">
        <w:rPr>
          <w:b/>
          <w:bCs/>
        </w:rPr>
        <w:t xml:space="preserve"> Two </w:t>
      </w:r>
      <w:r w:rsidR="007441F6" w:rsidRPr="007441F6">
        <w:rPr>
          <w:b/>
          <w:bCs/>
        </w:rPr>
        <w:t xml:space="preserve">Scenarios </w:t>
      </w:r>
      <w:r w:rsidR="007441F6">
        <w:rPr>
          <w:b/>
          <w:bCs/>
        </w:rPr>
        <w:t>o</w:t>
      </w:r>
      <w:r w:rsidR="007441F6" w:rsidRPr="007441F6">
        <w:rPr>
          <w:b/>
          <w:bCs/>
        </w:rPr>
        <w:t xml:space="preserve">f </w:t>
      </w:r>
      <w:r w:rsidR="007441F6">
        <w:rPr>
          <w:b/>
          <w:bCs/>
        </w:rPr>
        <w:t>t</w:t>
      </w:r>
      <w:r w:rsidR="007441F6" w:rsidRPr="007441F6">
        <w:rPr>
          <w:b/>
          <w:bCs/>
        </w:rPr>
        <w:t xml:space="preserve">he Population Qualified </w:t>
      </w:r>
      <w:r w:rsidR="007441F6">
        <w:rPr>
          <w:b/>
          <w:bCs/>
        </w:rPr>
        <w:t>f</w:t>
      </w:r>
      <w:r w:rsidR="007441F6" w:rsidRPr="007441F6">
        <w:rPr>
          <w:b/>
          <w:bCs/>
        </w:rPr>
        <w:t xml:space="preserve">or </w:t>
      </w:r>
      <w:r w:rsidRPr="007441F6">
        <w:rPr>
          <w:b/>
          <w:bCs/>
        </w:rPr>
        <w:t xml:space="preserve">EV </w:t>
      </w:r>
      <w:r w:rsidR="007441F6" w:rsidRPr="007441F6">
        <w:rPr>
          <w:b/>
          <w:bCs/>
        </w:rPr>
        <w:t xml:space="preserve">Tax Credit </w:t>
      </w:r>
      <w:r w:rsidR="007441F6">
        <w:rPr>
          <w:b/>
          <w:bCs/>
        </w:rPr>
        <w:t>a</w:t>
      </w:r>
      <w:r w:rsidR="007441F6" w:rsidRPr="007441F6">
        <w:rPr>
          <w:b/>
          <w:bCs/>
        </w:rPr>
        <w:t>s Weight</w:t>
      </w:r>
    </w:p>
    <w:p w14:paraId="038DDE43" w14:textId="77777777" w:rsidR="00DD466B" w:rsidRDefault="00DD466B" w:rsidP="00DD466B">
      <w:pPr>
        <w:spacing w:line="240" w:lineRule="auto"/>
      </w:pPr>
    </w:p>
    <w:p w14:paraId="56CAF5C2" w14:textId="41067F49" w:rsidR="00086AEC" w:rsidRDefault="00FC7AC7" w:rsidP="007B6D75">
      <w:pPr>
        <w:pStyle w:val="Heading2"/>
      </w:pPr>
      <w:r>
        <w:t>A.</w:t>
      </w:r>
      <w:r w:rsidR="003B7447">
        <w:t>4</w:t>
      </w:r>
      <w:r>
        <w:t xml:space="preserve"> Model </w:t>
      </w:r>
      <w:r w:rsidR="00065AC6">
        <w:t>V</w:t>
      </w:r>
      <w:r>
        <w:t>alidation</w:t>
      </w:r>
    </w:p>
    <w:p w14:paraId="4342E692" w14:textId="3168B76C" w:rsidR="00086AEC" w:rsidRDefault="00FC7AC7" w:rsidP="00C53F8C">
      <w:pPr>
        <w:spacing w:line="240" w:lineRule="auto"/>
      </w:pPr>
      <w:r>
        <w:t xml:space="preserve">We validate the model by comparing the model outcomes for </w:t>
      </w:r>
      <w:r w:rsidR="000B73E2">
        <w:t xml:space="preserve">many key </w:t>
      </w:r>
      <w:r>
        <w:t>endogenous variables from 2016 to 2019 with observed data. The 2020</w:t>
      </w:r>
      <w:r w:rsidR="000B73E2">
        <w:t xml:space="preserve"> to 2022</w:t>
      </w:r>
      <w:r>
        <w:t xml:space="preserve"> </w:t>
      </w:r>
      <w:r w:rsidR="000B73E2">
        <w:t xml:space="preserve">are considered </w:t>
      </w:r>
      <w:r>
        <w:t xml:space="preserve">abnormal in fuel consumption and production due to </w:t>
      </w:r>
      <w:r w:rsidR="000B73E2">
        <w:t xml:space="preserve">the </w:t>
      </w:r>
      <w:r>
        <w:t xml:space="preserve">pandemic; thus, we do not include </w:t>
      </w:r>
      <w:r w:rsidR="000B73E2">
        <w:t>the most recent years</w:t>
      </w:r>
      <w:r>
        <w:t xml:space="preserve"> for validation. We calibrate the elasticity for the crude oil market for US supply and the rest of the world supply to 1.5 and 0.8 and keep the demand function of the rest of the world at -4, as in </w:t>
      </w:r>
      <w:r>
        <w:fldChar w:fldCharType="begin" w:fldLock="1"/>
      </w:r>
      <w:r>
        <w:instrText>ADDIN CSL_CITATION {"citationItems":[{"id":"ITEM-1","itemData":{"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id":"ITEM-1","issued":{"date-parts":[["2020"]]},"title":"The Economic and Environmental Costs and Benefits of the Renewable Fuel Standard","type":"report"},"uris":["http://www.mendeley.com/documents/?uuid=288c4da2-1a6d-40cc-91f8-e22cb025115a"]}],"mendeley":{"formattedCitation":"(Chen et al. 2020)","manualFormatting":"Chen et al. (2020)","plainTextFormattedCitation":"(Chen et al. 2020)","previouslyFormattedCitation":"(Chen et al. 2020)"},"properties":{"noteIndex":0},"schema":"https://github.com/citation-style-language/schema/raw/master/csl-citation.json"}</w:instrText>
      </w:r>
      <w:r>
        <w:fldChar w:fldCharType="separate"/>
      </w:r>
      <w:r>
        <w:rPr>
          <w:noProof/>
        </w:rPr>
        <w:t>Chen et al. (2020)</w:t>
      </w:r>
      <w:r>
        <w:fldChar w:fldCharType="end"/>
      </w:r>
      <w:r>
        <w:t xml:space="preserve">. The model outcomes compared to the observed prices and quantities are shown in </w:t>
      </w:r>
      <w:r>
        <w:fldChar w:fldCharType="begin"/>
      </w:r>
      <w:r>
        <w:instrText xml:space="preserve"> REF _Ref75271315 \h  \* MERGEFORMAT </w:instrText>
      </w:r>
      <w:r>
        <w:fldChar w:fldCharType="separate"/>
      </w:r>
      <w:r>
        <w:t xml:space="preserve">Table </w:t>
      </w:r>
      <w:r>
        <w:fldChar w:fldCharType="end"/>
      </w:r>
      <w:r w:rsidR="00BA2D10">
        <w:t>A4a</w:t>
      </w:r>
      <w:r>
        <w:t>. We find that fuel consumption and production both in the US and the rest of the world generally deviate by less than 2%. The fuel prices are within a 12% deviation. We calibrate the vehicle stocks by incorporating the behavioral factors as well as the idiosyncratic preference by scaling the error term universally</w:t>
      </w:r>
      <w:r w:rsidR="00CD045F">
        <w:t xml:space="preserve"> (See details in A.1.4)</w:t>
      </w:r>
      <w:r>
        <w:t xml:space="preserve">. The vehicle stocks are within a 9% deviation from the observed level from 2016 to 2019. The deviation of </w:t>
      </w:r>
      <w:r>
        <w:lastRenderedPageBreak/>
        <w:t xml:space="preserve">9% could be explained by the smaller scales of alternative fuel vehicle stocks compared to conventional vehicles. The deviations of the simulated outcomes of the updated BEPAM from their observed values over the 2016–2019 period are generally within a similar level of tolerance as in previous studies applying BEPAM </w:t>
      </w:r>
      <w:r>
        <w:fldChar w:fldCharType="begin" w:fldLock="1"/>
      </w:r>
      <w:r w:rsidR="00A30731">
        <w:instrText>ADDIN CSL_CITATION {"citationItems":[{"id":"ITEM-1","itemData":{"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id":"ITEM-1","issued":{"date-parts":[["2020"]]},"title":"The Economic and Environmental Costs and Benefits of the Renewable Fuel Standard","type":"report"},"uris":["http://www.mendeley.com/documents/?uuid=288c4da2-1a6d-40cc-91f8-e22cb025115a"]},{"id":"ITEM-2","itemData":{"DOI":"10.1038/NENERGY.2015.5","abstract":"Sustainable transportation biofuels may require considerable changes in land use to meet mandated targets. Understanding the possible impact of diierent policies on land use and greenhouse gas emissions has typically proceeded by exploring either ecosystem or economic modelling. Here we integrate such models to assess the potential for the US Renewable Fuel Standard to reduce greenhouse gas emissions from the transportation sector through the use of cellulosic biofuels. We find that 2022 US emissions are decreased by 7.0 ± 2.5% largely through gasoline displacement and soil carbon storage by perennial grasses. If the Renewable Fuel Standard is accompanied by a cellulosic biofuel tax credit, these emissions could be reduced by 12.3 ± 3.4%. Our integrated approach indicates that transitioning to cellulosic biofuels can meet a 32-billion-gallon Renewable Fuel Standard target with negligible eeects on food crop production, while reducing fossil fuel use and greenhouse gas emissions. However, emissions savings are lower than previous estimates that did not account for economic constraints. T he Energy Independence and Security Act of 2007 established the Renewable Fuel Standard (RFS) that sets annual targets for biofuels from various feedstocks, including the amount of ethanol that must be produced from cellulosic biomass versus corn grain 1 . As originally conceived, the RFS targeted the production of 36 billion gallons (136 billion litres) of biofuel in 2022, of which at least 16 billion gallons (60 billion litres) were to be from cellulosic sources with a greenhouse gas (GHG) intensity of less than 60% relative to conventional gasoline. A cap of 15 billion gallons (57 billion litres) was set for corn-grain ethanol. The RFS provides the flexibility for the total volume of cellulosic biofuels to be larger than 16 billion gallons if the mix of feedstocks (for example, harvest residues, perennial grasses, wood) is economically viable. These feedstocks differ widely in their GHG intensity, their land-use requirements, and production costs 2 . To promote cellulosic ethanol production and market competitiveness, supplemental policies have been implemented, particularly a cellulosic biofuel production tax credit 1 . These policies affect the competitiveness of biofuel pathways differently, the mix of biofuels produced, and the GHG emissions savings from the same total volume of biofuels 3 . Several experimental and ecosystem modelling studies have investigated op…","author":[{"dropping-particle":"","family":"Hudiburg","given":"Tara W","non-dropping-particle":"","parse-names":false,"suffix":""},{"dropping-particle":"","family":"Wang","given":"Weiwei","non-dropping-particle":"","parse-names":false,"suffix":""},{"dropping-particle":"","family":"Khanna","given":"Madhu","non-dropping-particle":"","parse-names":false,"suffix":""},{"dropping-particle":"","family":"Long","given":"Stephen P","non-dropping-particle":"","parse-names":false,"suffix":""},{"dropping-particle":"","family":"Dwivedi","given":"Puneet","non-dropping-particle":"","parse-names":false,"suffix":""},{"dropping-particle":"","family":"Parton","given":"William J","non-dropping-particle":"","parse-names":false,"suffix":""},{"dropping-particle":"","family":"Hartman","given":"Melannie","non-dropping-particle":"","parse-names":false,"suffix":""},{"dropping-particle":"","family":"Delucia","given":"Evan H","non-dropping-particle":"","parse-names":false,"suffix":""}],"container-title":"Nature Energy","id":"ITEM-2","issued":{"date-parts":[["2016"]]},"title":"Impacts of a 32-billion-gallon bioenergy landscape on land and fossil fuel use in the US","type":"article-journal","volume":"1"},"uris":["http://www.mendeley.com/documents/?uuid=0342717b-3ddf-3bf5-a33c-cfa6c359eca4"]},{"id":"ITEM-3","itemData":{"abstract":"Energy policies for greenhouse gas (GHG) mitigation in the United States have set sector-specific standards, such as the Renewable Fuel Standard (RFS) and the Renewable Portfolio Standard (RPS) for the transportation and the electricity sectors , respectively. This paper examines the welfare costs and effectiveness of GHG abatement with these policies and compares them with those under a carbon tax normalized to achieve the same level of abatement over the 2007-2030 period. We show that the global welfare cost per ton of GHG abatement with the RFS and RPS is $171, while with the carbon tax it is $7. (JEL Q42, Q58)","author":[{"dropping-particle":"","family":"Oliver","given":"Anthony","non-dropping-particle":"","parse-names":false,"suffix":""},{"dropping-particle":"","family":"Khanna","given":"Madhu","non-dropping-particle":"","parse-names":false,"suffix":""}],"container-title":"Land Economics","id":"ITEM-3","issue":"3","issued":{"date-parts":[["2017"]]},"note":"$19.4","page":"437-458","title":"What Is the Cost of a Renewable Energy-Based Approach to Greenhouse Gas Mitigation?","type":"article-journal","volume":"93"},"uris":["http://www.mendeley.com/documents/?uuid=62ec44d0-7a02-3f6b-8c09-b47d5addf39d"]}],"mendeley":{"formattedCitation":"(Chen et al. 2020; Hudiburg et al. 2016; Oliver and Khanna 2017)","manualFormatting":"(Chen et al. 2021; Hudiburg et al. 2016; Oliver and Khanna 2017)","plainTextFormattedCitation":"(Chen et al. 2020; Hudiburg et al. 2016; Oliver and Khanna 2017)","previouslyFormattedCitation":"(Chen et al. 2020; Hudiburg et al. 2016; Oliver and Khanna 2017)"},"properties":{"noteIndex":0},"schema":"https://github.com/citation-style-language/schema/raw/master/csl-citation.json"}</w:instrText>
      </w:r>
      <w:r>
        <w:fldChar w:fldCharType="separate"/>
      </w:r>
      <w:r w:rsidR="00852133" w:rsidRPr="00852133">
        <w:rPr>
          <w:noProof/>
        </w:rPr>
        <w:t>(Chen et al. 202</w:t>
      </w:r>
      <w:r w:rsidR="00CD7094">
        <w:rPr>
          <w:noProof/>
        </w:rPr>
        <w:t>1</w:t>
      </w:r>
      <w:r w:rsidR="00852133" w:rsidRPr="00852133">
        <w:rPr>
          <w:noProof/>
        </w:rPr>
        <w:t>; Hudiburg et al. 2016; Oliver and Khanna 2017)</w:t>
      </w:r>
      <w:r>
        <w:fldChar w:fldCharType="end"/>
      </w:r>
      <w:r>
        <w:t>.</w:t>
      </w:r>
      <w:r w:rsidR="00B00824">
        <w:t xml:space="preserve"> We also </w:t>
      </w:r>
      <w:r w:rsidR="005549AC">
        <w:t>examine the effect of excluding intangible costs and idiosyncratic preferences in</w:t>
      </w:r>
      <w:r w:rsidR="00B00824">
        <w:t xml:space="preserve"> </w:t>
      </w:r>
      <w:r w:rsidR="00631551">
        <w:t>T</w:t>
      </w:r>
      <w:r w:rsidR="00B00824">
        <w:t xml:space="preserve">able </w:t>
      </w:r>
      <w:r w:rsidR="00BA2D10">
        <w:t>A4b</w:t>
      </w:r>
      <w:r w:rsidR="005549AC">
        <w:t xml:space="preserve">. </w:t>
      </w:r>
      <w:r w:rsidR="00B00824">
        <w:t xml:space="preserve">We </w:t>
      </w:r>
      <w:r w:rsidR="005549AC">
        <w:t xml:space="preserve">find </w:t>
      </w:r>
      <w:r w:rsidR="00B00824">
        <w:t xml:space="preserve">that the average </w:t>
      </w:r>
      <w:r w:rsidR="005549AC">
        <w:t xml:space="preserve">deviation in </w:t>
      </w:r>
      <w:proofErr w:type="gramStart"/>
      <w:r w:rsidR="005549AC">
        <w:t>observed</w:t>
      </w:r>
      <w:proofErr w:type="gramEnd"/>
      <w:r w:rsidR="005549AC">
        <w:t xml:space="preserve"> and model outcomes</w:t>
      </w:r>
      <w:r w:rsidR="00B00824">
        <w:t xml:space="preserve"> </w:t>
      </w:r>
      <w:r w:rsidR="00761954">
        <w:t xml:space="preserve">of vehicle stocks </w:t>
      </w:r>
      <w:r w:rsidR="005549AC">
        <w:t xml:space="preserve">worsens with the exclusion of </w:t>
      </w:r>
      <w:r w:rsidR="00B07366">
        <w:t>intangible costs and idiosyncratic preferences.</w:t>
      </w:r>
    </w:p>
    <w:p w14:paraId="6E43744F" w14:textId="11C910F0" w:rsidR="00086AEC" w:rsidRDefault="00835F25" w:rsidP="0099742A">
      <w:pPr>
        <w:spacing w:line="240" w:lineRule="auto"/>
        <w:ind w:firstLine="0"/>
      </w:pPr>
      <w:r>
        <w:rPr>
          <w:noProof/>
        </w:rPr>
        <w:drawing>
          <wp:inline distT="0" distB="0" distL="0" distR="0" wp14:anchorId="699B8274" wp14:editId="5E71E65D">
            <wp:extent cx="5725236" cy="2680970"/>
            <wp:effectExtent l="0" t="0" r="8890" b="5080"/>
            <wp:docPr id="15" name="Chart 15">
              <a:extLst xmlns:a="http://schemas.openxmlformats.org/drawingml/2006/main">
                <a:ext uri="{FF2B5EF4-FFF2-40B4-BE49-F238E27FC236}">
                  <a16:creationId xmlns:a16="http://schemas.microsoft.com/office/drawing/2014/main" id="{5E9CAA1C-A339-AA2F-D0F0-E4EAA4C514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A1965AE" w14:textId="7C253BEE" w:rsidR="00025BB3" w:rsidRDefault="00835F25" w:rsidP="0099742A">
      <w:pPr>
        <w:spacing w:line="240" w:lineRule="auto"/>
        <w:ind w:firstLine="0"/>
      </w:pPr>
      <w:r>
        <w:rPr>
          <w:noProof/>
        </w:rPr>
        <w:drawing>
          <wp:inline distT="0" distB="0" distL="0" distR="0" wp14:anchorId="3B79092E" wp14:editId="529F59F2">
            <wp:extent cx="5650173" cy="2743200"/>
            <wp:effectExtent l="0" t="0" r="8255" b="0"/>
            <wp:docPr id="16" name="Chart 16">
              <a:extLst xmlns:a="http://schemas.openxmlformats.org/drawingml/2006/main">
                <a:ext uri="{FF2B5EF4-FFF2-40B4-BE49-F238E27FC236}">
                  <a16:creationId xmlns:a16="http://schemas.microsoft.com/office/drawing/2014/main" id="{1271E7E6-D9B3-4447-A953-730B9456B4C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CD1F402" w14:textId="65483ECE" w:rsidR="00086AEC" w:rsidRDefault="00FC7AC7" w:rsidP="000652C3">
      <w:pPr>
        <w:pStyle w:val="Caption"/>
        <w:ind w:firstLine="0"/>
        <w:rPr>
          <w:b/>
          <w:bCs/>
        </w:rPr>
      </w:pPr>
      <w:r w:rsidRPr="00E56A39">
        <w:rPr>
          <w:b/>
          <w:bCs/>
        </w:rPr>
        <w:t xml:space="preserve">Figure </w:t>
      </w:r>
      <w:r w:rsidR="002644AE" w:rsidRPr="00E56A39">
        <w:rPr>
          <w:b/>
          <w:bCs/>
        </w:rPr>
        <w:t>A1</w:t>
      </w:r>
      <w:r w:rsidR="00D837E6" w:rsidRPr="00E56A39">
        <w:rPr>
          <w:b/>
          <w:bCs/>
        </w:rPr>
        <w:t>3</w:t>
      </w:r>
      <w:r w:rsidR="002644AE" w:rsidRPr="00E56A39">
        <w:rPr>
          <w:b/>
          <w:bCs/>
        </w:rPr>
        <w:t xml:space="preserve"> </w:t>
      </w:r>
      <w:r w:rsidRPr="00E56A39">
        <w:rPr>
          <w:b/>
          <w:bCs/>
        </w:rPr>
        <w:t xml:space="preserve">The </w:t>
      </w:r>
      <w:r w:rsidR="00E56A39" w:rsidRPr="00E56A39">
        <w:rPr>
          <w:b/>
          <w:bCs/>
        </w:rPr>
        <w:t xml:space="preserve">Ownership Cost Breakdown </w:t>
      </w:r>
      <w:r w:rsidR="00E56A39">
        <w:rPr>
          <w:b/>
          <w:bCs/>
        </w:rPr>
        <w:t>f</w:t>
      </w:r>
      <w:r w:rsidR="00E56A39" w:rsidRPr="00E56A39">
        <w:rPr>
          <w:b/>
          <w:bCs/>
        </w:rPr>
        <w:t xml:space="preserve">or Each Fuel Type </w:t>
      </w:r>
      <w:r w:rsidR="00E56A39">
        <w:rPr>
          <w:b/>
          <w:bCs/>
        </w:rPr>
        <w:t>a</w:t>
      </w:r>
      <w:r w:rsidR="00E56A39" w:rsidRPr="00E56A39">
        <w:rPr>
          <w:b/>
          <w:bCs/>
        </w:rPr>
        <w:t xml:space="preserve">cross Driving Demand </w:t>
      </w:r>
    </w:p>
    <w:p w14:paraId="32AA85DC" w14:textId="46286FF9" w:rsidR="000B5075" w:rsidRDefault="009C07CE" w:rsidP="009C07CE">
      <w:pPr>
        <w:spacing w:line="240" w:lineRule="auto"/>
      </w:pPr>
      <w:r>
        <w:t xml:space="preserve">We calculate the annualized ownership cost of five vehicle types for buyers with low, medium, and high driving demand. </w:t>
      </w:r>
      <w:r>
        <w:rPr>
          <w:rFonts w:hint="eastAsia"/>
        </w:rPr>
        <w:t>T</w:t>
      </w:r>
      <w:r>
        <w:t xml:space="preserve">he total ownership cost includes purchase cost, maintenance cost, fuel cost, range limitation, waiting cost, and detour cost, as shown in </w:t>
      </w:r>
      <w:proofErr w:type="gramStart"/>
      <w:r>
        <w:t>the Figure</w:t>
      </w:r>
      <w:proofErr w:type="gramEnd"/>
      <w:r>
        <w:t xml:space="preserve"> A13. The error bars show the range of idiosyncratic preference that is from the sample of the distribution. In 2016, </w:t>
      </w:r>
      <w:r w:rsidRPr="00BB5262">
        <w:rPr>
          <w:color w:val="000000"/>
          <w:sz w:val="23"/>
          <w:szCs w:val="23"/>
        </w:rPr>
        <w:t>conventional vehicles (CV) are the cheapest option for consumers of low</w:t>
      </w:r>
      <w:r>
        <w:rPr>
          <w:color w:val="000000"/>
          <w:sz w:val="23"/>
          <w:szCs w:val="23"/>
        </w:rPr>
        <w:t>-</w:t>
      </w:r>
      <w:r w:rsidRPr="00BB5262">
        <w:rPr>
          <w:color w:val="000000"/>
          <w:sz w:val="23"/>
          <w:szCs w:val="23"/>
        </w:rPr>
        <w:t xml:space="preserve"> and medium</w:t>
      </w:r>
      <w:r>
        <w:rPr>
          <w:color w:val="000000"/>
          <w:sz w:val="23"/>
          <w:szCs w:val="23"/>
        </w:rPr>
        <w:t>-</w:t>
      </w:r>
      <w:r w:rsidRPr="00BB5262">
        <w:rPr>
          <w:color w:val="000000"/>
          <w:sz w:val="23"/>
          <w:szCs w:val="23"/>
        </w:rPr>
        <w:lastRenderedPageBreak/>
        <w:t>driving demand groups</w:t>
      </w:r>
      <w:r w:rsidRPr="00BB5262">
        <w:rPr>
          <w:sz w:val="23"/>
          <w:szCs w:val="23"/>
        </w:rPr>
        <w:t xml:space="preserve"> </w:t>
      </w:r>
      <w:r>
        <w:rPr>
          <w:sz w:val="23"/>
          <w:szCs w:val="23"/>
        </w:rPr>
        <w:t xml:space="preserve">and are very close to </w:t>
      </w:r>
      <w:r w:rsidRPr="00BB5262">
        <w:rPr>
          <w:sz w:val="23"/>
          <w:szCs w:val="23"/>
        </w:rPr>
        <w:t xml:space="preserve">the </w:t>
      </w:r>
      <w:r>
        <w:rPr>
          <w:sz w:val="23"/>
          <w:szCs w:val="23"/>
        </w:rPr>
        <w:t xml:space="preserve">cheapest HBVs in the </w:t>
      </w:r>
      <w:r w:rsidRPr="00BB5262">
        <w:rPr>
          <w:sz w:val="23"/>
          <w:szCs w:val="23"/>
        </w:rPr>
        <w:t>high</w:t>
      </w:r>
      <w:r>
        <w:rPr>
          <w:sz w:val="23"/>
          <w:szCs w:val="23"/>
        </w:rPr>
        <w:t>-</w:t>
      </w:r>
      <w:r w:rsidRPr="00BB5262">
        <w:rPr>
          <w:sz w:val="23"/>
          <w:szCs w:val="23"/>
        </w:rPr>
        <w:t>driving demand group.</w:t>
      </w:r>
      <w:r>
        <w:rPr>
          <w:sz w:val="23"/>
          <w:szCs w:val="23"/>
        </w:rPr>
        <w:t xml:space="preserve"> </w:t>
      </w:r>
      <w:r>
        <w:rPr>
          <w:rFonts w:hint="eastAsia"/>
          <w:sz w:val="23"/>
          <w:szCs w:val="23"/>
        </w:rPr>
        <w:t>That</w:t>
      </w:r>
      <w:r>
        <w:rPr>
          <w:sz w:val="23"/>
          <w:szCs w:val="23"/>
        </w:rPr>
        <w:t xml:space="preserve"> is </w:t>
      </w:r>
      <w:proofErr w:type="gramStart"/>
      <w:r>
        <w:rPr>
          <w:sz w:val="23"/>
          <w:szCs w:val="23"/>
        </w:rPr>
        <w:t>because of</w:t>
      </w:r>
      <w:proofErr w:type="gramEnd"/>
      <w:r>
        <w:rPr>
          <w:sz w:val="23"/>
          <w:szCs w:val="23"/>
        </w:rPr>
        <w:t xml:space="preserve"> the higher driving cost savings obtained by alternative fuel vehicles are enough to offset the high upfront purchase cost. In 2030 in Figure 13b, the advantage of CV diminishes when tax credit is applied to the PHEV and BEV reduces the purchase cost</w:t>
      </w:r>
      <w:r w:rsidRPr="00674403">
        <w:rPr>
          <w:sz w:val="23"/>
          <w:szCs w:val="23"/>
        </w:rPr>
        <w:t xml:space="preserve"> </w:t>
      </w:r>
      <w:r>
        <w:rPr>
          <w:sz w:val="23"/>
          <w:szCs w:val="23"/>
        </w:rPr>
        <w:t xml:space="preserve">meanwhile the BEV price reduces, and the improved charging availability cuts the other inconvenience costs. BEV becomes the cheapest vehicle type in both middle and high driving demand groups with annualized costs ranging from $4k to $5.5k per year. We noticed that the intangible costs of detour, waiting, and range limitation do not have a significant impact on the ownership costs of BEV as the buyers would choose to buy home chargers to avoid the range limitation and detour costs. </w:t>
      </w:r>
      <w:r w:rsidR="00FC7AC7">
        <w:br w:type="page"/>
      </w:r>
      <w:bookmarkStart w:id="6" w:name="_Ref75271315"/>
    </w:p>
    <w:p w14:paraId="4D94008B" w14:textId="2B6A5696" w:rsidR="00086AEC" w:rsidRPr="00631551" w:rsidRDefault="00FC7AC7" w:rsidP="00415310">
      <w:pPr>
        <w:pStyle w:val="Caption"/>
        <w:spacing w:after="0"/>
        <w:ind w:firstLine="0"/>
        <w:rPr>
          <w:b/>
          <w:bCs/>
        </w:rPr>
      </w:pPr>
      <w:r w:rsidRPr="00631551">
        <w:rPr>
          <w:b/>
          <w:bCs/>
        </w:rPr>
        <w:lastRenderedPageBreak/>
        <w:t xml:space="preserve">Table </w:t>
      </w:r>
      <w:bookmarkEnd w:id="6"/>
      <w:r w:rsidR="00BA2D10" w:rsidRPr="00631551">
        <w:rPr>
          <w:b/>
          <w:bCs/>
        </w:rPr>
        <w:t>A</w:t>
      </w:r>
      <w:r w:rsidR="00BA2D10">
        <w:rPr>
          <w:b/>
          <w:bCs/>
        </w:rPr>
        <w:t xml:space="preserve">4 </w:t>
      </w:r>
      <w:r w:rsidR="000B1783">
        <w:rPr>
          <w:b/>
          <w:bCs/>
        </w:rPr>
        <w:t xml:space="preserve">(a) </w:t>
      </w:r>
      <w:r w:rsidRPr="00631551">
        <w:rPr>
          <w:b/>
          <w:bCs/>
        </w:rPr>
        <w:t xml:space="preserve">Model </w:t>
      </w:r>
      <w:r w:rsidR="00631551" w:rsidRPr="00631551">
        <w:rPr>
          <w:b/>
          <w:bCs/>
        </w:rPr>
        <w:t>V</w:t>
      </w:r>
      <w:r w:rsidRPr="00631551">
        <w:rPr>
          <w:b/>
          <w:bCs/>
        </w:rPr>
        <w:t xml:space="preserve">alidation </w:t>
      </w:r>
      <w:r w:rsidR="00631551" w:rsidRPr="00631551">
        <w:rPr>
          <w:b/>
          <w:bCs/>
        </w:rPr>
        <w:t>I</w:t>
      </w:r>
      <w:r w:rsidR="00D430A2" w:rsidRPr="00631551">
        <w:rPr>
          <w:b/>
          <w:bCs/>
        </w:rPr>
        <w:t xml:space="preserve">ncluding </w:t>
      </w:r>
      <w:r w:rsidR="00631551" w:rsidRPr="00631551">
        <w:rPr>
          <w:b/>
          <w:bCs/>
        </w:rPr>
        <w:t>I</w:t>
      </w:r>
      <w:r w:rsidR="00D246DB" w:rsidRPr="00631551">
        <w:rPr>
          <w:b/>
          <w:bCs/>
        </w:rPr>
        <w:t xml:space="preserve">ntangible </w:t>
      </w:r>
      <w:r w:rsidR="00631551" w:rsidRPr="00631551">
        <w:rPr>
          <w:b/>
          <w:bCs/>
        </w:rPr>
        <w:t>C</w:t>
      </w:r>
      <w:r w:rsidR="00D246DB" w:rsidRPr="00631551">
        <w:rPr>
          <w:b/>
          <w:bCs/>
        </w:rPr>
        <w:t xml:space="preserve">osts and </w:t>
      </w:r>
      <w:r w:rsidR="00631551" w:rsidRPr="00631551">
        <w:rPr>
          <w:b/>
          <w:bCs/>
        </w:rPr>
        <w:t>I</w:t>
      </w:r>
      <w:r w:rsidR="00D430A2" w:rsidRPr="00631551">
        <w:rPr>
          <w:b/>
          <w:bCs/>
        </w:rPr>
        <w:t xml:space="preserve">diosyncratic </w:t>
      </w:r>
      <w:r w:rsidR="00631551" w:rsidRPr="00631551">
        <w:rPr>
          <w:b/>
          <w:bCs/>
        </w:rPr>
        <w:t>P</w:t>
      </w:r>
      <w:r w:rsidR="00D430A2" w:rsidRPr="00631551">
        <w:rPr>
          <w:b/>
          <w:bCs/>
        </w:rPr>
        <w:t>references</w:t>
      </w:r>
    </w:p>
    <w:tbl>
      <w:tblPr>
        <w:tblW w:w="10890" w:type="dxa"/>
        <w:tblLayout w:type="fixed"/>
        <w:tblLook w:val="04A0" w:firstRow="1" w:lastRow="0" w:firstColumn="1" w:lastColumn="0" w:noHBand="0" w:noVBand="1"/>
      </w:tblPr>
      <w:tblGrid>
        <w:gridCol w:w="2520"/>
        <w:gridCol w:w="720"/>
        <w:gridCol w:w="720"/>
        <w:gridCol w:w="720"/>
        <w:gridCol w:w="728"/>
        <w:gridCol w:w="720"/>
        <w:gridCol w:w="720"/>
        <w:gridCol w:w="720"/>
        <w:gridCol w:w="720"/>
        <w:gridCol w:w="810"/>
        <w:gridCol w:w="1792"/>
      </w:tblGrid>
      <w:tr w:rsidR="00D1739C" w:rsidRPr="00D1739C" w14:paraId="377C487E" w14:textId="77777777" w:rsidTr="00CF771E">
        <w:trPr>
          <w:trHeight w:val="315"/>
        </w:trPr>
        <w:tc>
          <w:tcPr>
            <w:tcW w:w="2520" w:type="dxa"/>
            <w:tcBorders>
              <w:top w:val="single" w:sz="4" w:space="0" w:color="auto"/>
              <w:left w:val="nil"/>
              <w:bottom w:val="single" w:sz="4" w:space="0" w:color="auto"/>
              <w:right w:val="nil"/>
            </w:tcBorders>
            <w:shd w:val="clear" w:color="auto" w:fill="auto"/>
            <w:noWrap/>
            <w:vAlign w:val="bottom"/>
            <w:hideMark/>
          </w:tcPr>
          <w:p w14:paraId="41E5ACD6" w14:textId="77777777" w:rsidR="00086AEC" w:rsidRPr="0099742A" w:rsidRDefault="00FC7AC7" w:rsidP="00C53F8C">
            <w:pPr>
              <w:pStyle w:val="BodyText"/>
              <w:spacing w:line="240" w:lineRule="auto"/>
              <w:rPr>
                <w:sz w:val="20"/>
                <w:szCs w:val="20"/>
              </w:rPr>
            </w:pPr>
            <w:r w:rsidRPr="0099742A">
              <w:rPr>
                <w:sz w:val="20"/>
                <w:szCs w:val="20"/>
              </w:rPr>
              <w:t> </w:t>
            </w:r>
          </w:p>
        </w:tc>
        <w:tc>
          <w:tcPr>
            <w:tcW w:w="2888" w:type="dxa"/>
            <w:gridSpan w:val="4"/>
            <w:tcBorders>
              <w:top w:val="single" w:sz="4" w:space="0" w:color="auto"/>
              <w:left w:val="nil"/>
              <w:bottom w:val="single" w:sz="4" w:space="0" w:color="auto"/>
              <w:right w:val="single" w:sz="4" w:space="0" w:color="000000"/>
            </w:tcBorders>
            <w:shd w:val="clear" w:color="auto" w:fill="auto"/>
            <w:noWrap/>
            <w:hideMark/>
          </w:tcPr>
          <w:p w14:paraId="23246D81" w14:textId="77777777" w:rsidR="00086AEC" w:rsidRPr="0099742A" w:rsidRDefault="00FC7AC7" w:rsidP="00C53F8C">
            <w:pPr>
              <w:pStyle w:val="BodyText"/>
              <w:spacing w:line="240" w:lineRule="auto"/>
              <w:rPr>
                <w:sz w:val="20"/>
                <w:szCs w:val="20"/>
              </w:rPr>
            </w:pPr>
            <w:r w:rsidRPr="0099742A">
              <w:rPr>
                <w:sz w:val="20"/>
                <w:szCs w:val="20"/>
              </w:rPr>
              <w:t>Observed</w:t>
            </w:r>
          </w:p>
        </w:tc>
        <w:tc>
          <w:tcPr>
            <w:tcW w:w="2880" w:type="dxa"/>
            <w:gridSpan w:val="4"/>
            <w:tcBorders>
              <w:top w:val="single" w:sz="4" w:space="0" w:color="auto"/>
              <w:left w:val="nil"/>
              <w:bottom w:val="single" w:sz="4" w:space="0" w:color="auto"/>
              <w:right w:val="nil"/>
            </w:tcBorders>
            <w:shd w:val="clear" w:color="auto" w:fill="auto"/>
            <w:noWrap/>
            <w:hideMark/>
          </w:tcPr>
          <w:p w14:paraId="4789A695" w14:textId="77777777" w:rsidR="00086AEC" w:rsidRPr="0099742A" w:rsidRDefault="00FC7AC7" w:rsidP="00C53F8C">
            <w:pPr>
              <w:pStyle w:val="BodyText"/>
              <w:spacing w:line="240" w:lineRule="auto"/>
              <w:rPr>
                <w:sz w:val="20"/>
                <w:szCs w:val="20"/>
              </w:rPr>
            </w:pPr>
            <w:r w:rsidRPr="0099742A">
              <w:rPr>
                <w:sz w:val="20"/>
                <w:szCs w:val="20"/>
              </w:rPr>
              <w:t>Model outcome</w:t>
            </w:r>
          </w:p>
        </w:tc>
        <w:tc>
          <w:tcPr>
            <w:tcW w:w="810" w:type="dxa"/>
            <w:tcBorders>
              <w:top w:val="single" w:sz="4" w:space="0" w:color="auto"/>
              <w:left w:val="nil"/>
              <w:bottom w:val="single" w:sz="4" w:space="0" w:color="auto"/>
              <w:right w:val="nil"/>
            </w:tcBorders>
            <w:shd w:val="clear" w:color="auto" w:fill="auto"/>
            <w:noWrap/>
            <w:hideMark/>
          </w:tcPr>
          <w:p w14:paraId="06C88F3A" w14:textId="77777777" w:rsidR="00086AEC" w:rsidRPr="0099742A" w:rsidRDefault="00FC7AC7" w:rsidP="00C53F8C">
            <w:pPr>
              <w:pStyle w:val="BodyText"/>
              <w:spacing w:line="240" w:lineRule="auto"/>
              <w:rPr>
                <w:sz w:val="20"/>
                <w:szCs w:val="20"/>
              </w:rPr>
            </w:pPr>
            <w:r w:rsidRPr="0099742A">
              <w:rPr>
                <w:sz w:val="20"/>
                <w:szCs w:val="20"/>
              </w:rPr>
              <w:t>Source</w:t>
            </w:r>
          </w:p>
        </w:tc>
        <w:tc>
          <w:tcPr>
            <w:tcW w:w="1792" w:type="dxa"/>
            <w:tcBorders>
              <w:top w:val="single" w:sz="4" w:space="0" w:color="auto"/>
              <w:left w:val="nil"/>
              <w:bottom w:val="nil"/>
              <w:right w:val="nil"/>
            </w:tcBorders>
            <w:shd w:val="clear" w:color="auto" w:fill="auto"/>
            <w:noWrap/>
            <w:hideMark/>
          </w:tcPr>
          <w:p w14:paraId="06DB779E" w14:textId="03BA993F" w:rsidR="000B73E2" w:rsidRPr="0099742A" w:rsidRDefault="00FC7AC7" w:rsidP="00C53F8C">
            <w:pPr>
              <w:pStyle w:val="BodyText"/>
              <w:spacing w:line="240" w:lineRule="auto"/>
              <w:rPr>
                <w:sz w:val="20"/>
                <w:szCs w:val="20"/>
              </w:rPr>
            </w:pPr>
            <w:r w:rsidRPr="0099742A">
              <w:rPr>
                <w:sz w:val="20"/>
                <w:szCs w:val="20"/>
              </w:rPr>
              <w:t>Av</w:t>
            </w:r>
            <w:r w:rsidR="00CF771E">
              <w:rPr>
                <w:sz w:val="20"/>
                <w:szCs w:val="20"/>
              </w:rPr>
              <w:t>g.</w:t>
            </w:r>
            <w:r w:rsidRPr="0099742A">
              <w:rPr>
                <w:sz w:val="20"/>
                <w:szCs w:val="20"/>
              </w:rPr>
              <w:t xml:space="preserve"> </w:t>
            </w:r>
            <w:r w:rsidR="00163944">
              <w:rPr>
                <w:sz w:val="20"/>
                <w:szCs w:val="20"/>
              </w:rPr>
              <w:t xml:space="preserve">% </w:t>
            </w:r>
            <w:r w:rsidRPr="0099742A">
              <w:rPr>
                <w:sz w:val="20"/>
                <w:szCs w:val="20"/>
              </w:rPr>
              <w:t>difference</w:t>
            </w:r>
          </w:p>
          <w:p w14:paraId="572B6987" w14:textId="322D6BA1" w:rsidR="00086AEC" w:rsidRPr="0099742A" w:rsidRDefault="00086AEC" w:rsidP="00C53F8C">
            <w:pPr>
              <w:pStyle w:val="BodyText"/>
              <w:spacing w:line="240" w:lineRule="auto"/>
              <w:rPr>
                <w:sz w:val="20"/>
                <w:szCs w:val="20"/>
              </w:rPr>
            </w:pPr>
          </w:p>
        </w:tc>
      </w:tr>
      <w:tr w:rsidR="00D1739C" w:rsidRPr="00D1739C" w14:paraId="7938930A" w14:textId="77777777" w:rsidTr="00CF771E">
        <w:trPr>
          <w:trHeight w:val="315"/>
        </w:trPr>
        <w:tc>
          <w:tcPr>
            <w:tcW w:w="2520" w:type="dxa"/>
            <w:tcBorders>
              <w:top w:val="nil"/>
              <w:left w:val="nil"/>
              <w:bottom w:val="nil"/>
              <w:right w:val="nil"/>
            </w:tcBorders>
            <w:shd w:val="clear" w:color="auto" w:fill="auto"/>
            <w:vAlign w:val="center"/>
            <w:hideMark/>
          </w:tcPr>
          <w:p w14:paraId="35F5EB8E" w14:textId="77777777" w:rsidR="00086AEC" w:rsidRPr="0099742A" w:rsidRDefault="00086AEC" w:rsidP="00C53F8C">
            <w:pPr>
              <w:pStyle w:val="BodyText"/>
              <w:spacing w:line="240" w:lineRule="auto"/>
              <w:rPr>
                <w:sz w:val="20"/>
                <w:szCs w:val="20"/>
              </w:rPr>
            </w:pPr>
          </w:p>
        </w:tc>
        <w:tc>
          <w:tcPr>
            <w:tcW w:w="720" w:type="dxa"/>
            <w:tcBorders>
              <w:top w:val="nil"/>
              <w:left w:val="nil"/>
              <w:bottom w:val="nil"/>
              <w:right w:val="nil"/>
            </w:tcBorders>
            <w:shd w:val="clear" w:color="auto" w:fill="auto"/>
            <w:noWrap/>
            <w:vAlign w:val="center"/>
            <w:hideMark/>
          </w:tcPr>
          <w:p w14:paraId="365A8200" w14:textId="77777777" w:rsidR="00086AEC" w:rsidRPr="0099742A" w:rsidRDefault="00FC7AC7" w:rsidP="00631551">
            <w:pPr>
              <w:pStyle w:val="BodyText"/>
              <w:spacing w:line="240" w:lineRule="auto"/>
              <w:rPr>
                <w:sz w:val="20"/>
                <w:szCs w:val="20"/>
              </w:rPr>
            </w:pPr>
            <w:r w:rsidRPr="0099742A">
              <w:rPr>
                <w:sz w:val="20"/>
                <w:szCs w:val="20"/>
              </w:rPr>
              <w:t>2016</w:t>
            </w:r>
          </w:p>
        </w:tc>
        <w:tc>
          <w:tcPr>
            <w:tcW w:w="720" w:type="dxa"/>
            <w:tcBorders>
              <w:top w:val="nil"/>
              <w:left w:val="nil"/>
              <w:bottom w:val="nil"/>
              <w:right w:val="nil"/>
            </w:tcBorders>
            <w:shd w:val="clear" w:color="auto" w:fill="auto"/>
            <w:noWrap/>
            <w:vAlign w:val="center"/>
            <w:hideMark/>
          </w:tcPr>
          <w:p w14:paraId="493A048E" w14:textId="77777777" w:rsidR="00086AEC" w:rsidRPr="0099742A" w:rsidRDefault="00FC7AC7" w:rsidP="00C53F8C">
            <w:pPr>
              <w:pStyle w:val="BodyText"/>
              <w:spacing w:line="240" w:lineRule="auto"/>
              <w:rPr>
                <w:sz w:val="20"/>
                <w:szCs w:val="20"/>
              </w:rPr>
            </w:pPr>
            <w:r w:rsidRPr="0099742A">
              <w:rPr>
                <w:sz w:val="20"/>
                <w:szCs w:val="20"/>
              </w:rPr>
              <w:t>2017</w:t>
            </w:r>
          </w:p>
        </w:tc>
        <w:tc>
          <w:tcPr>
            <w:tcW w:w="720" w:type="dxa"/>
            <w:tcBorders>
              <w:top w:val="nil"/>
              <w:left w:val="nil"/>
              <w:bottom w:val="nil"/>
              <w:right w:val="nil"/>
            </w:tcBorders>
            <w:shd w:val="clear" w:color="auto" w:fill="auto"/>
            <w:noWrap/>
            <w:vAlign w:val="center"/>
            <w:hideMark/>
          </w:tcPr>
          <w:p w14:paraId="51CD8B29" w14:textId="77777777" w:rsidR="00086AEC" w:rsidRPr="0099742A" w:rsidRDefault="00FC7AC7" w:rsidP="00C53F8C">
            <w:pPr>
              <w:pStyle w:val="BodyText"/>
              <w:spacing w:line="240" w:lineRule="auto"/>
              <w:rPr>
                <w:sz w:val="20"/>
                <w:szCs w:val="20"/>
              </w:rPr>
            </w:pPr>
            <w:r w:rsidRPr="0099742A">
              <w:rPr>
                <w:sz w:val="20"/>
                <w:szCs w:val="20"/>
              </w:rPr>
              <w:t>2018</w:t>
            </w:r>
          </w:p>
        </w:tc>
        <w:tc>
          <w:tcPr>
            <w:tcW w:w="728" w:type="dxa"/>
            <w:tcBorders>
              <w:top w:val="nil"/>
              <w:left w:val="nil"/>
              <w:bottom w:val="nil"/>
              <w:right w:val="single" w:sz="4" w:space="0" w:color="auto"/>
            </w:tcBorders>
            <w:shd w:val="clear" w:color="auto" w:fill="auto"/>
            <w:noWrap/>
            <w:vAlign w:val="center"/>
            <w:hideMark/>
          </w:tcPr>
          <w:p w14:paraId="556079FC" w14:textId="77777777" w:rsidR="00086AEC" w:rsidRPr="0099742A" w:rsidRDefault="00FC7AC7" w:rsidP="00C53F8C">
            <w:pPr>
              <w:pStyle w:val="BodyText"/>
              <w:spacing w:line="240" w:lineRule="auto"/>
              <w:rPr>
                <w:sz w:val="20"/>
                <w:szCs w:val="20"/>
              </w:rPr>
            </w:pPr>
            <w:r w:rsidRPr="0099742A">
              <w:rPr>
                <w:sz w:val="20"/>
                <w:szCs w:val="20"/>
              </w:rPr>
              <w:t>2019</w:t>
            </w:r>
          </w:p>
        </w:tc>
        <w:tc>
          <w:tcPr>
            <w:tcW w:w="720" w:type="dxa"/>
            <w:tcBorders>
              <w:top w:val="nil"/>
              <w:left w:val="nil"/>
              <w:bottom w:val="nil"/>
              <w:right w:val="nil"/>
            </w:tcBorders>
            <w:shd w:val="clear" w:color="auto" w:fill="auto"/>
            <w:noWrap/>
            <w:vAlign w:val="center"/>
            <w:hideMark/>
          </w:tcPr>
          <w:p w14:paraId="7134AD6F" w14:textId="77777777" w:rsidR="00086AEC" w:rsidRPr="0099742A" w:rsidRDefault="00FC7AC7" w:rsidP="00631551">
            <w:pPr>
              <w:pStyle w:val="BodyText"/>
              <w:spacing w:line="240" w:lineRule="auto"/>
              <w:rPr>
                <w:sz w:val="20"/>
                <w:szCs w:val="20"/>
              </w:rPr>
            </w:pPr>
            <w:r w:rsidRPr="0099742A">
              <w:rPr>
                <w:sz w:val="20"/>
                <w:szCs w:val="20"/>
              </w:rPr>
              <w:t>2016</w:t>
            </w:r>
          </w:p>
        </w:tc>
        <w:tc>
          <w:tcPr>
            <w:tcW w:w="720" w:type="dxa"/>
            <w:tcBorders>
              <w:top w:val="nil"/>
              <w:left w:val="nil"/>
              <w:bottom w:val="nil"/>
              <w:right w:val="nil"/>
            </w:tcBorders>
            <w:shd w:val="clear" w:color="auto" w:fill="auto"/>
            <w:noWrap/>
            <w:vAlign w:val="center"/>
            <w:hideMark/>
          </w:tcPr>
          <w:p w14:paraId="0CEE62F4" w14:textId="77777777" w:rsidR="00086AEC" w:rsidRPr="0099742A" w:rsidRDefault="00FC7AC7" w:rsidP="00C53F8C">
            <w:pPr>
              <w:pStyle w:val="BodyText"/>
              <w:spacing w:line="240" w:lineRule="auto"/>
              <w:rPr>
                <w:sz w:val="20"/>
                <w:szCs w:val="20"/>
              </w:rPr>
            </w:pPr>
            <w:r w:rsidRPr="0099742A">
              <w:rPr>
                <w:sz w:val="20"/>
                <w:szCs w:val="20"/>
              </w:rPr>
              <w:t>2017</w:t>
            </w:r>
          </w:p>
        </w:tc>
        <w:tc>
          <w:tcPr>
            <w:tcW w:w="720" w:type="dxa"/>
            <w:tcBorders>
              <w:top w:val="nil"/>
              <w:left w:val="nil"/>
              <w:bottom w:val="nil"/>
              <w:right w:val="nil"/>
            </w:tcBorders>
            <w:shd w:val="clear" w:color="auto" w:fill="auto"/>
            <w:noWrap/>
            <w:vAlign w:val="center"/>
            <w:hideMark/>
          </w:tcPr>
          <w:p w14:paraId="3056E636" w14:textId="77777777" w:rsidR="00086AEC" w:rsidRPr="0099742A" w:rsidRDefault="00FC7AC7" w:rsidP="00C53F8C">
            <w:pPr>
              <w:pStyle w:val="BodyText"/>
              <w:spacing w:line="240" w:lineRule="auto"/>
              <w:rPr>
                <w:sz w:val="20"/>
                <w:szCs w:val="20"/>
              </w:rPr>
            </w:pPr>
            <w:r w:rsidRPr="0099742A">
              <w:rPr>
                <w:sz w:val="20"/>
                <w:szCs w:val="20"/>
              </w:rPr>
              <w:t>2018</w:t>
            </w:r>
          </w:p>
        </w:tc>
        <w:tc>
          <w:tcPr>
            <w:tcW w:w="720" w:type="dxa"/>
            <w:tcBorders>
              <w:top w:val="nil"/>
              <w:left w:val="nil"/>
              <w:bottom w:val="nil"/>
              <w:right w:val="nil"/>
            </w:tcBorders>
            <w:shd w:val="clear" w:color="auto" w:fill="auto"/>
            <w:noWrap/>
            <w:vAlign w:val="center"/>
            <w:hideMark/>
          </w:tcPr>
          <w:p w14:paraId="10CA689B" w14:textId="77777777" w:rsidR="00086AEC" w:rsidRPr="0099742A" w:rsidRDefault="00FC7AC7" w:rsidP="00C53F8C">
            <w:pPr>
              <w:pStyle w:val="BodyText"/>
              <w:spacing w:line="240" w:lineRule="auto"/>
              <w:rPr>
                <w:sz w:val="20"/>
                <w:szCs w:val="20"/>
              </w:rPr>
            </w:pPr>
            <w:r w:rsidRPr="0099742A">
              <w:rPr>
                <w:sz w:val="20"/>
                <w:szCs w:val="20"/>
              </w:rPr>
              <w:t>2019</w:t>
            </w:r>
          </w:p>
        </w:tc>
        <w:tc>
          <w:tcPr>
            <w:tcW w:w="810" w:type="dxa"/>
            <w:tcBorders>
              <w:top w:val="nil"/>
              <w:left w:val="nil"/>
              <w:bottom w:val="nil"/>
              <w:right w:val="nil"/>
            </w:tcBorders>
            <w:shd w:val="clear" w:color="auto" w:fill="auto"/>
            <w:noWrap/>
            <w:vAlign w:val="center"/>
            <w:hideMark/>
          </w:tcPr>
          <w:p w14:paraId="401BC49F" w14:textId="77777777" w:rsidR="00086AEC" w:rsidRPr="0099742A" w:rsidRDefault="00086AEC" w:rsidP="00C53F8C">
            <w:pPr>
              <w:pStyle w:val="BodyText"/>
              <w:spacing w:line="240" w:lineRule="auto"/>
              <w:rPr>
                <w:sz w:val="20"/>
                <w:szCs w:val="20"/>
              </w:rPr>
            </w:pPr>
          </w:p>
        </w:tc>
        <w:tc>
          <w:tcPr>
            <w:tcW w:w="1792" w:type="dxa"/>
            <w:tcBorders>
              <w:top w:val="single" w:sz="4" w:space="0" w:color="auto"/>
              <w:left w:val="nil"/>
              <w:bottom w:val="single" w:sz="4" w:space="0" w:color="auto"/>
              <w:right w:val="nil"/>
            </w:tcBorders>
            <w:shd w:val="clear" w:color="auto" w:fill="auto"/>
            <w:noWrap/>
            <w:vAlign w:val="center"/>
            <w:hideMark/>
          </w:tcPr>
          <w:p w14:paraId="0452D817" w14:textId="77777777" w:rsidR="00086AEC" w:rsidRPr="0099742A" w:rsidRDefault="00FC7AC7" w:rsidP="00C53F8C">
            <w:pPr>
              <w:pStyle w:val="BodyText"/>
              <w:spacing w:line="240" w:lineRule="auto"/>
              <w:rPr>
                <w:sz w:val="20"/>
                <w:szCs w:val="20"/>
              </w:rPr>
            </w:pPr>
            <w:r w:rsidRPr="0099742A">
              <w:rPr>
                <w:sz w:val="20"/>
                <w:szCs w:val="20"/>
              </w:rPr>
              <w:t> </w:t>
            </w:r>
          </w:p>
        </w:tc>
      </w:tr>
      <w:tr w:rsidR="00D1739C" w:rsidRPr="000B73E2" w14:paraId="55B2FD79" w14:textId="77777777" w:rsidTr="00CF771E">
        <w:trPr>
          <w:trHeight w:val="315"/>
        </w:trPr>
        <w:tc>
          <w:tcPr>
            <w:tcW w:w="5408" w:type="dxa"/>
            <w:gridSpan w:val="5"/>
            <w:tcBorders>
              <w:top w:val="single" w:sz="4" w:space="0" w:color="auto"/>
              <w:left w:val="nil"/>
              <w:bottom w:val="single" w:sz="4" w:space="0" w:color="auto"/>
              <w:right w:val="single" w:sz="4" w:space="0" w:color="auto"/>
            </w:tcBorders>
            <w:shd w:val="clear" w:color="auto" w:fill="auto"/>
            <w:noWrap/>
            <w:vAlign w:val="center"/>
            <w:hideMark/>
          </w:tcPr>
          <w:p w14:paraId="1E418B3E" w14:textId="73EB9D92" w:rsidR="000B73E2" w:rsidRPr="002E6327" w:rsidRDefault="000B73E2" w:rsidP="002E6327">
            <w:pPr>
              <w:spacing w:line="240" w:lineRule="auto"/>
              <w:ind w:firstLine="0"/>
              <w:rPr>
                <w:color w:val="000000"/>
                <w:sz w:val="20"/>
                <w:szCs w:val="20"/>
              </w:rPr>
            </w:pPr>
            <w:r w:rsidRPr="008A6450">
              <w:rPr>
                <w:color w:val="000000"/>
                <w:sz w:val="20"/>
                <w:szCs w:val="20"/>
              </w:rPr>
              <w:t>Fuel gallons (billion liters)</w:t>
            </w:r>
          </w:p>
        </w:tc>
        <w:tc>
          <w:tcPr>
            <w:tcW w:w="720" w:type="dxa"/>
            <w:tcBorders>
              <w:top w:val="single" w:sz="4" w:space="0" w:color="auto"/>
              <w:left w:val="nil"/>
              <w:bottom w:val="single" w:sz="4" w:space="0" w:color="auto"/>
              <w:right w:val="nil"/>
            </w:tcBorders>
            <w:shd w:val="clear" w:color="auto" w:fill="auto"/>
            <w:noWrap/>
            <w:vAlign w:val="center"/>
            <w:hideMark/>
          </w:tcPr>
          <w:p w14:paraId="53877D13" w14:textId="77777777" w:rsidR="000B73E2" w:rsidRPr="008A6450" w:rsidRDefault="000B73E2" w:rsidP="00C53F8C">
            <w:pPr>
              <w:pStyle w:val="BodyText"/>
              <w:spacing w:line="240" w:lineRule="auto"/>
              <w:rPr>
                <w:sz w:val="20"/>
                <w:szCs w:val="20"/>
              </w:rPr>
            </w:pPr>
            <w:r w:rsidRPr="008A6450">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0FD61A8C" w14:textId="77777777" w:rsidR="000B73E2" w:rsidRPr="008A6450" w:rsidRDefault="000B73E2" w:rsidP="00C53F8C">
            <w:pPr>
              <w:pStyle w:val="BodyText"/>
              <w:spacing w:line="240" w:lineRule="auto"/>
              <w:rPr>
                <w:sz w:val="20"/>
                <w:szCs w:val="20"/>
              </w:rPr>
            </w:pPr>
            <w:r w:rsidRPr="008A6450">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23C51BC4" w14:textId="77777777" w:rsidR="000B73E2" w:rsidRPr="008A6450" w:rsidRDefault="000B73E2" w:rsidP="00C53F8C">
            <w:pPr>
              <w:pStyle w:val="BodyText"/>
              <w:spacing w:line="240" w:lineRule="auto"/>
              <w:rPr>
                <w:sz w:val="20"/>
                <w:szCs w:val="20"/>
              </w:rPr>
            </w:pPr>
            <w:r w:rsidRPr="008A6450">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5BC6FCCD" w14:textId="77777777" w:rsidR="000B73E2" w:rsidRPr="008A6450" w:rsidRDefault="000B73E2" w:rsidP="00C53F8C">
            <w:pPr>
              <w:pStyle w:val="BodyText"/>
              <w:spacing w:line="240" w:lineRule="auto"/>
              <w:rPr>
                <w:sz w:val="20"/>
                <w:szCs w:val="20"/>
              </w:rPr>
            </w:pPr>
            <w:r w:rsidRPr="008A6450">
              <w:rPr>
                <w:sz w:val="20"/>
                <w:szCs w:val="20"/>
              </w:rPr>
              <w:t> </w:t>
            </w:r>
          </w:p>
        </w:tc>
        <w:tc>
          <w:tcPr>
            <w:tcW w:w="810" w:type="dxa"/>
            <w:tcBorders>
              <w:top w:val="single" w:sz="4" w:space="0" w:color="auto"/>
              <w:left w:val="nil"/>
              <w:bottom w:val="single" w:sz="4" w:space="0" w:color="auto"/>
              <w:right w:val="nil"/>
            </w:tcBorders>
            <w:shd w:val="clear" w:color="auto" w:fill="auto"/>
            <w:noWrap/>
            <w:vAlign w:val="center"/>
            <w:hideMark/>
          </w:tcPr>
          <w:p w14:paraId="7BDD3310" w14:textId="77777777" w:rsidR="000B73E2" w:rsidRPr="008A6450" w:rsidRDefault="000B73E2" w:rsidP="00C53F8C">
            <w:pPr>
              <w:pStyle w:val="BodyText"/>
              <w:spacing w:line="240" w:lineRule="auto"/>
              <w:rPr>
                <w:sz w:val="20"/>
                <w:szCs w:val="20"/>
              </w:rPr>
            </w:pPr>
            <w:r w:rsidRPr="008A6450">
              <w:rPr>
                <w:sz w:val="20"/>
                <w:szCs w:val="20"/>
              </w:rPr>
              <w:t> </w:t>
            </w:r>
          </w:p>
        </w:tc>
        <w:tc>
          <w:tcPr>
            <w:tcW w:w="1792" w:type="dxa"/>
            <w:tcBorders>
              <w:top w:val="nil"/>
              <w:left w:val="nil"/>
              <w:bottom w:val="single" w:sz="4" w:space="0" w:color="auto"/>
              <w:right w:val="nil"/>
            </w:tcBorders>
            <w:shd w:val="clear" w:color="auto" w:fill="auto"/>
            <w:noWrap/>
            <w:vAlign w:val="center"/>
            <w:hideMark/>
          </w:tcPr>
          <w:p w14:paraId="6FFCF0E9" w14:textId="77777777" w:rsidR="000B73E2" w:rsidRPr="008A6450" w:rsidRDefault="000B73E2" w:rsidP="00C53F8C">
            <w:pPr>
              <w:pStyle w:val="BodyText"/>
              <w:spacing w:line="240" w:lineRule="auto"/>
              <w:rPr>
                <w:sz w:val="20"/>
                <w:szCs w:val="20"/>
              </w:rPr>
            </w:pPr>
            <w:r w:rsidRPr="008A6450">
              <w:rPr>
                <w:sz w:val="20"/>
                <w:szCs w:val="20"/>
              </w:rPr>
              <w:t> </w:t>
            </w:r>
          </w:p>
        </w:tc>
      </w:tr>
      <w:tr w:rsidR="00D1739C" w:rsidRPr="00D1739C" w14:paraId="29829404" w14:textId="77777777" w:rsidTr="00CF771E">
        <w:trPr>
          <w:trHeight w:val="315"/>
        </w:trPr>
        <w:tc>
          <w:tcPr>
            <w:tcW w:w="2520" w:type="dxa"/>
            <w:tcBorders>
              <w:top w:val="nil"/>
              <w:left w:val="nil"/>
              <w:bottom w:val="nil"/>
              <w:right w:val="nil"/>
            </w:tcBorders>
            <w:shd w:val="clear" w:color="auto" w:fill="auto"/>
            <w:noWrap/>
            <w:vAlign w:val="center"/>
            <w:hideMark/>
          </w:tcPr>
          <w:p w14:paraId="4EB2FB46" w14:textId="77777777" w:rsidR="00366590" w:rsidRPr="0099742A" w:rsidRDefault="00366590" w:rsidP="00366590">
            <w:pPr>
              <w:pStyle w:val="BodyText"/>
              <w:spacing w:line="240" w:lineRule="auto"/>
              <w:rPr>
                <w:sz w:val="20"/>
                <w:szCs w:val="20"/>
              </w:rPr>
            </w:pPr>
            <w:r w:rsidRPr="0099742A">
              <w:rPr>
                <w:sz w:val="20"/>
                <w:szCs w:val="20"/>
              </w:rPr>
              <w:t>US oil consumption</w:t>
            </w:r>
          </w:p>
        </w:tc>
        <w:tc>
          <w:tcPr>
            <w:tcW w:w="720" w:type="dxa"/>
            <w:tcBorders>
              <w:top w:val="nil"/>
              <w:left w:val="nil"/>
              <w:bottom w:val="nil"/>
              <w:right w:val="nil"/>
            </w:tcBorders>
            <w:shd w:val="clear" w:color="auto" w:fill="auto"/>
            <w:noWrap/>
            <w:vAlign w:val="center"/>
            <w:hideMark/>
          </w:tcPr>
          <w:p w14:paraId="435E90FC" w14:textId="319F69F6" w:rsidR="00366590" w:rsidRPr="0099742A" w:rsidRDefault="00366590" w:rsidP="00366590">
            <w:pPr>
              <w:pStyle w:val="BodyText"/>
              <w:spacing w:line="240" w:lineRule="auto"/>
              <w:rPr>
                <w:sz w:val="20"/>
                <w:szCs w:val="20"/>
              </w:rPr>
            </w:pPr>
            <w:r w:rsidRPr="0099742A">
              <w:rPr>
                <w:color w:val="000000"/>
                <w:sz w:val="20"/>
                <w:szCs w:val="20"/>
              </w:rPr>
              <w:t xml:space="preserve">942 </w:t>
            </w:r>
          </w:p>
        </w:tc>
        <w:tc>
          <w:tcPr>
            <w:tcW w:w="720" w:type="dxa"/>
            <w:tcBorders>
              <w:top w:val="nil"/>
              <w:left w:val="nil"/>
              <w:bottom w:val="nil"/>
              <w:right w:val="nil"/>
            </w:tcBorders>
            <w:shd w:val="clear" w:color="auto" w:fill="auto"/>
            <w:noWrap/>
            <w:vAlign w:val="center"/>
            <w:hideMark/>
          </w:tcPr>
          <w:p w14:paraId="1DECE43F" w14:textId="517302F1" w:rsidR="00366590" w:rsidRPr="0099742A" w:rsidRDefault="00366590" w:rsidP="00366590">
            <w:pPr>
              <w:pStyle w:val="BodyText"/>
              <w:spacing w:line="240" w:lineRule="auto"/>
              <w:rPr>
                <w:sz w:val="20"/>
                <w:szCs w:val="20"/>
              </w:rPr>
            </w:pPr>
            <w:r w:rsidRPr="0099742A">
              <w:rPr>
                <w:color w:val="000000"/>
                <w:sz w:val="20"/>
                <w:szCs w:val="20"/>
              </w:rPr>
              <w:t xml:space="preserve">961 </w:t>
            </w:r>
          </w:p>
        </w:tc>
        <w:tc>
          <w:tcPr>
            <w:tcW w:w="720" w:type="dxa"/>
            <w:tcBorders>
              <w:top w:val="nil"/>
              <w:left w:val="nil"/>
              <w:bottom w:val="nil"/>
              <w:right w:val="nil"/>
            </w:tcBorders>
            <w:shd w:val="clear" w:color="auto" w:fill="auto"/>
            <w:noWrap/>
            <w:vAlign w:val="center"/>
            <w:hideMark/>
          </w:tcPr>
          <w:p w14:paraId="23FD106B" w14:textId="37D1A73D" w:rsidR="00366590" w:rsidRPr="0099742A" w:rsidRDefault="00366590" w:rsidP="00366590">
            <w:pPr>
              <w:pStyle w:val="BodyText"/>
              <w:spacing w:line="240" w:lineRule="auto"/>
              <w:rPr>
                <w:sz w:val="20"/>
                <w:szCs w:val="20"/>
              </w:rPr>
            </w:pPr>
            <w:r w:rsidRPr="0099742A">
              <w:rPr>
                <w:color w:val="000000"/>
                <w:sz w:val="20"/>
                <w:szCs w:val="20"/>
              </w:rPr>
              <w:t xml:space="preserve">984 </w:t>
            </w:r>
          </w:p>
        </w:tc>
        <w:tc>
          <w:tcPr>
            <w:tcW w:w="728" w:type="dxa"/>
            <w:tcBorders>
              <w:top w:val="nil"/>
              <w:left w:val="nil"/>
              <w:bottom w:val="nil"/>
              <w:right w:val="single" w:sz="4" w:space="0" w:color="auto"/>
            </w:tcBorders>
            <w:shd w:val="clear" w:color="auto" w:fill="auto"/>
            <w:noWrap/>
            <w:vAlign w:val="center"/>
            <w:hideMark/>
          </w:tcPr>
          <w:p w14:paraId="3E6B8FF2" w14:textId="0109A5DB" w:rsidR="00366590" w:rsidRPr="0099742A" w:rsidRDefault="00366590" w:rsidP="00366590">
            <w:pPr>
              <w:pStyle w:val="BodyText"/>
              <w:spacing w:line="240" w:lineRule="auto"/>
              <w:rPr>
                <w:sz w:val="20"/>
                <w:szCs w:val="20"/>
              </w:rPr>
            </w:pPr>
            <w:r w:rsidRPr="0099742A">
              <w:rPr>
                <w:color w:val="000000"/>
                <w:sz w:val="20"/>
                <w:szCs w:val="20"/>
              </w:rPr>
              <w:t xml:space="preserve">961 </w:t>
            </w:r>
          </w:p>
        </w:tc>
        <w:tc>
          <w:tcPr>
            <w:tcW w:w="720" w:type="dxa"/>
            <w:tcBorders>
              <w:top w:val="nil"/>
              <w:left w:val="nil"/>
              <w:bottom w:val="nil"/>
              <w:right w:val="nil"/>
            </w:tcBorders>
            <w:shd w:val="clear" w:color="auto" w:fill="auto"/>
            <w:noWrap/>
            <w:vAlign w:val="center"/>
            <w:hideMark/>
          </w:tcPr>
          <w:p w14:paraId="3F7DFDCC" w14:textId="6A2C7C1A" w:rsidR="00366590" w:rsidRPr="0099742A" w:rsidRDefault="00366590" w:rsidP="00366590">
            <w:pPr>
              <w:pStyle w:val="BodyText"/>
              <w:spacing w:line="240" w:lineRule="auto"/>
              <w:rPr>
                <w:sz w:val="20"/>
                <w:szCs w:val="20"/>
              </w:rPr>
            </w:pPr>
            <w:r w:rsidRPr="0099742A">
              <w:rPr>
                <w:color w:val="000000"/>
                <w:sz w:val="20"/>
                <w:szCs w:val="20"/>
              </w:rPr>
              <w:t xml:space="preserve">984 </w:t>
            </w:r>
          </w:p>
        </w:tc>
        <w:tc>
          <w:tcPr>
            <w:tcW w:w="720" w:type="dxa"/>
            <w:tcBorders>
              <w:top w:val="nil"/>
              <w:left w:val="nil"/>
              <w:bottom w:val="nil"/>
              <w:right w:val="nil"/>
            </w:tcBorders>
            <w:shd w:val="clear" w:color="auto" w:fill="auto"/>
            <w:noWrap/>
            <w:vAlign w:val="center"/>
            <w:hideMark/>
          </w:tcPr>
          <w:p w14:paraId="5F7E4E81" w14:textId="01E75E96" w:rsidR="00366590" w:rsidRPr="0099742A" w:rsidRDefault="00366590" w:rsidP="00366590">
            <w:pPr>
              <w:pStyle w:val="BodyText"/>
              <w:spacing w:line="240" w:lineRule="auto"/>
              <w:rPr>
                <w:sz w:val="20"/>
                <w:szCs w:val="20"/>
              </w:rPr>
            </w:pPr>
            <w:r w:rsidRPr="0099742A">
              <w:rPr>
                <w:color w:val="000000"/>
                <w:sz w:val="20"/>
                <w:szCs w:val="20"/>
              </w:rPr>
              <w:t xml:space="preserve">1003 </w:t>
            </w:r>
          </w:p>
        </w:tc>
        <w:tc>
          <w:tcPr>
            <w:tcW w:w="720" w:type="dxa"/>
            <w:tcBorders>
              <w:top w:val="nil"/>
              <w:left w:val="nil"/>
              <w:bottom w:val="nil"/>
              <w:right w:val="nil"/>
            </w:tcBorders>
            <w:shd w:val="clear" w:color="auto" w:fill="auto"/>
            <w:noWrap/>
            <w:vAlign w:val="center"/>
            <w:hideMark/>
          </w:tcPr>
          <w:p w14:paraId="0B968B13" w14:textId="47A1DE78" w:rsidR="00366590" w:rsidRPr="0099742A" w:rsidRDefault="00366590" w:rsidP="00366590">
            <w:pPr>
              <w:pStyle w:val="BodyText"/>
              <w:spacing w:line="240" w:lineRule="auto"/>
              <w:rPr>
                <w:sz w:val="20"/>
                <w:szCs w:val="20"/>
              </w:rPr>
            </w:pPr>
            <w:r w:rsidRPr="0099742A">
              <w:rPr>
                <w:color w:val="000000"/>
                <w:sz w:val="20"/>
                <w:szCs w:val="20"/>
              </w:rPr>
              <w:t xml:space="preserve">969 </w:t>
            </w:r>
          </w:p>
        </w:tc>
        <w:tc>
          <w:tcPr>
            <w:tcW w:w="720" w:type="dxa"/>
            <w:tcBorders>
              <w:top w:val="nil"/>
              <w:left w:val="nil"/>
              <w:bottom w:val="nil"/>
              <w:right w:val="nil"/>
            </w:tcBorders>
            <w:shd w:val="clear" w:color="auto" w:fill="auto"/>
            <w:noWrap/>
            <w:vAlign w:val="center"/>
            <w:hideMark/>
          </w:tcPr>
          <w:p w14:paraId="29621412" w14:textId="27E06B8D" w:rsidR="00366590" w:rsidRPr="0099742A" w:rsidRDefault="00366590" w:rsidP="00366590">
            <w:pPr>
              <w:pStyle w:val="BodyText"/>
              <w:spacing w:line="240" w:lineRule="auto"/>
              <w:rPr>
                <w:sz w:val="20"/>
                <w:szCs w:val="20"/>
              </w:rPr>
            </w:pPr>
            <w:r w:rsidRPr="0099742A">
              <w:rPr>
                <w:color w:val="000000"/>
                <w:sz w:val="20"/>
                <w:szCs w:val="20"/>
              </w:rPr>
              <w:t xml:space="preserve">992 </w:t>
            </w:r>
          </w:p>
        </w:tc>
        <w:tc>
          <w:tcPr>
            <w:tcW w:w="810" w:type="dxa"/>
            <w:tcBorders>
              <w:top w:val="nil"/>
              <w:left w:val="nil"/>
              <w:bottom w:val="nil"/>
              <w:right w:val="nil"/>
            </w:tcBorders>
            <w:shd w:val="clear" w:color="auto" w:fill="auto"/>
            <w:noWrap/>
            <w:vAlign w:val="center"/>
            <w:hideMark/>
          </w:tcPr>
          <w:p w14:paraId="32A8CAE9" w14:textId="77777777" w:rsidR="00366590" w:rsidRPr="0099742A" w:rsidRDefault="00366590" w:rsidP="00366590">
            <w:pPr>
              <w:pStyle w:val="BodyText"/>
              <w:spacing w:line="240" w:lineRule="auto"/>
              <w:rPr>
                <w:sz w:val="20"/>
                <w:szCs w:val="20"/>
              </w:rPr>
            </w:pPr>
            <w:r w:rsidRPr="0099742A">
              <w:rPr>
                <w:sz w:val="20"/>
                <w:szCs w:val="20"/>
              </w:rPr>
              <w:t>DOE</w:t>
            </w:r>
          </w:p>
        </w:tc>
        <w:tc>
          <w:tcPr>
            <w:tcW w:w="1792" w:type="dxa"/>
            <w:tcBorders>
              <w:top w:val="nil"/>
              <w:left w:val="nil"/>
              <w:bottom w:val="nil"/>
              <w:right w:val="nil"/>
            </w:tcBorders>
            <w:shd w:val="clear" w:color="auto" w:fill="auto"/>
            <w:noWrap/>
            <w:vAlign w:val="bottom"/>
            <w:hideMark/>
          </w:tcPr>
          <w:p w14:paraId="107D145B" w14:textId="77777777" w:rsidR="00366590" w:rsidRPr="0099742A" w:rsidRDefault="00366590" w:rsidP="00366590">
            <w:pPr>
              <w:pStyle w:val="BodyText"/>
              <w:spacing w:line="240" w:lineRule="auto"/>
              <w:rPr>
                <w:sz w:val="20"/>
                <w:szCs w:val="20"/>
              </w:rPr>
            </w:pPr>
            <w:r w:rsidRPr="0099742A">
              <w:rPr>
                <w:sz w:val="20"/>
                <w:szCs w:val="20"/>
              </w:rPr>
              <w:t>2%</w:t>
            </w:r>
          </w:p>
        </w:tc>
      </w:tr>
      <w:tr w:rsidR="00D1739C" w:rsidRPr="00D1739C" w14:paraId="69B884D5" w14:textId="77777777" w:rsidTr="00CF771E">
        <w:trPr>
          <w:trHeight w:val="315"/>
        </w:trPr>
        <w:tc>
          <w:tcPr>
            <w:tcW w:w="2520" w:type="dxa"/>
            <w:tcBorders>
              <w:top w:val="nil"/>
              <w:left w:val="nil"/>
              <w:bottom w:val="nil"/>
              <w:right w:val="nil"/>
            </w:tcBorders>
            <w:shd w:val="clear" w:color="auto" w:fill="auto"/>
            <w:noWrap/>
            <w:vAlign w:val="center"/>
            <w:hideMark/>
          </w:tcPr>
          <w:p w14:paraId="117536B2" w14:textId="77777777" w:rsidR="00366590" w:rsidRPr="0099742A" w:rsidRDefault="00366590" w:rsidP="00366590">
            <w:pPr>
              <w:pStyle w:val="BodyText"/>
              <w:spacing w:line="240" w:lineRule="auto"/>
              <w:rPr>
                <w:sz w:val="20"/>
                <w:szCs w:val="20"/>
              </w:rPr>
            </w:pPr>
            <w:r w:rsidRPr="0099742A">
              <w:rPr>
                <w:sz w:val="20"/>
                <w:szCs w:val="20"/>
              </w:rPr>
              <w:t>US oil supply</w:t>
            </w:r>
          </w:p>
        </w:tc>
        <w:tc>
          <w:tcPr>
            <w:tcW w:w="720" w:type="dxa"/>
            <w:tcBorders>
              <w:top w:val="nil"/>
              <w:left w:val="nil"/>
              <w:bottom w:val="nil"/>
              <w:right w:val="nil"/>
            </w:tcBorders>
            <w:shd w:val="clear" w:color="auto" w:fill="auto"/>
            <w:noWrap/>
            <w:vAlign w:val="center"/>
            <w:hideMark/>
          </w:tcPr>
          <w:p w14:paraId="58C00AF4" w14:textId="678ABE69" w:rsidR="00366590" w:rsidRPr="0099742A" w:rsidRDefault="00366590" w:rsidP="00366590">
            <w:pPr>
              <w:pStyle w:val="BodyText"/>
              <w:spacing w:line="240" w:lineRule="auto"/>
              <w:rPr>
                <w:sz w:val="20"/>
                <w:szCs w:val="20"/>
              </w:rPr>
            </w:pPr>
            <w:r w:rsidRPr="0099742A">
              <w:rPr>
                <w:color w:val="000000"/>
                <w:sz w:val="20"/>
                <w:szCs w:val="20"/>
              </w:rPr>
              <w:t xml:space="preserve">515 </w:t>
            </w:r>
          </w:p>
        </w:tc>
        <w:tc>
          <w:tcPr>
            <w:tcW w:w="720" w:type="dxa"/>
            <w:tcBorders>
              <w:top w:val="nil"/>
              <w:left w:val="nil"/>
              <w:bottom w:val="nil"/>
              <w:right w:val="nil"/>
            </w:tcBorders>
            <w:shd w:val="clear" w:color="auto" w:fill="auto"/>
            <w:noWrap/>
            <w:vAlign w:val="center"/>
            <w:hideMark/>
          </w:tcPr>
          <w:p w14:paraId="5A7106A2" w14:textId="50B7B934" w:rsidR="00366590" w:rsidRPr="0099742A" w:rsidRDefault="00366590" w:rsidP="00366590">
            <w:pPr>
              <w:pStyle w:val="BodyText"/>
              <w:spacing w:line="240" w:lineRule="auto"/>
              <w:rPr>
                <w:sz w:val="20"/>
                <w:szCs w:val="20"/>
              </w:rPr>
            </w:pPr>
            <w:r w:rsidRPr="0099742A">
              <w:rPr>
                <w:color w:val="000000"/>
                <w:sz w:val="20"/>
                <w:szCs w:val="20"/>
              </w:rPr>
              <w:t xml:space="preserve">545 </w:t>
            </w:r>
          </w:p>
        </w:tc>
        <w:tc>
          <w:tcPr>
            <w:tcW w:w="720" w:type="dxa"/>
            <w:tcBorders>
              <w:top w:val="nil"/>
              <w:left w:val="nil"/>
              <w:bottom w:val="nil"/>
              <w:right w:val="nil"/>
            </w:tcBorders>
            <w:shd w:val="clear" w:color="auto" w:fill="auto"/>
            <w:noWrap/>
            <w:vAlign w:val="center"/>
            <w:hideMark/>
          </w:tcPr>
          <w:p w14:paraId="3D186671" w14:textId="3348F1C8" w:rsidR="00366590" w:rsidRPr="0099742A" w:rsidRDefault="00366590" w:rsidP="00366590">
            <w:pPr>
              <w:pStyle w:val="BodyText"/>
              <w:spacing w:line="240" w:lineRule="auto"/>
              <w:rPr>
                <w:sz w:val="20"/>
                <w:szCs w:val="20"/>
              </w:rPr>
            </w:pPr>
            <w:r w:rsidRPr="0099742A">
              <w:rPr>
                <w:color w:val="000000"/>
                <w:sz w:val="20"/>
                <w:szCs w:val="20"/>
              </w:rPr>
              <w:t xml:space="preserve">636 </w:t>
            </w:r>
          </w:p>
        </w:tc>
        <w:tc>
          <w:tcPr>
            <w:tcW w:w="728" w:type="dxa"/>
            <w:tcBorders>
              <w:top w:val="nil"/>
              <w:left w:val="nil"/>
              <w:bottom w:val="nil"/>
              <w:right w:val="single" w:sz="4" w:space="0" w:color="auto"/>
            </w:tcBorders>
            <w:shd w:val="clear" w:color="auto" w:fill="auto"/>
            <w:noWrap/>
            <w:vAlign w:val="center"/>
            <w:hideMark/>
          </w:tcPr>
          <w:p w14:paraId="6C1EE4F9" w14:textId="10706318" w:rsidR="00366590" w:rsidRPr="0099742A" w:rsidRDefault="00366590" w:rsidP="00366590">
            <w:pPr>
              <w:pStyle w:val="BodyText"/>
              <w:spacing w:line="240" w:lineRule="auto"/>
              <w:rPr>
                <w:sz w:val="20"/>
                <w:szCs w:val="20"/>
              </w:rPr>
            </w:pPr>
            <w:r w:rsidRPr="0099742A">
              <w:rPr>
                <w:color w:val="000000"/>
                <w:sz w:val="20"/>
                <w:szCs w:val="20"/>
              </w:rPr>
              <w:t xml:space="preserve">712 </w:t>
            </w:r>
          </w:p>
        </w:tc>
        <w:tc>
          <w:tcPr>
            <w:tcW w:w="720" w:type="dxa"/>
            <w:tcBorders>
              <w:top w:val="nil"/>
              <w:left w:val="nil"/>
              <w:bottom w:val="nil"/>
              <w:right w:val="nil"/>
            </w:tcBorders>
            <w:shd w:val="clear" w:color="auto" w:fill="auto"/>
            <w:noWrap/>
            <w:vAlign w:val="center"/>
            <w:hideMark/>
          </w:tcPr>
          <w:p w14:paraId="7843222F" w14:textId="4296569A" w:rsidR="00366590" w:rsidRPr="0099742A" w:rsidRDefault="00366590" w:rsidP="00366590">
            <w:pPr>
              <w:pStyle w:val="BodyText"/>
              <w:spacing w:line="240" w:lineRule="auto"/>
              <w:rPr>
                <w:sz w:val="20"/>
                <w:szCs w:val="20"/>
              </w:rPr>
            </w:pPr>
            <w:r w:rsidRPr="0099742A">
              <w:rPr>
                <w:color w:val="000000"/>
                <w:sz w:val="20"/>
                <w:szCs w:val="20"/>
              </w:rPr>
              <w:t xml:space="preserve">545 </w:t>
            </w:r>
          </w:p>
        </w:tc>
        <w:tc>
          <w:tcPr>
            <w:tcW w:w="720" w:type="dxa"/>
            <w:tcBorders>
              <w:top w:val="nil"/>
              <w:left w:val="nil"/>
              <w:bottom w:val="nil"/>
              <w:right w:val="nil"/>
            </w:tcBorders>
            <w:shd w:val="clear" w:color="auto" w:fill="auto"/>
            <w:noWrap/>
            <w:vAlign w:val="center"/>
            <w:hideMark/>
          </w:tcPr>
          <w:p w14:paraId="42835D7C" w14:textId="1C852558" w:rsidR="00366590" w:rsidRPr="0099742A" w:rsidRDefault="00366590" w:rsidP="00366590">
            <w:pPr>
              <w:pStyle w:val="BodyText"/>
              <w:spacing w:line="240" w:lineRule="auto"/>
              <w:rPr>
                <w:sz w:val="20"/>
                <w:szCs w:val="20"/>
              </w:rPr>
            </w:pPr>
            <w:r w:rsidRPr="0099742A">
              <w:rPr>
                <w:color w:val="000000"/>
                <w:sz w:val="20"/>
                <w:szCs w:val="20"/>
              </w:rPr>
              <w:t xml:space="preserve">545 </w:t>
            </w:r>
          </w:p>
        </w:tc>
        <w:tc>
          <w:tcPr>
            <w:tcW w:w="720" w:type="dxa"/>
            <w:tcBorders>
              <w:top w:val="nil"/>
              <w:left w:val="nil"/>
              <w:bottom w:val="nil"/>
              <w:right w:val="nil"/>
            </w:tcBorders>
            <w:shd w:val="clear" w:color="auto" w:fill="auto"/>
            <w:noWrap/>
            <w:vAlign w:val="center"/>
            <w:hideMark/>
          </w:tcPr>
          <w:p w14:paraId="44A633FD" w14:textId="3AF65AD0" w:rsidR="00366590" w:rsidRPr="0099742A" w:rsidRDefault="00366590" w:rsidP="00366590">
            <w:pPr>
              <w:pStyle w:val="BodyText"/>
              <w:spacing w:line="240" w:lineRule="auto"/>
              <w:rPr>
                <w:sz w:val="20"/>
                <w:szCs w:val="20"/>
              </w:rPr>
            </w:pPr>
            <w:r w:rsidRPr="0099742A">
              <w:rPr>
                <w:color w:val="000000"/>
                <w:sz w:val="20"/>
                <w:szCs w:val="20"/>
              </w:rPr>
              <w:t xml:space="preserve">700 </w:t>
            </w:r>
          </w:p>
        </w:tc>
        <w:tc>
          <w:tcPr>
            <w:tcW w:w="720" w:type="dxa"/>
            <w:tcBorders>
              <w:top w:val="nil"/>
              <w:left w:val="nil"/>
              <w:bottom w:val="nil"/>
              <w:right w:val="nil"/>
            </w:tcBorders>
            <w:shd w:val="clear" w:color="auto" w:fill="auto"/>
            <w:noWrap/>
            <w:vAlign w:val="center"/>
            <w:hideMark/>
          </w:tcPr>
          <w:p w14:paraId="372557DD" w14:textId="1806C019" w:rsidR="00366590" w:rsidRPr="0099742A" w:rsidRDefault="00366590" w:rsidP="00366590">
            <w:pPr>
              <w:pStyle w:val="BodyText"/>
              <w:spacing w:line="240" w:lineRule="auto"/>
              <w:rPr>
                <w:sz w:val="20"/>
                <w:szCs w:val="20"/>
              </w:rPr>
            </w:pPr>
            <w:r w:rsidRPr="0099742A">
              <w:rPr>
                <w:color w:val="000000"/>
                <w:sz w:val="20"/>
                <w:szCs w:val="20"/>
              </w:rPr>
              <w:t xml:space="preserve">662 </w:t>
            </w:r>
          </w:p>
        </w:tc>
        <w:tc>
          <w:tcPr>
            <w:tcW w:w="810" w:type="dxa"/>
            <w:tcBorders>
              <w:top w:val="nil"/>
              <w:left w:val="nil"/>
              <w:bottom w:val="nil"/>
              <w:right w:val="nil"/>
            </w:tcBorders>
            <w:shd w:val="clear" w:color="auto" w:fill="auto"/>
            <w:noWrap/>
            <w:vAlign w:val="bottom"/>
            <w:hideMark/>
          </w:tcPr>
          <w:p w14:paraId="2EA882CB" w14:textId="77777777" w:rsidR="00366590" w:rsidRPr="0099742A" w:rsidRDefault="00366590" w:rsidP="00366590">
            <w:pPr>
              <w:pStyle w:val="BodyText"/>
              <w:spacing w:line="240" w:lineRule="auto"/>
              <w:rPr>
                <w:sz w:val="20"/>
                <w:szCs w:val="20"/>
              </w:rPr>
            </w:pPr>
            <w:r w:rsidRPr="0099742A">
              <w:rPr>
                <w:sz w:val="20"/>
                <w:szCs w:val="20"/>
              </w:rPr>
              <w:t>DOE</w:t>
            </w:r>
          </w:p>
        </w:tc>
        <w:tc>
          <w:tcPr>
            <w:tcW w:w="1792" w:type="dxa"/>
            <w:tcBorders>
              <w:top w:val="nil"/>
              <w:left w:val="nil"/>
              <w:bottom w:val="nil"/>
              <w:right w:val="nil"/>
            </w:tcBorders>
            <w:shd w:val="clear" w:color="auto" w:fill="auto"/>
            <w:noWrap/>
            <w:vAlign w:val="bottom"/>
            <w:hideMark/>
          </w:tcPr>
          <w:p w14:paraId="11AE607E" w14:textId="77777777" w:rsidR="00366590" w:rsidRPr="0099742A" w:rsidRDefault="00366590" w:rsidP="00366590">
            <w:pPr>
              <w:pStyle w:val="BodyText"/>
              <w:spacing w:line="240" w:lineRule="auto"/>
              <w:rPr>
                <w:sz w:val="20"/>
                <w:szCs w:val="20"/>
              </w:rPr>
            </w:pPr>
            <w:r w:rsidRPr="0099742A">
              <w:rPr>
                <w:sz w:val="20"/>
                <w:szCs w:val="20"/>
              </w:rPr>
              <w:t>2%</w:t>
            </w:r>
          </w:p>
        </w:tc>
      </w:tr>
      <w:tr w:rsidR="00D1739C" w:rsidRPr="00D1739C" w14:paraId="326FB2AD" w14:textId="77777777" w:rsidTr="00CF771E">
        <w:trPr>
          <w:trHeight w:val="315"/>
        </w:trPr>
        <w:tc>
          <w:tcPr>
            <w:tcW w:w="2520" w:type="dxa"/>
            <w:tcBorders>
              <w:top w:val="nil"/>
              <w:left w:val="nil"/>
              <w:bottom w:val="nil"/>
              <w:right w:val="nil"/>
            </w:tcBorders>
            <w:shd w:val="clear" w:color="auto" w:fill="auto"/>
            <w:noWrap/>
            <w:vAlign w:val="center"/>
            <w:hideMark/>
          </w:tcPr>
          <w:p w14:paraId="66CCCF05" w14:textId="77777777" w:rsidR="00366590" w:rsidRPr="0099742A" w:rsidRDefault="00366590" w:rsidP="00366590">
            <w:pPr>
              <w:pStyle w:val="BodyText"/>
              <w:spacing w:line="240" w:lineRule="auto"/>
              <w:rPr>
                <w:sz w:val="20"/>
                <w:szCs w:val="20"/>
              </w:rPr>
            </w:pPr>
            <w:r w:rsidRPr="0099742A">
              <w:rPr>
                <w:sz w:val="20"/>
                <w:szCs w:val="20"/>
              </w:rPr>
              <w:t>ROW oil use</w:t>
            </w:r>
          </w:p>
        </w:tc>
        <w:tc>
          <w:tcPr>
            <w:tcW w:w="720" w:type="dxa"/>
            <w:tcBorders>
              <w:top w:val="nil"/>
              <w:left w:val="nil"/>
              <w:bottom w:val="nil"/>
              <w:right w:val="nil"/>
            </w:tcBorders>
            <w:shd w:val="clear" w:color="auto" w:fill="auto"/>
            <w:noWrap/>
            <w:vAlign w:val="center"/>
            <w:hideMark/>
          </w:tcPr>
          <w:p w14:paraId="5A2EE561" w14:textId="24244DFA" w:rsidR="00366590" w:rsidRPr="0099742A" w:rsidRDefault="00366590" w:rsidP="00366590">
            <w:pPr>
              <w:pStyle w:val="BodyText"/>
              <w:spacing w:line="240" w:lineRule="auto"/>
              <w:rPr>
                <w:sz w:val="20"/>
                <w:szCs w:val="20"/>
              </w:rPr>
            </w:pPr>
            <w:r w:rsidRPr="0099742A">
              <w:rPr>
                <w:color w:val="000000"/>
                <w:sz w:val="20"/>
                <w:szCs w:val="20"/>
              </w:rPr>
              <w:t xml:space="preserve">4254 </w:t>
            </w:r>
          </w:p>
        </w:tc>
        <w:tc>
          <w:tcPr>
            <w:tcW w:w="720" w:type="dxa"/>
            <w:tcBorders>
              <w:top w:val="nil"/>
              <w:left w:val="nil"/>
              <w:bottom w:val="nil"/>
              <w:right w:val="nil"/>
            </w:tcBorders>
            <w:shd w:val="clear" w:color="auto" w:fill="auto"/>
            <w:noWrap/>
            <w:vAlign w:val="center"/>
            <w:hideMark/>
          </w:tcPr>
          <w:p w14:paraId="5422B006" w14:textId="1FD02D1E" w:rsidR="00366590" w:rsidRPr="0099742A" w:rsidRDefault="00366590" w:rsidP="00366590">
            <w:pPr>
              <w:pStyle w:val="BodyText"/>
              <w:spacing w:line="240" w:lineRule="auto"/>
              <w:rPr>
                <w:sz w:val="20"/>
                <w:szCs w:val="20"/>
              </w:rPr>
            </w:pPr>
            <w:r w:rsidRPr="0099742A">
              <w:rPr>
                <w:color w:val="000000"/>
                <w:sz w:val="20"/>
                <w:szCs w:val="20"/>
              </w:rPr>
              <w:t xml:space="preserve">4285 </w:t>
            </w:r>
          </w:p>
        </w:tc>
        <w:tc>
          <w:tcPr>
            <w:tcW w:w="720" w:type="dxa"/>
            <w:tcBorders>
              <w:top w:val="nil"/>
              <w:left w:val="nil"/>
              <w:bottom w:val="nil"/>
              <w:right w:val="nil"/>
            </w:tcBorders>
            <w:shd w:val="clear" w:color="auto" w:fill="auto"/>
            <w:noWrap/>
            <w:vAlign w:val="center"/>
            <w:hideMark/>
          </w:tcPr>
          <w:p w14:paraId="51C7C4B3" w14:textId="105F9259" w:rsidR="00366590" w:rsidRPr="0099742A" w:rsidRDefault="00366590" w:rsidP="00366590">
            <w:pPr>
              <w:pStyle w:val="BodyText"/>
              <w:spacing w:line="240" w:lineRule="auto"/>
              <w:rPr>
                <w:sz w:val="20"/>
                <w:szCs w:val="20"/>
              </w:rPr>
            </w:pPr>
            <w:r w:rsidRPr="0099742A">
              <w:rPr>
                <w:color w:val="000000"/>
                <w:sz w:val="20"/>
                <w:szCs w:val="20"/>
              </w:rPr>
              <w:t xml:space="preserve">4451 </w:t>
            </w:r>
          </w:p>
        </w:tc>
        <w:tc>
          <w:tcPr>
            <w:tcW w:w="728" w:type="dxa"/>
            <w:tcBorders>
              <w:top w:val="nil"/>
              <w:left w:val="nil"/>
              <w:bottom w:val="nil"/>
              <w:right w:val="single" w:sz="4" w:space="0" w:color="auto"/>
            </w:tcBorders>
            <w:shd w:val="clear" w:color="auto" w:fill="auto"/>
            <w:noWrap/>
            <w:vAlign w:val="center"/>
            <w:hideMark/>
          </w:tcPr>
          <w:p w14:paraId="77D1DDCB" w14:textId="3D7E0785" w:rsidR="00366590" w:rsidRPr="0099742A" w:rsidRDefault="00366590" w:rsidP="00366590">
            <w:pPr>
              <w:pStyle w:val="BodyText"/>
              <w:spacing w:line="240" w:lineRule="auto"/>
              <w:rPr>
                <w:sz w:val="20"/>
                <w:szCs w:val="20"/>
              </w:rPr>
            </w:pPr>
            <w:r w:rsidRPr="0099742A">
              <w:rPr>
                <w:color w:val="000000"/>
                <w:sz w:val="20"/>
                <w:szCs w:val="20"/>
              </w:rPr>
              <w:t xml:space="preserve">4527 </w:t>
            </w:r>
          </w:p>
        </w:tc>
        <w:tc>
          <w:tcPr>
            <w:tcW w:w="720" w:type="dxa"/>
            <w:tcBorders>
              <w:top w:val="nil"/>
              <w:left w:val="nil"/>
              <w:bottom w:val="nil"/>
              <w:right w:val="nil"/>
            </w:tcBorders>
            <w:shd w:val="clear" w:color="auto" w:fill="auto"/>
            <w:noWrap/>
            <w:vAlign w:val="center"/>
            <w:hideMark/>
          </w:tcPr>
          <w:p w14:paraId="49369B9F" w14:textId="26F35315" w:rsidR="00366590" w:rsidRPr="0099742A" w:rsidRDefault="00366590" w:rsidP="00366590">
            <w:pPr>
              <w:pStyle w:val="BodyText"/>
              <w:spacing w:line="240" w:lineRule="auto"/>
              <w:rPr>
                <w:sz w:val="20"/>
                <w:szCs w:val="20"/>
              </w:rPr>
            </w:pPr>
            <w:r w:rsidRPr="0099742A">
              <w:rPr>
                <w:color w:val="000000"/>
                <w:sz w:val="20"/>
                <w:szCs w:val="20"/>
              </w:rPr>
              <w:t xml:space="preserve">4247 </w:t>
            </w:r>
          </w:p>
        </w:tc>
        <w:tc>
          <w:tcPr>
            <w:tcW w:w="720" w:type="dxa"/>
            <w:tcBorders>
              <w:top w:val="nil"/>
              <w:left w:val="nil"/>
              <w:bottom w:val="nil"/>
              <w:right w:val="nil"/>
            </w:tcBorders>
            <w:shd w:val="clear" w:color="auto" w:fill="auto"/>
            <w:noWrap/>
            <w:vAlign w:val="center"/>
            <w:hideMark/>
          </w:tcPr>
          <w:p w14:paraId="4EFD0BBC" w14:textId="5FC71755" w:rsidR="00366590" w:rsidRPr="0099742A" w:rsidRDefault="00366590" w:rsidP="00366590">
            <w:pPr>
              <w:pStyle w:val="BodyText"/>
              <w:spacing w:line="240" w:lineRule="auto"/>
              <w:rPr>
                <w:sz w:val="20"/>
                <w:szCs w:val="20"/>
              </w:rPr>
            </w:pPr>
            <w:r w:rsidRPr="0099742A">
              <w:rPr>
                <w:color w:val="000000"/>
                <w:sz w:val="20"/>
                <w:szCs w:val="20"/>
              </w:rPr>
              <w:t xml:space="preserve">4254 </w:t>
            </w:r>
          </w:p>
        </w:tc>
        <w:tc>
          <w:tcPr>
            <w:tcW w:w="720" w:type="dxa"/>
            <w:tcBorders>
              <w:top w:val="nil"/>
              <w:left w:val="nil"/>
              <w:bottom w:val="nil"/>
              <w:right w:val="nil"/>
            </w:tcBorders>
            <w:shd w:val="clear" w:color="auto" w:fill="auto"/>
            <w:noWrap/>
            <w:vAlign w:val="center"/>
            <w:hideMark/>
          </w:tcPr>
          <w:p w14:paraId="5CB8177E" w14:textId="73D6F563" w:rsidR="00366590" w:rsidRPr="0099742A" w:rsidRDefault="00366590" w:rsidP="00366590">
            <w:pPr>
              <w:pStyle w:val="BodyText"/>
              <w:spacing w:line="240" w:lineRule="auto"/>
              <w:rPr>
                <w:sz w:val="20"/>
                <w:szCs w:val="20"/>
              </w:rPr>
            </w:pPr>
            <w:r w:rsidRPr="0099742A">
              <w:rPr>
                <w:color w:val="000000"/>
                <w:sz w:val="20"/>
                <w:szCs w:val="20"/>
              </w:rPr>
              <w:t xml:space="preserve">4508 </w:t>
            </w:r>
          </w:p>
        </w:tc>
        <w:tc>
          <w:tcPr>
            <w:tcW w:w="720" w:type="dxa"/>
            <w:tcBorders>
              <w:top w:val="nil"/>
              <w:left w:val="nil"/>
              <w:bottom w:val="nil"/>
              <w:right w:val="nil"/>
            </w:tcBorders>
            <w:shd w:val="clear" w:color="auto" w:fill="auto"/>
            <w:noWrap/>
            <w:vAlign w:val="center"/>
            <w:hideMark/>
          </w:tcPr>
          <w:p w14:paraId="1D6A21B4" w14:textId="1890CB2E" w:rsidR="00366590" w:rsidRPr="0099742A" w:rsidRDefault="00366590" w:rsidP="00366590">
            <w:pPr>
              <w:pStyle w:val="BodyText"/>
              <w:spacing w:line="240" w:lineRule="auto"/>
              <w:rPr>
                <w:sz w:val="20"/>
                <w:szCs w:val="20"/>
              </w:rPr>
            </w:pPr>
            <w:r w:rsidRPr="0099742A">
              <w:rPr>
                <w:color w:val="000000"/>
                <w:sz w:val="20"/>
                <w:szCs w:val="20"/>
              </w:rPr>
              <w:t xml:space="preserve">4466 </w:t>
            </w:r>
          </w:p>
        </w:tc>
        <w:tc>
          <w:tcPr>
            <w:tcW w:w="810" w:type="dxa"/>
            <w:tcBorders>
              <w:top w:val="nil"/>
              <w:left w:val="nil"/>
              <w:bottom w:val="nil"/>
              <w:right w:val="nil"/>
            </w:tcBorders>
            <w:shd w:val="clear" w:color="auto" w:fill="auto"/>
            <w:noWrap/>
            <w:vAlign w:val="bottom"/>
            <w:hideMark/>
          </w:tcPr>
          <w:p w14:paraId="0B9BC392" w14:textId="77777777" w:rsidR="00366590" w:rsidRPr="0099742A" w:rsidRDefault="00366590" w:rsidP="00366590">
            <w:pPr>
              <w:pStyle w:val="BodyText"/>
              <w:spacing w:line="240" w:lineRule="auto"/>
              <w:rPr>
                <w:sz w:val="20"/>
                <w:szCs w:val="20"/>
              </w:rPr>
            </w:pPr>
            <w:r w:rsidRPr="0099742A">
              <w:rPr>
                <w:sz w:val="20"/>
                <w:szCs w:val="20"/>
              </w:rPr>
              <w:t>DOE</w:t>
            </w:r>
          </w:p>
        </w:tc>
        <w:tc>
          <w:tcPr>
            <w:tcW w:w="1792" w:type="dxa"/>
            <w:tcBorders>
              <w:top w:val="nil"/>
              <w:left w:val="nil"/>
              <w:bottom w:val="nil"/>
              <w:right w:val="nil"/>
            </w:tcBorders>
            <w:shd w:val="clear" w:color="auto" w:fill="auto"/>
            <w:noWrap/>
            <w:vAlign w:val="bottom"/>
            <w:hideMark/>
          </w:tcPr>
          <w:p w14:paraId="71AA6EF5" w14:textId="77777777" w:rsidR="00366590" w:rsidRPr="0099742A" w:rsidRDefault="00366590" w:rsidP="00366590">
            <w:pPr>
              <w:pStyle w:val="BodyText"/>
              <w:spacing w:line="240" w:lineRule="auto"/>
              <w:rPr>
                <w:sz w:val="20"/>
                <w:szCs w:val="20"/>
              </w:rPr>
            </w:pPr>
            <w:r w:rsidRPr="0099742A">
              <w:rPr>
                <w:sz w:val="20"/>
                <w:szCs w:val="20"/>
              </w:rPr>
              <w:t>0%</w:t>
            </w:r>
          </w:p>
        </w:tc>
      </w:tr>
      <w:tr w:rsidR="00D1739C" w:rsidRPr="00D1739C" w14:paraId="28E86056" w14:textId="77777777" w:rsidTr="00CF771E">
        <w:trPr>
          <w:trHeight w:val="315"/>
        </w:trPr>
        <w:tc>
          <w:tcPr>
            <w:tcW w:w="2520" w:type="dxa"/>
            <w:tcBorders>
              <w:top w:val="nil"/>
              <w:left w:val="nil"/>
              <w:bottom w:val="nil"/>
              <w:right w:val="nil"/>
            </w:tcBorders>
            <w:shd w:val="clear" w:color="auto" w:fill="auto"/>
            <w:noWrap/>
            <w:vAlign w:val="center"/>
            <w:hideMark/>
          </w:tcPr>
          <w:p w14:paraId="0226727D" w14:textId="77777777" w:rsidR="00366590" w:rsidRPr="0099742A" w:rsidRDefault="00366590" w:rsidP="00366590">
            <w:pPr>
              <w:pStyle w:val="BodyText"/>
              <w:spacing w:line="240" w:lineRule="auto"/>
              <w:rPr>
                <w:sz w:val="20"/>
                <w:szCs w:val="20"/>
              </w:rPr>
            </w:pPr>
            <w:r w:rsidRPr="0099742A">
              <w:rPr>
                <w:sz w:val="20"/>
                <w:szCs w:val="20"/>
              </w:rPr>
              <w:t>ROW oil supply</w:t>
            </w:r>
          </w:p>
        </w:tc>
        <w:tc>
          <w:tcPr>
            <w:tcW w:w="720" w:type="dxa"/>
            <w:tcBorders>
              <w:top w:val="nil"/>
              <w:left w:val="nil"/>
              <w:bottom w:val="nil"/>
              <w:right w:val="nil"/>
            </w:tcBorders>
            <w:shd w:val="clear" w:color="auto" w:fill="auto"/>
            <w:noWrap/>
            <w:vAlign w:val="center"/>
            <w:hideMark/>
          </w:tcPr>
          <w:p w14:paraId="1802DE82" w14:textId="1F2599FD" w:rsidR="00366590" w:rsidRPr="0099742A" w:rsidRDefault="00366590" w:rsidP="00366590">
            <w:pPr>
              <w:pStyle w:val="BodyText"/>
              <w:spacing w:line="240" w:lineRule="auto"/>
              <w:rPr>
                <w:sz w:val="20"/>
                <w:szCs w:val="20"/>
              </w:rPr>
            </w:pPr>
            <w:r w:rsidRPr="0099742A">
              <w:rPr>
                <w:color w:val="000000"/>
                <w:sz w:val="20"/>
                <w:szCs w:val="20"/>
              </w:rPr>
              <w:t xml:space="preserve">4686 </w:t>
            </w:r>
          </w:p>
        </w:tc>
        <w:tc>
          <w:tcPr>
            <w:tcW w:w="720" w:type="dxa"/>
            <w:tcBorders>
              <w:top w:val="nil"/>
              <w:left w:val="nil"/>
              <w:bottom w:val="nil"/>
              <w:right w:val="nil"/>
            </w:tcBorders>
            <w:shd w:val="clear" w:color="auto" w:fill="auto"/>
            <w:noWrap/>
            <w:vAlign w:val="center"/>
            <w:hideMark/>
          </w:tcPr>
          <w:p w14:paraId="411EE471" w14:textId="5871C1D3" w:rsidR="00366590" w:rsidRPr="0099742A" w:rsidRDefault="00366590" w:rsidP="00366590">
            <w:pPr>
              <w:pStyle w:val="BodyText"/>
              <w:spacing w:line="240" w:lineRule="auto"/>
              <w:rPr>
                <w:sz w:val="20"/>
                <w:szCs w:val="20"/>
              </w:rPr>
            </w:pPr>
            <w:r w:rsidRPr="0099742A">
              <w:rPr>
                <w:color w:val="000000"/>
                <w:sz w:val="20"/>
                <w:szCs w:val="20"/>
              </w:rPr>
              <w:t xml:space="preserve">4705 </w:t>
            </w:r>
          </w:p>
        </w:tc>
        <w:tc>
          <w:tcPr>
            <w:tcW w:w="720" w:type="dxa"/>
            <w:tcBorders>
              <w:top w:val="nil"/>
              <w:left w:val="nil"/>
              <w:bottom w:val="nil"/>
              <w:right w:val="nil"/>
            </w:tcBorders>
            <w:shd w:val="clear" w:color="auto" w:fill="auto"/>
            <w:noWrap/>
            <w:vAlign w:val="center"/>
            <w:hideMark/>
          </w:tcPr>
          <w:p w14:paraId="592E8AE8" w14:textId="2D029DF0" w:rsidR="00366590" w:rsidRPr="0099742A" w:rsidRDefault="00366590" w:rsidP="00366590">
            <w:pPr>
              <w:pStyle w:val="BodyText"/>
              <w:spacing w:line="240" w:lineRule="auto"/>
              <w:rPr>
                <w:sz w:val="20"/>
                <w:szCs w:val="20"/>
              </w:rPr>
            </w:pPr>
            <w:r w:rsidRPr="0099742A">
              <w:rPr>
                <w:color w:val="000000"/>
                <w:sz w:val="20"/>
                <w:szCs w:val="20"/>
              </w:rPr>
              <w:t xml:space="preserve">4799 </w:t>
            </w:r>
          </w:p>
        </w:tc>
        <w:tc>
          <w:tcPr>
            <w:tcW w:w="728" w:type="dxa"/>
            <w:tcBorders>
              <w:top w:val="nil"/>
              <w:left w:val="nil"/>
              <w:bottom w:val="nil"/>
              <w:right w:val="single" w:sz="4" w:space="0" w:color="auto"/>
            </w:tcBorders>
            <w:shd w:val="clear" w:color="auto" w:fill="auto"/>
            <w:noWrap/>
            <w:vAlign w:val="center"/>
            <w:hideMark/>
          </w:tcPr>
          <w:p w14:paraId="6993C789" w14:textId="6A67D927" w:rsidR="00366590" w:rsidRPr="0099742A" w:rsidRDefault="00366590" w:rsidP="00366590">
            <w:pPr>
              <w:pStyle w:val="BodyText"/>
              <w:spacing w:line="240" w:lineRule="auto"/>
              <w:rPr>
                <w:sz w:val="20"/>
                <w:szCs w:val="20"/>
              </w:rPr>
            </w:pPr>
            <w:r w:rsidRPr="0099742A">
              <w:rPr>
                <w:color w:val="000000"/>
                <w:sz w:val="20"/>
                <w:szCs w:val="20"/>
              </w:rPr>
              <w:t xml:space="preserve">4777 </w:t>
            </w:r>
          </w:p>
        </w:tc>
        <w:tc>
          <w:tcPr>
            <w:tcW w:w="720" w:type="dxa"/>
            <w:tcBorders>
              <w:top w:val="nil"/>
              <w:left w:val="nil"/>
              <w:bottom w:val="nil"/>
              <w:right w:val="nil"/>
            </w:tcBorders>
            <w:shd w:val="clear" w:color="auto" w:fill="auto"/>
            <w:noWrap/>
            <w:vAlign w:val="center"/>
            <w:hideMark/>
          </w:tcPr>
          <w:p w14:paraId="655ACA21" w14:textId="56CBFAF8" w:rsidR="00366590" w:rsidRPr="0099742A" w:rsidRDefault="00366590" w:rsidP="00366590">
            <w:pPr>
              <w:pStyle w:val="BodyText"/>
              <w:spacing w:line="240" w:lineRule="auto"/>
              <w:rPr>
                <w:sz w:val="20"/>
                <w:szCs w:val="20"/>
              </w:rPr>
            </w:pPr>
            <w:r w:rsidRPr="0099742A">
              <w:rPr>
                <w:color w:val="000000"/>
                <w:sz w:val="20"/>
                <w:szCs w:val="20"/>
              </w:rPr>
              <w:t xml:space="preserve">4690 </w:t>
            </w:r>
          </w:p>
        </w:tc>
        <w:tc>
          <w:tcPr>
            <w:tcW w:w="720" w:type="dxa"/>
            <w:tcBorders>
              <w:top w:val="nil"/>
              <w:left w:val="nil"/>
              <w:bottom w:val="nil"/>
              <w:right w:val="nil"/>
            </w:tcBorders>
            <w:shd w:val="clear" w:color="auto" w:fill="auto"/>
            <w:noWrap/>
            <w:vAlign w:val="center"/>
            <w:hideMark/>
          </w:tcPr>
          <w:p w14:paraId="67093B63" w14:textId="342050E4" w:rsidR="00366590" w:rsidRPr="0099742A" w:rsidRDefault="00366590" w:rsidP="00366590">
            <w:pPr>
              <w:pStyle w:val="BodyText"/>
              <w:spacing w:line="240" w:lineRule="auto"/>
              <w:rPr>
                <w:sz w:val="20"/>
                <w:szCs w:val="20"/>
              </w:rPr>
            </w:pPr>
            <w:r w:rsidRPr="0099742A">
              <w:rPr>
                <w:color w:val="000000"/>
                <w:sz w:val="20"/>
                <w:szCs w:val="20"/>
              </w:rPr>
              <w:t xml:space="preserve">4709 </w:t>
            </w:r>
          </w:p>
        </w:tc>
        <w:tc>
          <w:tcPr>
            <w:tcW w:w="720" w:type="dxa"/>
            <w:tcBorders>
              <w:top w:val="nil"/>
              <w:left w:val="nil"/>
              <w:bottom w:val="nil"/>
              <w:right w:val="nil"/>
            </w:tcBorders>
            <w:shd w:val="clear" w:color="auto" w:fill="auto"/>
            <w:noWrap/>
            <w:vAlign w:val="center"/>
            <w:hideMark/>
          </w:tcPr>
          <w:p w14:paraId="68383847" w14:textId="027DEE01" w:rsidR="00366590" w:rsidRPr="0099742A" w:rsidRDefault="00366590" w:rsidP="00366590">
            <w:pPr>
              <w:pStyle w:val="BodyText"/>
              <w:spacing w:line="240" w:lineRule="auto"/>
              <w:rPr>
                <w:sz w:val="20"/>
                <w:szCs w:val="20"/>
              </w:rPr>
            </w:pPr>
            <w:r w:rsidRPr="0099742A">
              <w:rPr>
                <w:color w:val="000000"/>
                <w:sz w:val="20"/>
                <w:szCs w:val="20"/>
              </w:rPr>
              <w:t xml:space="preserve">4777 </w:t>
            </w:r>
          </w:p>
        </w:tc>
        <w:tc>
          <w:tcPr>
            <w:tcW w:w="720" w:type="dxa"/>
            <w:tcBorders>
              <w:top w:val="nil"/>
              <w:left w:val="nil"/>
              <w:bottom w:val="nil"/>
              <w:right w:val="nil"/>
            </w:tcBorders>
            <w:shd w:val="clear" w:color="auto" w:fill="auto"/>
            <w:noWrap/>
            <w:vAlign w:val="center"/>
            <w:hideMark/>
          </w:tcPr>
          <w:p w14:paraId="4FD3EA89" w14:textId="05CF7310" w:rsidR="00366590" w:rsidRPr="0099742A" w:rsidRDefault="00366590" w:rsidP="00366590">
            <w:pPr>
              <w:pStyle w:val="BodyText"/>
              <w:spacing w:line="240" w:lineRule="auto"/>
              <w:rPr>
                <w:sz w:val="20"/>
                <w:szCs w:val="20"/>
              </w:rPr>
            </w:pPr>
            <w:r w:rsidRPr="0099742A">
              <w:rPr>
                <w:color w:val="000000"/>
                <w:sz w:val="20"/>
                <w:szCs w:val="20"/>
              </w:rPr>
              <w:t xml:space="preserve">4796 </w:t>
            </w:r>
          </w:p>
        </w:tc>
        <w:tc>
          <w:tcPr>
            <w:tcW w:w="810" w:type="dxa"/>
            <w:tcBorders>
              <w:top w:val="nil"/>
              <w:left w:val="nil"/>
              <w:bottom w:val="nil"/>
              <w:right w:val="nil"/>
            </w:tcBorders>
            <w:shd w:val="clear" w:color="auto" w:fill="auto"/>
            <w:noWrap/>
            <w:vAlign w:val="bottom"/>
            <w:hideMark/>
          </w:tcPr>
          <w:p w14:paraId="0FD97572" w14:textId="77777777" w:rsidR="00366590" w:rsidRPr="0099742A" w:rsidRDefault="00366590" w:rsidP="00366590">
            <w:pPr>
              <w:pStyle w:val="BodyText"/>
              <w:spacing w:line="240" w:lineRule="auto"/>
              <w:rPr>
                <w:sz w:val="20"/>
                <w:szCs w:val="20"/>
              </w:rPr>
            </w:pPr>
            <w:r w:rsidRPr="0099742A">
              <w:rPr>
                <w:sz w:val="20"/>
                <w:szCs w:val="20"/>
              </w:rPr>
              <w:t>DOE</w:t>
            </w:r>
          </w:p>
        </w:tc>
        <w:tc>
          <w:tcPr>
            <w:tcW w:w="1792" w:type="dxa"/>
            <w:tcBorders>
              <w:top w:val="nil"/>
              <w:left w:val="nil"/>
              <w:bottom w:val="nil"/>
              <w:right w:val="nil"/>
            </w:tcBorders>
            <w:shd w:val="clear" w:color="auto" w:fill="auto"/>
            <w:noWrap/>
            <w:vAlign w:val="bottom"/>
            <w:hideMark/>
          </w:tcPr>
          <w:p w14:paraId="247B4A91" w14:textId="77777777" w:rsidR="00366590" w:rsidRPr="0099742A" w:rsidRDefault="00366590" w:rsidP="00366590">
            <w:pPr>
              <w:pStyle w:val="BodyText"/>
              <w:spacing w:line="240" w:lineRule="auto"/>
              <w:rPr>
                <w:sz w:val="20"/>
                <w:szCs w:val="20"/>
              </w:rPr>
            </w:pPr>
            <w:r w:rsidRPr="0099742A">
              <w:rPr>
                <w:sz w:val="20"/>
                <w:szCs w:val="20"/>
              </w:rPr>
              <w:t>0%</w:t>
            </w:r>
          </w:p>
        </w:tc>
      </w:tr>
      <w:tr w:rsidR="00D1739C" w:rsidRPr="00D1739C" w14:paraId="44F9E87A" w14:textId="77777777" w:rsidTr="00CF771E">
        <w:trPr>
          <w:trHeight w:val="315"/>
        </w:trPr>
        <w:tc>
          <w:tcPr>
            <w:tcW w:w="2520" w:type="dxa"/>
            <w:tcBorders>
              <w:top w:val="nil"/>
              <w:left w:val="nil"/>
              <w:bottom w:val="nil"/>
              <w:right w:val="nil"/>
            </w:tcBorders>
            <w:shd w:val="clear" w:color="auto" w:fill="auto"/>
            <w:noWrap/>
            <w:vAlign w:val="center"/>
            <w:hideMark/>
          </w:tcPr>
          <w:p w14:paraId="75C49DE7" w14:textId="77777777" w:rsidR="00366590" w:rsidRPr="0099742A" w:rsidRDefault="00366590" w:rsidP="00366590">
            <w:pPr>
              <w:pStyle w:val="BodyText"/>
              <w:spacing w:line="240" w:lineRule="auto"/>
              <w:rPr>
                <w:sz w:val="20"/>
                <w:szCs w:val="20"/>
              </w:rPr>
            </w:pPr>
            <w:r w:rsidRPr="0099742A">
              <w:rPr>
                <w:sz w:val="20"/>
                <w:szCs w:val="20"/>
              </w:rPr>
              <w:t>E10</w:t>
            </w:r>
          </w:p>
        </w:tc>
        <w:tc>
          <w:tcPr>
            <w:tcW w:w="720" w:type="dxa"/>
            <w:tcBorders>
              <w:top w:val="nil"/>
              <w:left w:val="nil"/>
              <w:bottom w:val="nil"/>
              <w:right w:val="nil"/>
            </w:tcBorders>
            <w:shd w:val="clear" w:color="auto" w:fill="auto"/>
            <w:noWrap/>
            <w:vAlign w:val="center"/>
            <w:hideMark/>
          </w:tcPr>
          <w:p w14:paraId="12EA9EE2" w14:textId="56042D16"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0" w:type="dxa"/>
            <w:tcBorders>
              <w:top w:val="nil"/>
              <w:left w:val="nil"/>
              <w:bottom w:val="nil"/>
              <w:right w:val="nil"/>
            </w:tcBorders>
            <w:shd w:val="clear" w:color="auto" w:fill="auto"/>
            <w:noWrap/>
            <w:vAlign w:val="center"/>
            <w:hideMark/>
          </w:tcPr>
          <w:p w14:paraId="4DDDF03C" w14:textId="7942930F"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0" w:type="dxa"/>
            <w:tcBorders>
              <w:top w:val="nil"/>
              <w:left w:val="nil"/>
              <w:bottom w:val="nil"/>
              <w:right w:val="nil"/>
            </w:tcBorders>
            <w:shd w:val="clear" w:color="auto" w:fill="auto"/>
            <w:noWrap/>
            <w:vAlign w:val="center"/>
            <w:hideMark/>
          </w:tcPr>
          <w:p w14:paraId="5656071C" w14:textId="0A10A023"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8" w:type="dxa"/>
            <w:tcBorders>
              <w:top w:val="nil"/>
              <w:left w:val="nil"/>
              <w:bottom w:val="nil"/>
              <w:right w:val="single" w:sz="4" w:space="0" w:color="auto"/>
            </w:tcBorders>
            <w:shd w:val="clear" w:color="auto" w:fill="auto"/>
            <w:noWrap/>
            <w:vAlign w:val="center"/>
            <w:hideMark/>
          </w:tcPr>
          <w:p w14:paraId="3D5BAACB" w14:textId="3ADC1198"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0" w:type="dxa"/>
            <w:tcBorders>
              <w:top w:val="nil"/>
              <w:left w:val="nil"/>
              <w:bottom w:val="nil"/>
              <w:right w:val="nil"/>
            </w:tcBorders>
            <w:shd w:val="clear" w:color="auto" w:fill="auto"/>
            <w:noWrap/>
            <w:vAlign w:val="center"/>
            <w:hideMark/>
          </w:tcPr>
          <w:p w14:paraId="00B3FDA0" w14:textId="279BB482"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0" w:type="dxa"/>
            <w:tcBorders>
              <w:top w:val="nil"/>
              <w:left w:val="nil"/>
              <w:bottom w:val="nil"/>
              <w:right w:val="nil"/>
            </w:tcBorders>
            <w:shd w:val="clear" w:color="auto" w:fill="auto"/>
            <w:noWrap/>
            <w:vAlign w:val="center"/>
            <w:hideMark/>
          </w:tcPr>
          <w:p w14:paraId="1415885E" w14:textId="1B68B339" w:rsidR="00366590" w:rsidRPr="0099742A" w:rsidRDefault="00366590" w:rsidP="00366590">
            <w:pPr>
              <w:pStyle w:val="BodyText"/>
              <w:spacing w:line="240" w:lineRule="auto"/>
              <w:rPr>
                <w:sz w:val="20"/>
                <w:szCs w:val="20"/>
              </w:rPr>
            </w:pPr>
            <w:r w:rsidRPr="0099742A">
              <w:rPr>
                <w:color w:val="000000"/>
                <w:sz w:val="20"/>
                <w:szCs w:val="20"/>
              </w:rPr>
              <w:t xml:space="preserve">541 </w:t>
            </w:r>
          </w:p>
        </w:tc>
        <w:tc>
          <w:tcPr>
            <w:tcW w:w="720" w:type="dxa"/>
            <w:tcBorders>
              <w:top w:val="nil"/>
              <w:left w:val="nil"/>
              <w:bottom w:val="nil"/>
              <w:right w:val="nil"/>
            </w:tcBorders>
            <w:shd w:val="clear" w:color="auto" w:fill="auto"/>
            <w:noWrap/>
            <w:vAlign w:val="center"/>
            <w:hideMark/>
          </w:tcPr>
          <w:p w14:paraId="191D3C31" w14:textId="1AB05CF0" w:rsidR="00366590" w:rsidRPr="0099742A" w:rsidRDefault="00366590" w:rsidP="00366590">
            <w:pPr>
              <w:pStyle w:val="BodyText"/>
              <w:spacing w:line="240" w:lineRule="auto"/>
              <w:rPr>
                <w:sz w:val="20"/>
                <w:szCs w:val="20"/>
              </w:rPr>
            </w:pPr>
            <w:r w:rsidRPr="0099742A">
              <w:rPr>
                <w:color w:val="000000"/>
                <w:sz w:val="20"/>
                <w:szCs w:val="20"/>
              </w:rPr>
              <w:t xml:space="preserve">530 </w:t>
            </w:r>
          </w:p>
        </w:tc>
        <w:tc>
          <w:tcPr>
            <w:tcW w:w="720" w:type="dxa"/>
            <w:tcBorders>
              <w:top w:val="nil"/>
              <w:left w:val="nil"/>
              <w:bottom w:val="nil"/>
              <w:right w:val="nil"/>
            </w:tcBorders>
            <w:shd w:val="clear" w:color="auto" w:fill="auto"/>
            <w:noWrap/>
            <w:vAlign w:val="center"/>
            <w:hideMark/>
          </w:tcPr>
          <w:p w14:paraId="119AF211" w14:textId="7AEA24BF" w:rsidR="00366590" w:rsidRPr="0099742A" w:rsidRDefault="00366590" w:rsidP="00366590">
            <w:pPr>
              <w:pStyle w:val="BodyText"/>
              <w:spacing w:line="240" w:lineRule="auto"/>
              <w:rPr>
                <w:sz w:val="20"/>
                <w:szCs w:val="20"/>
              </w:rPr>
            </w:pPr>
            <w:r w:rsidRPr="0099742A">
              <w:rPr>
                <w:color w:val="000000"/>
                <w:sz w:val="20"/>
                <w:szCs w:val="20"/>
              </w:rPr>
              <w:t xml:space="preserve">534 </w:t>
            </w:r>
          </w:p>
        </w:tc>
        <w:tc>
          <w:tcPr>
            <w:tcW w:w="810" w:type="dxa"/>
            <w:tcBorders>
              <w:top w:val="nil"/>
              <w:left w:val="nil"/>
              <w:bottom w:val="nil"/>
              <w:right w:val="nil"/>
            </w:tcBorders>
            <w:shd w:val="clear" w:color="auto" w:fill="auto"/>
            <w:noWrap/>
            <w:vAlign w:val="bottom"/>
            <w:hideMark/>
          </w:tcPr>
          <w:p w14:paraId="0045323C" w14:textId="77777777" w:rsidR="00366590" w:rsidRPr="0099742A" w:rsidRDefault="00366590" w:rsidP="00366590">
            <w:pPr>
              <w:pStyle w:val="BodyText"/>
              <w:spacing w:line="240" w:lineRule="auto"/>
              <w:rPr>
                <w:sz w:val="20"/>
                <w:szCs w:val="20"/>
              </w:rPr>
            </w:pPr>
            <w:r w:rsidRPr="0099742A">
              <w:rPr>
                <w:sz w:val="20"/>
                <w:szCs w:val="20"/>
              </w:rPr>
              <w:t>EIA</w:t>
            </w:r>
          </w:p>
        </w:tc>
        <w:tc>
          <w:tcPr>
            <w:tcW w:w="1792" w:type="dxa"/>
            <w:tcBorders>
              <w:top w:val="nil"/>
              <w:left w:val="nil"/>
              <w:bottom w:val="nil"/>
              <w:right w:val="nil"/>
            </w:tcBorders>
            <w:shd w:val="clear" w:color="auto" w:fill="auto"/>
            <w:noWrap/>
            <w:vAlign w:val="bottom"/>
            <w:hideMark/>
          </w:tcPr>
          <w:p w14:paraId="79A4DE87" w14:textId="77777777" w:rsidR="00366590" w:rsidRPr="0099742A" w:rsidRDefault="00366590" w:rsidP="00366590">
            <w:pPr>
              <w:pStyle w:val="BodyText"/>
              <w:spacing w:line="240" w:lineRule="auto"/>
              <w:rPr>
                <w:sz w:val="20"/>
                <w:szCs w:val="20"/>
              </w:rPr>
            </w:pPr>
            <w:r w:rsidRPr="0099742A">
              <w:rPr>
                <w:sz w:val="20"/>
                <w:szCs w:val="20"/>
              </w:rPr>
              <w:t>-1%</w:t>
            </w:r>
          </w:p>
        </w:tc>
      </w:tr>
      <w:tr w:rsidR="00D1739C" w:rsidRPr="00D1739C" w14:paraId="6F948415" w14:textId="77777777" w:rsidTr="00CF771E">
        <w:trPr>
          <w:trHeight w:val="315"/>
        </w:trPr>
        <w:tc>
          <w:tcPr>
            <w:tcW w:w="2520" w:type="dxa"/>
            <w:tcBorders>
              <w:top w:val="nil"/>
              <w:left w:val="nil"/>
              <w:bottom w:val="nil"/>
              <w:right w:val="nil"/>
            </w:tcBorders>
            <w:shd w:val="clear" w:color="auto" w:fill="auto"/>
            <w:noWrap/>
            <w:vAlign w:val="center"/>
            <w:hideMark/>
          </w:tcPr>
          <w:p w14:paraId="42587181" w14:textId="77777777" w:rsidR="00366590" w:rsidRPr="0099742A" w:rsidRDefault="00366590" w:rsidP="00366590">
            <w:pPr>
              <w:pStyle w:val="BodyText"/>
              <w:spacing w:line="240" w:lineRule="auto"/>
              <w:rPr>
                <w:sz w:val="20"/>
                <w:szCs w:val="20"/>
              </w:rPr>
            </w:pPr>
            <w:r w:rsidRPr="0099742A">
              <w:rPr>
                <w:sz w:val="20"/>
                <w:szCs w:val="20"/>
              </w:rPr>
              <w:t>Blended diesel</w:t>
            </w:r>
          </w:p>
        </w:tc>
        <w:tc>
          <w:tcPr>
            <w:tcW w:w="720" w:type="dxa"/>
            <w:tcBorders>
              <w:top w:val="nil"/>
              <w:left w:val="nil"/>
              <w:bottom w:val="nil"/>
              <w:right w:val="nil"/>
            </w:tcBorders>
            <w:shd w:val="clear" w:color="auto" w:fill="auto"/>
            <w:noWrap/>
            <w:vAlign w:val="center"/>
            <w:hideMark/>
          </w:tcPr>
          <w:p w14:paraId="56072BE4" w14:textId="0390B11F" w:rsidR="00366590" w:rsidRPr="0099742A" w:rsidRDefault="00366590" w:rsidP="00366590">
            <w:pPr>
              <w:pStyle w:val="BodyText"/>
              <w:spacing w:line="240" w:lineRule="auto"/>
              <w:rPr>
                <w:sz w:val="20"/>
                <w:szCs w:val="20"/>
              </w:rPr>
            </w:pPr>
            <w:r w:rsidRPr="0099742A">
              <w:rPr>
                <w:color w:val="000000"/>
                <w:sz w:val="20"/>
                <w:szCs w:val="20"/>
              </w:rPr>
              <w:t xml:space="preserve">193 </w:t>
            </w:r>
          </w:p>
        </w:tc>
        <w:tc>
          <w:tcPr>
            <w:tcW w:w="720" w:type="dxa"/>
            <w:tcBorders>
              <w:top w:val="nil"/>
              <w:left w:val="nil"/>
              <w:bottom w:val="nil"/>
              <w:right w:val="nil"/>
            </w:tcBorders>
            <w:shd w:val="clear" w:color="auto" w:fill="auto"/>
            <w:noWrap/>
            <w:vAlign w:val="center"/>
            <w:hideMark/>
          </w:tcPr>
          <w:p w14:paraId="6C2BB559" w14:textId="60E79DF1" w:rsidR="00366590" w:rsidRPr="0099742A" w:rsidRDefault="00366590" w:rsidP="00366590">
            <w:pPr>
              <w:pStyle w:val="BodyText"/>
              <w:spacing w:line="240" w:lineRule="auto"/>
              <w:rPr>
                <w:sz w:val="20"/>
                <w:szCs w:val="20"/>
              </w:rPr>
            </w:pPr>
            <w:r w:rsidRPr="0099742A">
              <w:rPr>
                <w:color w:val="000000"/>
                <w:sz w:val="20"/>
                <w:szCs w:val="20"/>
              </w:rPr>
              <w:t xml:space="preserve">197 </w:t>
            </w:r>
          </w:p>
        </w:tc>
        <w:tc>
          <w:tcPr>
            <w:tcW w:w="720" w:type="dxa"/>
            <w:tcBorders>
              <w:top w:val="nil"/>
              <w:left w:val="nil"/>
              <w:bottom w:val="nil"/>
              <w:right w:val="nil"/>
            </w:tcBorders>
            <w:shd w:val="clear" w:color="auto" w:fill="auto"/>
            <w:noWrap/>
            <w:vAlign w:val="center"/>
            <w:hideMark/>
          </w:tcPr>
          <w:p w14:paraId="63D90A45" w14:textId="30A322C8" w:rsidR="00366590" w:rsidRPr="0099742A" w:rsidRDefault="00366590" w:rsidP="00366590">
            <w:pPr>
              <w:pStyle w:val="BodyText"/>
              <w:spacing w:line="240" w:lineRule="auto"/>
              <w:rPr>
                <w:sz w:val="20"/>
                <w:szCs w:val="20"/>
              </w:rPr>
            </w:pPr>
            <w:r w:rsidRPr="0099742A">
              <w:rPr>
                <w:color w:val="000000"/>
                <w:sz w:val="20"/>
                <w:szCs w:val="20"/>
              </w:rPr>
              <w:t xml:space="preserve">208 </w:t>
            </w:r>
          </w:p>
        </w:tc>
        <w:tc>
          <w:tcPr>
            <w:tcW w:w="728" w:type="dxa"/>
            <w:tcBorders>
              <w:top w:val="nil"/>
              <w:left w:val="nil"/>
              <w:bottom w:val="nil"/>
              <w:right w:val="single" w:sz="4" w:space="0" w:color="auto"/>
            </w:tcBorders>
            <w:shd w:val="clear" w:color="auto" w:fill="auto"/>
            <w:noWrap/>
            <w:vAlign w:val="center"/>
            <w:hideMark/>
          </w:tcPr>
          <w:p w14:paraId="186BEB7C" w14:textId="7D7A32A3" w:rsidR="00366590" w:rsidRPr="0099742A" w:rsidRDefault="00366590" w:rsidP="00366590">
            <w:pPr>
              <w:pStyle w:val="BodyText"/>
              <w:spacing w:line="240" w:lineRule="auto"/>
              <w:rPr>
                <w:sz w:val="20"/>
                <w:szCs w:val="20"/>
              </w:rPr>
            </w:pPr>
            <w:r w:rsidRPr="0099742A">
              <w:rPr>
                <w:color w:val="000000"/>
                <w:sz w:val="20"/>
                <w:szCs w:val="20"/>
              </w:rPr>
              <w:t xml:space="preserve">204 </w:t>
            </w:r>
          </w:p>
        </w:tc>
        <w:tc>
          <w:tcPr>
            <w:tcW w:w="720" w:type="dxa"/>
            <w:tcBorders>
              <w:top w:val="nil"/>
              <w:left w:val="nil"/>
              <w:bottom w:val="nil"/>
              <w:right w:val="nil"/>
            </w:tcBorders>
            <w:shd w:val="clear" w:color="auto" w:fill="auto"/>
            <w:noWrap/>
            <w:vAlign w:val="center"/>
            <w:hideMark/>
          </w:tcPr>
          <w:p w14:paraId="7F35B588" w14:textId="53F58B34" w:rsidR="00366590" w:rsidRPr="0099742A" w:rsidRDefault="00366590" w:rsidP="00366590">
            <w:pPr>
              <w:pStyle w:val="BodyText"/>
              <w:spacing w:line="240" w:lineRule="auto"/>
              <w:rPr>
                <w:sz w:val="20"/>
                <w:szCs w:val="20"/>
              </w:rPr>
            </w:pPr>
            <w:r w:rsidRPr="0099742A">
              <w:rPr>
                <w:color w:val="000000"/>
                <w:sz w:val="20"/>
                <w:szCs w:val="20"/>
              </w:rPr>
              <w:t xml:space="preserve">201 </w:t>
            </w:r>
          </w:p>
        </w:tc>
        <w:tc>
          <w:tcPr>
            <w:tcW w:w="720" w:type="dxa"/>
            <w:tcBorders>
              <w:top w:val="nil"/>
              <w:left w:val="nil"/>
              <w:bottom w:val="nil"/>
              <w:right w:val="nil"/>
            </w:tcBorders>
            <w:shd w:val="clear" w:color="auto" w:fill="auto"/>
            <w:noWrap/>
            <w:vAlign w:val="center"/>
            <w:hideMark/>
          </w:tcPr>
          <w:p w14:paraId="4A82192B" w14:textId="0DEA2AA0" w:rsidR="00366590" w:rsidRPr="0099742A" w:rsidRDefault="00366590" w:rsidP="00366590">
            <w:pPr>
              <w:pStyle w:val="BodyText"/>
              <w:spacing w:line="240" w:lineRule="auto"/>
              <w:rPr>
                <w:sz w:val="20"/>
                <w:szCs w:val="20"/>
              </w:rPr>
            </w:pPr>
            <w:r w:rsidRPr="0099742A">
              <w:rPr>
                <w:color w:val="000000"/>
                <w:sz w:val="20"/>
                <w:szCs w:val="20"/>
              </w:rPr>
              <w:t xml:space="preserve">201 </w:t>
            </w:r>
          </w:p>
        </w:tc>
        <w:tc>
          <w:tcPr>
            <w:tcW w:w="720" w:type="dxa"/>
            <w:tcBorders>
              <w:top w:val="nil"/>
              <w:left w:val="nil"/>
              <w:bottom w:val="nil"/>
              <w:right w:val="nil"/>
            </w:tcBorders>
            <w:shd w:val="clear" w:color="auto" w:fill="auto"/>
            <w:noWrap/>
            <w:vAlign w:val="center"/>
            <w:hideMark/>
          </w:tcPr>
          <w:p w14:paraId="7C0C5CB6" w14:textId="6B7202B5" w:rsidR="00366590" w:rsidRPr="0099742A" w:rsidRDefault="00366590" w:rsidP="00366590">
            <w:pPr>
              <w:pStyle w:val="BodyText"/>
              <w:spacing w:line="240" w:lineRule="auto"/>
              <w:rPr>
                <w:sz w:val="20"/>
                <w:szCs w:val="20"/>
              </w:rPr>
            </w:pPr>
            <w:r w:rsidRPr="0099742A">
              <w:rPr>
                <w:color w:val="000000"/>
                <w:sz w:val="20"/>
                <w:szCs w:val="20"/>
              </w:rPr>
              <w:t xml:space="preserve">201 </w:t>
            </w:r>
          </w:p>
        </w:tc>
        <w:tc>
          <w:tcPr>
            <w:tcW w:w="720" w:type="dxa"/>
            <w:tcBorders>
              <w:top w:val="nil"/>
              <w:left w:val="nil"/>
              <w:bottom w:val="nil"/>
              <w:right w:val="nil"/>
            </w:tcBorders>
            <w:shd w:val="clear" w:color="auto" w:fill="auto"/>
            <w:noWrap/>
            <w:vAlign w:val="center"/>
            <w:hideMark/>
          </w:tcPr>
          <w:p w14:paraId="014DA702" w14:textId="0FDEB7A4" w:rsidR="00366590" w:rsidRPr="0099742A" w:rsidRDefault="00366590" w:rsidP="00366590">
            <w:pPr>
              <w:pStyle w:val="BodyText"/>
              <w:spacing w:line="240" w:lineRule="auto"/>
              <w:rPr>
                <w:sz w:val="20"/>
                <w:szCs w:val="20"/>
              </w:rPr>
            </w:pPr>
            <w:r w:rsidRPr="0099742A">
              <w:rPr>
                <w:color w:val="000000"/>
                <w:sz w:val="20"/>
                <w:szCs w:val="20"/>
              </w:rPr>
              <w:t xml:space="preserve">201 </w:t>
            </w:r>
          </w:p>
        </w:tc>
        <w:tc>
          <w:tcPr>
            <w:tcW w:w="810" w:type="dxa"/>
            <w:tcBorders>
              <w:top w:val="nil"/>
              <w:left w:val="nil"/>
              <w:bottom w:val="nil"/>
              <w:right w:val="nil"/>
            </w:tcBorders>
            <w:shd w:val="clear" w:color="auto" w:fill="auto"/>
            <w:noWrap/>
            <w:vAlign w:val="bottom"/>
            <w:hideMark/>
          </w:tcPr>
          <w:p w14:paraId="1B0CB8FE" w14:textId="77777777" w:rsidR="00366590" w:rsidRPr="0099742A" w:rsidRDefault="00366590" w:rsidP="00366590">
            <w:pPr>
              <w:pStyle w:val="BodyText"/>
              <w:spacing w:line="240" w:lineRule="auto"/>
              <w:rPr>
                <w:sz w:val="20"/>
                <w:szCs w:val="20"/>
              </w:rPr>
            </w:pPr>
            <w:r w:rsidRPr="0099742A">
              <w:rPr>
                <w:sz w:val="20"/>
                <w:szCs w:val="20"/>
              </w:rPr>
              <w:t>EIA</w:t>
            </w:r>
          </w:p>
        </w:tc>
        <w:tc>
          <w:tcPr>
            <w:tcW w:w="1792" w:type="dxa"/>
            <w:tcBorders>
              <w:top w:val="nil"/>
              <w:left w:val="nil"/>
              <w:bottom w:val="nil"/>
              <w:right w:val="nil"/>
            </w:tcBorders>
            <w:shd w:val="clear" w:color="auto" w:fill="auto"/>
            <w:noWrap/>
            <w:vAlign w:val="bottom"/>
            <w:hideMark/>
          </w:tcPr>
          <w:p w14:paraId="5221A3C4" w14:textId="77777777" w:rsidR="00366590" w:rsidRPr="0099742A" w:rsidRDefault="00366590" w:rsidP="00366590">
            <w:pPr>
              <w:pStyle w:val="BodyText"/>
              <w:spacing w:line="240" w:lineRule="auto"/>
              <w:rPr>
                <w:sz w:val="20"/>
                <w:szCs w:val="20"/>
              </w:rPr>
            </w:pPr>
            <w:r w:rsidRPr="0099742A">
              <w:rPr>
                <w:sz w:val="20"/>
                <w:szCs w:val="20"/>
              </w:rPr>
              <w:t>0%</w:t>
            </w:r>
          </w:p>
        </w:tc>
      </w:tr>
      <w:tr w:rsidR="00D1739C" w:rsidRPr="00D1739C" w14:paraId="2EEB4B26" w14:textId="77777777" w:rsidTr="00CF771E">
        <w:trPr>
          <w:trHeight w:val="315"/>
        </w:trPr>
        <w:tc>
          <w:tcPr>
            <w:tcW w:w="2520" w:type="dxa"/>
            <w:tcBorders>
              <w:top w:val="nil"/>
              <w:left w:val="nil"/>
              <w:bottom w:val="single" w:sz="4" w:space="0" w:color="auto"/>
              <w:right w:val="nil"/>
            </w:tcBorders>
            <w:shd w:val="clear" w:color="auto" w:fill="auto"/>
            <w:noWrap/>
            <w:vAlign w:val="center"/>
            <w:hideMark/>
          </w:tcPr>
          <w:p w14:paraId="2F9C151D" w14:textId="520BB1C2" w:rsidR="00086AEC" w:rsidRPr="0099742A" w:rsidRDefault="00FC7AC7" w:rsidP="00C53F8C">
            <w:pPr>
              <w:pStyle w:val="BodyText"/>
              <w:spacing w:line="240" w:lineRule="auto"/>
              <w:rPr>
                <w:sz w:val="20"/>
                <w:szCs w:val="20"/>
              </w:rPr>
            </w:pPr>
            <w:r w:rsidRPr="0099742A">
              <w:rPr>
                <w:sz w:val="20"/>
                <w:szCs w:val="20"/>
              </w:rPr>
              <w:t xml:space="preserve">Prices ($ per </w:t>
            </w:r>
            <w:r w:rsidR="00366590" w:rsidRPr="0099742A">
              <w:rPr>
                <w:sz w:val="20"/>
                <w:szCs w:val="20"/>
              </w:rPr>
              <w:t>liter</w:t>
            </w:r>
            <w:r w:rsidRPr="0099742A">
              <w:rPr>
                <w:sz w:val="20"/>
                <w:szCs w:val="20"/>
              </w:rPr>
              <w:t>)</w:t>
            </w:r>
          </w:p>
        </w:tc>
        <w:tc>
          <w:tcPr>
            <w:tcW w:w="720" w:type="dxa"/>
            <w:tcBorders>
              <w:top w:val="nil"/>
              <w:left w:val="nil"/>
              <w:bottom w:val="single" w:sz="4" w:space="0" w:color="auto"/>
              <w:right w:val="nil"/>
            </w:tcBorders>
            <w:shd w:val="clear" w:color="auto" w:fill="auto"/>
            <w:noWrap/>
            <w:vAlign w:val="center"/>
            <w:hideMark/>
          </w:tcPr>
          <w:p w14:paraId="11E2BA34"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420E0700"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2F2F67FD" w14:textId="77777777" w:rsidR="00086AEC" w:rsidRPr="0099742A" w:rsidRDefault="00FC7AC7" w:rsidP="00C53F8C">
            <w:pPr>
              <w:pStyle w:val="BodyText"/>
              <w:spacing w:line="240" w:lineRule="auto"/>
              <w:rPr>
                <w:sz w:val="20"/>
                <w:szCs w:val="20"/>
              </w:rPr>
            </w:pPr>
            <w:r w:rsidRPr="0099742A">
              <w:rPr>
                <w:sz w:val="20"/>
                <w:szCs w:val="20"/>
              </w:rPr>
              <w:t> </w:t>
            </w:r>
          </w:p>
        </w:tc>
        <w:tc>
          <w:tcPr>
            <w:tcW w:w="728" w:type="dxa"/>
            <w:tcBorders>
              <w:top w:val="nil"/>
              <w:left w:val="nil"/>
              <w:bottom w:val="single" w:sz="4" w:space="0" w:color="auto"/>
              <w:right w:val="single" w:sz="4" w:space="0" w:color="auto"/>
            </w:tcBorders>
            <w:shd w:val="clear" w:color="auto" w:fill="auto"/>
            <w:noWrap/>
            <w:vAlign w:val="center"/>
            <w:hideMark/>
          </w:tcPr>
          <w:p w14:paraId="48B51858"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6673D417"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049C5452"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7C5B78B8" w14:textId="77777777" w:rsidR="00086AEC" w:rsidRPr="0099742A" w:rsidRDefault="00FC7AC7"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5C332E1E" w14:textId="77777777" w:rsidR="00086AEC" w:rsidRPr="0099742A" w:rsidRDefault="00FC7AC7" w:rsidP="00C53F8C">
            <w:pPr>
              <w:pStyle w:val="BodyText"/>
              <w:spacing w:line="240" w:lineRule="auto"/>
              <w:rPr>
                <w:sz w:val="20"/>
                <w:szCs w:val="20"/>
              </w:rPr>
            </w:pPr>
            <w:r w:rsidRPr="0099742A">
              <w:rPr>
                <w:sz w:val="20"/>
                <w:szCs w:val="20"/>
              </w:rPr>
              <w:t> </w:t>
            </w:r>
          </w:p>
        </w:tc>
        <w:tc>
          <w:tcPr>
            <w:tcW w:w="810" w:type="dxa"/>
            <w:tcBorders>
              <w:top w:val="nil"/>
              <w:left w:val="nil"/>
              <w:bottom w:val="single" w:sz="4" w:space="0" w:color="auto"/>
              <w:right w:val="nil"/>
            </w:tcBorders>
            <w:shd w:val="clear" w:color="auto" w:fill="auto"/>
            <w:noWrap/>
            <w:hideMark/>
          </w:tcPr>
          <w:p w14:paraId="327D17BB" w14:textId="77777777" w:rsidR="00086AEC" w:rsidRPr="0099742A" w:rsidRDefault="00FC7AC7" w:rsidP="00C53F8C">
            <w:pPr>
              <w:pStyle w:val="BodyText"/>
              <w:spacing w:line="240" w:lineRule="auto"/>
              <w:rPr>
                <w:sz w:val="20"/>
                <w:szCs w:val="20"/>
              </w:rPr>
            </w:pPr>
            <w:r w:rsidRPr="0099742A">
              <w:rPr>
                <w:sz w:val="20"/>
                <w:szCs w:val="20"/>
              </w:rPr>
              <w:t> </w:t>
            </w:r>
          </w:p>
        </w:tc>
        <w:tc>
          <w:tcPr>
            <w:tcW w:w="1792" w:type="dxa"/>
            <w:tcBorders>
              <w:top w:val="nil"/>
              <w:left w:val="nil"/>
              <w:bottom w:val="single" w:sz="4" w:space="0" w:color="auto"/>
              <w:right w:val="nil"/>
            </w:tcBorders>
            <w:shd w:val="clear" w:color="auto" w:fill="auto"/>
            <w:noWrap/>
            <w:vAlign w:val="center"/>
            <w:hideMark/>
          </w:tcPr>
          <w:p w14:paraId="04042AD1" w14:textId="77777777" w:rsidR="00086AEC" w:rsidRPr="0099742A" w:rsidRDefault="00FC7AC7" w:rsidP="00C53F8C">
            <w:pPr>
              <w:pStyle w:val="BodyText"/>
              <w:spacing w:line="240" w:lineRule="auto"/>
              <w:rPr>
                <w:sz w:val="20"/>
                <w:szCs w:val="20"/>
              </w:rPr>
            </w:pPr>
            <w:r w:rsidRPr="0099742A">
              <w:rPr>
                <w:sz w:val="20"/>
                <w:szCs w:val="20"/>
              </w:rPr>
              <w:t> </w:t>
            </w:r>
          </w:p>
        </w:tc>
      </w:tr>
      <w:tr w:rsidR="00D1739C" w:rsidRPr="00D1739C" w14:paraId="3E4D7C3D" w14:textId="77777777" w:rsidTr="00CF771E">
        <w:trPr>
          <w:trHeight w:val="315"/>
        </w:trPr>
        <w:tc>
          <w:tcPr>
            <w:tcW w:w="2520" w:type="dxa"/>
            <w:tcBorders>
              <w:top w:val="nil"/>
              <w:left w:val="nil"/>
              <w:bottom w:val="nil"/>
              <w:right w:val="nil"/>
            </w:tcBorders>
            <w:shd w:val="clear" w:color="auto" w:fill="auto"/>
            <w:noWrap/>
            <w:vAlign w:val="center"/>
            <w:hideMark/>
          </w:tcPr>
          <w:p w14:paraId="13AEC5A0" w14:textId="77777777" w:rsidR="00366590" w:rsidRPr="0099742A" w:rsidRDefault="00366590" w:rsidP="00366590">
            <w:pPr>
              <w:pStyle w:val="BodyText"/>
              <w:spacing w:line="240" w:lineRule="auto"/>
              <w:rPr>
                <w:sz w:val="20"/>
                <w:szCs w:val="20"/>
              </w:rPr>
            </w:pPr>
            <w:r w:rsidRPr="0099742A">
              <w:rPr>
                <w:sz w:val="20"/>
                <w:szCs w:val="20"/>
              </w:rPr>
              <w:t>US oil price</w:t>
            </w:r>
          </w:p>
        </w:tc>
        <w:tc>
          <w:tcPr>
            <w:tcW w:w="720" w:type="dxa"/>
            <w:tcBorders>
              <w:top w:val="nil"/>
              <w:left w:val="nil"/>
              <w:bottom w:val="nil"/>
              <w:right w:val="nil"/>
            </w:tcBorders>
            <w:shd w:val="clear" w:color="auto" w:fill="auto"/>
            <w:noWrap/>
            <w:vAlign w:val="center"/>
            <w:hideMark/>
          </w:tcPr>
          <w:p w14:paraId="32E05647" w14:textId="0226977B" w:rsidR="00366590" w:rsidRPr="0099742A" w:rsidRDefault="00366590" w:rsidP="00366590">
            <w:pPr>
              <w:pStyle w:val="BodyText"/>
              <w:spacing w:line="240" w:lineRule="auto"/>
              <w:rPr>
                <w:sz w:val="20"/>
                <w:szCs w:val="20"/>
              </w:rPr>
            </w:pPr>
            <w:r w:rsidRPr="0099742A">
              <w:rPr>
                <w:color w:val="000000"/>
                <w:sz w:val="20"/>
                <w:szCs w:val="20"/>
              </w:rPr>
              <w:t>0.27</w:t>
            </w:r>
          </w:p>
        </w:tc>
        <w:tc>
          <w:tcPr>
            <w:tcW w:w="720" w:type="dxa"/>
            <w:tcBorders>
              <w:top w:val="nil"/>
              <w:left w:val="nil"/>
              <w:bottom w:val="nil"/>
              <w:right w:val="nil"/>
            </w:tcBorders>
            <w:shd w:val="clear" w:color="auto" w:fill="auto"/>
            <w:noWrap/>
            <w:vAlign w:val="center"/>
            <w:hideMark/>
          </w:tcPr>
          <w:p w14:paraId="635AC2C0" w14:textId="6B529E46" w:rsidR="00366590" w:rsidRPr="0099742A" w:rsidRDefault="00366590" w:rsidP="00366590">
            <w:pPr>
              <w:pStyle w:val="BodyText"/>
              <w:spacing w:line="240" w:lineRule="auto"/>
              <w:rPr>
                <w:sz w:val="20"/>
                <w:szCs w:val="20"/>
              </w:rPr>
            </w:pPr>
            <w:r w:rsidRPr="0099742A">
              <w:rPr>
                <w:color w:val="000000"/>
                <w:sz w:val="20"/>
                <w:szCs w:val="20"/>
              </w:rPr>
              <w:t>0.32</w:t>
            </w:r>
          </w:p>
        </w:tc>
        <w:tc>
          <w:tcPr>
            <w:tcW w:w="720" w:type="dxa"/>
            <w:tcBorders>
              <w:top w:val="nil"/>
              <w:left w:val="nil"/>
              <w:bottom w:val="nil"/>
              <w:right w:val="nil"/>
            </w:tcBorders>
            <w:shd w:val="clear" w:color="auto" w:fill="auto"/>
            <w:noWrap/>
            <w:vAlign w:val="center"/>
            <w:hideMark/>
          </w:tcPr>
          <w:p w14:paraId="2BEE1B3D" w14:textId="10F3CFE1" w:rsidR="00366590" w:rsidRPr="0099742A" w:rsidRDefault="00366590" w:rsidP="00366590">
            <w:pPr>
              <w:pStyle w:val="BodyText"/>
              <w:spacing w:line="240" w:lineRule="auto"/>
              <w:rPr>
                <w:sz w:val="20"/>
                <w:szCs w:val="20"/>
              </w:rPr>
            </w:pPr>
            <w:r w:rsidRPr="0099742A">
              <w:rPr>
                <w:color w:val="000000"/>
                <w:sz w:val="20"/>
                <w:szCs w:val="20"/>
              </w:rPr>
              <w:t>0.41</w:t>
            </w:r>
          </w:p>
        </w:tc>
        <w:tc>
          <w:tcPr>
            <w:tcW w:w="728" w:type="dxa"/>
            <w:tcBorders>
              <w:top w:val="nil"/>
              <w:left w:val="nil"/>
              <w:bottom w:val="nil"/>
              <w:right w:val="single" w:sz="4" w:space="0" w:color="auto"/>
            </w:tcBorders>
            <w:shd w:val="clear" w:color="auto" w:fill="auto"/>
            <w:noWrap/>
            <w:vAlign w:val="center"/>
            <w:hideMark/>
          </w:tcPr>
          <w:p w14:paraId="6897C4AE" w14:textId="1FA70F0F" w:rsidR="00366590" w:rsidRPr="0099742A" w:rsidRDefault="00366590" w:rsidP="00366590">
            <w:pPr>
              <w:pStyle w:val="BodyText"/>
              <w:spacing w:line="240" w:lineRule="auto"/>
              <w:rPr>
                <w:sz w:val="20"/>
                <w:szCs w:val="20"/>
              </w:rPr>
            </w:pPr>
            <w:r w:rsidRPr="0099742A">
              <w:rPr>
                <w:color w:val="000000"/>
                <w:sz w:val="20"/>
                <w:szCs w:val="20"/>
              </w:rPr>
              <w:t>0.36</w:t>
            </w:r>
          </w:p>
        </w:tc>
        <w:tc>
          <w:tcPr>
            <w:tcW w:w="720" w:type="dxa"/>
            <w:tcBorders>
              <w:top w:val="nil"/>
              <w:left w:val="nil"/>
              <w:bottom w:val="nil"/>
              <w:right w:val="nil"/>
            </w:tcBorders>
            <w:shd w:val="clear" w:color="auto" w:fill="auto"/>
            <w:noWrap/>
            <w:vAlign w:val="center"/>
            <w:hideMark/>
          </w:tcPr>
          <w:p w14:paraId="21613907" w14:textId="0BB924E4" w:rsidR="00366590" w:rsidRPr="0099742A" w:rsidRDefault="00366590" w:rsidP="00366590">
            <w:pPr>
              <w:pStyle w:val="BodyText"/>
              <w:spacing w:line="240" w:lineRule="auto"/>
              <w:rPr>
                <w:sz w:val="20"/>
                <w:szCs w:val="20"/>
              </w:rPr>
            </w:pPr>
            <w:r w:rsidRPr="0099742A">
              <w:rPr>
                <w:color w:val="000000"/>
                <w:sz w:val="20"/>
                <w:szCs w:val="20"/>
              </w:rPr>
              <w:t>0.27</w:t>
            </w:r>
          </w:p>
        </w:tc>
        <w:tc>
          <w:tcPr>
            <w:tcW w:w="720" w:type="dxa"/>
            <w:tcBorders>
              <w:top w:val="nil"/>
              <w:left w:val="nil"/>
              <w:bottom w:val="nil"/>
              <w:right w:val="nil"/>
            </w:tcBorders>
            <w:shd w:val="clear" w:color="auto" w:fill="auto"/>
            <w:noWrap/>
            <w:vAlign w:val="center"/>
            <w:hideMark/>
          </w:tcPr>
          <w:p w14:paraId="29D59803" w14:textId="2F1E765B" w:rsidR="00366590" w:rsidRPr="0099742A" w:rsidRDefault="00366590" w:rsidP="00366590">
            <w:pPr>
              <w:pStyle w:val="BodyText"/>
              <w:spacing w:line="240" w:lineRule="auto"/>
              <w:rPr>
                <w:sz w:val="20"/>
                <w:szCs w:val="20"/>
              </w:rPr>
            </w:pPr>
            <w:r w:rsidRPr="0099742A">
              <w:rPr>
                <w:color w:val="000000"/>
                <w:sz w:val="20"/>
                <w:szCs w:val="20"/>
              </w:rPr>
              <w:t>0.30</w:t>
            </w:r>
          </w:p>
        </w:tc>
        <w:tc>
          <w:tcPr>
            <w:tcW w:w="720" w:type="dxa"/>
            <w:tcBorders>
              <w:top w:val="nil"/>
              <w:left w:val="nil"/>
              <w:bottom w:val="nil"/>
              <w:right w:val="nil"/>
            </w:tcBorders>
            <w:shd w:val="clear" w:color="auto" w:fill="auto"/>
            <w:noWrap/>
            <w:vAlign w:val="center"/>
            <w:hideMark/>
          </w:tcPr>
          <w:p w14:paraId="02357619" w14:textId="65D7D6E6" w:rsidR="00366590" w:rsidRPr="0099742A" w:rsidRDefault="00366590" w:rsidP="00366590">
            <w:pPr>
              <w:pStyle w:val="BodyText"/>
              <w:spacing w:line="240" w:lineRule="auto"/>
              <w:rPr>
                <w:sz w:val="20"/>
                <w:szCs w:val="20"/>
              </w:rPr>
            </w:pPr>
            <w:r w:rsidRPr="0099742A">
              <w:rPr>
                <w:color w:val="000000"/>
                <w:sz w:val="20"/>
                <w:szCs w:val="20"/>
              </w:rPr>
              <w:t>0.39</w:t>
            </w:r>
          </w:p>
        </w:tc>
        <w:tc>
          <w:tcPr>
            <w:tcW w:w="720" w:type="dxa"/>
            <w:tcBorders>
              <w:top w:val="nil"/>
              <w:left w:val="nil"/>
              <w:bottom w:val="nil"/>
              <w:right w:val="nil"/>
            </w:tcBorders>
            <w:shd w:val="clear" w:color="auto" w:fill="auto"/>
            <w:noWrap/>
            <w:vAlign w:val="center"/>
            <w:hideMark/>
          </w:tcPr>
          <w:p w14:paraId="580049BD" w14:textId="0064A6B4" w:rsidR="00366590" w:rsidRPr="0099742A" w:rsidRDefault="00366590" w:rsidP="00366590">
            <w:pPr>
              <w:pStyle w:val="BodyText"/>
              <w:spacing w:line="240" w:lineRule="auto"/>
              <w:rPr>
                <w:sz w:val="20"/>
                <w:szCs w:val="20"/>
              </w:rPr>
            </w:pPr>
            <w:r w:rsidRPr="0099742A">
              <w:rPr>
                <w:color w:val="000000"/>
                <w:sz w:val="20"/>
                <w:szCs w:val="20"/>
              </w:rPr>
              <w:t>0.36</w:t>
            </w:r>
          </w:p>
        </w:tc>
        <w:tc>
          <w:tcPr>
            <w:tcW w:w="810" w:type="dxa"/>
            <w:tcBorders>
              <w:top w:val="nil"/>
              <w:left w:val="nil"/>
              <w:bottom w:val="nil"/>
              <w:right w:val="nil"/>
            </w:tcBorders>
            <w:shd w:val="clear" w:color="auto" w:fill="auto"/>
            <w:noWrap/>
            <w:vAlign w:val="center"/>
            <w:hideMark/>
          </w:tcPr>
          <w:p w14:paraId="1E19BB65" w14:textId="77777777" w:rsidR="00366590" w:rsidRPr="0099742A" w:rsidRDefault="00366590" w:rsidP="00366590">
            <w:pPr>
              <w:pStyle w:val="BodyText"/>
              <w:spacing w:line="240" w:lineRule="auto"/>
              <w:rPr>
                <w:sz w:val="20"/>
                <w:szCs w:val="20"/>
              </w:rPr>
            </w:pPr>
            <w:r w:rsidRPr="0099742A">
              <w:rPr>
                <w:sz w:val="20"/>
                <w:szCs w:val="20"/>
              </w:rPr>
              <w:t>WTI</w:t>
            </w:r>
          </w:p>
        </w:tc>
        <w:tc>
          <w:tcPr>
            <w:tcW w:w="1792" w:type="dxa"/>
            <w:tcBorders>
              <w:top w:val="nil"/>
              <w:left w:val="nil"/>
              <w:bottom w:val="nil"/>
              <w:right w:val="nil"/>
            </w:tcBorders>
            <w:shd w:val="clear" w:color="auto" w:fill="auto"/>
            <w:noWrap/>
            <w:vAlign w:val="bottom"/>
            <w:hideMark/>
          </w:tcPr>
          <w:p w14:paraId="5C36D31A" w14:textId="77777777" w:rsidR="00366590" w:rsidRPr="0099742A" w:rsidRDefault="00366590" w:rsidP="00366590">
            <w:pPr>
              <w:pStyle w:val="BodyText"/>
              <w:spacing w:line="240" w:lineRule="auto"/>
              <w:rPr>
                <w:sz w:val="20"/>
                <w:szCs w:val="20"/>
              </w:rPr>
            </w:pPr>
            <w:r w:rsidRPr="0099742A">
              <w:rPr>
                <w:sz w:val="20"/>
                <w:szCs w:val="20"/>
              </w:rPr>
              <w:t>-2%</w:t>
            </w:r>
          </w:p>
        </w:tc>
      </w:tr>
      <w:tr w:rsidR="00D1739C" w:rsidRPr="00D1739C" w14:paraId="36DC2AA5" w14:textId="77777777" w:rsidTr="00CF771E">
        <w:trPr>
          <w:trHeight w:val="315"/>
        </w:trPr>
        <w:tc>
          <w:tcPr>
            <w:tcW w:w="2520" w:type="dxa"/>
            <w:tcBorders>
              <w:top w:val="nil"/>
              <w:left w:val="nil"/>
              <w:bottom w:val="nil"/>
              <w:right w:val="nil"/>
            </w:tcBorders>
            <w:shd w:val="clear" w:color="auto" w:fill="auto"/>
            <w:noWrap/>
            <w:vAlign w:val="center"/>
            <w:hideMark/>
          </w:tcPr>
          <w:p w14:paraId="3DA40A4D" w14:textId="77777777" w:rsidR="00366590" w:rsidRPr="0099742A" w:rsidRDefault="00366590" w:rsidP="00366590">
            <w:pPr>
              <w:pStyle w:val="BodyText"/>
              <w:spacing w:line="240" w:lineRule="auto"/>
              <w:rPr>
                <w:sz w:val="20"/>
                <w:szCs w:val="20"/>
              </w:rPr>
            </w:pPr>
            <w:r w:rsidRPr="0099742A">
              <w:rPr>
                <w:sz w:val="20"/>
                <w:szCs w:val="20"/>
              </w:rPr>
              <w:t>ROW oil price</w:t>
            </w:r>
          </w:p>
        </w:tc>
        <w:tc>
          <w:tcPr>
            <w:tcW w:w="720" w:type="dxa"/>
            <w:tcBorders>
              <w:top w:val="nil"/>
              <w:left w:val="nil"/>
              <w:bottom w:val="nil"/>
              <w:right w:val="nil"/>
            </w:tcBorders>
            <w:shd w:val="clear" w:color="auto" w:fill="auto"/>
            <w:noWrap/>
            <w:vAlign w:val="center"/>
            <w:hideMark/>
          </w:tcPr>
          <w:p w14:paraId="592BF327" w14:textId="554C15F5" w:rsidR="00366590" w:rsidRPr="0099742A" w:rsidRDefault="00366590" w:rsidP="00366590">
            <w:pPr>
              <w:pStyle w:val="BodyText"/>
              <w:spacing w:line="240" w:lineRule="auto"/>
              <w:rPr>
                <w:sz w:val="20"/>
                <w:szCs w:val="20"/>
              </w:rPr>
            </w:pPr>
            <w:r w:rsidRPr="0099742A">
              <w:rPr>
                <w:color w:val="000000"/>
                <w:sz w:val="20"/>
                <w:szCs w:val="20"/>
              </w:rPr>
              <w:t>0.27</w:t>
            </w:r>
          </w:p>
        </w:tc>
        <w:tc>
          <w:tcPr>
            <w:tcW w:w="720" w:type="dxa"/>
            <w:tcBorders>
              <w:top w:val="nil"/>
              <w:left w:val="nil"/>
              <w:bottom w:val="nil"/>
              <w:right w:val="nil"/>
            </w:tcBorders>
            <w:shd w:val="clear" w:color="auto" w:fill="auto"/>
            <w:noWrap/>
            <w:vAlign w:val="center"/>
            <w:hideMark/>
          </w:tcPr>
          <w:p w14:paraId="061C0E71" w14:textId="276CF5E6" w:rsidR="00366590" w:rsidRPr="0099742A" w:rsidRDefault="00366590" w:rsidP="00366590">
            <w:pPr>
              <w:pStyle w:val="BodyText"/>
              <w:spacing w:line="240" w:lineRule="auto"/>
              <w:rPr>
                <w:sz w:val="20"/>
                <w:szCs w:val="20"/>
              </w:rPr>
            </w:pPr>
            <w:r w:rsidRPr="0099742A">
              <w:rPr>
                <w:color w:val="000000"/>
                <w:sz w:val="20"/>
                <w:szCs w:val="20"/>
              </w:rPr>
              <w:t>0.34</w:t>
            </w:r>
          </w:p>
        </w:tc>
        <w:tc>
          <w:tcPr>
            <w:tcW w:w="720" w:type="dxa"/>
            <w:tcBorders>
              <w:top w:val="nil"/>
              <w:left w:val="nil"/>
              <w:bottom w:val="nil"/>
              <w:right w:val="nil"/>
            </w:tcBorders>
            <w:shd w:val="clear" w:color="auto" w:fill="auto"/>
            <w:noWrap/>
            <w:vAlign w:val="center"/>
            <w:hideMark/>
          </w:tcPr>
          <w:p w14:paraId="7D62AE68" w14:textId="3197802D" w:rsidR="00366590" w:rsidRPr="0099742A" w:rsidRDefault="00366590" w:rsidP="00366590">
            <w:pPr>
              <w:pStyle w:val="BodyText"/>
              <w:spacing w:line="240" w:lineRule="auto"/>
              <w:rPr>
                <w:sz w:val="20"/>
                <w:szCs w:val="20"/>
              </w:rPr>
            </w:pPr>
            <w:r w:rsidRPr="0099742A">
              <w:rPr>
                <w:color w:val="000000"/>
                <w:sz w:val="20"/>
                <w:szCs w:val="20"/>
              </w:rPr>
              <w:t>0.45</w:t>
            </w:r>
          </w:p>
        </w:tc>
        <w:tc>
          <w:tcPr>
            <w:tcW w:w="728" w:type="dxa"/>
            <w:tcBorders>
              <w:top w:val="nil"/>
              <w:left w:val="nil"/>
              <w:bottom w:val="nil"/>
              <w:right w:val="single" w:sz="4" w:space="0" w:color="auto"/>
            </w:tcBorders>
            <w:shd w:val="clear" w:color="auto" w:fill="auto"/>
            <w:noWrap/>
            <w:vAlign w:val="center"/>
            <w:hideMark/>
          </w:tcPr>
          <w:p w14:paraId="4DC9D62C" w14:textId="204A5CBC" w:rsidR="00366590" w:rsidRPr="0099742A" w:rsidRDefault="00366590" w:rsidP="00366590">
            <w:pPr>
              <w:pStyle w:val="BodyText"/>
              <w:spacing w:line="240" w:lineRule="auto"/>
              <w:rPr>
                <w:sz w:val="20"/>
                <w:szCs w:val="20"/>
              </w:rPr>
            </w:pPr>
            <w:r w:rsidRPr="0099742A">
              <w:rPr>
                <w:color w:val="000000"/>
                <w:sz w:val="20"/>
                <w:szCs w:val="20"/>
              </w:rPr>
              <w:t>0.40</w:t>
            </w:r>
          </w:p>
        </w:tc>
        <w:tc>
          <w:tcPr>
            <w:tcW w:w="720" w:type="dxa"/>
            <w:tcBorders>
              <w:top w:val="nil"/>
              <w:left w:val="nil"/>
              <w:bottom w:val="nil"/>
              <w:right w:val="nil"/>
            </w:tcBorders>
            <w:shd w:val="clear" w:color="auto" w:fill="auto"/>
            <w:noWrap/>
            <w:vAlign w:val="center"/>
            <w:hideMark/>
          </w:tcPr>
          <w:p w14:paraId="532A42B4" w14:textId="73B2BFD1" w:rsidR="00366590" w:rsidRPr="0099742A" w:rsidRDefault="00366590" w:rsidP="00366590">
            <w:pPr>
              <w:pStyle w:val="BodyText"/>
              <w:spacing w:line="240" w:lineRule="auto"/>
              <w:rPr>
                <w:sz w:val="20"/>
                <w:szCs w:val="20"/>
              </w:rPr>
            </w:pPr>
            <w:r w:rsidRPr="0099742A">
              <w:rPr>
                <w:color w:val="000000"/>
                <w:sz w:val="20"/>
                <w:szCs w:val="20"/>
              </w:rPr>
              <w:t>0.27</w:t>
            </w:r>
          </w:p>
        </w:tc>
        <w:tc>
          <w:tcPr>
            <w:tcW w:w="720" w:type="dxa"/>
            <w:tcBorders>
              <w:top w:val="nil"/>
              <w:left w:val="nil"/>
              <w:bottom w:val="nil"/>
              <w:right w:val="nil"/>
            </w:tcBorders>
            <w:shd w:val="clear" w:color="auto" w:fill="auto"/>
            <w:noWrap/>
            <w:vAlign w:val="center"/>
            <w:hideMark/>
          </w:tcPr>
          <w:p w14:paraId="174DE2BD" w14:textId="5AD2A5D7" w:rsidR="00366590" w:rsidRPr="0099742A" w:rsidRDefault="00366590" w:rsidP="00366590">
            <w:pPr>
              <w:pStyle w:val="BodyText"/>
              <w:spacing w:line="240" w:lineRule="auto"/>
              <w:rPr>
                <w:sz w:val="20"/>
                <w:szCs w:val="20"/>
              </w:rPr>
            </w:pPr>
            <w:r w:rsidRPr="0099742A">
              <w:rPr>
                <w:color w:val="000000"/>
                <w:sz w:val="20"/>
                <w:szCs w:val="20"/>
              </w:rPr>
              <w:t>0.30</w:t>
            </w:r>
          </w:p>
        </w:tc>
        <w:tc>
          <w:tcPr>
            <w:tcW w:w="720" w:type="dxa"/>
            <w:tcBorders>
              <w:top w:val="nil"/>
              <w:left w:val="nil"/>
              <w:bottom w:val="nil"/>
              <w:right w:val="nil"/>
            </w:tcBorders>
            <w:shd w:val="clear" w:color="auto" w:fill="auto"/>
            <w:noWrap/>
            <w:vAlign w:val="center"/>
            <w:hideMark/>
          </w:tcPr>
          <w:p w14:paraId="22001CFE" w14:textId="1D24C33B" w:rsidR="00366590" w:rsidRPr="0099742A" w:rsidRDefault="00366590" w:rsidP="00366590">
            <w:pPr>
              <w:pStyle w:val="BodyText"/>
              <w:spacing w:line="240" w:lineRule="auto"/>
              <w:rPr>
                <w:sz w:val="20"/>
                <w:szCs w:val="20"/>
              </w:rPr>
            </w:pPr>
            <w:r w:rsidRPr="0099742A">
              <w:rPr>
                <w:color w:val="000000"/>
                <w:sz w:val="20"/>
                <w:szCs w:val="20"/>
              </w:rPr>
              <w:t>0.39</w:t>
            </w:r>
          </w:p>
        </w:tc>
        <w:tc>
          <w:tcPr>
            <w:tcW w:w="720" w:type="dxa"/>
            <w:tcBorders>
              <w:top w:val="nil"/>
              <w:left w:val="nil"/>
              <w:bottom w:val="nil"/>
              <w:right w:val="nil"/>
            </w:tcBorders>
            <w:shd w:val="clear" w:color="auto" w:fill="auto"/>
            <w:noWrap/>
            <w:vAlign w:val="center"/>
            <w:hideMark/>
          </w:tcPr>
          <w:p w14:paraId="7964F5D1" w14:textId="2824CFE1" w:rsidR="00366590" w:rsidRPr="0099742A" w:rsidRDefault="00366590" w:rsidP="00366590">
            <w:pPr>
              <w:pStyle w:val="BodyText"/>
              <w:spacing w:line="240" w:lineRule="auto"/>
              <w:rPr>
                <w:sz w:val="20"/>
                <w:szCs w:val="20"/>
              </w:rPr>
            </w:pPr>
            <w:r w:rsidRPr="0099742A">
              <w:rPr>
                <w:color w:val="000000"/>
                <w:sz w:val="20"/>
                <w:szCs w:val="20"/>
              </w:rPr>
              <w:t>0.36</w:t>
            </w:r>
          </w:p>
        </w:tc>
        <w:tc>
          <w:tcPr>
            <w:tcW w:w="810" w:type="dxa"/>
            <w:tcBorders>
              <w:top w:val="nil"/>
              <w:left w:val="nil"/>
              <w:bottom w:val="nil"/>
              <w:right w:val="nil"/>
            </w:tcBorders>
            <w:shd w:val="clear" w:color="auto" w:fill="auto"/>
            <w:noWrap/>
            <w:vAlign w:val="bottom"/>
            <w:hideMark/>
          </w:tcPr>
          <w:p w14:paraId="31373FF3" w14:textId="77777777" w:rsidR="00366590" w:rsidRPr="0099742A" w:rsidRDefault="00366590" w:rsidP="00366590">
            <w:pPr>
              <w:pStyle w:val="BodyText"/>
              <w:spacing w:line="240" w:lineRule="auto"/>
              <w:rPr>
                <w:sz w:val="20"/>
                <w:szCs w:val="20"/>
              </w:rPr>
            </w:pPr>
            <w:r w:rsidRPr="0099742A">
              <w:rPr>
                <w:sz w:val="20"/>
                <w:szCs w:val="20"/>
              </w:rPr>
              <w:t>Brent</w:t>
            </w:r>
          </w:p>
        </w:tc>
        <w:tc>
          <w:tcPr>
            <w:tcW w:w="1792" w:type="dxa"/>
            <w:tcBorders>
              <w:top w:val="nil"/>
              <w:left w:val="nil"/>
              <w:bottom w:val="nil"/>
              <w:right w:val="nil"/>
            </w:tcBorders>
            <w:shd w:val="clear" w:color="auto" w:fill="auto"/>
            <w:noWrap/>
            <w:vAlign w:val="bottom"/>
            <w:hideMark/>
          </w:tcPr>
          <w:p w14:paraId="2F9D0BD8" w14:textId="77777777" w:rsidR="00366590" w:rsidRPr="0099742A" w:rsidRDefault="00366590" w:rsidP="00366590">
            <w:pPr>
              <w:pStyle w:val="BodyText"/>
              <w:spacing w:line="240" w:lineRule="auto"/>
              <w:rPr>
                <w:sz w:val="20"/>
                <w:szCs w:val="20"/>
              </w:rPr>
            </w:pPr>
            <w:r w:rsidRPr="0099742A">
              <w:rPr>
                <w:sz w:val="20"/>
                <w:szCs w:val="20"/>
              </w:rPr>
              <w:t>-9%</w:t>
            </w:r>
          </w:p>
        </w:tc>
      </w:tr>
      <w:tr w:rsidR="00D1739C" w:rsidRPr="00D1739C" w14:paraId="4C6AD90C" w14:textId="77777777" w:rsidTr="00CF771E">
        <w:trPr>
          <w:trHeight w:val="315"/>
        </w:trPr>
        <w:tc>
          <w:tcPr>
            <w:tcW w:w="2520" w:type="dxa"/>
            <w:tcBorders>
              <w:top w:val="nil"/>
              <w:left w:val="nil"/>
              <w:bottom w:val="nil"/>
              <w:right w:val="nil"/>
            </w:tcBorders>
            <w:shd w:val="clear" w:color="auto" w:fill="auto"/>
            <w:noWrap/>
            <w:vAlign w:val="center"/>
            <w:hideMark/>
          </w:tcPr>
          <w:p w14:paraId="375CD93A" w14:textId="77777777" w:rsidR="00366590" w:rsidRPr="0099742A" w:rsidRDefault="00366590" w:rsidP="00366590">
            <w:pPr>
              <w:pStyle w:val="BodyText"/>
              <w:spacing w:line="240" w:lineRule="auto"/>
              <w:rPr>
                <w:sz w:val="20"/>
                <w:szCs w:val="20"/>
              </w:rPr>
            </w:pPr>
            <w:r w:rsidRPr="0099742A">
              <w:rPr>
                <w:sz w:val="20"/>
                <w:szCs w:val="20"/>
              </w:rPr>
              <w:t>US wholesale ethanol</w:t>
            </w:r>
          </w:p>
        </w:tc>
        <w:tc>
          <w:tcPr>
            <w:tcW w:w="720" w:type="dxa"/>
            <w:tcBorders>
              <w:top w:val="nil"/>
              <w:left w:val="nil"/>
              <w:bottom w:val="nil"/>
              <w:right w:val="nil"/>
            </w:tcBorders>
            <w:shd w:val="clear" w:color="auto" w:fill="auto"/>
            <w:noWrap/>
            <w:vAlign w:val="center"/>
            <w:hideMark/>
          </w:tcPr>
          <w:p w14:paraId="00066562" w14:textId="02650BF5" w:rsidR="00366590" w:rsidRPr="0099742A" w:rsidRDefault="00366590" w:rsidP="00366590">
            <w:pPr>
              <w:pStyle w:val="BodyText"/>
              <w:spacing w:line="240" w:lineRule="auto"/>
              <w:rPr>
                <w:sz w:val="20"/>
                <w:szCs w:val="20"/>
              </w:rPr>
            </w:pPr>
            <w:r w:rsidRPr="0099742A">
              <w:rPr>
                <w:color w:val="000000"/>
                <w:sz w:val="20"/>
                <w:szCs w:val="20"/>
              </w:rPr>
              <w:t>0.41</w:t>
            </w:r>
          </w:p>
        </w:tc>
        <w:tc>
          <w:tcPr>
            <w:tcW w:w="720" w:type="dxa"/>
            <w:tcBorders>
              <w:top w:val="nil"/>
              <w:left w:val="nil"/>
              <w:bottom w:val="nil"/>
              <w:right w:val="nil"/>
            </w:tcBorders>
            <w:shd w:val="clear" w:color="auto" w:fill="auto"/>
            <w:noWrap/>
            <w:vAlign w:val="center"/>
            <w:hideMark/>
          </w:tcPr>
          <w:p w14:paraId="106C15E1" w14:textId="00DEC9E3" w:rsidR="00366590" w:rsidRPr="0099742A" w:rsidRDefault="00366590" w:rsidP="00366590">
            <w:pPr>
              <w:pStyle w:val="BodyText"/>
              <w:spacing w:line="240" w:lineRule="auto"/>
              <w:rPr>
                <w:sz w:val="20"/>
                <w:szCs w:val="20"/>
              </w:rPr>
            </w:pPr>
            <w:r w:rsidRPr="0099742A">
              <w:rPr>
                <w:color w:val="000000"/>
                <w:sz w:val="20"/>
                <w:szCs w:val="20"/>
              </w:rPr>
              <w:t>0.38</w:t>
            </w:r>
          </w:p>
        </w:tc>
        <w:tc>
          <w:tcPr>
            <w:tcW w:w="720" w:type="dxa"/>
            <w:tcBorders>
              <w:top w:val="nil"/>
              <w:left w:val="nil"/>
              <w:bottom w:val="nil"/>
              <w:right w:val="nil"/>
            </w:tcBorders>
            <w:shd w:val="clear" w:color="auto" w:fill="auto"/>
            <w:noWrap/>
            <w:vAlign w:val="center"/>
            <w:hideMark/>
          </w:tcPr>
          <w:p w14:paraId="1D9011D6" w14:textId="0CA3E435" w:rsidR="00366590" w:rsidRPr="0099742A" w:rsidRDefault="00366590" w:rsidP="00366590">
            <w:pPr>
              <w:pStyle w:val="BodyText"/>
              <w:spacing w:line="240" w:lineRule="auto"/>
              <w:rPr>
                <w:sz w:val="20"/>
                <w:szCs w:val="20"/>
              </w:rPr>
            </w:pPr>
            <w:r w:rsidRPr="0099742A">
              <w:rPr>
                <w:color w:val="000000"/>
                <w:sz w:val="20"/>
                <w:szCs w:val="20"/>
              </w:rPr>
              <w:t>0.32</w:t>
            </w:r>
          </w:p>
        </w:tc>
        <w:tc>
          <w:tcPr>
            <w:tcW w:w="728" w:type="dxa"/>
            <w:tcBorders>
              <w:top w:val="nil"/>
              <w:left w:val="nil"/>
              <w:bottom w:val="nil"/>
              <w:right w:val="single" w:sz="4" w:space="0" w:color="auto"/>
            </w:tcBorders>
            <w:shd w:val="clear" w:color="auto" w:fill="auto"/>
            <w:noWrap/>
            <w:vAlign w:val="center"/>
            <w:hideMark/>
          </w:tcPr>
          <w:p w14:paraId="3B090F9C" w14:textId="0AF9A47D" w:rsidR="00366590" w:rsidRPr="0099742A" w:rsidRDefault="00366590" w:rsidP="00366590">
            <w:pPr>
              <w:pStyle w:val="BodyText"/>
              <w:spacing w:line="240" w:lineRule="auto"/>
              <w:rPr>
                <w:sz w:val="20"/>
                <w:szCs w:val="20"/>
              </w:rPr>
            </w:pPr>
            <w:r w:rsidRPr="0099742A">
              <w:rPr>
                <w:color w:val="000000"/>
                <w:sz w:val="20"/>
                <w:szCs w:val="20"/>
              </w:rPr>
              <w:t>0.33</w:t>
            </w:r>
          </w:p>
        </w:tc>
        <w:tc>
          <w:tcPr>
            <w:tcW w:w="720" w:type="dxa"/>
            <w:tcBorders>
              <w:top w:val="nil"/>
              <w:left w:val="nil"/>
              <w:bottom w:val="nil"/>
              <w:right w:val="nil"/>
            </w:tcBorders>
            <w:shd w:val="clear" w:color="auto" w:fill="auto"/>
            <w:noWrap/>
            <w:vAlign w:val="center"/>
            <w:hideMark/>
          </w:tcPr>
          <w:p w14:paraId="65A8A544" w14:textId="6693A0B0" w:rsidR="00366590" w:rsidRPr="0099742A" w:rsidRDefault="00366590" w:rsidP="00366590">
            <w:pPr>
              <w:pStyle w:val="BodyText"/>
              <w:spacing w:line="240" w:lineRule="auto"/>
              <w:rPr>
                <w:sz w:val="20"/>
                <w:szCs w:val="20"/>
              </w:rPr>
            </w:pPr>
            <w:r w:rsidRPr="0099742A">
              <w:rPr>
                <w:color w:val="000000"/>
                <w:sz w:val="20"/>
                <w:szCs w:val="20"/>
              </w:rPr>
              <w:t>0.42</w:t>
            </w:r>
          </w:p>
        </w:tc>
        <w:tc>
          <w:tcPr>
            <w:tcW w:w="720" w:type="dxa"/>
            <w:tcBorders>
              <w:top w:val="nil"/>
              <w:left w:val="nil"/>
              <w:bottom w:val="nil"/>
              <w:right w:val="nil"/>
            </w:tcBorders>
            <w:shd w:val="clear" w:color="auto" w:fill="auto"/>
            <w:noWrap/>
            <w:vAlign w:val="center"/>
            <w:hideMark/>
          </w:tcPr>
          <w:p w14:paraId="11D91A7E" w14:textId="36278815" w:rsidR="00366590" w:rsidRPr="0099742A" w:rsidRDefault="00366590" w:rsidP="00366590">
            <w:pPr>
              <w:pStyle w:val="BodyText"/>
              <w:spacing w:line="240" w:lineRule="auto"/>
              <w:rPr>
                <w:sz w:val="20"/>
                <w:szCs w:val="20"/>
              </w:rPr>
            </w:pPr>
            <w:r w:rsidRPr="0099742A">
              <w:rPr>
                <w:color w:val="000000"/>
                <w:sz w:val="20"/>
                <w:szCs w:val="20"/>
              </w:rPr>
              <w:t>0.39</w:t>
            </w:r>
          </w:p>
        </w:tc>
        <w:tc>
          <w:tcPr>
            <w:tcW w:w="720" w:type="dxa"/>
            <w:tcBorders>
              <w:top w:val="nil"/>
              <w:left w:val="nil"/>
              <w:bottom w:val="nil"/>
              <w:right w:val="nil"/>
            </w:tcBorders>
            <w:shd w:val="clear" w:color="auto" w:fill="auto"/>
            <w:noWrap/>
            <w:vAlign w:val="center"/>
            <w:hideMark/>
          </w:tcPr>
          <w:p w14:paraId="50D9FFC1" w14:textId="78ADE121" w:rsidR="00366590" w:rsidRPr="0099742A" w:rsidRDefault="00366590" w:rsidP="00366590">
            <w:pPr>
              <w:pStyle w:val="BodyText"/>
              <w:spacing w:line="240" w:lineRule="auto"/>
              <w:rPr>
                <w:sz w:val="20"/>
                <w:szCs w:val="20"/>
              </w:rPr>
            </w:pPr>
            <w:r w:rsidRPr="0099742A">
              <w:rPr>
                <w:color w:val="000000"/>
                <w:sz w:val="20"/>
                <w:szCs w:val="20"/>
              </w:rPr>
              <w:t>0.39</w:t>
            </w:r>
          </w:p>
        </w:tc>
        <w:tc>
          <w:tcPr>
            <w:tcW w:w="720" w:type="dxa"/>
            <w:tcBorders>
              <w:top w:val="nil"/>
              <w:left w:val="nil"/>
              <w:bottom w:val="nil"/>
              <w:right w:val="nil"/>
            </w:tcBorders>
            <w:shd w:val="clear" w:color="auto" w:fill="auto"/>
            <w:noWrap/>
            <w:vAlign w:val="center"/>
            <w:hideMark/>
          </w:tcPr>
          <w:p w14:paraId="563580DA" w14:textId="18C600F3" w:rsidR="00366590" w:rsidRPr="0099742A" w:rsidRDefault="00366590" w:rsidP="00366590">
            <w:pPr>
              <w:pStyle w:val="BodyText"/>
              <w:spacing w:line="240" w:lineRule="auto"/>
              <w:rPr>
                <w:sz w:val="20"/>
                <w:szCs w:val="20"/>
              </w:rPr>
            </w:pPr>
            <w:r w:rsidRPr="0099742A">
              <w:rPr>
                <w:color w:val="000000"/>
                <w:sz w:val="20"/>
                <w:szCs w:val="20"/>
              </w:rPr>
              <w:t>0.39</w:t>
            </w:r>
          </w:p>
        </w:tc>
        <w:tc>
          <w:tcPr>
            <w:tcW w:w="810" w:type="dxa"/>
            <w:tcBorders>
              <w:top w:val="nil"/>
              <w:left w:val="nil"/>
              <w:bottom w:val="nil"/>
              <w:right w:val="nil"/>
            </w:tcBorders>
            <w:shd w:val="clear" w:color="auto" w:fill="auto"/>
            <w:noWrap/>
            <w:vAlign w:val="bottom"/>
            <w:hideMark/>
          </w:tcPr>
          <w:p w14:paraId="5D9D210E" w14:textId="77777777" w:rsidR="00366590" w:rsidRPr="0099742A" w:rsidRDefault="00366590" w:rsidP="00366590">
            <w:pPr>
              <w:pStyle w:val="BodyText"/>
              <w:spacing w:line="240" w:lineRule="auto"/>
              <w:rPr>
                <w:sz w:val="20"/>
                <w:szCs w:val="20"/>
              </w:rPr>
            </w:pPr>
            <w:r w:rsidRPr="0099742A">
              <w:rPr>
                <w:sz w:val="20"/>
                <w:szCs w:val="20"/>
              </w:rPr>
              <w:t>NEO price</w:t>
            </w:r>
          </w:p>
        </w:tc>
        <w:tc>
          <w:tcPr>
            <w:tcW w:w="1792" w:type="dxa"/>
            <w:tcBorders>
              <w:top w:val="nil"/>
              <w:left w:val="nil"/>
              <w:bottom w:val="nil"/>
              <w:right w:val="nil"/>
            </w:tcBorders>
            <w:shd w:val="clear" w:color="auto" w:fill="auto"/>
            <w:noWrap/>
            <w:vAlign w:val="bottom"/>
            <w:hideMark/>
          </w:tcPr>
          <w:p w14:paraId="700A0B92" w14:textId="77777777" w:rsidR="00366590" w:rsidRPr="0099742A" w:rsidRDefault="00366590" w:rsidP="00366590">
            <w:pPr>
              <w:pStyle w:val="BodyText"/>
              <w:spacing w:line="240" w:lineRule="auto"/>
              <w:rPr>
                <w:sz w:val="20"/>
                <w:szCs w:val="20"/>
              </w:rPr>
            </w:pPr>
            <w:r w:rsidRPr="0099742A">
              <w:rPr>
                <w:sz w:val="20"/>
                <w:szCs w:val="20"/>
              </w:rPr>
              <w:t>10%</w:t>
            </w:r>
          </w:p>
        </w:tc>
      </w:tr>
      <w:tr w:rsidR="00D1739C" w:rsidRPr="00D1739C" w14:paraId="1326ED4D" w14:textId="77777777" w:rsidTr="00CF771E">
        <w:trPr>
          <w:trHeight w:val="315"/>
        </w:trPr>
        <w:tc>
          <w:tcPr>
            <w:tcW w:w="2520" w:type="dxa"/>
            <w:tcBorders>
              <w:top w:val="nil"/>
              <w:left w:val="nil"/>
              <w:bottom w:val="nil"/>
              <w:right w:val="nil"/>
            </w:tcBorders>
            <w:shd w:val="clear" w:color="auto" w:fill="auto"/>
            <w:noWrap/>
            <w:vAlign w:val="center"/>
            <w:hideMark/>
          </w:tcPr>
          <w:p w14:paraId="3A1588B0" w14:textId="77777777" w:rsidR="00366590" w:rsidRPr="0099742A" w:rsidRDefault="00366590" w:rsidP="00366590">
            <w:pPr>
              <w:pStyle w:val="BodyText"/>
              <w:spacing w:line="240" w:lineRule="auto"/>
              <w:rPr>
                <w:sz w:val="20"/>
                <w:szCs w:val="20"/>
              </w:rPr>
            </w:pPr>
            <w:r w:rsidRPr="0099742A">
              <w:rPr>
                <w:sz w:val="20"/>
                <w:szCs w:val="20"/>
              </w:rPr>
              <w:t>US retail E10 ($/</w:t>
            </w:r>
            <w:proofErr w:type="spellStart"/>
            <w:r w:rsidRPr="0099742A">
              <w:rPr>
                <w:sz w:val="20"/>
                <w:szCs w:val="20"/>
              </w:rPr>
              <w:t>gge</w:t>
            </w:r>
            <w:proofErr w:type="spellEnd"/>
            <w:r w:rsidRPr="0099742A">
              <w:rPr>
                <w:sz w:val="20"/>
                <w:szCs w:val="20"/>
              </w:rPr>
              <w:t>)</w:t>
            </w:r>
          </w:p>
        </w:tc>
        <w:tc>
          <w:tcPr>
            <w:tcW w:w="720" w:type="dxa"/>
            <w:tcBorders>
              <w:top w:val="nil"/>
              <w:left w:val="nil"/>
              <w:bottom w:val="nil"/>
              <w:right w:val="nil"/>
            </w:tcBorders>
            <w:shd w:val="clear" w:color="auto" w:fill="auto"/>
            <w:noWrap/>
            <w:vAlign w:val="center"/>
            <w:hideMark/>
          </w:tcPr>
          <w:p w14:paraId="67298DEB" w14:textId="66BFB28D" w:rsidR="00366590" w:rsidRPr="0099742A" w:rsidRDefault="00366590" w:rsidP="00366590">
            <w:pPr>
              <w:pStyle w:val="BodyText"/>
              <w:spacing w:line="240" w:lineRule="auto"/>
              <w:rPr>
                <w:sz w:val="20"/>
                <w:szCs w:val="20"/>
              </w:rPr>
            </w:pPr>
            <w:r w:rsidRPr="0099742A">
              <w:rPr>
                <w:color w:val="000000"/>
                <w:sz w:val="20"/>
                <w:szCs w:val="20"/>
              </w:rPr>
              <w:t>0.56</w:t>
            </w:r>
          </w:p>
        </w:tc>
        <w:tc>
          <w:tcPr>
            <w:tcW w:w="720" w:type="dxa"/>
            <w:tcBorders>
              <w:top w:val="nil"/>
              <w:left w:val="nil"/>
              <w:bottom w:val="nil"/>
              <w:right w:val="nil"/>
            </w:tcBorders>
            <w:shd w:val="clear" w:color="auto" w:fill="auto"/>
            <w:noWrap/>
            <w:vAlign w:val="center"/>
            <w:hideMark/>
          </w:tcPr>
          <w:p w14:paraId="4036633D" w14:textId="06FCF5CB" w:rsidR="00366590" w:rsidRPr="0099742A" w:rsidRDefault="00366590" w:rsidP="00366590">
            <w:pPr>
              <w:pStyle w:val="BodyText"/>
              <w:spacing w:line="240" w:lineRule="auto"/>
              <w:rPr>
                <w:sz w:val="20"/>
                <w:szCs w:val="20"/>
              </w:rPr>
            </w:pPr>
            <w:r w:rsidRPr="0099742A">
              <w:rPr>
                <w:color w:val="000000"/>
                <w:sz w:val="20"/>
                <w:szCs w:val="20"/>
              </w:rPr>
              <w:t>0.62</w:t>
            </w:r>
          </w:p>
        </w:tc>
        <w:tc>
          <w:tcPr>
            <w:tcW w:w="720" w:type="dxa"/>
            <w:tcBorders>
              <w:top w:val="nil"/>
              <w:left w:val="nil"/>
              <w:bottom w:val="nil"/>
              <w:right w:val="nil"/>
            </w:tcBorders>
            <w:shd w:val="clear" w:color="auto" w:fill="auto"/>
            <w:noWrap/>
            <w:vAlign w:val="center"/>
            <w:hideMark/>
          </w:tcPr>
          <w:p w14:paraId="0189E019" w14:textId="6824C465" w:rsidR="00366590" w:rsidRPr="0099742A" w:rsidRDefault="00366590" w:rsidP="00366590">
            <w:pPr>
              <w:pStyle w:val="BodyText"/>
              <w:spacing w:line="240" w:lineRule="auto"/>
              <w:rPr>
                <w:sz w:val="20"/>
                <w:szCs w:val="20"/>
              </w:rPr>
            </w:pPr>
            <w:r w:rsidRPr="0099742A">
              <w:rPr>
                <w:color w:val="000000"/>
                <w:sz w:val="20"/>
                <w:szCs w:val="20"/>
              </w:rPr>
              <w:t>0.72</w:t>
            </w:r>
          </w:p>
        </w:tc>
        <w:tc>
          <w:tcPr>
            <w:tcW w:w="728" w:type="dxa"/>
            <w:tcBorders>
              <w:top w:val="nil"/>
              <w:left w:val="nil"/>
              <w:bottom w:val="nil"/>
              <w:right w:val="single" w:sz="4" w:space="0" w:color="auto"/>
            </w:tcBorders>
            <w:shd w:val="clear" w:color="auto" w:fill="auto"/>
            <w:noWrap/>
            <w:vAlign w:val="center"/>
            <w:hideMark/>
          </w:tcPr>
          <w:p w14:paraId="2166D6C2" w14:textId="44FFF824" w:rsidR="00366590" w:rsidRPr="0099742A" w:rsidRDefault="00366590" w:rsidP="00366590">
            <w:pPr>
              <w:pStyle w:val="BodyText"/>
              <w:spacing w:line="240" w:lineRule="auto"/>
              <w:rPr>
                <w:sz w:val="20"/>
                <w:szCs w:val="20"/>
              </w:rPr>
            </w:pPr>
            <w:r w:rsidRPr="0099742A">
              <w:rPr>
                <w:color w:val="000000"/>
                <w:sz w:val="20"/>
                <w:szCs w:val="20"/>
              </w:rPr>
              <w:t>0.69</w:t>
            </w:r>
          </w:p>
        </w:tc>
        <w:tc>
          <w:tcPr>
            <w:tcW w:w="720" w:type="dxa"/>
            <w:tcBorders>
              <w:top w:val="nil"/>
              <w:left w:val="nil"/>
              <w:bottom w:val="nil"/>
              <w:right w:val="nil"/>
            </w:tcBorders>
            <w:shd w:val="clear" w:color="auto" w:fill="auto"/>
            <w:noWrap/>
            <w:vAlign w:val="center"/>
            <w:hideMark/>
          </w:tcPr>
          <w:p w14:paraId="01498262" w14:textId="56F37193" w:rsidR="00366590" w:rsidRPr="0099742A" w:rsidRDefault="00366590" w:rsidP="00366590">
            <w:pPr>
              <w:pStyle w:val="BodyText"/>
              <w:spacing w:line="240" w:lineRule="auto"/>
              <w:rPr>
                <w:sz w:val="20"/>
                <w:szCs w:val="20"/>
              </w:rPr>
            </w:pPr>
            <w:r w:rsidRPr="0099742A">
              <w:rPr>
                <w:color w:val="000000"/>
                <w:sz w:val="20"/>
                <w:szCs w:val="20"/>
              </w:rPr>
              <w:t>0.64</w:t>
            </w:r>
          </w:p>
        </w:tc>
        <w:tc>
          <w:tcPr>
            <w:tcW w:w="720" w:type="dxa"/>
            <w:tcBorders>
              <w:top w:val="nil"/>
              <w:left w:val="nil"/>
              <w:bottom w:val="nil"/>
              <w:right w:val="nil"/>
            </w:tcBorders>
            <w:shd w:val="clear" w:color="auto" w:fill="auto"/>
            <w:noWrap/>
            <w:vAlign w:val="center"/>
            <w:hideMark/>
          </w:tcPr>
          <w:p w14:paraId="7C1BA787" w14:textId="739E87D9" w:rsidR="00366590" w:rsidRPr="0099742A" w:rsidRDefault="00366590" w:rsidP="00366590">
            <w:pPr>
              <w:pStyle w:val="BodyText"/>
              <w:spacing w:line="240" w:lineRule="auto"/>
              <w:rPr>
                <w:sz w:val="20"/>
                <w:szCs w:val="20"/>
              </w:rPr>
            </w:pPr>
            <w:r w:rsidRPr="0099742A">
              <w:rPr>
                <w:color w:val="000000"/>
                <w:sz w:val="20"/>
                <w:szCs w:val="20"/>
              </w:rPr>
              <w:t>0.67</w:t>
            </w:r>
          </w:p>
        </w:tc>
        <w:tc>
          <w:tcPr>
            <w:tcW w:w="720" w:type="dxa"/>
            <w:tcBorders>
              <w:top w:val="nil"/>
              <w:left w:val="nil"/>
              <w:bottom w:val="nil"/>
              <w:right w:val="nil"/>
            </w:tcBorders>
            <w:shd w:val="clear" w:color="auto" w:fill="auto"/>
            <w:noWrap/>
            <w:vAlign w:val="center"/>
            <w:hideMark/>
          </w:tcPr>
          <w:p w14:paraId="4BF6D7E6" w14:textId="42FD631C" w:rsidR="00366590" w:rsidRPr="0099742A" w:rsidRDefault="00366590" w:rsidP="00366590">
            <w:pPr>
              <w:pStyle w:val="BodyText"/>
              <w:spacing w:line="240" w:lineRule="auto"/>
              <w:rPr>
                <w:sz w:val="20"/>
                <w:szCs w:val="20"/>
              </w:rPr>
            </w:pPr>
            <w:r w:rsidRPr="0099742A">
              <w:rPr>
                <w:color w:val="000000"/>
                <w:sz w:val="20"/>
                <w:szCs w:val="20"/>
              </w:rPr>
              <w:t>0.84</w:t>
            </w:r>
          </w:p>
        </w:tc>
        <w:tc>
          <w:tcPr>
            <w:tcW w:w="720" w:type="dxa"/>
            <w:tcBorders>
              <w:top w:val="nil"/>
              <w:left w:val="nil"/>
              <w:bottom w:val="nil"/>
              <w:right w:val="nil"/>
            </w:tcBorders>
            <w:shd w:val="clear" w:color="auto" w:fill="auto"/>
            <w:noWrap/>
            <w:vAlign w:val="center"/>
            <w:hideMark/>
          </w:tcPr>
          <w:p w14:paraId="57C564E6" w14:textId="7D055ECE" w:rsidR="00366590" w:rsidRPr="0099742A" w:rsidRDefault="00366590" w:rsidP="00366590">
            <w:pPr>
              <w:pStyle w:val="BodyText"/>
              <w:spacing w:line="240" w:lineRule="auto"/>
              <w:rPr>
                <w:sz w:val="20"/>
                <w:szCs w:val="20"/>
              </w:rPr>
            </w:pPr>
            <w:r w:rsidRPr="0099742A">
              <w:rPr>
                <w:color w:val="000000"/>
                <w:sz w:val="20"/>
                <w:szCs w:val="20"/>
              </w:rPr>
              <w:t>0.75</w:t>
            </w:r>
          </w:p>
        </w:tc>
        <w:tc>
          <w:tcPr>
            <w:tcW w:w="810" w:type="dxa"/>
            <w:tcBorders>
              <w:top w:val="nil"/>
              <w:left w:val="nil"/>
              <w:bottom w:val="nil"/>
              <w:right w:val="nil"/>
            </w:tcBorders>
            <w:shd w:val="clear" w:color="auto" w:fill="auto"/>
            <w:noWrap/>
            <w:vAlign w:val="bottom"/>
            <w:hideMark/>
          </w:tcPr>
          <w:p w14:paraId="4ABCBD4C" w14:textId="77777777" w:rsidR="00366590" w:rsidRPr="0099742A" w:rsidRDefault="00366590" w:rsidP="00366590">
            <w:pPr>
              <w:pStyle w:val="BodyText"/>
              <w:spacing w:line="240" w:lineRule="auto"/>
              <w:rPr>
                <w:sz w:val="20"/>
                <w:szCs w:val="20"/>
              </w:rPr>
            </w:pPr>
            <w:r w:rsidRPr="0099742A">
              <w:rPr>
                <w:sz w:val="20"/>
                <w:szCs w:val="20"/>
              </w:rPr>
              <w:t>AFDC</w:t>
            </w:r>
          </w:p>
        </w:tc>
        <w:tc>
          <w:tcPr>
            <w:tcW w:w="1792" w:type="dxa"/>
            <w:tcBorders>
              <w:top w:val="nil"/>
              <w:left w:val="nil"/>
              <w:bottom w:val="nil"/>
              <w:right w:val="nil"/>
            </w:tcBorders>
            <w:shd w:val="clear" w:color="auto" w:fill="auto"/>
            <w:noWrap/>
            <w:vAlign w:val="bottom"/>
            <w:hideMark/>
          </w:tcPr>
          <w:p w14:paraId="45B6DC1C" w14:textId="77777777" w:rsidR="00366590" w:rsidRPr="0099742A" w:rsidRDefault="00366590" w:rsidP="00366590">
            <w:pPr>
              <w:pStyle w:val="BodyText"/>
              <w:spacing w:line="240" w:lineRule="auto"/>
              <w:rPr>
                <w:sz w:val="20"/>
                <w:szCs w:val="20"/>
              </w:rPr>
            </w:pPr>
            <w:r w:rsidRPr="0099742A">
              <w:rPr>
                <w:sz w:val="20"/>
                <w:szCs w:val="20"/>
              </w:rPr>
              <w:t>12%</w:t>
            </w:r>
          </w:p>
        </w:tc>
      </w:tr>
      <w:tr w:rsidR="00D1739C" w:rsidRPr="00D1739C" w14:paraId="63D455A8" w14:textId="77777777" w:rsidTr="00CF771E">
        <w:trPr>
          <w:trHeight w:val="315"/>
        </w:trPr>
        <w:tc>
          <w:tcPr>
            <w:tcW w:w="2520" w:type="dxa"/>
            <w:tcBorders>
              <w:top w:val="nil"/>
              <w:left w:val="nil"/>
              <w:bottom w:val="nil"/>
              <w:right w:val="nil"/>
            </w:tcBorders>
            <w:shd w:val="clear" w:color="auto" w:fill="auto"/>
            <w:noWrap/>
            <w:vAlign w:val="center"/>
            <w:hideMark/>
          </w:tcPr>
          <w:p w14:paraId="576A4F41" w14:textId="77777777" w:rsidR="00366590" w:rsidRPr="0099742A" w:rsidRDefault="00366590" w:rsidP="00366590">
            <w:pPr>
              <w:pStyle w:val="BodyText"/>
              <w:spacing w:line="240" w:lineRule="auto"/>
              <w:rPr>
                <w:sz w:val="20"/>
                <w:szCs w:val="20"/>
              </w:rPr>
            </w:pPr>
            <w:r w:rsidRPr="0099742A">
              <w:rPr>
                <w:sz w:val="20"/>
                <w:szCs w:val="20"/>
              </w:rPr>
              <w:t xml:space="preserve">US retail diesel </w:t>
            </w:r>
          </w:p>
        </w:tc>
        <w:tc>
          <w:tcPr>
            <w:tcW w:w="720" w:type="dxa"/>
            <w:tcBorders>
              <w:top w:val="nil"/>
              <w:left w:val="nil"/>
              <w:bottom w:val="nil"/>
              <w:right w:val="nil"/>
            </w:tcBorders>
            <w:shd w:val="clear" w:color="auto" w:fill="auto"/>
            <w:noWrap/>
            <w:vAlign w:val="center"/>
            <w:hideMark/>
          </w:tcPr>
          <w:p w14:paraId="246F57DE" w14:textId="3F47BBDC" w:rsidR="00366590" w:rsidRPr="0099742A" w:rsidRDefault="00366590" w:rsidP="00366590">
            <w:pPr>
              <w:pStyle w:val="BodyText"/>
              <w:spacing w:line="240" w:lineRule="auto"/>
              <w:rPr>
                <w:sz w:val="20"/>
                <w:szCs w:val="20"/>
              </w:rPr>
            </w:pPr>
            <w:r w:rsidRPr="0099742A">
              <w:rPr>
                <w:color w:val="000000"/>
                <w:sz w:val="20"/>
                <w:szCs w:val="20"/>
              </w:rPr>
              <w:t>0.51</w:t>
            </w:r>
          </w:p>
        </w:tc>
        <w:tc>
          <w:tcPr>
            <w:tcW w:w="720" w:type="dxa"/>
            <w:tcBorders>
              <w:top w:val="nil"/>
              <w:left w:val="nil"/>
              <w:bottom w:val="nil"/>
              <w:right w:val="nil"/>
            </w:tcBorders>
            <w:shd w:val="clear" w:color="auto" w:fill="auto"/>
            <w:noWrap/>
            <w:vAlign w:val="center"/>
            <w:hideMark/>
          </w:tcPr>
          <w:p w14:paraId="5E8A9EA9" w14:textId="707AF2EA" w:rsidR="00366590" w:rsidRPr="0099742A" w:rsidRDefault="00366590" w:rsidP="00366590">
            <w:pPr>
              <w:pStyle w:val="BodyText"/>
              <w:spacing w:line="240" w:lineRule="auto"/>
              <w:rPr>
                <w:sz w:val="20"/>
                <w:szCs w:val="20"/>
              </w:rPr>
            </w:pPr>
            <w:r w:rsidRPr="0099742A">
              <w:rPr>
                <w:color w:val="000000"/>
                <w:sz w:val="20"/>
                <w:szCs w:val="20"/>
              </w:rPr>
              <w:t>0.54</w:t>
            </w:r>
          </w:p>
        </w:tc>
        <w:tc>
          <w:tcPr>
            <w:tcW w:w="720" w:type="dxa"/>
            <w:tcBorders>
              <w:top w:val="nil"/>
              <w:left w:val="nil"/>
              <w:bottom w:val="nil"/>
              <w:right w:val="nil"/>
            </w:tcBorders>
            <w:shd w:val="clear" w:color="auto" w:fill="auto"/>
            <w:noWrap/>
            <w:vAlign w:val="center"/>
            <w:hideMark/>
          </w:tcPr>
          <w:p w14:paraId="06F5B062" w14:textId="4117FA3B" w:rsidR="00366590" w:rsidRPr="0099742A" w:rsidRDefault="00366590" w:rsidP="00366590">
            <w:pPr>
              <w:pStyle w:val="BodyText"/>
              <w:spacing w:line="240" w:lineRule="auto"/>
              <w:rPr>
                <w:sz w:val="20"/>
                <w:szCs w:val="20"/>
              </w:rPr>
            </w:pPr>
            <w:r w:rsidRPr="0099742A">
              <w:rPr>
                <w:color w:val="000000"/>
                <w:sz w:val="20"/>
                <w:szCs w:val="20"/>
              </w:rPr>
              <w:t>0.63</w:t>
            </w:r>
          </w:p>
        </w:tc>
        <w:tc>
          <w:tcPr>
            <w:tcW w:w="728" w:type="dxa"/>
            <w:tcBorders>
              <w:top w:val="nil"/>
              <w:left w:val="nil"/>
              <w:bottom w:val="nil"/>
              <w:right w:val="single" w:sz="4" w:space="0" w:color="auto"/>
            </w:tcBorders>
            <w:shd w:val="clear" w:color="auto" w:fill="auto"/>
            <w:noWrap/>
            <w:vAlign w:val="center"/>
            <w:hideMark/>
          </w:tcPr>
          <w:p w14:paraId="1A7C642A" w14:textId="7D56A09C" w:rsidR="00366590" w:rsidRPr="0099742A" w:rsidRDefault="00366590" w:rsidP="00366590">
            <w:pPr>
              <w:pStyle w:val="BodyText"/>
              <w:spacing w:line="240" w:lineRule="auto"/>
              <w:rPr>
                <w:sz w:val="20"/>
                <w:szCs w:val="20"/>
              </w:rPr>
            </w:pPr>
            <w:r w:rsidRPr="0099742A">
              <w:rPr>
                <w:color w:val="000000"/>
                <w:sz w:val="20"/>
                <w:szCs w:val="20"/>
              </w:rPr>
              <w:t>0.61</w:t>
            </w:r>
          </w:p>
        </w:tc>
        <w:tc>
          <w:tcPr>
            <w:tcW w:w="720" w:type="dxa"/>
            <w:tcBorders>
              <w:top w:val="nil"/>
              <w:left w:val="nil"/>
              <w:bottom w:val="nil"/>
              <w:right w:val="nil"/>
            </w:tcBorders>
            <w:shd w:val="clear" w:color="auto" w:fill="auto"/>
            <w:noWrap/>
            <w:vAlign w:val="center"/>
            <w:hideMark/>
          </w:tcPr>
          <w:p w14:paraId="311B5A74" w14:textId="1AD74267" w:rsidR="00366590" w:rsidRPr="0099742A" w:rsidRDefault="00366590" w:rsidP="00366590">
            <w:pPr>
              <w:pStyle w:val="BodyText"/>
              <w:spacing w:line="240" w:lineRule="auto"/>
              <w:rPr>
                <w:sz w:val="20"/>
                <w:szCs w:val="20"/>
              </w:rPr>
            </w:pPr>
            <w:r w:rsidRPr="0099742A">
              <w:rPr>
                <w:color w:val="000000"/>
                <w:sz w:val="20"/>
                <w:szCs w:val="20"/>
              </w:rPr>
              <w:t>0.64</w:t>
            </w:r>
          </w:p>
        </w:tc>
        <w:tc>
          <w:tcPr>
            <w:tcW w:w="720" w:type="dxa"/>
            <w:tcBorders>
              <w:top w:val="nil"/>
              <w:left w:val="nil"/>
              <w:bottom w:val="nil"/>
              <w:right w:val="nil"/>
            </w:tcBorders>
            <w:shd w:val="clear" w:color="auto" w:fill="auto"/>
            <w:noWrap/>
            <w:vAlign w:val="center"/>
            <w:hideMark/>
          </w:tcPr>
          <w:p w14:paraId="0169DAA7" w14:textId="60CB30DC" w:rsidR="00366590" w:rsidRPr="0099742A" w:rsidRDefault="00366590" w:rsidP="00366590">
            <w:pPr>
              <w:pStyle w:val="BodyText"/>
              <w:spacing w:line="240" w:lineRule="auto"/>
              <w:rPr>
                <w:sz w:val="20"/>
                <w:szCs w:val="20"/>
              </w:rPr>
            </w:pPr>
            <w:r w:rsidRPr="0099742A">
              <w:rPr>
                <w:color w:val="000000"/>
                <w:sz w:val="20"/>
                <w:szCs w:val="20"/>
              </w:rPr>
              <w:t>0.67</w:t>
            </w:r>
          </w:p>
        </w:tc>
        <w:tc>
          <w:tcPr>
            <w:tcW w:w="720" w:type="dxa"/>
            <w:tcBorders>
              <w:top w:val="nil"/>
              <w:left w:val="nil"/>
              <w:bottom w:val="nil"/>
              <w:right w:val="nil"/>
            </w:tcBorders>
            <w:shd w:val="clear" w:color="auto" w:fill="auto"/>
            <w:noWrap/>
            <w:vAlign w:val="center"/>
            <w:hideMark/>
          </w:tcPr>
          <w:p w14:paraId="54F5E938" w14:textId="1A2F631E" w:rsidR="00366590" w:rsidRPr="0099742A" w:rsidRDefault="00366590" w:rsidP="00366590">
            <w:pPr>
              <w:pStyle w:val="BodyText"/>
              <w:spacing w:line="240" w:lineRule="auto"/>
              <w:rPr>
                <w:sz w:val="20"/>
                <w:szCs w:val="20"/>
              </w:rPr>
            </w:pPr>
            <w:r w:rsidRPr="0099742A">
              <w:rPr>
                <w:color w:val="000000"/>
                <w:sz w:val="20"/>
                <w:szCs w:val="20"/>
              </w:rPr>
              <w:t>0.84</w:t>
            </w:r>
          </w:p>
        </w:tc>
        <w:tc>
          <w:tcPr>
            <w:tcW w:w="720" w:type="dxa"/>
            <w:tcBorders>
              <w:top w:val="nil"/>
              <w:left w:val="nil"/>
              <w:bottom w:val="nil"/>
              <w:right w:val="nil"/>
            </w:tcBorders>
            <w:shd w:val="clear" w:color="auto" w:fill="auto"/>
            <w:noWrap/>
            <w:vAlign w:val="center"/>
            <w:hideMark/>
          </w:tcPr>
          <w:p w14:paraId="7900FE28" w14:textId="6800834D" w:rsidR="00366590" w:rsidRPr="0099742A" w:rsidRDefault="00366590" w:rsidP="00366590">
            <w:pPr>
              <w:pStyle w:val="BodyText"/>
              <w:spacing w:line="240" w:lineRule="auto"/>
              <w:rPr>
                <w:sz w:val="20"/>
                <w:szCs w:val="20"/>
              </w:rPr>
            </w:pPr>
            <w:r w:rsidRPr="0099742A">
              <w:rPr>
                <w:color w:val="000000"/>
                <w:sz w:val="20"/>
                <w:szCs w:val="20"/>
              </w:rPr>
              <w:t>0.75</w:t>
            </w:r>
          </w:p>
        </w:tc>
        <w:tc>
          <w:tcPr>
            <w:tcW w:w="810" w:type="dxa"/>
            <w:tcBorders>
              <w:top w:val="nil"/>
              <w:left w:val="nil"/>
              <w:bottom w:val="nil"/>
              <w:right w:val="nil"/>
            </w:tcBorders>
            <w:shd w:val="clear" w:color="auto" w:fill="auto"/>
            <w:noWrap/>
            <w:vAlign w:val="bottom"/>
            <w:hideMark/>
          </w:tcPr>
          <w:p w14:paraId="362330A7" w14:textId="77777777" w:rsidR="00366590" w:rsidRPr="0099742A" w:rsidRDefault="00366590" w:rsidP="00366590">
            <w:pPr>
              <w:pStyle w:val="BodyText"/>
              <w:spacing w:line="240" w:lineRule="auto"/>
              <w:rPr>
                <w:sz w:val="20"/>
                <w:szCs w:val="20"/>
              </w:rPr>
            </w:pPr>
            <w:r w:rsidRPr="0099742A">
              <w:rPr>
                <w:sz w:val="20"/>
                <w:szCs w:val="20"/>
              </w:rPr>
              <w:t>AFDC</w:t>
            </w:r>
          </w:p>
        </w:tc>
        <w:tc>
          <w:tcPr>
            <w:tcW w:w="1792" w:type="dxa"/>
            <w:tcBorders>
              <w:top w:val="nil"/>
              <w:left w:val="nil"/>
              <w:bottom w:val="nil"/>
              <w:right w:val="nil"/>
            </w:tcBorders>
            <w:shd w:val="clear" w:color="auto" w:fill="auto"/>
            <w:noWrap/>
            <w:vAlign w:val="bottom"/>
            <w:hideMark/>
          </w:tcPr>
          <w:p w14:paraId="7F0E54B3" w14:textId="77777777" w:rsidR="00366590" w:rsidRPr="0099742A" w:rsidRDefault="00366590" w:rsidP="00366590">
            <w:pPr>
              <w:pStyle w:val="BodyText"/>
              <w:spacing w:line="240" w:lineRule="auto"/>
              <w:rPr>
                <w:sz w:val="20"/>
                <w:szCs w:val="20"/>
              </w:rPr>
            </w:pPr>
            <w:r w:rsidRPr="0099742A">
              <w:rPr>
                <w:sz w:val="20"/>
                <w:szCs w:val="20"/>
              </w:rPr>
              <w:t>0%</w:t>
            </w:r>
          </w:p>
        </w:tc>
      </w:tr>
      <w:tr w:rsidR="00D1739C" w:rsidRPr="000B73E2" w14:paraId="4373C619" w14:textId="77777777" w:rsidTr="00CF771E">
        <w:trPr>
          <w:trHeight w:val="315"/>
        </w:trPr>
        <w:tc>
          <w:tcPr>
            <w:tcW w:w="5408" w:type="dxa"/>
            <w:gridSpan w:val="5"/>
            <w:tcBorders>
              <w:top w:val="nil"/>
              <w:left w:val="nil"/>
              <w:bottom w:val="single" w:sz="4" w:space="0" w:color="auto"/>
              <w:right w:val="single" w:sz="4" w:space="0" w:color="auto"/>
            </w:tcBorders>
            <w:shd w:val="clear" w:color="auto" w:fill="auto"/>
            <w:noWrap/>
            <w:vAlign w:val="center"/>
            <w:hideMark/>
          </w:tcPr>
          <w:p w14:paraId="180F3886" w14:textId="09E643E1" w:rsidR="000B73E2" w:rsidRPr="0099742A" w:rsidRDefault="000B73E2" w:rsidP="000B73E2">
            <w:pPr>
              <w:pStyle w:val="BodyText"/>
              <w:spacing w:line="240" w:lineRule="auto"/>
              <w:rPr>
                <w:sz w:val="20"/>
                <w:szCs w:val="20"/>
              </w:rPr>
            </w:pPr>
            <w:r w:rsidRPr="0099742A">
              <w:rPr>
                <w:sz w:val="20"/>
                <w:szCs w:val="20"/>
              </w:rPr>
              <w:t xml:space="preserve">Vehicle </w:t>
            </w:r>
            <w:r w:rsidR="00C54377">
              <w:rPr>
                <w:sz w:val="20"/>
                <w:szCs w:val="20"/>
              </w:rPr>
              <w:t>kilometer</w:t>
            </w:r>
            <w:r w:rsidRPr="0099742A">
              <w:rPr>
                <w:sz w:val="20"/>
                <w:szCs w:val="20"/>
              </w:rPr>
              <w:t xml:space="preserve"> traveled (billion km)</w:t>
            </w:r>
          </w:p>
        </w:tc>
        <w:tc>
          <w:tcPr>
            <w:tcW w:w="720" w:type="dxa"/>
            <w:tcBorders>
              <w:top w:val="nil"/>
              <w:left w:val="nil"/>
              <w:bottom w:val="single" w:sz="4" w:space="0" w:color="auto"/>
              <w:right w:val="nil"/>
            </w:tcBorders>
            <w:shd w:val="clear" w:color="auto" w:fill="auto"/>
            <w:noWrap/>
            <w:vAlign w:val="center"/>
            <w:hideMark/>
          </w:tcPr>
          <w:p w14:paraId="1AF83C55"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402F3F94"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6FA6DB2B"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nil"/>
              <w:left w:val="nil"/>
              <w:bottom w:val="single" w:sz="4" w:space="0" w:color="auto"/>
              <w:right w:val="nil"/>
            </w:tcBorders>
            <w:shd w:val="clear" w:color="auto" w:fill="auto"/>
            <w:noWrap/>
            <w:vAlign w:val="center"/>
            <w:hideMark/>
          </w:tcPr>
          <w:p w14:paraId="6F32E89E" w14:textId="77777777" w:rsidR="000B73E2" w:rsidRPr="0099742A" w:rsidRDefault="000B73E2" w:rsidP="00C53F8C">
            <w:pPr>
              <w:pStyle w:val="BodyText"/>
              <w:spacing w:line="240" w:lineRule="auto"/>
              <w:rPr>
                <w:sz w:val="20"/>
                <w:szCs w:val="20"/>
              </w:rPr>
            </w:pPr>
            <w:r w:rsidRPr="0099742A">
              <w:rPr>
                <w:sz w:val="20"/>
                <w:szCs w:val="20"/>
              </w:rPr>
              <w:t> </w:t>
            </w:r>
          </w:p>
        </w:tc>
        <w:tc>
          <w:tcPr>
            <w:tcW w:w="810" w:type="dxa"/>
            <w:tcBorders>
              <w:top w:val="nil"/>
              <w:left w:val="nil"/>
              <w:bottom w:val="single" w:sz="4" w:space="0" w:color="auto"/>
              <w:right w:val="nil"/>
            </w:tcBorders>
            <w:shd w:val="clear" w:color="auto" w:fill="auto"/>
            <w:noWrap/>
            <w:hideMark/>
          </w:tcPr>
          <w:p w14:paraId="0F12FA1A" w14:textId="77777777" w:rsidR="000B73E2" w:rsidRPr="0099742A" w:rsidRDefault="000B73E2" w:rsidP="00C53F8C">
            <w:pPr>
              <w:pStyle w:val="BodyText"/>
              <w:spacing w:line="240" w:lineRule="auto"/>
              <w:rPr>
                <w:sz w:val="20"/>
                <w:szCs w:val="20"/>
              </w:rPr>
            </w:pPr>
            <w:r w:rsidRPr="0099742A">
              <w:rPr>
                <w:sz w:val="20"/>
                <w:szCs w:val="20"/>
              </w:rPr>
              <w:t> </w:t>
            </w:r>
          </w:p>
        </w:tc>
        <w:tc>
          <w:tcPr>
            <w:tcW w:w="1792" w:type="dxa"/>
            <w:tcBorders>
              <w:top w:val="nil"/>
              <w:left w:val="nil"/>
              <w:bottom w:val="single" w:sz="4" w:space="0" w:color="auto"/>
              <w:right w:val="nil"/>
            </w:tcBorders>
            <w:shd w:val="clear" w:color="auto" w:fill="auto"/>
            <w:noWrap/>
            <w:vAlign w:val="center"/>
            <w:hideMark/>
          </w:tcPr>
          <w:p w14:paraId="66115EEE" w14:textId="77777777" w:rsidR="000B73E2" w:rsidRPr="0099742A" w:rsidRDefault="000B73E2" w:rsidP="00C53F8C">
            <w:pPr>
              <w:pStyle w:val="BodyText"/>
              <w:spacing w:line="240" w:lineRule="auto"/>
              <w:rPr>
                <w:sz w:val="20"/>
                <w:szCs w:val="20"/>
              </w:rPr>
            </w:pPr>
            <w:r w:rsidRPr="0099742A">
              <w:rPr>
                <w:sz w:val="20"/>
                <w:szCs w:val="20"/>
              </w:rPr>
              <w:t> </w:t>
            </w:r>
          </w:p>
        </w:tc>
      </w:tr>
      <w:tr w:rsidR="00D1739C" w:rsidRPr="00C54377" w14:paraId="3C2B0872" w14:textId="77777777" w:rsidTr="00CF771E">
        <w:trPr>
          <w:trHeight w:val="315"/>
        </w:trPr>
        <w:tc>
          <w:tcPr>
            <w:tcW w:w="2520" w:type="dxa"/>
            <w:tcBorders>
              <w:top w:val="nil"/>
              <w:left w:val="nil"/>
              <w:bottom w:val="nil"/>
              <w:right w:val="nil"/>
            </w:tcBorders>
            <w:shd w:val="clear" w:color="auto" w:fill="auto"/>
            <w:noWrap/>
            <w:vAlign w:val="center"/>
            <w:hideMark/>
          </w:tcPr>
          <w:p w14:paraId="4B838DAA" w14:textId="09FB9BDB" w:rsidR="003002E0" w:rsidRPr="00C54377" w:rsidRDefault="003002E0" w:rsidP="003002E0">
            <w:pPr>
              <w:pStyle w:val="BodyText"/>
              <w:spacing w:line="240" w:lineRule="auto"/>
              <w:rPr>
                <w:sz w:val="20"/>
                <w:szCs w:val="20"/>
              </w:rPr>
            </w:pPr>
            <w:r w:rsidRPr="00C54377">
              <w:rPr>
                <w:sz w:val="20"/>
                <w:szCs w:val="20"/>
              </w:rPr>
              <w:t xml:space="preserve">Gasoline vehicle </w:t>
            </w:r>
          </w:p>
        </w:tc>
        <w:tc>
          <w:tcPr>
            <w:tcW w:w="720" w:type="dxa"/>
            <w:tcBorders>
              <w:top w:val="nil"/>
              <w:left w:val="nil"/>
              <w:bottom w:val="nil"/>
              <w:right w:val="nil"/>
            </w:tcBorders>
            <w:shd w:val="clear" w:color="auto" w:fill="auto"/>
            <w:noWrap/>
            <w:vAlign w:val="center"/>
            <w:hideMark/>
          </w:tcPr>
          <w:p w14:paraId="10DE91C5" w14:textId="1BC429A7" w:rsidR="003002E0" w:rsidRPr="00C54377" w:rsidRDefault="003002E0" w:rsidP="003002E0">
            <w:pPr>
              <w:pStyle w:val="BodyText"/>
              <w:spacing w:line="240" w:lineRule="auto"/>
              <w:rPr>
                <w:sz w:val="20"/>
                <w:szCs w:val="20"/>
              </w:rPr>
            </w:pPr>
            <w:r w:rsidRPr="00C54377">
              <w:rPr>
                <w:color w:val="000000"/>
                <w:sz w:val="20"/>
                <w:szCs w:val="20"/>
              </w:rPr>
              <w:t>4395</w:t>
            </w:r>
          </w:p>
        </w:tc>
        <w:tc>
          <w:tcPr>
            <w:tcW w:w="720" w:type="dxa"/>
            <w:tcBorders>
              <w:top w:val="nil"/>
              <w:left w:val="nil"/>
              <w:bottom w:val="nil"/>
              <w:right w:val="nil"/>
            </w:tcBorders>
            <w:shd w:val="clear" w:color="auto" w:fill="auto"/>
            <w:noWrap/>
            <w:vAlign w:val="center"/>
            <w:hideMark/>
          </w:tcPr>
          <w:p w14:paraId="458AF255" w14:textId="4F7EBA6B" w:rsidR="003002E0" w:rsidRPr="00C54377" w:rsidRDefault="003002E0" w:rsidP="003002E0">
            <w:pPr>
              <w:pStyle w:val="BodyText"/>
              <w:spacing w:line="240" w:lineRule="auto"/>
              <w:rPr>
                <w:sz w:val="20"/>
                <w:szCs w:val="20"/>
              </w:rPr>
            </w:pPr>
            <w:r w:rsidRPr="00C54377">
              <w:rPr>
                <w:color w:val="000000"/>
                <w:sz w:val="20"/>
                <w:szCs w:val="20"/>
              </w:rPr>
              <w:t>4538</w:t>
            </w:r>
          </w:p>
        </w:tc>
        <w:tc>
          <w:tcPr>
            <w:tcW w:w="720" w:type="dxa"/>
            <w:tcBorders>
              <w:top w:val="nil"/>
              <w:left w:val="nil"/>
              <w:bottom w:val="nil"/>
              <w:right w:val="nil"/>
            </w:tcBorders>
            <w:shd w:val="clear" w:color="auto" w:fill="auto"/>
            <w:noWrap/>
            <w:vAlign w:val="center"/>
            <w:hideMark/>
          </w:tcPr>
          <w:p w14:paraId="7E7F7074" w14:textId="4BC2710A" w:rsidR="003002E0" w:rsidRPr="00C54377" w:rsidRDefault="003002E0" w:rsidP="003002E0">
            <w:pPr>
              <w:pStyle w:val="BodyText"/>
              <w:spacing w:line="240" w:lineRule="auto"/>
              <w:rPr>
                <w:sz w:val="20"/>
                <w:szCs w:val="20"/>
              </w:rPr>
            </w:pPr>
            <w:r w:rsidRPr="00C54377">
              <w:rPr>
                <w:color w:val="000000"/>
                <w:sz w:val="20"/>
                <w:szCs w:val="20"/>
              </w:rPr>
              <w:t>4613</w:t>
            </w:r>
          </w:p>
        </w:tc>
        <w:tc>
          <w:tcPr>
            <w:tcW w:w="728" w:type="dxa"/>
            <w:tcBorders>
              <w:top w:val="nil"/>
              <w:left w:val="nil"/>
              <w:bottom w:val="nil"/>
              <w:right w:val="single" w:sz="4" w:space="0" w:color="auto"/>
            </w:tcBorders>
            <w:shd w:val="clear" w:color="auto" w:fill="auto"/>
            <w:noWrap/>
            <w:vAlign w:val="center"/>
            <w:hideMark/>
          </w:tcPr>
          <w:p w14:paraId="7A0A2093" w14:textId="7D77621F" w:rsidR="003002E0" w:rsidRPr="00C54377" w:rsidRDefault="003002E0" w:rsidP="003002E0">
            <w:pPr>
              <w:pStyle w:val="BodyText"/>
              <w:spacing w:line="240" w:lineRule="auto"/>
              <w:rPr>
                <w:sz w:val="20"/>
                <w:szCs w:val="20"/>
              </w:rPr>
            </w:pPr>
            <w:r w:rsidRPr="00C54377">
              <w:rPr>
                <w:color w:val="000000"/>
                <w:sz w:val="20"/>
                <w:szCs w:val="20"/>
              </w:rPr>
              <w:t>4667</w:t>
            </w:r>
          </w:p>
        </w:tc>
        <w:tc>
          <w:tcPr>
            <w:tcW w:w="720" w:type="dxa"/>
            <w:tcBorders>
              <w:top w:val="nil"/>
              <w:left w:val="nil"/>
              <w:bottom w:val="nil"/>
              <w:right w:val="nil"/>
            </w:tcBorders>
            <w:shd w:val="clear" w:color="auto" w:fill="auto"/>
            <w:noWrap/>
            <w:vAlign w:val="center"/>
            <w:hideMark/>
          </w:tcPr>
          <w:p w14:paraId="7190B324" w14:textId="67FC4921" w:rsidR="003002E0" w:rsidRPr="00C54377" w:rsidRDefault="003002E0" w:rsidP="003002E0">
            <w:pPr>
              <w:pStyle w:val="BodyText"/>
              <w:spacing w:line="240" w:lineRule="auto"/>
              <w:rPr>
                <w:sz w:val="20"/>
                <w:szCs w:val="20"/>
              </w:rPr>
            </w:pPr>
            <w:r w:rsidRPr="00C54377">
              <w:rPr>
                <w:color w:val="000000"/>
                <w:sz w:val="20"/>
                <w:szCs w:val="20"/>
              </w:rPr>
              <w:t>4395</w:t>
            </w:r>
          </w:p>
        </w:tc>
        <w:tc>
          <w:tcPr>
            <w:tcW w:w="720" w:type="dxa"/>
            <w:tcBorders>
              <w:top w:val="nil"/>
              <w:left w:val="nil"/>
              <w:bottom w:val="nil"/>
              <w:right w:val="nil"/>
            </w:tcBorders>
            <w:shd w:val="clear" w:color="auto" w:fill="auto"/>
            <w:noWrap/>
            <w:vAlign w:val="center"/>
            <w:hideMark/>
          </w:tcPr>
          <w:p w14:paraId="57356323" w14:textId="548E5938" w:rsidR="003002E0" w:rsidRPr="00C54377" w:rsidRDefault="003002E0" w:rsidP="003002E0">
            <w:pPr>
              <w:pStyle w:val="BodyText"/>
              <w:spacing w:line="240" w:lineRule="auto"/>
              <w:rPr>
                <w:sz w:val="20"/>
                <w:szCs w:val="20"/>
              </w:rPr>
            </w:pPr>
            <w:r w:rsidRPr="00C54377">
              <w:rPr>
                <w:color w:val="000000"/>
                <w:sz w:val="20"/>
                <w:szCs w:val="20"/>
              </w:rPr>
              <w:t>4459</w:t>
            </w:r>
          </w:p>
        </w:tc>
        <w:tc>
          <w:tcPr>
            <w:tcW w:w="720" w:type="dxa"/>
            <w:tcBorders>
              <w:top w:val="nil"/>
              <w:left w:val="nil"/>
              <w:bottom w:val="nil"/>
              <w:right w:val="nil"/>
            </w:tcBorders>
            <w:shd w:val="clear" w:color="auto" w:fill="auto"/>
            <w:noWrap/>
            <w:vAlign w:val="center"/>
            <w:hideMark/>
          </w:tcPr>
          <w:p w14:paraId="362927AF" w14:textId="74019833" w:rsidR="003002E0" w:rsidRPr="00C54377" w:rsidRDefault="003002E0" w:rsidP="003002E0">
            <w:pPr>
              <w:pStyle w:val="BodyText"/>
              <w:spacing w:line="240" w:lineRule="auto"/>
              <w:rPr>
                <w:sz w:val="20"/>
                <w:szCs w:val="20"/>
              </w:rPr>
            </w:pPr>
            <w:r w:rsidRPr="00C54377">
              <w:rPr>
                <w:color w:val="000000"/>
                <w:sz w:val="20"/>
                <w:szCs w:val="20"/>
              </w:rPr>
              <w:t>4536</w:t>
            </w:r>
          </w:p>
        </w:tc>
        <w:tc>
          <w:tcPr>
            <w:tcW w:w="720" w:type="dxa"/>
            <w:tcBorders>
              <w:top w:val="nil"/>
              <w:left w:val="nil"/>
              <w:bottom w:val="nil"/>
              <w:right w:val="nil"/>
            </w:tcBorders>
            <w:shd w:val="clear" w:color="auto" w:fill="auto"/>
            <w:noWrap/>
            <w:vAlign w:val="center"/>
            <w:hideMark/>
          </w:tcPr>
          <w:p w14:paraId="63E4229D" w14:textId="7C38DB14" w:rsidR="003002E0" w:rsidRPr="00C54377" w:rsidRDefault="003002E0" w:rsidP="003002E0">
            <w:pPr>
              <w:pStyle w:val="BodyText"/>
              <w:spacing w:line="240" w:lineRule="auto"/>
              <w:rPr>
                <w:sz w:val="20"/>
                <w:szCs w:val="20"/>
              </w:rPr>
            </w:pPr>
            <w:r w:rsidRPr="00C54377">
              <w:rPr>
                <w:color w:val="000000"/>
                <w:sz w:val="20"/>
                <w:szCs w:val="20"/>
              </w:rPr>
              <w:t>4752</w:t>
            </w:r>
          </w:p>
        </w:tc>
        <w:tc>
          <w:tcPr>
            <w:tcW w:w="810" w:type="dxa"/>
            <w:tcBorders>
              <w:top w:val="nil"/>
              <w:left w:val="nil"/>
              <w:bottom w:val="nil"/>
              <w:right w:val="nil"/>
            </w:tcBorders>
            <w:shd w:val="clear" w:color="auto" w:fill="auto"/>
            <w:noWrap/>
            <w:vAlign w:val="center"/>
            <w:hideMark/>
          </w:tcPr>
          <w:p w14:paraId="4210CA29" w14:textId="77777777" w:rsidR="003002E0" w:rsidRPr="00C54377" w:rsidRDefault="003002E0" w:rsidP="003002E0">
            <w:pPr>
              <w:pStyle w:val="BodyText"/>
              <w:spacing w:line="240" w:lineRule="auto"/>
              <w:rPr>
                <w:sz w:val="20"/>
                <w:szCs w:val="20"/>
              </w:rPr>
            </w:pPr>
            <w:r w:rsidRPr="00C54377">
              <w:rPr>
                <w:sz w:val="20"/>
                <w:szCs w:val="20"/>
              </w:rPr>
              <w:t>EIA</w:t>
            </w:r>
          </w:p>
        </w:tc>
        <w:tc>
          <w:tcPr>
            <w:tcW w:w="1792" w:type="dxa"/>
            <w:tcBorders>
              <w:top w:val="nil"/>
              <w:left w:val="nil"/>
              <w:bottom w:val="nil"/>
              <w:right w:val="nil"/>
            </w:tcBorders>
            <w:shd w:val="clear" w:color="auto" w:fill="auto"/>
            <w:noWrap/>
            <w:vAlign w:val="bottom"/>
            <w:hideMark/>
          </w:tcPr>
          <w:p w14:paraId="19285AAB" w14:textId="77777777" w:rsidR="003002E0" w:rsidRPr="00C54377" w:rsidRDefault="003002E0" w:rsidP="003002E0">
            <w:pPr>
              <w:pStyle w:val="BodyText"/>
              <w:spacing w:line="240" w:lineRule="auto"/>
              <w:rPr>
                <w:sz w:val="20"/>
                <w:szCs w:val="20"/>
              </w:rPr>
            </w:pPr>
            <w:r w:rsidRPr="00C54377">
              <w:rPr>
                <w:sz w:val="20"/>
                <w:szCs w:val="20"/>
              </w:rPr>
              <w:t>0%</w:t>
            </w:r>
          </w:p>
        </w:tc>
      </w:tr>
      <w:tr w:rsidR="00D1739C" w:rsidRPr="00D1739C" w14:paraId="70B62D79" w14:textId="77777777" w:rsidTr="00CF771E">
        <w:trPr>
          <w:trHeight w:val="315"/>
        </w:trPr>
        <w:tc>
          <w:tcPr>
            <w:tcW w:w="2520" w:type="dxa"/>
            <w:tcBorders>
              <w:top w:val="nil"/>
              <w:left w:val="nil"/>
              <w:bottom w:val="single" w:sz="4" w:space="0" w:color="auto"/>
              <w:right w:val="nil"/>
            </w:tcBorders>
            <w:shd w:val="clear" w:color="auto" w:fill="auto"/>
            <w:noWrap/>
            <w:vAlign w:val="center"/>
            <w:hideMark/>
          </w:tcPr>
          <w:p w14:paraId="59EFCB57" w14:textId="1496CE0B" w:rsidR="003002E0" w:rsidRPr="00C54377" w:rsidRDefault="003002E0" w:rsidP="003002E0">
            <w:pPr>
              <w:pStyle w:val="BodyText"/>
              <w:spacing w:line="240" w:lineRule="auto"/>
              <w:rPr>
                <w:sz w:val="20"/>
                <w:szCs w:val="20"/>
              </w:rPr>
            </w:pPr>
            <w:r w:rsidRPr="00C54377">
              <w:rPr>
                <w:sz w:val="20"/>
                <w:szCs w:val="20"/>
              </w:rPr>
              <w:t xml:space="preserve">Diesel vehicle </w:t>
            </w:r>
          </w:p>
        </w:tc>
        <w:tc>
          <w:tcPr>
            <w:tcW w:w="720" w:type="dxa"/>
            <w:tcBorders>
              <w:top w:val="nil"/>
              <w:left w:val="nil"/>
              <w:bottom w:val="single" w:sz="4" w:space="0" w:color="auto"/>
              <w:right w:val="nil"/>
            </w:tcBorders>
            <w:shd w:val="clear" w:color="auto" w:fill="auto"/>
            <w:noWrap/>
            <w:vAlign w:val="center"/>
            <w:hideMark/>
          </w:tcPr>
          <w:p w14:paraId="5F589ED9" w14:textId="1A85F8EC" w:rsidR="003002E0" w:rsidRPr="00C54377" w:rsidRDefault="003002E0" w:rsidP="003002E0">
            <w:pPr>
              <w:pStyle w:val="BodyText"/>
              <w:spacing w:line="240" w:lineRule="auto"/>
              <w:rPr>
                <w:sz w:val="20"/>
                <w:szCs w:val="20"/>
              </w:rPr>
            </w:pPr>
            <w:r w:rsidRPr="00C54377">
              <w:rPr>
                <w:color w:val="000000"/>
                <w:sz w:val="20"/>
                <w:szCs w:val="20"/>
              </w:rPr>
              <w:t>656</w:t>
            </w:r>
          </w:p>
        </w:tc>
        <w:tc>
          <w:tcPr>
            <w:tcW w:w="720" w:type="dxa"/>
            <w:tcBorders>
              <w:top w:val="nil"/>
              <w:left w:val="nil"/>
              <w:bottom w:val="single" w:sz="4" w:space="0" w:color="auto"/>
              <w:right w:val="nil"/>
            </w:tcBorders>
            <w:shd w:val="clear" w:color="auto" w:fill="auto"/>
            <w:noWrap/>
            <w:vAlign w:val="center"/>
            <w:hideMark/>
          </w:tcPr>
          <w:p w14:paraId="65D2C74B" w14:textId="60FCD26D" w:rsidR="003002E0" w:rsidRPr="00C54377" w:rsidRDefault="003002E0" w:rsidP="003002E0">
            <w:pPr>
              <w:pStyle w:val="BodyText"/>
              <w:spacing w:line="240" w:lineRule="auto"/>
              <w:rPr>
                <w:sz w:val="20"/>
                <w:szCs w:val="20"/>
              </w:rPr>
            </w:pPr>
            <w:r w:rsidRPr="00C54377">
              <w:rPr>
                <w:color w:val="000000"/>
                <w:sz w:val="20"/>
                <w:szCs w:val="20"/>
              </w:rPr>
              <w:t>664</w:t>
            </w:r>
          </w:p>
        </w:tc>
        <w:tc>
          <w:tcPr>
            <w:tcW w:w="720" w:type="dxa"/>
            <w:tcBorders>
              <w:top w:val="nil"/>
              <w:left w:val="nil"/>
              <w:bottom w:val="single" w:sz="4" w:space="0" w:color="auto"/>
              <w:right w:val="nil"/>
            </w:tcBorders>
            <w:shd w:val="clear" w:color="auto" w:fill="auto"/>
            <w:noWrap/>
            <w:vAlign w:val="center"/>
            <w:hideMark/>
          </w:tcPr>
          <w:p w14:paraId="623467A1" w14:textId="47AF332B" w:rsidR="003002E0" w:rsidRPr="00C54377" w:rsidRDefault="003002E0" w:rsidP="003002E0">
            <w:pPr>
              <w:pStyle w:val="BodyText"/>
              <w:spacing w:line="240" w:lineRule="auto"/>
              <w:rPr>
                <w:sz w:val="20"/>
                <w:szCs w:val="20"/>
              </w:rPr>
            </w:pPr>
            <w:r w:rsidRPr="00C54377">
              <w:rPr>
                <w:color w:val="000000"/>
                <w:sz w:val="20"/>
                <w:szCs w:val="20"/>
              </w:rPr>
              <w:t>699</w:t>
            </w:r>
          </w:p>
        </w:tc>
        <w:tc>
          <w:tcPr>
            <w:tcW w:w="728" w:type="dxa"/>
            <w:tcBorders>
              <w:top w:val="nil"/>
              <w:left w:val="nil"/>
              <w:bottom w:val="single" w:sz="4" w:space="0" w:color="auto"/>
              <w:right w:val="single" w:sz="4" w:space="0" w:color="auto"/>
            </w:tcBorders>
            <w:shd w:val="clear" w:color="auto" w:fill="auto"/>
            <w:noWrap/>
            <w:vAlign w:val="center"/>
            <w:hideMark/>
          </w:tcPr>
          <w:p w14:paraId="0F786E19" w14:textId="7A0066FD" w:rsidR="003002E0" w:rsidRPr="00C54377" w:rsidRDefault="003002E0" w:rsidP="003002E0">
            <w:pPr>
              <w:pStyle w:val="BodyText"/>
              <w:spacing w:line="240" w:lineRule="auto"/>
              <w:rPr>
                <w:sz w:val="20"/>
                <w:szCs w:val="20"/>
              </w:rPr>
            </w:pPr>
            <w:r w:rsidRPr="00C54377">
              <w:rPr>
                <w:color w:val="000000"/>
                <w:sz w:val="20"/>
                <w:szCs w:val="20"/>
              </w:rPr>
              <w:t>693</w:t>
            </w:r>
          </w:p>
        </w:tc>
        <w:tc>
          <w:tcPr>
            <w:tcW w:w="720" w:type="dxa"/>
            <w:tcBorders>
              <w:top w:val="nil"/>
              <w:left w:val="nil"/>
              <w:bottom w:val="single" w:sz="4" w:space="0" w:color="auto"/>
              <w:right w:val="nil"/>
            </w:tcBorders>
            <w:shd w:val="clear" w:color="auto" w:fill="auto"/>
            <w:noWrap/>
            <w:vAlign w:val="center"/>
            <w:hideMark/>
          </w:tcPr>
          <w:p w14:paraId="1A246A0F" w14:textId="38BC9B5F" w:rsidR="003002E0" w:rsidRPr="00C54377" w:rsidRDefault="003002E0" w:rsidP="003002E0">
            <w:pPr>
              <w:pStyle w:val="BodyText"/>
              <w:spacing w:line="240" w:lineRule="auto"/>
              <w:rPr>
                <w:sz w:val="20"/>
                <w:szCs w:val="20"/>
              </w:rPr>
            </w:pPr>
            <w:r w:rsidRPr="00C54377">
              <w:rPr>
                <w:color w:val="000000"/>
                <w:sz w:val="20"/>
                <w:szCs w:val="20"/>
              </w:rPr>
              <w:t>694</w:t>
            </w:r>
          </w:p>
        </w:tc>
        <w:tc>
          <w:tcPr>
            <w:tcW w:w="720" w:type="dxa"/>
            <w:tcBorders>
              <w:top w:val="nil"/>
              <w:left w:val="nil"/>
              <w:bottom w:val="single" w:sz="4" w:space="0" w:color="auto"/>
              <w:right w:val="nil"/>
            </w:tcBorders>
            <w:shd w:val="clear" w:color="auto" w:fill="auto"/>
            <w:noWrap/>
            <w:vAlign w:val="center"/>
            <w:hideMark/>
          </w:tcPr>
          <w:p w14:paraId="0205850A" w14:textId="68CB3E97" w:rsidR="003002E0" w:rsidRPr="00C54377" w:rsidRDefault="003002E0" w:rsidP="003002E0">
            <w:pPr>
              <w:pStyle w:val="BodyText"/>
              <w:spacing w:line="240" w:lineRule="auto"/>
              <w:rPr>
                <w:sz w:val="20"/>
                <w:szCs w:val="20"/>
              </w:rPr>
            </w:pPr>
            <w:r w:rsidRPr="00C54377">
              <w:rPr>
                <w:color w:val="000000"/>
                <w:sz w:val="20"/>
                <w:szCs w:val="20"/>
              </w:rPr>
              <w:t>710</w:t>
            </w:r>
          </w:p>
        </w:tc>
        <w:tc>
          <w:tcPr>
            <w:tcW w:w="720" w:type="dxa"/>
            <w:tcBorders>
              <w:top w:val="nil"/>
              <w:left w:val="nil"/>
              <w:bottom w:val="single" w:sz="4" w:space="0" w:color="auto"/>
              <w:right w:val="nil"/>
            </w:tcBorders>
            <w:shd w:val="clear" w:color="auto" w:fill="auto"/>
            <w:noWrap/>
            <w:vAlign w:val="center"/>
            <w:hideMark/>
          </w:tcPr>
          <w:p w14:paraId="28CD7DF7" w14:textId="537A6793" w:rsidR="003002E0" w:rsidRPr="00C54377" w:rsidRDefault="003002E0" w:rsidP="003002E0">
            <w:pPr>
              <w:pStyle w:val="BodyText"/>
              <w:spacing w:line="240" w:lineRule="auto"/>
              <w:rPr>
                <w:sz w:val="20"/>
                <w:szCs w:val="20"/>
              </w:rPr>
            </w:pPr>
            <w:r w:rsidRPr="00C54377">
              <w:rPr>
                <w:color w:val="000000"/>
                <w:sz w:val="20"/>
                <w:szCs w:val="20"/>
              </w:rPr>
              <w:t>710</w:t>
            </w:r>
          </w:p>
        </w:tc>
        <w:tc>
          <w:tcPr>
            <w:tcW w:w="720" w:type="dxa"/>
            <w:tcBorders>
              <w:top w:val="nil"/>
              <w:left w:val="nil"/>
              <w:bottom w:val="single" w:sz="4" w:space="0" w:color="auto"/>
              <w:right w:val="nil"/>
            </w:tcBorders>
            <w:shd w:val="clear" w:color="auto" w:fill="auto"/>
            <w:noWrap/>
            <w:vAlign w:val="center"/>
            <w:hideMark/>
          </w:tcPr>
          <w:p w14:paraId="6E664273" w14:textId="66C672C3" w:rsidR="003002E0" w:rsidRPr="00C54377" w:rsidRDefault="003002E0" w:rsidP="003002E0">
            <w:pPr>
              <w:pStyle w:val="BodyText"/>
              <w:spacing w:line="240" w:lineRule="auto"/>
              <w:rPr>
                <w:sz w:val="20"/>
                <w:szCs w:val="20"/>
              </w:rPr>
            </w:pPr>
            <w:r w:rsidRPr="00C54377">
              <w:rPr>
                <w:color w:val="000000"/>
                <w:sz w:val="20"/>
                <w:szCs w:val="20"/>
              </w:rPr>
              <w:t>718</w:t>
            </w:r>
          </w:p>
        </w:tc>
        <w:tc>
          <w:tcPr>
            <w:tcW w:w="810" w:type="dxa"/>
            <w:tcBorders>
              <w:top w:val="nil"/>
              <w:left w:val="nil"/>
              <w:bottom w:val="single" w:sz="4" w:space="0" w:color="auto"/>
              <w:right w:val="nil"/>
            </w:tcBorders>
            <w:shd w:val="clear" w:color="auto" w:fill="auto"/>
            <w:noWrap/>
            <w:vAlign w:val="bottom"/>
            <w:hideMark/>
          </w:tcPr>
          <w:p w14:paraId="64101ED3" w14:textId="77777777" w:rsidR="003002E0" w:rsidRPr="00C54377" w:rsidRDefault="003002E0" w:rsidP="003002E0">
            <w:pPr>
              <w:pStyle w:val="BodyText"/>
              <w:spacing w:line="240" w:lineRule="auto"/>
              <w:rPr>
                <w:sz w:val="20"/>
                <w:szCs w:val="20"/>
              </w:rPr>
            </w:pPr>
            <w:r w:rsidRPr="00C54377">
              <w:rPr>
                <w:sz w:val="20"/>
                <w:szCs w:val="20"/>
              </w:rPr>
              <w:t>EIA</w:t>
            </w:r>
          </w:p>
        </w:tc>
        <w:tc>
          <w:tcPr>
            <w:tcW w:w="1792" w:type="dxa"/>
            <w:tcBorders>
              <w:top w:val="nil"/>
              <w:left w:val="nil"/>
              <w:bottom w:val="single" w:sz="4" w:space="0" w:color="auto"/>
              <w:right w:val="nil"/>
            </w:tcBorders>
            <w:shd w:val="clear" w:color="auto" w:fill="auto"/>
            <w:noWrap/>
            <w:vAlign w:val="bottom"/>
            <w:hideMark/>
          </w:tcPr>
          <w:p w14:paraId="597B77F7" w14:textId="77777777" w:rsidR="003002E0" w:rsidRPr="00C54377" w:rsidRDefault="003002E0" w:rsidP="003002E0">
            <w:pPr>
              <w:pStyle w:val="BodyText"/>
              <w:spacing w:line="240" w:lineRule="auto"/>
              <w:rPr>
                <w:sz w:val="20"/>
                <w:szCs w:val="20"/>
              </w:rPr>
            </w:pPr>
            <w:r w:rsidRPr="00C54377">
              <w:rPr>
                <w:sz w:val="20"/>
                <w:szCs w:val="20"/>
              </w:rPr>
              <w:t>4%</w:t>
            </w:r>
          </w:p>
        </w:tc>
      </w:tr>
      <w:tr w:rsidR="00D1739C" w:rsidRPr="000B73E2" w14:paraId="6EE49859" w14:textId="77777777" w:rsidTr="00CF771E">
        <w:trPr>
          <w:trHeight w:val="315"/>
        </w:trPr>
        <w:tc>
          <w:tcPr>
            <w:tcW w:w="5408" w:type="dxa"/>
            <w:gridSpan w:val="5"/>
            <w:tcBorders>
              <w:top w:val="single" w:sz="4" w:space="0" w:color="auto"/>
              <w:left w:val="nil"/>
              <w:bottom w:val="single" w:sz="4" w:space="0" w:color="auto"/>
              <w:right w:val="single" w:sz="4" w:space="0" w:color="auto"/>
            </w:tcBorders>
            <w:shd w:val="clear" w:color="auto" w:fill="auto"/>
            <w:noWrap/>
            <w:vAlign w:val="center"/>
            <w:hideMark/>
          </w:tcPr>
          <w:p w14:paraId="1FF72758" w14:textId="2E4A9DCA" w:rsidR="000B73E2" w:rsidRPr="0099742A" w:rsidRDefault="000B73E2" w:rsidP="000B73E2">
            <w:pPr>
              <w:pStyle w:val="BodyText"/>
              <w:spacing w:line="240" w:lineRule="auto"/>
              <w:rPr>
                <w:sz w:val="20"/>
                <w:szCs w:val="20"/>
              </w:rPr>
            </w:pPr>
            <w:r w:rsidRPr="0099742A">
              <w:rPr>
                <w:sz w:val="20"/>
                <w:szCs w:val="20"/>
              </w:rPr>
              <w:t>Vehicle stocks (million)</w:t>
            </w:r>
          </w:p>
        </w:tc>
        <w:tc>
          <w:tcPr>
            <w:tcW w:w="720" w:type="dxa"/>
            <w:tcBorders>
              <w:top w:val="single" w:sz="4" w:space="0" w:color="auto"/>
              <w:left w:val="nil"/>
              <w:bottom w:val="single" w:sz="4" w:space="0" w:color="auto"/>
              <w:right w:val="nil"/>
            </w:tcBorders>
            <w:shd w:val="clear" w:color="auto" w:fill="auto"/>
            <w:noWrap/>
            <w:vAlign w:val="bottom"/>
            <w:hideMark/>
          </w:tcPr>
          <w:p w14:paraId="67AD30D6"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7A3761B9"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39ACEA32" w14:textId="77777777" w:rsidR="000B73E2" w:rsidRPr="0099742A" w:rsidRDefault="000B73E2" w:rsidP="00C53F8C">
            <w:pPr>
              <w:pStyle w:val="BodyText"/>
              <w:spacing w:line="240" w:lineRule="auto"/>
              <w:rPr>
                <w:sz w:val="20"/>
                <w:szCs w:val="20"/>
              </w:rPr>
            </w:pPr>
            <w:r w:rsidRPr="0099742A">
              <w:rPr>
                <w:sz w:val="20"/>
                <w:szCs w:val="20"/>
              </w:rPr>
              <w:t> </w:t>
            </w:r>
          </w:p>
        </w:tc>
        <w:tc>
          <w:tcPr>
            <w:tcW w:w="720" w:type="dxa"/>
            <w:tcBorders>
              <w:top w:val="single" w:sz="4" w:space="0" w:color="auto"/>
              <w:left w:val="nil"/>
              <w:bottom w:val="single" w:sz="4" w:space="0" w:color="auto"/>
              <w:right w:val="nil"/>
            </w:tcBorders>
            <w:shd w:val="clear" w:color="auto" w:fill="auto"/>
            <w:noWrap/>
            <w:vAlign w:val="center"/>
            <w:hideMark/>
          </w:tcPr>
          <w:p w14:paraId="39A160E6" w14:textId="77777777" w:rsidR="000B73E2" w:rsidRPr="0099742A" w:rsidRDefault="000B73E2" w:rsidP="00C53F8C">
            <w:pPr>
              <w:pStyle w:val="BodyText"/>
              <w:spacing w:line="240" w:lineRule="auto"/>
              <w:rPr>
                <w:sz w:val="20"/>
                <w:szCs w:val="20"/>
              </w:rPr>
            </w:pPr>
            <w:r w:rsidRPr="0099742A">
              <w:rPr>
                <w:sz w:val="20"/>
                <w:szCs w:val="20"/>
              </w:rPr>
              <w:t> </w:t>
            </w:r>
          </w:p>
        </w:tc>
        <w:tc>
          <w:tcPr>
            <w:tcW w:w="810" w:type="dxa"/>
            <w:tcBorders>
              <w:top w:val="single" w:sz="4" w:space="0" w:color="auto"/>
              <w:left w:val="nil"/>
              <w:bottom w:val="single" w:sz="4" w:space="0" w:color="auto"/>
              <w:right w:val="nil"/>
            </w:tcBorders>
            <w:shd w:val="clear" w:color="auto" w:fill="auto"/>
            <w:noWrap/>
            <w:hideMark/>
          </w:tcPr>
          <w:p w14:paraId="7F0F1E22" w14:textId="77777777" w:rsidR="000B73E2" w:rsidRPr="0099742A" w:rsidRDefault="000B73E2" w:rsidP="00C53F8C">
            <w:pPr>
              <w:pStyle w:val="BodyText"/>
              <w:spacing w:line="240" w:lineRule="auto"/>
              <w:rPr>
                <w:sz w:val="20"/>
                <w:szCs w:val="20"/>
              </w:rPr>
            </w:pPr>
            <w:r w:rsidRPr="0099742A">
              <w:rPr>
                <w:sz w:val="20"/>
                <w:szCs w:val="20"/>
              </w:rPr>
              <w:t> </w:t>
            </w:r>
          </w:p>
        </w:tc>
        <w:tc>
          <w:tcPr>
            <w:tcW w:w="1792" w:type="dxa"/>
            <w:tcBorders>
              <w:top w:val="single" w:sz="4" w:space="0" w:color="auto"/>
              <w:left w:val="nil"/>
              <w:bottom w:val="single" w:sz="4" w:space="0" w:color="auto"/>
              <w:right w:val="nil"/>
            </w:tcBorders>
            <w:shd w:val="clear" w:color="auto" w:fill="auto"/>
            <w:noWrap/>
            <w:vAlign w:val="center"/>
            <w:hideMark/>
          </w:tcPr>
          <w:p w14:paraId="0204029B" w14:textId="77777777" w:rsidR="000B73E2" w:rsidRPr="0099742A" w:rsidRDefault="000B73E2" w:rsidP="00C53F8C">
            <w:pPr>
              <w:pStyle w:val="BodyText"/>
              <w:spacing w:line="240" w:lineRule="auto"/>
              <w:rPr>
                <w:sz w:val="20"/>
                <w:szCs w:val="20"/>
              </w:rPr>
            </w:pPr>
            <w:r w:rsidRPr="0099742A">
              <w:rPr>
                <w:sz w:val="20"/>
                <w:szCs w:val="20"/>
              </w:rPr>
              <w:t> </w:t>
            </w:r>
          </w:p>
        </w:tc>
      </w:tr>
      <w:tr w:rsidR="00D1739C" w:rsidRPr="00D1739C" w14:paraId="43DEC4B7" w14:textId="77777777" w:rsidTr="00CF771E">
        <w:trPr>
          <w:trHeight w:val="315"/>
        </w:trPr>
        <w:tc>
          <w:tcPr>
            <w:tcW w:w="2520" w:type="dxa"/>
            <w:tcBorders>
              <w:top w:val="nil"/>
              <w:left w:val="nil"/>
              <w:bottom w:val="nil"/>
              <w:right w:val="nil"/>
            </w:tcBorders>
            <w:shd w:val="clear" w:color="auto" w:fill="auto"/>
            <w:noWrap/>
            <w:vAlign w:val="bottom"/>
            <w:hideMark/>
          </w:tcPr>
          <w:p w14:paraId="52B57656" w14:textId="77777777" w:rsidR="00086AEC" w:rsidRPr="008A6450" w:rsidRDefault="00FC7AC7" w:rsidP="00C53F8C">
            <w:pPr>
              <w:pStyle w:val="BodyText"/>
              <w:spacing w:line="240" w:lineRule="auto"/>
              <w:rPr>
                <w:sz w:val="20"/>
                <w:szCs w:val="20"/>
              </w:rPr>
            </w:pPr>
            <w:r w:rsidRPr="008A6450">
              <w:rPr>
                <w:sz w:val="20"/>
                <w:szCs w:val="20"/>
              </w:rPr>
              <w:t>CV</w:t>
            </w:r>
          </w:p>
        </w:tc>
        <w:tc>
          <w:tcPr>
            <w:tcW w:w="720" w:type="dxa"/>
            <w:tcBorders>
              <w:top w:val="nil"/>
              <w:left w:val="nil"/>
              <w:bottom w:val="nil"/>
              <w:right w:val="nil"/>
            </w:tcBorders>
            <w:shd w:val="clear" w:color="auto" w:fill="auto"/>
            <w:noWrap/>
            <w:vAlign w:val="bottom"/>
            <w:hideMark/>
          </w:tcPr>
          <w:p w14:paraId="1689904B" w14:textId="77777777" w:rsidR="00086AEC" w:rsidRPr="008A6450" w:rsidRDefault="00FC7AC7" w:rsidP="00C53F8C">
            <w:pPr>
              <w:pStyle w:val="BodyText"/>
              <w:spacing w:line="240" w:lineRule="auto"/>
              <w:rPr>
                <w:sz w:val="20"/>
                <w:szCs w:val="20"/>
              </w:rPr>
            </w:pPr>
            <w:r w:rsidRPr="008A6450">
              <w:rPr>
                <w:sz w:val="20"/>
                <w:szCs w:val="20"/>
              </w:rPr>
              <w:t>215</w:t>
            </w:r>
          </w:p>
        </w:tc>
        <w:tc>
          <w:tcPr>
            <w:tcW w:w="720" w:type="dxa"/>
            <w:tcBorders>
              <w:top w:val="nil"/>
              <w:left w:val="nil"/>
              <w:bottom w:val="nil"/>
              <w:right w:val="nil"/>
            </w:tcBorders>
            <w:shd w:val="clear" w:color="auto" w:fill="auto"/>
            <w:noWrap/>
            <w:vAlign w:val="bottom"/>
            <w:hideMark/>
          </w:tcPr>
          <w:p w14:paraId="367158ED" w14:textId="77777777" w:rsidR="00086AEC" w:rsidRPr="008A6450" w:rsidRDefault="00FC7AC7" w:rsidP="00C53F8C">
            <w:pPr>
              <w:pStyle w:val="BodyText"/>
              <w:spacing w:line="240" w:lineRule="auto"/>
              <w:rPr>
                <w:sz w:val="20"/>
                <w:szCs w:val="20"/>
              </w:rPr>
            </w:pPr>
            <w:r w:rsidRPr="008A6450">
              <w:rPr>
                <w:sz w:val="20"/>
                <w:szCs w:val="20"/>
              </w:rPr>
              <w:t>228</w:t>
            </w:r>
          </w:p>
        </w:tc>
        <w:tc>
          <w:tcPr>
            <w:tcW w:w="720" w:type="dxa"/>
            <w:tcBorders>
              <w:top w:val="nil"/>
              <w:left w:val="nil"/>
              <w:bottom w:val="nil"/>
              <w:right w:val="nil"/>
            </w:tcBorders>
            <w:shd w:val="clear" w:color="auto" w:fill="auto"/>
            <w:noWrap/>
            <w:vAlign w:val="bottom"/>
            <w:hideMark/>
          </w:tcPr>
          <w:p w14:paraId="356D411C" w14:textId="77777777" w:rsidR="00086AEC" w:rsidRPr="008A6450" w:rsidRDefault="00FC7AC7" w:rsidP="00C53F8C">
            <w:pPr>
              <w:pStyle w:val="BodyText"/>
              <w:spacing w:line="240" w:lineRule="auto"/>
              <w:rPr>
                <w:sz w:val="20"/>
                <w:szCs w:val="20"/>
              </w:rPr>
            </w:pPr>
            <w:r w:rsidRPr="008A6450">
              <w:rPr>
                <w:sz w:val="20"/>
                <w:szCs w:val="20"/>
              </w:rPr>
              <w:t>228</w:t>
            </w:r>
          </w:p>
        </w:tc>
        <w:tc>
          <w:tcPr>
            <w:tcW w:w="728" w:type="dxa"/>
            <w:tcBorders>
              <w:top w:val="nil"/>
              <w:left w:val="nil"/>
              <w:bottom w:val="nil"/>
              <w:right w:val="single" w:sz="4" w:space="0" w:color="auto"/>
            </w:tcBorders>
            <w:shd w:val="clear" w:color="auto" w:fill="auto"/>
            <w:noWrap/>
            <w:vAlign w:val="bottom"/>
            <w:hideMark/>
          </w:tcPr>
          <w:p w14:paraId="3B678DD0" w14:textId="77777777" w:rsidR="00086AEC" w:rsidRPr="008A6450" w:rsidRDefault="00FC7AC7" w:rsidP="00C53F8C">
            <w:pPr>
              <w:pStyle w:val="BodyText"/>
              <w:spacing w:line="240" w:lineRule="auto"/>
              <w:rPr>
                <w:sz w:val="20"/>
                <w:szCs w:val="20"/>
              </w:rPr>
            </w:pPr>
            <w:r w:rsidRPr="008A6450">
              <w:rPr>
                <w:sz w:val="20"/>
                <w:szCs w:val="20"/>
              </w:rPr>
              <w:t>229</w:t>
            </w:r>
          </w:p>
        </w:tc>
        <w:tc>
          <w:tcPr>
            <w:tcW w:w="720" w:type="dxa"/>
            <w:tcBorders>
              <w:top w:val="nil"/>
              <w:left w:val="nil"/>
              <w:bottom w:val="nil"/>
              <w:right w:val="nil"/>
            </w:tcBorders>
            <w:shd w:val="clear" w:color="auto" w:fill="auto"/>
            <w:noWrap/>
            <w:vAlign w:val="bottom"/>
            <w:hideMark/>
          </w:tcPr>
          <w:p w14:paraId="0EB838B6" w14:textId="77777777" w:rsidR="00086AEC" w:rsidRPr="008A6450" w:rsidRDefault="00FC7AC7" w:rsidP="00C53F8C">
            <w:pPr>
              <w:pStyle w:val="BodyText"/>
              <w:spacing w:line="240" w:lineRule="auto"/>
              <w:rPr>
                <w:sz w:val="20"/>
                <w:szCs w:val="20"/>
              </w:rPr>
            </w:pPr>
            <w:r w:rsidRPr="008A6450">
              <w:rPr>
                <w:sz w:val="20"/>
                <w:szCs w:val="20"/>
              </w:rPr>
              <w:t>216</w:t>
            </w:r>
          </w:p>
        </w:tc>
        <w:tc>
          <w:tcPr>
            <w:tcW w:w="720" w:type="dxa"/>
            <w:tcBorders>
              <w:top w:val="nil"/>
              <w:left w:val="nil"/>
              <w:bottom w:val="nil"/>
              <w:right w:val="nil"/>
            </w:tcBorders>
            <w:shd w:val="clear" w:color="auto" w:fill="auto"/>
            <w:noWrap/>
            <w:vAlign w:val="bottom"/>
            <w:hideMark/>
          </w:tcPr>
          <w:p w14:paraId="4C6450EB" w14:textId="77777777" w:rsidR="00086AEC" w:rsidRPr="008A6450" w:rsidRDefault="00FC7AC7" w:rsidP="00C53F8C">
            <w:pPr>
              <w:pStyle w:val="BodyText"/>
              <w:spacing w:line="240" w:lineRule="auto"/>
              <w:rPr>
                <w:sz w:val="20"/>
                <w:szCs w:val="20"/>
              </w:rPr>
            </w:pPr>
            <w:r w:rsidRPr="008A6450">
              <w:rPr>
                <w:sz w:val="20"/>
                <w:szCs w:val="20"/>
              </w:rPr>
              <w:t>212</w:t>
            </w:r>
          </w:p>
        </w:tc>
        <w:tc>
          <w:tcPr>
            <w:tcW w:w="720" w:type="dxa"/>
            <w:tcBorders>
              <w:top w:val="nil"/>
              <w:left w:val="nil"/>
              <w:bottom w:val="nil"/>
              <w:right w:val="nil"/>
            </w:tcBorders>
            <w:shd w:val="clear" w:color="auto" w:fill="auto"/>
            <w:noWrap/>
            <w:vAlign w:val="bottom"/>
            <w:hideMark/>
          </w:tcPr>
          <w:p w14:paraId="3F81270E" w14:textId="77777777" w:rsidR="00086AEC" w:rsidRPr="008A6450" w:rsidRDefault="00FC7AC7" w:rsidP="00C53F8C">
            <w:pPr>
              <w:pStyle w:val="BodyText"/>
              <w:spacing w:line="240" w:lineRule="auto"/>
              <w:rPr>
                <w:sz w:val="20"/>
                <w:szCs w:val="20"/>
              </w:rPr>
            </w:pPr>
            <w:r w:rsidRPr="008A6450">
              <w:rPr>
                <w:sz w:val="20"/>
                <w:szCs w:val="20"/>
              </w:rPr>
              <w:t>214</w:t>
            </w:r>
          </w:p>
        </w:tc>
        <w:tc>
          <w:tcPr>
            <w:tcW w:w="720" w:type="dxa"/>
            <w:tcBorders>
              <w:top w:val="nil"/>
              <w:left w:val="nil"/>
              <w:bottom w:val="nil"/>
              <w:right w:val="nil"/>
            </w:tcBorders>
            <w:shd w:val="clear" w:color="auto" w:fill="auto"/>
            <w:noWrap/>
            <w:vAlign w:val="bottom"/>
            <w:hideMark/>
          </w:tcPr>
          <w:p w14:paraId="58C41C33" w14:textId="77777777" w:rsidR="00086AEC" w:rsidRPr="008A6450" w:rsidRDefault="00FC7AC7" w:rsidP="00C53F8C">
            <w:pPr>
              <w:pStyle w:val="BodyText"/>
              <w:spacing w:line="240" w:lineRule="auto"/>
              <w:rPr>
                <w:sz w:val="20"/>
                <w:szCs w:val="20"/>
              </w:rPr>
            </w:pPr>
            <w:r w:rsidRPr="008A6450">
              <w:rPr>
                <w:sz w:val="20"/>
                <w:szCs w:val="20"/>
              </w:rPr>
              <w:t>224</w:t>
            </w:r>
          </w:p>
        </w:tc>
        <w:tc>
          <w:tcPr>
            <w:tcW w:w="810" w:type="dxa"/>
            <w:tcBorders>
              <w:top w:val="nil"/>
              <w:left w:val="nil"/>
              <w:bottom w:val="nil"/>
              <w:right w:val="nil"/>
            </w:tcBorders>
            <w:shd w:val="clear" w:color="auto" w:fill="auto"/>
            <w:noWrap/>
            <w:vAlign w:val="bottom"/>
            <w:hideMark/>
          </w:tcPr>
          <w:p w14:paraId="767AC1BE" w14:textId="77777777" w:rsidR="00086AEC" w:rsidRPr="008A6450" w:rsidRDefault="00FC7AC7" w:rsidP="00C53F8C">
            <w:pPr>
              <w:pStyle w:val="BodyText"/>
              <w:spacing w:line="240" w:lineRule="auto"/>
              <w:rPr>
                <w:sz w:val="20"/>
                <w:szCs w:val="20"/>
              </w:rPr>
            </w:pPr>
            <w:r w:rsidRPr="008A6450">
              <w:rPr>
                <w:sz w:val="20"/>
                <w:szCs w:val="20"/>
              </w:rPr>
              <w:t>AEO</w:t>
            </w:r>
          </w:p>
        </w:tc>
        <w:tc>
          <w:tcPr>
            <w:tcW w:w="1792" w:type="dxa"/>
            <w:tcBorders>
              <w:top w:val="nil"/>
              <w:left w:val="nil"/>
              <w:bottom w:val="nil"/>
              <w:right w:val="nil"/>
            </w:tcBorders>
            <w:shd w:val="clear" w:color="auto" w:fill="auto"/>
            <w:noWrap/>
            <w:vAlign w:val="bottom"/>
            <w:hideMark/>
          </w:tcPr>
          <w:p w14:paraId="5E678178" w14:textId="77777777" w:rsidR="00086AEC" w:rsidRPr="008A6450" w:rsidRDefault="00FC7AC7" w:rsidP="00C53F8C">
            <w:pPr>
              <w:pStyle w:val="BodyText"/>
              <w:spacing w:line="240" w:lineRule="auto"/>
              <w:rPr>
                <w:sz w:val="20"/>
                <w:szCs w:val="20"/>
              </w:rPr>
            </w:pPr>
            <w:r w:rsidRPr="008A6450">
              <w:rPr>
                <w:sz w:val="20"/>
                <w:szCs w:val="20"/>
              </w:rPr>
              <w:t>-4%</w:t>
            </w:r>
          </w:p>
        </w:tc>
      </w:tr>
      <w:tr w:rsidR="00D1739C" w:rsidRPr="00D1739C" w14:paraId="5F1D8F85" w14:textId="77777777" w:rsidTr="00CF771E">
        <w:trPr>
          <w:trHeight w:val="315"/>
        </w:trPr>
        <w:tc>
          <w:tcPr>
            <w:tcW w:w="2520" w:type="dxa"/>
            <w:tcBorders>
              <w:top w:val="nil"/>
              <w:left w:val="nil"/>
              <w:bottom w:val="nil"/>
              <w:right w:val="nil"/>
            </w:tcBorders>
            <w:shd w:val="clear" w:color="auto" w:fill="auto"/>
            <w:noWrap/>
            <w:vAlign w:val="bottom"/>
            <w:hideMark/>
          </w:tcPr>
          <w:p w14:paraId="542D7E71" w14:textId="77777777" w:rsidR="00086AEC" w:rsidRPr="0099742A" w:rsidRDefault="00FC7AC7" w:rsidP="00C53F8C">
            <w:pPr>
              <w:pStyle w:val="BodyText"/>
              <w:spacing w:line="240" w:lineRule="auto"/>
              <w:rPr>
                <w:sz w:val="20"/>
                <w:szCs w:val="20"/>
              </w:rPr>
            </w:pPr>
            <w:r w:rsidRPr="0099742A">
              <w:rPr>
                <w:sz w:val="20"/>
                <w:szCs w:val="20"/>
              </w:rPr>
              <w:t>FFV</w:t>
            </w:r>
          </w:p>
        </w:tc>
        <w:tc>
          <w:tcPr>
            <w:tcW w:w="720" w:type="dxa"/>
            <w:tcBorders>
              <w:top w:val="nil"/>
              <w:left w:val="nil"/>
              <w:bottom w:val="nil"/>
              <w:right w:val="nil"/>
            </w:tcBorders>
            <w:shd w:val="clear" w:color="auto" w:fill="auto"/>
            <w:noWrap/>
            <w:vAlign w:val="bottom"/>
            <w:hideMark/>
          </w:tcPr>
          <w:p w14:paraId="70588658" w14:textId="77777777" w:rsidR="00086AEC" w:rsidRPr="0099742A" w:rsidRDefault="00FC7AC7" w:rsidP="00C53F8C">
            <w:pPr>
              <w:pStyle w:val="BodyText"/>
              <w:spacing w:line="240" w:lineRule="auto"/>
              <w:rPr>
                <w:sz w:val="20"/>
                <w:szCs w:val="20"/>
              </w:rPr>
            </w:pPr>
            <w:r w:rsidRPr="0099742A">
              <w:rPr>
                <w:sz w:val="20"/>
                <w:szCs w:val="20"/>
              </w:rPr>
              <w:t>19.8</w:t>
            </w:r>
          </w:p>
        </w:tc>
        <w:tc>
          <w:tcPr>
            <w:tcW w:w="720" w:type="dxa"/>
            <w:tcBorders>
              <w:top w:val="nil"/>
              <w:left w:val="nil"/>
              <w:bottom w:val="nil"/>
              <w:right w:val="nil"/>
            </w:tcBorders>
            <w:shd w:val="clear" w:color="auto" w:fill="auto"/>
            <w:noWrap/>
            <w:vAlign w:val="bottom"/>
            <w:hideMark/>
          </w:tcPr>
          <w:p w14:paraId="0F26E13F" w14:textId="77777777" w:rsidR="00086AEC" w:rsidRPr="0099742A" w:rsidRDefault="00FC7AC7" w:rsidP="00C53F8C">
            <w:pPr>
              <w:pStyle w:val="BodyText"/>
              <w:spacing w:line="240" w:lineRule="auto"/>
              <w:rPr>
                <w:sz w:val="20"/>
                <w:szCs w:val="20"/>
              </w:rPr>
            </w:pPr>
            <w:r w:rsidRPr="0099742A">
              <w:rPr>
                <w:sz w:val="20"/>
                <w:szCs w:val="20"/>
              </w:rPr>
              <w:t>19.4</w:t>
            </w:r>
          </w:p>
        </w:tc>
        <w:tc>
          <w:tcPr>
            <w:tcW w:w="720" w:type="dxa"/>
            <w:tcBorders>
              <w:top w:val="nil"/>
              <w:left w:val="nil"/>
              <w:bottom w:val="nil"/>
              <w:right w:val="nil"/>
            </w:tcBorders>
            <w:shd w:val="clear" w:color="auto" w:fill="auto"/>
            <w:noWrap/>
            <w:vAlign w:val="bottom"/>
            <w:hideMark/>
          </w:tcPr>
          <w:p w14:paraId="619BEA5A" w14:textId="77777777" w:rsidR="00086AEC" w:rsidRPr="0099742A" w:rsidRDefault="00FC7AC7" w:rsidP="00C53F8C">
            <w:pPr>
              <w:pStyle w:val="BodyText"/>
              <w:spacing w:line="240" w:lineRule="auto"/>
              <w:rPr>
                <w:sz w:val="20"/>
                <w:szCs w:val="20"/>
              </w:rPr>
            </w:pPr>
            <w:r w:rsidRPr="0099742A">
              <w:rPr>
                <w:sz w:val="20"/>
                <w:szCs w:val="20"/>
              </w:rPr>
              <w:t>19.7</w:t>
            </w:r>
          </w:p>
        </w:tc>
        <w:tc>
          <w:tcPr>
            <w:tcW w:w="728" w:type="dxa"/>
            <w:tcBorders>
              <w:top w:val="nil"/>
              <w:left w:val="nil"/>
              <w:bottom w:val="nil"/>
              <w:right w:val="single" w:sz="4" w:space="0" w:color="auto"/>
            </w:tcBorders>
            <w:shd w:val="clear" w:color="auto" w:fill="auto"/>
            <w:noWrap/>
            <w:vAlign w:val="bottom"/>
            <w:hideMark/>
          </w:tcPr>
          <w:p w14:paraId="357A6EF0" w14:textId="77777777" w:rsidR="00086AEC" w:rsidRPr="0099742A" w:rsidRDefault="00FC7AC7" w:rsidP="00C53F8C">
            <w:pPr>
              <w:pStyle w:val="BodyText"/>
              <w:spacing w:line="240" w:lineRule="auto"/>
              <w:rPr>
                <w:sz w:val="20"/>
                <w:szCs w:val="20"/>
              </w:rPr>
            </w:pPr>
            <w:r w:rsidRPr="0099742A">
              <w:rPr>
                <w:sz w:val="20"/>
                <w:szCs w:val="20"/>
              </w:rPr>
              <w:t>20.2</w:t>
            </w:r>
          </w:p>
        </w:tc>
        <w:tc>
          <w:tcPr>
            <w:tcW w:w="720" w:type="dxa"/>
            <w:tcBorders>
              <w:top w:val="nil"/>
              <w:left w:val="nil"/>
              <w:bottom w:val="nil"/>
              <w:right w:val="nil"/>
            </w:tcBorders>
            <w:shd w:val="clear" w:color="auto" w:fill="auto"/>
            <w:noWrap/>
            <w:vAlign w:val="bottom"/>
            <w:hideMark/>
          </w:tcPr>
          <w:p w14:paraId="34FECAC6" w14:textId="77777777" w:rsidR="00086AEC" w:rsidRPr="0099742A" w:rsidRDefault="00FC7AC7" w:rsidP="00C53F8C">
            <w:pPr>
              <w:pStyle w:val="BodyText"/>
              <w:spacing w:line="240" w:lineRule="auto"/>
              <w:rPr>
                <w:sz w:val="20"/>
                <w:szCs w:val="20"/>
              </w:rPr>
            </w:pPr>
            <w:r w:rsidRPr="0099742A">
              <w:rPr>
                <w:sz w:val="20"/>
                <w:szCs w:val="20"/>
              </w:rPr>
              <w:t>20.0</w:t>
            </w:r>
          </w:p>
        </w:tc>
        <w:tc>
          <w:tcPr>
            <w:tcW w:w="720" w:type="dxa"/>
            <w:tcBorders>
              <w:top w:val="nil"/>
              <w:left w:val="nil"/>
              <w:bottom w:val="nil"/>
              <w:right w:val="nil"/>
            </w:tcBorders>
            <w:shd w:val="clear" w:color="auto" w:fill="auto"/>
            <w:noWrap/>
            <w:vAlign w:val="bottom"/>
            <w:hideMark/>
          </w:tcPr>
          <w:p w14:paraId="2DB5E2C0" w14:textId="77777777" w:rsidR="00086AEC" w:rsidRPr="0099742A" w:rsidRDefault="00FC7AC7" w:rsidP="00C53F8C">
            <w:pPr>
              <w:pStyle w:val="BodyText"/>
              <w:spacing w:line="240" w:lineRule="auto"/>
              <w:rPr>
                <w:sz w:val="20"/>
                <w:szCs w:val="20"/>
              </w:rPr>
            </w:pPr>
            <w:r w:rsidRPr="0099742A">
              <w:rPr>
                <w:sz w:val="20"/>
                <w:szCs w:val="20"/>
              </w:rPr>
              <w:t>19.2</w:t>
            </w:r>
          </w:p>
        </w:tc>
        <w:tc>
          <w:tcPr>
            <w:tcW w:w="720" w:type="dxa"/>
            <w:tcBorders>
              <w:top w:val="nil"/>
              <w:left w:val="nil"/>
              <w:bottom w:val="nil"/>
              <w:right w:val="nil"/>
            </w:tcBorders>
            <w:shd w:val="clear" w:color="auto" w:fill="auto"/>
            <w:noWrap/>
            <w:vAlign w:val="bottom"/>
            <w:hideMark/>
          </w:tcPr>
          <w:p w14:paraId="35C8AAE7" w14:textId="77777777" w:rsidR="00086AEC" w:rsidRPr="0099742A" w:rsidRDefault="00FC7AC7" w:rsidP="00C53F8C">
            <w:pPr>
              <w:pStyle w:val="BodyText"/>
              <w:spacing w:line="240" w:lineRule="auto"/>
              <w:rPr>
                <w:sz w:val="20"/>
                <w:szCs w:val="20"/>
              </w:rPr>
            </w:pPr>
            <w:r w:rsidRPr="0099742A">
              <w:rPr>
                <w:sz w:val="20"/>
                <w:szCs w:val="20"/>
              </w:rPr>
              <w:t>18.7</w:t>
            </w:r>
          </w:p>
        </w:tc>
        <w:tc>
          <w:tcPr>
            <w:tcW w:w="720" w:type="dxa"/>
            <w:tcBorders>
              <w:top w:val="nil"/>
              <w:left w:val="nil"/>
              <w:bottom w:val="nil"/>
              <w:right w:val="nil"/>
            </w:tcBorders>
            <w:shd w:val="clear" w:color="auto" w:fill="auto"/>
            <w:noWrap/>
            <w:vAlign w:val="bottom"/>
            <w:hideMark/>
          </w:tcPr>
          <w:p w14:paraId="6E5140DF" w14:textId="77777777" w:rsidR="00086AEC" w:rsidRPr="0099742A" w:rsidRDefault="00FC7AC7" w:rsidP="00C53F8C">
            <w:pPr>
              <w:pStyle w:val="BodyText"/>
              <w:spacing w:line="240" w:lineRule="auto"/>
              <w:rPr>
                <w:sz w:val="20"/>
                <w:szCs w:val="20"/>
              </w:rPr>
            </w:pPr>
            <w:r w:rsidRPr="0099742A">
              <w:rPr>
                <w:sz w:val="20"/>
                <w:szCs w:val="20"/>
              </w:rPr>
              <w:t>18.2</w:t>
            </w:r>
          </w:p>
        </w:tc>
        <w:tc>
          <w:tcPr>
            <w:tcW w:w="810" w:type="dxa"/>
            <w:tcBorders>
              <w:top w:val="nil"/>
              <w:left w:val="nil"/>
              <w:bottom w:val="nil"/>
              <w:right w:val="nil"/>
            </w:tcBorders>
            <w:shd w:val="clear" w:color="auto" w:fill="auto"/>
            <w:noWrap/>
            <w:vAlign w:val="bottom"/>
            <w:hideMark/>
          </w:tcPr>
          <w:p w14:paraId="3E32ACDD" w14:textId="77777777" w:rsidR="00086AEC" w:rsidRPr="0099742A" w:rsidRDefault="00FC7AC7" w:rsidP="00C53F8C">
            <w:pPr>
              <w:pStyle w:val="BodyText"/>
              <w:spacing w:line="240" w:lineRule="auto"/>
              <w:rPr>
                <w:sz w:val="20"/>
                <w:szCs w:val="20"/>
              </w:rPr>
            </w:pPr>
            <w:r w:rsidRPr="0099742A">
              <w:rPr>
                <w:sz w:val="20"/>
                <w:szCs w:val="20"/>
              </w:rPr>
              <w:t>AEO</w:t>
            </w:r>
          </w:p>
        </w:tc>
        <w:tc>
          <w:tcPr>
            <w:tcW w:w="1792" w:type="dxa"/>
            <w:tcBorders>
              <w:top w:val="nil"/>
              <w:left w:val="nil"/>
              <w:bottom w:val="nil"/>
              <w:right w:val="nil"/>
            </w:tcBorders>
            <w:shd w:val="clear" w:color="auto" w:fill="auto"/>
            <w:noWrap/>
            <w:vAlign w:val="bottom"/>
            <w:hideMark/>
          </w:tcPr>
          <w:p w14:paraId="391E6BE2" w14:textId="77777777" w:rsidR="00086AEC" w:rsidRPr="0099742A" w:rsidRDefault="00FC7AC7" w:rsidP="00C53F8C">
            <w:pPr>
              <w:pStyle w:val="BodyText"/>
              <w:spacing w:line="240" w:lineRule="auto"/>
              <w:rPr>
                <w:sz w:val="20"/>
                <w:szCs w:val="20"/>
              </w:rPr>
            </w:pPr>
            <w:r w:rsidRPr="0099742A">
              <w:rPr>
                <w:sz w:val="20"/>
                <w:szCs w:val="20"/>
              </w:rPr>
              <w:t>-4%</w:t>
            </w:r>
          </w:p>
        </w:tc>
      </w:tr>
      <w:tr w:rsidR="00D1739C" w:rsidRPr="00D1739C" w14:paraId="0B93268E" w14:textId="77777777" w:rsidTr="00CF771E">
        <w:trPr>
          <w:trHeight w:val="315"/>
        </w:trPr>
        <w:tc>
          <w:tcPr>
            <w:tcW w:w="2520" w:type="dxa"/>
            <w:tcBorders>
              <w:top w:val="nil"/>
              <w:left w:val="nil"/>
              <w:bottom w:val="nil"/>
              <w:right w:val="nil"/>
            </w:tcBorders>
            <w:shd w:val="clear" w:color="auto" w:fill="auto"/>
            <w:noWrap/>
            <w:vAlign w:val="bottom"/>
            <w:hideMark/>
          </w:tcPr>
          <w:p w14:paraId="0C17DA08" w14:textId="77777777" w:rsidR="00086AEC" w:rsidRPr="0099742A" w:rsidRDefault="00FC7AC7" w:rsidP="00C53F8C">
            <w:pPr>
              <w:pStyle w:val="BodyText"/>
              <w:spacing w:line="240" w:lineRule="auto"/>
              <w:rPr>
                <w:sz w:val="20"/>
                <w:szCs w:val="20"/>
              </w:rPr>
            </w:pPr>
            <w:r w:rsidRPr="0099742A">
              <w:rPr>
                <w:sz w:val="20"/>
                <w:szCs w:val="20"/>
              </w:rPr>
              <w:t>HBV</w:t>
            </w:r>
          </w:p>
        </w:tc>
        <w:tc>
          <w:tcPr>
            <w:tcW w:w="720" w:type="dxa"/>
            <w:tcBorders>
              <w:top w:val="nil"/>
              <w:left w:val="nil"/>
              <w:bottom w:val="nil"/>
              <w:right w:val="nil"/>
            </w:tcBorders>
            <w:shd w:val="clear" w:color="auto" w:fill="auto"/>
            <w:noWrap/>
            <w:vAlign w:val="bottom"/>
            <w:hideMark/>
          </w:tcPr>
          <w:p w14:paraId="0A1409ED" w14:textId="77777777" w:rsidR="00086AEC" w:rsidRPr="0099742A" w:rsidRDefault="00FC7AC7" w:rsidP="00C53F8C">
            <w:pPr>
              <w:pStyle w:val="BodyText"/>
              <w:spacing w:line="240" w:lineRule="auto"/>
              <w:rPr>
                <w:sz w:val="20"/>
                <w:szCs w:val="20"/>
              </w:rPr>
            </w:pPr>
            <w:r w:rsidRPr="0099742A">
              <w:rPr>
                <w:sz w:val="20"/>
                <w:szCs w:val="20"/>
              </w:rPr>
              <w:t>4.07</w:t>
            </w:r>
          </w:p>
        </w:tc>
        <w:tc>
          <w:tcPr>
            <w:tcW w:w="720" w:type="dxa"/>
            <w:tcBorders>
              <w:top w:val="nil"/>
              <w:left w:val="nil"/>
              <w:bottom w:val="nil"/>
              <w:right w:val="nil"/>
            </w:tcBorders>
            <w:shd w:val="clear" w:color="auto" w:fill="auto"/>
            <w:noWrap/>
            <w:vAlign w:val="bottom"/>
            <w:hideMark/>
          </w:tcPr>
          <w:p w14:paraId="3DCD723C" w14:textId="77777777" w:rsidR="00086AEC" w:rsidRPr="0099742A" w:rsidRDefault="00FC7AC7" w:rsidP="00C53F8C">
            <w:pPr>
              <w:pStyle w:val="BodyText"/>
              <w:spacing w:line="240" w:lineRule="auto"/>
              <w:rPr>
                <w:sz w:val="20"/>
                <w:szCs w:val="20"/>
              </w:rPr>
            </w:pPr>
            <w:r w:rsidRPr="0099742A">
              <w:rPr>
                <w:sz w:val="20"/>
                <w:szCs w:val="20"/>
              </w:rPr>
              <w:t>4.21</w:t>
            </w:r>
          </w:p>
        </w:tc>
        <w:tc>
          <w:tcPr>
            <w:tcW w:w="720" w:type="dxa"/>
            <w:tcBorders>
              <w:top w:val="nil"/>
              <w:left w:val="nil"/>
              <w:bottom w:val="nil"/>
              <w:right w:val="nil"/>
            </w:tcBorders>
            <w:shd w:val="clear" w:color="auto" w:fill="auto"/>
            <w:noWrap/>
            <w:vAlign w:val="bottom"/>
            <w:hideMark/>
          </w:tcPr>
          <w:p w14:paraId="0DA436ED" w14:textId="77777777" w:rsidR="00086AEC" w:rsidRPr="0099742A" w:rsidRDefault="00FC7AC7" w:rsidP="00C53F8C">
            <w:pPr>
              <w:pStyle w:val="BodyText"/>
              <w:spacing w:line="240" w:lineRule="auto"/>
              <w:rPr>
                <w:sz w:val="20"/>
                <w:szCs w:val="20"/>
              </w:rPr>
            </w:pPr>
            <w:r w:rsidRPr="0099742A">
              <w:rPr>
                <w:sz w:val="20"/>
                <w:szCs w:val="20"/>
              </w:rPr>
              <w:t>4.68</w:t>
            </w:r>
          </w:p>
        </w:tc>
        <w:tc>
          <w:tcPr>
            <w:tcW w:w="728" w:type="dxa"/>
            <w:tcBorders>
              <w:top w:val="nil"/>
              <w:left w:val="nil"/>
              <w:bottom w:val="nil"/>
              <w:right w:val="single" w:sz="4" w:space="0" w:color="auto"/>
            </w:tcBorders>
            <w:shd w:val="clear" w:color="auto" w:fill="auto"/>
            <w:noWrap/>
            <w:vAlign w:val="bottom"/>
            <w:hideMark/>
          </w:tcPr>
          <w:p w14:paraId="6FDBCE61" w14:textId="77777777" w:rsidR="00086AEC" w:rsidRPr="0099742A" w:rsidRDefault="00FC7AC7" w:rsidP="00C53F8C">
            <w:pPr>
              <w:pStyle w:val="BodyText"/>
              <w:spacing w:line="240" w:lineRule="auto"/>
              <w:rPr>
                <w:sz w:val="20"/>
                <w:szCs w:val="20"/>
              </w:rPr>
            </w:pPr>
            <w:r w:rsidRPr="0099742A">
              <w:rPr>
                <w:sz w:val="20"/>
                <w:szCs w:val="20"/>
              </w:rPr>
              <w:t>4.69</w:t>
            </w:r>
          </w:p>
        </w:tc>
        <w:tc>
          <w:tcPr>
            <w:tcW w:w="720" w:type="dxa"/>
            <w:tcBorders>
              <w:top w:val="nil"/>
              <w:left w:val="nil"/>
              <w:bottom w:val="nil"/>
              <w:right w:val="nil"/>
            </w:tcBorders>
            <w:shd w:val="clear" w:color="auto" w:fill="auto"/>
            <w:noWrap/>
            <w:vAlign w:val="bottom"/>
            <w:hideMark/>
          </w:tcPr>
          <w:p w14:paraId="5E89467D" w14:textId="77777777" w:rsidR="00086AEC" w:rsidRPr="0099742A" w:rsidRDefault="00FC7AC7" w:rsidP="00C53F8C">
            <w:pPr>
              <w:pStyle w:val="BodyText"/>
              <w:spacing w:line="240" w:lineRule="auto"/>
              <w:rPr>
                <w:sz w:val="20"/>
                <w:szCs w:val="20"/>
              </w:rPr>
            </w:pPr>
            <w:r w:rsidRPr="0099742A">
              <w:rPr>
                <w:sz w:val="20"/>
                <w:szCs w:val="20"/>
              </w:rPr>
              <w:t>4.17</w:t>
            </w:r>
          </w:p>
        </w:tc>
        <w:tc>
          <w:tcPr>
            <w:tcW w:w="720" w:type="dxa"/>
            <w:tcBorders>
              <w:top w:val="nil"/>
              <w:left w:val="nil"/>
              <w:bottom w:val="nil"/>
              <w:right w:val="nil"/>
            </w:tcBorders>
            <w:shd w:val="clear" w:color="auto" w:fill="auto"/>
            <w:noWrap/>
            <w:vAlign w:val="bottom"/>
            <w:hideMark/>
          </w:tcPr>
          <w:p w14:paraId="53620EF0" w14:textId="77777777" w:rsidR="00086AEC" w:rsidRPr="0099742A" w:rsidRDefault="00FC7AC7" w:rsidP="00C53F8C">
            <w:pPr>
              <w:pStyle w:val="BodyText"/>
              <w:spacing w:line="240" w:lineRule="auto"/>
              <w:rPr>
                <w:sz w:val="20"/>
                <w:szCs w:val="20"/>
              </w:rPr>
            </w:pPr>
            <w:r w:rsidRPr="0099742A">
              <w:rPr>
                <w:sz w:val="20"/>
                <w:szCs w:val="20"/>
              </w:rPr>
              <w:t>3.93</w:t>
            </w:r>
          </w:p>
        </w:tc>
        <w:tc>
          <w:tcPr>
            <w:tcW w:w="720" w:type="dxa"/>
            <w:tcBorders>
              <w:top w:val="nil"/>
              <w:left w:val="nil"/>
              <w:bottom w:val="nil"/>
              <w:right w:val="nil"/>
            </w:tcBorders>
            <w:shd w:val="clear" w:color="auto" w:fill="auto"/>
            <w:noWrap/>
            <w:vAlign w:val="bottom"/>
            <w:hideMark/>
          </w:tcPr>
          <w:p w14:paraId="73E3EBBF" w14:textId="77777777" w:rsidR="00086AEC" w:rsidRPr="0099742A" w:rsidRDefault="00FC7AC7" w:rsidP="00C53F8C">
            <w:pPr>
              <w:pStyle w:val="BodyText"/>
              <w:spacing w:line="240" w:lineRule="auto"/>
              <w:rPr>
                <w:sz w:val="20"/>
                <w:szCs w:val="20"/>
              </w:rPr>
            </w:pPr>
            <w:r w:rsidRPr="0099742A">
              <w:rPr>
                <w:sz w:val="20"/>
                <w:szCs w:val="20"/>
              </w:rPr>
              <w:t>3.86</w:t>
            </w:r>
          </w:p>
        </w:tc>
        <w:tc>
          <w:tcPr>
            <w:tcW w:w="720" w:type="dxa"/>
            <w:tcBorders>
              <w:top w:val="nil"/>
              <w:left w:val="nil"/>
              <w:bottom w:val="nil"/>
              <w:right w:val="nil"/>
            </w:tcBorders>
            <w:shd w:val="clear" w:color="auto" w:fill="auto"/>
            <w:noWrap/>
            <w:vAlign w:val="bottom"/>
            <w:hideMark/>
          </w:tcPr>
          <w:p w14:paraId="09D7E112" w14:textId="77777777" w:rsidR="00086AEC" w:rsidRPr="0099742A" w:rsidRDefault="00FC7AC7" w:rsidP="00C53F8C">
            <w:pPr>
              <w:pStyle w:val="BodyText"/>
              <w:spacing w:line="240" w:lineRule="auto"/>
              <w:rPr>
                <w:sz w:val="20"/>
                <w:szCs w:val="20"/>
              </w:rPr>
            </w:pPr>
            <w:r w:rsidRPr="0099742A">
              <w:rPr>
                <w:sz w:val="20"/>
                <w:szCs w:val="20"/>
              </w:rPr>
              <w:t>4.16</w:t>
            </w:r>
          </w:p>
        </w:tc>
        <w:tc>
          <w:tcPr>
            <w:tcW w:w="810" w:type="dxa"/>
            <w:tcBorders>
              <w:top w:val="nil"/>
              <w:left w:val="nil"/>
              <w:bottom w:val="nil"/>
              <w:right w:val="nil"/>
            </w:tcBorders>
            <w:shd w:val="clear" w:color="auto" w:fill="auto"/>
            <w:noWrap/>
            <w:vAlign w:val="bottom"/>
            <w:hideMark/>
          </w:tcPr>
          <w:p w14:paraId="39E22B8F" w14:textId="77777777" w:rsidR="00086AEC" w:rsidRPr="0099742A" w:rsidRDefault="00FC7AC7" w:rsidP="00C53F8C">
            <w:pPr>
              <w:pStyle w:val="BodyText"/>
              <w:spacing w:line="240" w:lineRule="auto"/>
              <w:rPr>
                <w:sz w:val="20"/>
                <w:szCs w:val="20"/>
              </w:rPr>
            </w:pPr>
            <w:r w:rsidRPr="0099742A">
              <w:rPr>
                <w:sz w:val="20"/>
                <w:szCs w:val="20"/>
              </w:rPr>
              <w:t>AEO</w:t>
            </w:r>
          </w:p>
        </w:tc>
        <w:tc>
          <w:tcPr>
            <w:tcW w:w="1792" w:type="dxa"/>
            <w:tcBorders>
              <w:top w:val="nil"/>
              <w:left w:val="nil"/>
              <w:bottom w:val="nil"/>
              <w:right w:val="nil"/>
            </w:tcBorders>
            <w:shd w:val="clear" w:color="auto" w:fill="auto"/>
            <w:noWrap/>
            <w:vAlign w:val="bottom"/>
            <w:hideMark/>
          </w:tcPr>
          <w:p w14:paraId="34ADD362" w14:textId="77777777" w:rsidR="00086AEC" w:rsidRPr="0099742A" w:rsidRDefault="00FC7AC7" w:rsidP="00C53F8C">
            <w:pPr>
              <w:pStyle w:val="BodyText"/>
              <w:spacing w:line="240" w:lineRule="auto"/>
              <w:rPr>
                <w:sz w:val="20"/>
                <w:szCs w:val="20"/>
              </w:rPr>
            </w:pPr>
            <w:r w:rsidRPr="0099742A">
              <w:rPr>
                <w:sz w:val="20"/>
                <w:szCs w:val="20"/>
              </w:rPr>
              <w:t>-9%</w:t>
            </w:r>
          </w:p>
        </w:tc>
      </w:tr>
      <w:tr w:rsidR="00D1739C" w:rsidRPr="00D1739C" w14:paraId="20E745CC" w14:textId="77777777" w:rsidTr="00CF771E">
        <w:trPr>
          <w:trHeight w:val="315"/>
        </w:trPr>
        <w:tc>
          <w:tcPr>
            <w:tcW w:w="2520" w:type="dxa"/>
            <w:tcBorders>
              <w:top w:val="nil"/>
              <w:left w:val="nil"/>
              <w:bottom w:val="nil"/>
              <w:right w:val="nil"/>
            </w:tcBorders>
            <w:shd w:val="clear" w:color="auto" w:fill="auto"/>
            <w:noWrap/>
            <w:vAlign w:val="bottom"/>
            <w:hideMark/>
          </w:tcPr>
          <w:p w14:paraId="273AC1CC" w14:textId="77777777" w:rsidR="00086AEC" w:rsidRPr="0099742A" w:rsidRDefault="00FC7AC7" w:rsidP="00BA10A4">
            <w:pPr>
              <w:pStyle w:val="BodyText"/>
              <w:spacing w:line="240" w:lineRule="auto"/>
              <w:rPr>
                <w:sz w:val="20"/>
                <w:szCs w:val="20"/>
              </w:rPr>
            </w:pPr>
            <w:r w:rsidRPr="0099742A">
              <w:rPr>
                <w:sz w:val="20"/>
                <w:szCs w:val="20"/>
              </w:rPr>
              <w:t>PHEV</w:t>
            </w:r>
          </w:p>
        </w:tc>
        <w:tc>
          <w:tcPr>
            <w:tcW w:w="720" w:type="dxa"/>
            <w:tcBorders>
              <w:top w:val="nil"/>
              <w:left w:val="nil"/>
              <w:bottom w:val="nil"/>
              <w:right w:val="nil"/>
            </w:tcBorders>
            <w:shd w:val="clear" w:color="auto" w:fill="auto"/>
            <w:noWrap/>
            <w:vAlign w:val="bottom"/>
            <w:hideMark/>
          </w:tcPr>
          <w:p w14:paraId="14296908" w14:textId="77777777" w:rsidR="00086AEC" w:rsidRPr="0099742A" w:rsidRDefault="00FC7AC7" w:rsidP="00BA10A4">
            <w:pPr>
              <w:pStyle w:val="BodyText"/>
              <w:spacing w:line="240" w:lineRule="auto"/>
              <w:rPr>
                <w:sz w:val="20"/>
                <w:szCs w:val="20"/>
              </w:rPr>
            </w:pPr>
            <w:r w:rsidRPr="0099742A">
              <w:rPr>
                <w:sz w:val="20"/>
                <w:szCs w:val="20"/>
              </w:rPr>
              <w:t>0.32</w:t>
            </w:r>
          </w:p>
        </w:tc>
        <w:tc>
          <w:tcPr>
            <w:tcW w:w="720" w:type="dxa"/>
            <w:tcBorders>
              <w:top w:val="nil"/>
              <w:left w:val="nil"/>
              <w:bottom w:val="nil"/>
              <w:right w:val="nil"/>
            </w:tcBorders>
            <w:shd w:val="clear" w:color="auto" w:fill="auto"/>
            <w:noWrap/>
            <w:vAlign w:val="bottom"/>
            <w:hideMark/>
          </w:tcPr>
          <w:p w14:paraId="13AF1B0C" w14:textId="77777777" w:rsidR="00086AEC" w:rsidRPr="0099742A" w:rsidRDefault="00FC7AC7" w:rsidP="00BA10A4">
            <w:pPr>
              <w:pStyle w:val="BodyText"/>
              <w:spacing w:line="240" w:lineRule="auto"/>
              <w:rPr>
                <w:sz w:val="20"/>
                <w:szCs w:val="20"/>
              </w:rPr>
            </w:pPr>
            <w:r w:rsidRPr="0099742A">
              <w:rPr>
                <w:sz w:val="20"/>
                <w:szCs w:val="20"/>
              </w:rPr>
              <w:t>0.36</w:t>
            </w:r>
          </w:p>
        </w:tc>
        <w:tc>
          <w:tcPr>
            <w:tcW w:w="720" w:type="dxa"/>
            <w:tcBorders>
              <w:top w:val="nil"/>
              <w:left w:val="nil"/>
              <w:bottom w:val="nil"/>
              <w:right w:val="nil"/>
            </w:tcBorders>
            <w:shd w:val="clear" w:color="auto" w:fill="auto"/>
            <w:noWrap/>
            <w:vAlign w:val="bottom"/>
            <w:hideMark/>
          </w:tcPr>
          <w:p w14:paraId="3FAD453F" w14:textId="77777777" w:rsidR="00086AEC" w:rsidRPr="0099742A" w:rsidRDefault="00FC7AC7" w:rsidP="00BA10A4">
            <w:pPr>
              <w:pStyle w:val="BodyText"/>
              <w:spacing w:line="240" w:lineRule="auto"/>
              <w:rPr>
                <w:sz w:val="20"/>
                <w:szCs w:val="20"/>
              </w:rPr>
            </w:pPr>
            <w:r w:rsidRPr="0099742A">
              <w:rPr>
                <w:sz w:val="20"/>
                <w:szCs w:val="20"/>
              </w:rPr>
              <w:t>0.53</w:t>
            </w:r>
          </w:p>
        </w:tc>
        <w:tc>
          <w:tcPr>
            <w:tcW w:w="728" w:type="dxa"/>
            <w:tcBorders>
              <w:top w:val="nil"/>
              <w:left w:val="nil"/>
              <w:bottom w:val="nil"/>
              <w:right w:val="single" w:sz="4" w:space="0" w:color="auto"/>
            </w:tcBorders>
            <w:shd w:val="clear" w:color="auto" w:fill="auto"/>
            <w:noWrap/>
            <w:vAlign w:val="bottom"/>
            <w:hideMark/>
          </w:tcPr>
          <w:p w14:paraId="754649F7" w14:textId="77777777" w:rsidR="00086AEC" w:rsidRPr="0099742A" w:rsidRDefault="00FC7AC7" w:rsidP="00BA10A4">
            <w:pPr>
              <w:pStyle w:val="BodyText"/>
              <w:spacing w:line="240" w:lineRule="auto"/>
              <w:rPr>
                <w:sz w:val="20"/>
                <w:szCs w:val="20"/>
              </w:rPr>
            </w:pPr>
            <w:r w:rsidRPr="0099742A">
              <w:rPr>
                <w:sz w:val="20"/>
                <w:szCs w:val="20"/>
              </w:rPr>
              <w:t>0.64</w:t>
            </w:r>
          </w:p>
        </w:tc>
        <w:tc>
          <w:tcPr>
            <w:tcW w:w="720" w:type="dxa"/>
            <w:tcBorders>
              <w:top w:val="nil"/>
              <w:left w:val="nil"/>
              <w:bottom w:val="nil"/>
              <w:right w:val="nil"/>
            </w:tcBorders>
            <w:shd w:val="clear" w:color="auto" w:fill="auto"/>
            <w:noWrap/>
            <w:vAlign w:val="bottom"/>
            <w:hideMark/>
          </w:tcPr>
          <w:p w14:paraId="24907EE5" w14:textId="77777777" w:rsidR="00086AEC" w:rsidRPr="0099742A" w:rsidRDefault="00FC7AC7" w:rsidP="00BA10A4">
            <w:pPr>
              <w:pStyle w:val="BodyText"/>
              <w:spacing w:line="240" w:lineRule="auto"/>
              <w:rPr>
                <w:sz w:val="20"/>
                <w:szCs w:val="20"/>
              </w:rPr>
            </w:pPr>
            <w:r w:rsidRPr="0099742A">
              <w:rPr>
                <w:sz w:val="20"/>
                <w:szCs w:val="20"/>
              </w:rPr>
              <w:t>0.32</w:t>
            </w:r>
          </w:p>
        </w:tc>
        <w:tc>
          <w:tcPr>
            <w:tcW w:w="720" w:type="dxa"/>
            <w:tcBorders>
              <w:top w:val="nil"/>
              <w:left w:val="nil"/>
              <w:bottom w:val="nil"/>
              <w:right w:val="nil"/>
            </w:tcBorders>
            <w:shd w:val="clear" w:color="auto" w:fill="auto"/>
            <w:noWrap/>
            <w:vAlign w:val="bottom"/>
            <w:hideMark/>
          </w:tcPr>
          <w:p w14:paraId="5660DBE6" w14:textId="77777777" w:rsidR="00086AEC" w:rsidRPr="0099742A" w:rsidRDefault="00FC7AC7" w:rsidP="00BA10A4">
            <w:pPr>
              <w:pStyle w:val="BodyText"/>
              <w:spacing w:line="240" w:lineRule="auto"/>
              <w:rPr>
                <w:sz w:val="20"/>
                <w:szCs w:val="20"/>
              </w:rPr>
            </w:pPr>
            <w:r w:rsidRPr="0099742A">
              <w:rPr>
                <w:sz w:val="20"/>
                <w:szCs w:val="20"/>
              </w:rPr>
              <w:t>0.30</w:t>
            </w:r>
          </w:p>
        </w:tc>
        <w:tc>
          <w:tcPr>
            <w:tcW w:w="720" w:type="dxa"/>
            <w:tcBorders>
              <w:top w:val="nil"/>
              <w:left w:val="nil"/>
              <w:bottom w:val="nil"/>
              <w:right w:val="nil"/>
            </w:tcBorders>
            <w:shd w:val="clear" w:color="auto" w:fill="auto"/>
            <w:noWrap/>
            <w:vAlign w:val="bottom"/>
            <w:hideMark/>
          </w:tcPr>
          <w:p w14:paraId="5CE0F60C" w14:textId="77777777" w:rsidR="00086AEC" w:rsidRPr="0099742A" w:rsidRDefault="00FC7AC7" w:rsidP="00BA10A4">
            <w:pPr>
              <w:pStyle w:val="BodyText"/>
              <w:spacing w:line="240" w:lineRule="auto"/>
              <w:rPr>
                <w:sz w:val="20"/>
                <w:szCs w:val="20"/>
              </w:rPr>
            </w:pPr>
            <w:r w:rsidRPr="0099742A">
              <w:rPr>
                <w:sz w:val="20"/>
                <w:szCs w:val="20"/>
              </w:rPr>
              <w:t>0.34</w:t>
            </w:r>
          </w:p>
        </w:tc>
        <w:tc>
          <w:tcPr>
            <w:tcW w:w="720" w:type="dxa"/>
            <w:tcBorders>
              <w:top w:val="nil"/>
              <w:left w:val="nil"/>
              <w:bottom w:val="nil"/>
              <w:right w:val="nil"/>
            </w:tcBorders>
            <w:shd w:val="clear" w:color="auto" w:fill="auto"/>
            <w:noWrap/>
            <w:vAlign w:val="bottom"/>
            <w:hideMark/>
          </w:tcPr>
          <w:p w14:paraId="3D4C0EFD" w14:textId="77777777" w:rsidR="00086AEC" w:rsidRPr="0099742A" w:rsidRDefault="00FC7AC7" w:rsidP="00BA10A4">
            <w:pPr>
              <w:pStyle w:val="BodyText"/>
              <w:spacing w:line="240" w:lineRule="auto"/>
              <w:rPr>
                <w:sz w:val="20"/>
                <w:szCs w:val="20"/>
              </w:rPr>
            </w:pPr>
            <w:r w:rsidRPr="0099742A">
              <w:rPr>
                <w:sz w:val="20"/>
                <w:szCs w:val="20"/>
              </w:rPr>
              <w:t>0.84</w:t>
            </w:r>
          </w:p>
        </w:tc>
        <w:tc>
          <w:tcPr>
            <w:tcW w:w="810" w:type="dxa"/>
            <w:tcBorders>
              <w:top w:val="nil"/>
              <w:left w:val="nil"/>
              <w:bottom w:val="nil"/>
              <w:right w:val="nil"/>
            </w:tcBorders>
            <w:shd w:val="clear" w:color="auto" w:fill="auto"/>
            <w:noWrap/>
            <w:vAlign w:val="bottom"/>
            <w:hideMark/>
          </w:tcPr>
          <w:p w14:paraId="29E7D794" w14:textId="77777777" w:rsidR="00086AEC" w:rsidRPr="0099742A" w:rsidRDefault="00FC7AC7" w:rsidP="00BA10A4">
            <w:pPr>
              <w:pStyle w:val="BodyText"/>
              <w:spacing w:line="240" w:lineRule="auto"/>
              <w:rPr>
                <w:sz w:val="20"/>
                <w:szCs w:val="20"/>
              </w:rPr>
            </w:pPr>
            <w:r w:rsidRPr="0099742A">
              <w:rPr>
                <w:sz w:val="20"/>
                <w:szCs w:val="20"/>
              </w:rPr>
              <w:t>AEO</w:t>
            </w:r>
          </w:p>
        </w:tc>
        <w:tc>
          <w:tcPr>
            <w:tcW w:w="1792" w:type="dxa"/>
            <w:tcBorders>
              <w:top w:val="nil"/>
              <w:left w:val="nil"/>
              <w:bottom w:val="nil"/>
              <w:right w:val="nil"/>
            </w:tcBorders>
            <w:shd w:val="clear" w:color="auto" w:fill="auto"/>
            <w:noWrap/>
            <w:vAlign w:val="bottom"/>
            <w:hideMark/>
          </w:tcPr>
          <w:p w14:paraId="3E46102C" w14:textId="77777777" w:rsidR="00086AEC" w:rsidRPr="0099742A" w:rsidRDefault="00FC7AC7" w:rsidP="00BA10A4">
            <w:pPr>
              <w:pStyle w:val="BodyText"/>
              <w:spacing w:line="240" w:lineRule="auto"/>
              <w:rPr>
                <w:sz w:val="20"/>
                <w:szCs w:val="20"/>
              </w:rPr>
            </w:pPr>
            <w:r w:rsidRPr="0099742A">
              <w:rPr>
                <w:sz w:val="20"/>
                <w:szCs w:val="20"/>
              </w:rPr>
              <w:t>-2%</w:t>
            </w:r>
          </w:p>
        </w:tc>
      </w:tr>
      <w:tr w:rsidR="00D1739C" w:rsidRPr="00D1739C" w14:paraId="69810303" w14:textId="77777777" w:rsidTr="00CF771E">
        <w:trPr>
          <w:trHeight w:val="315"/>
        </w:trPr>
        <w:tc>
          <w:tcPr>
            <w:tcW w:w="2520" w:type="dxa"/>
            <w:tcBorders>
              <w:top w:val="nil"/>
              <w:left w:val="nil"/>
              <w:right w:val="nil"/>
            </w:tcBorders>
            <w:shd w:val="clear" w:color="auto" w:fill="auto"/>
            <w:noWrap/>
            <w:vAlign w:val="bottom"/>
            <w:hideMark/>
          </w:tcPr>
          <w:p w14:paraId="636D6678" w14:textId="77777777" w:rsidR="00086AEC" w:rsidRPr="0099742A" w:rsidRDefault="00FC7AC7" w:rsidP="00BA10A4">
            <w:pPr>
              <w:pStyle w:val="BodyText"/>
              <w:spacing w:line="240" w:lineRule="auto"/>
              <w:rPr>
                <w:sz w:val="20"/>
                <w:szCs w:val="20"/>
              </w:rPr>
            </w:pPr>
            <w:r w:rsidRPr="0099742A">
              <w:rPr>
                <w:sz w:val="20"/>
                <w:szCs w:val="20"/>
              </w:rPr>
              <w:t>BEV</w:t>
            </w:r>
          </w:p>
        </w:tc>
        <w:tc>
          <w:tcPr>
            <w:tcW w:w="720" w:type="dxa"/>
            <w:tcBorders>
              <w:top w:val="nil"/>
              <w:left w:val="nil"/>
              <w:right w:val="nil"/>
            </w:tcBorders>
            <w:shd w:val="clear" w:color="auto" w:fill="auto"/>
            <w:noWrap/>
            <w:vAlign w:val="bottom"/>
            <w:hideMark/>
          </w:tcPr>
          <w:p w14:paraId="7700EEBE" w14:textId="77777777" w:rsidR="00086AEC" w:rsidRPr="0099742A" w:rsidRDefault="00FC7AC7" w:rsidP="00BA10A4">
            <w:pPr>
              <w:pStyle w:val="BodyText"/>
              <w:spacing w:line="240" w:lineRule="auto"/>
              <w:rPr>
                <w:sz w:val="20"/>
                <w:szCs w:val="20"/>
              </w:rPr>
            </w:pPr>
            <w:r w:rsidRPr="0099742A">
              <w:rPr>
                <w:sz w:val="20"/>
                <w:szCs w:val="20"/>
              </w:rPr>
              <w:t>0.29</w:t>
            </w:r>
          </w:p>
        </w:tc>
        <w:tc>
          <w:tcPr>
            <w:tcW w:w="720" w:type="dxa"/>
            <w:tcBorders>
              <w:top w:val="nil"/>
              <w:left w:val="nil"/>
              <w:right w:val="nil"/>
            </w:tcBorders>
            <w:shd w:val="clear" w:color="auto" w:fill="auto"/>
            <w:noWrap/>
            <w:vAlign w:val="bottom"/>
            <w:hideMark/>
          </w:tcPr>
          <w:p w14:paraId="79D3F777" w14:textId="77777777" w:rsidR="00086AEC" w:rsidRPr="0099742A" w:rsidRDefault="00FC7AC7" w:rsidP="00BA10A4">
            <w:pPr>
              <w:pStyle w:val="BodyText"/>
              <w:spacing w:line="240" w:lineRule="auto"/>
              <w:rPr>
                <w:sz w:val="20"/>
                <w:szCs w:val="20"/>
              </w:rPr>
            </w:pPr>
            <w:r w:rsidRPr="0099742A">
              <w:rPr>
                <w:sz w:val="20"/>
                <w:szCs w:val="20"/>
              </w:rPr>
              <w:t>0.37</w:t>
            </w:r>
          </w:p>
        </w:tc>
        <w:tc>
          <w:tcPr>
            <w:tcW w:w="720" w:type="dxa"/>
            <w:tcBorders>
              <w:top w:val="nil"/>
              <w:left w:val="nil"/>
              <w:right w:val="nil"/>
            </w:tcBorders>
            <w:shd w:val="clear" w:color="auto" w:fill="auto"/>
            <w:noWrap/>
            <w:vAlign w:val="bottom"/>
            <w:hideMark/>
          </w:tcPr>
          <w:p w14:paraId="53C98797" w14:textId="77777777" w:rsidR="00086AEC" w:rsidRPr="0099742A" w:rsidRDefault="00FC7AC7" w:rsidP="00BA10A4">
            <w:pPr>
              <w:pStyle w:val="BodyText"/>
              <w:spacing w:line="240" w:lineRule="auto"/>
              <w:rPr>
                <w:sz w:val="20"/>
                <w:szCs w:val="20"/>
              </w:rPr>
            </w:pPr>
            <w:r w:rsidRPr="0099742A">
              <w:rPr>
                <w:sz w:val="20"/>
                <w:szCs w:val="20"/>
              </w:rPr>
              <w:t>0.57</w:t>
            </w:r>
          </w:p>
        </w:tc>
        <w:tc>
          <w:tcPr>
            <w:tcW w:w="728" w:type="dxa"/>
            <w:tcBorders>
              <w:top w:val="nil"/>
              <w:left w:val="nil"/>
              <w:right w:val="single" w:sz="4" w:space="0" w:color="auto"/>
            </w:tcBorders>
            <w:shd w:val="clear" w:color="auto" w:fill="auto"/>
            <w:noWrap/>
            <w:vAlign w:val="bottom"/>
            <w:hideMark/>
          </w:tcPr>
          <w:p w14:paraId="75639354" w14:textId="77777777" w:rsidR="00086AEC" w:rsidRPr="0099742A" w:rsidRDefault="00FC7AC7" w:rsidP="00BA10A4">
            <w:pPr>
              <w:pStyle w:val="BodyText"/>
              <w:spacing w:line="240" w:lineRule="auto"/>
              <w:rPr>
                <w:sz w:val="20"/>
                <w:szCs w:val="20"/>
              </w:rPr>
            </w:pPr>
            <w:r w:rsidRPr="0099742A">
              <w:rPr>
                <w:sz w:val="20"/>
                <w:szCs w:val="20"/>
              </w:rPr>
              <w:t>0.87</w:t>
            </w:r>
          </w:p>
        </w:tc>
        <w:tc>
          <w:tcPr>
            <w:tcW w:w="720" w:type="dxa"/>
            <w:tcBorders>
              <w:top w:val="nil"/>
              <w:left w:val="nil"/>
              <w:right w:val="nil"/>
            </w:tcBorders>
            <w:shd w:val="clear" w:color="auto" w:fill="auto"/>
            <w:noWrap/>
            <w:vAlign w:val="bottom"/>
            <w:hideMark/>
          </w:tcPr>
          <w:p w14:paraId="0817F7CD" w14:textId="77777777" w:rsidR="00086AEC" w:rsidRPr="0099742A" w:rsidRDefault="00FC7AC7" w:rsidP="00BA10A4">
            <w:pPr>
              <w:pStyle w:val="BodyText"/>
              <w:spacing w:line="240" w:lineRule="auto"/>
              <w:rPr>
                <w:sz w:val="20"/>
                <w:szCs w:val="20"/>
              </w:rPr>
            </w:pPr>
            <w:r w:rsidRPr="0099742A">
              <w:rPr>
                <w:sz w:val="20"/>
                <w:szCs w:val="20"/>
              </w:rPr>
              <w:t>0.31</w:t>
            </w:r>
          </w:p>
        </w:tc>
        <w:tc>
          <w:tcPr>
            <w:tcW w:w="720" w:type="dxa"/>
            <w:tcBorders>
              <w:top w:val="nil"/>
              <w:left w:val="nil"/>
              <w:right w:val="nil"/>
            </w:tcBorders>
            <w:shd w:val="clear" w:color="auto" w:fill="auto"/>
            <w:noWrap/>
            <w:vAlign w:val="bottom"/>
            <w:hideMark/>
          </w:tcPr>
          <w:p w14:paraId="1A8A37BC" w14:textId="77777777" w:rsidR="00086AEC" w:rsidRPr="0099742A" w:rsidRDefault="00FC7AC7" w:rsidP="00BA10A4">
            <w:pPr>
              <w:pStyle w:val="BodyText"/>
              <w:spacing w:line="240" w:lineRule="auto"/>
              <w:rPr>
                <w:sz w:val="20"/>
                <w:szCs w:val="20"/>
              </w:rPr>
            </w:pPr>
            <w:r w:rsidRPr="0099742A">
              <w:rPr>
                <w:sz w:val="20"/>
                <w:szCs w:val="20"/>
              </w:rPr>
              <w:t>0.30</w:t>
            </w:r>
          </w:p>
        </w:tc>
        <w:tc>
          <w:tcPr>
            <w:tcW w:w="720" w:type="dxa"/>
            <w:tcBorders>
              <w:top w:val="nil"/>
              <w:left w:val="nil"/>
              <w:right w:val="nil"/>
            </w:tcBorders>
            <w:shd w:val="clear" w:color="auto" w:fill="auto"/>
            <w:noWrap/>
            <w:vAlign w:val="bottom"/>
            <w:hideMark/>
          </w:tcPr>
          <w:p w14:paraId="4388ECFB" w14:textId="77777777" w:rsidR="00086AEC" w:rsidRPr="0099742A" w:rsidRDefault="00FC7AC7" w:rsidP="00BA10A4">
            <w:pPr>
              <w:pStyle w:val="BodyText"/>
              <w:spacing w:line="240" w:lineRule="auto"/>
              <w:rPr>
                <w:sz w:val="20"/>
                <w:szCs w:val="20"/>
              </w:rPr>
            </w:pPr>
            <w:r w:rsidRPr="0099742A">
              <w:rPr>
                <w:sz w:val="20"/>
                <w:szCs w:val="20"/>
              </w:rPr>
              <w:t>0.55</w:t>
            </w:r>
          </w:p>
        </w:tc>
        <w:tc>
          <w:tcPr>
            <w:tcW w:w="720" w:type="dxa"/>
            <w:tcBorders>
              <w:top w:val="nil"/>
              <w:left w:val="nil"/>
              <w:right w:val="nil"/>
            </w:tcBorders>
            <w:shd w:val="clear" w:color="auto" w:fill="auto"/>
            <w:noWrap/>
            <w:vAlign w:val="bottom"/>
            <w:hideMark/>
          </w:tcPr>
          <w:p w14:paraId="76F8302C" w14:textId="77777777" w:rsidR="00086AEC" w:rsidRPr="0099742A" w:rsidRDefault="00FC7AC7" w:rsidP="00BA10A4">
            <w:pPr>
              <w:pStyle w:val="BodyText"/>
              <w:spacing w:line="240" w:lineRule="auto"/>
              <w:rPr>
                <w:sz w:val="20"/>
                <w:szCs w:val="20"/>
              </w:rPr>
            </w:pPr>
            <w:r w:rsidRPr="0099742A">
              <w:rPr>
                <w:sz w:val="20"/>
                <w:szCs w:val="20"/>
              </w:rPr>
              <w:t>1.15</w:t>
            </w:r>
          </w:p>
        </w:tc>
        <w:tc>
          <w:tcPr>
            <w:tcW w:w="810" w:type="dxa"/>
            <w:tcBorders>
              <w:top w:val="nil"/>
              <w:left w:val="nil"/>
              <w:right w:val="nil"/>
            </w:tcBorders>
            <w:shd w:val="clear" w:color="auto" w:fill="auto"/>
            <w:noWrap/>
            <w:vAlign w:val="bottom"/>
            <w:hideMark/>
          </w:tcPr>
          <w:p w14:paraId="2A5D03C4" w14:textId="77777777" w:rsidR="00086AEC" w:rsidRPr="0099742A" w:rsidRDefault="00FC7AC7" w:rsidP="00BA10A4">
            <w:pPr>
              <w:pStyle w:val="BodyText"/>
              <w:spacing w:line="240" w:lineRule="auto"/>
              <w:rPr>
                <w:sz w:val="20"/>
                <w:szCs w:val="20"/>
              </w:rPr>
            </w:pPr>
            <w:r w:rsidRPr="0099742A">
              <w:rPr>
                <w:sz w:val="20"/>
                <w:szCs w:val="20"/>
              </w:rPr>
              <w:t>AEO</w:t>
            </w:r>
          </w:p>
        </w:tc>
        <w:tc>
          <w:tcPr>
            <w:tcW w:w="1792" w:type="dxa"/>
            <w:tcBorders>
              <w:top w:val="nil"/>
              <w:left w:val="nil"/>
              <w:right w:val="nil"/>
            </w:tcBorders>
            <w:shd w:val="clear" w:color="auto" w:fill="auto"/>
            <w:noWrap/>
            <w:vAlign w:val="bottom"/>
            <w:hideMark/>
          </w:tcPr>
          <w:p w14:paraId="4D6652BD" w14:textId="77777777" w:rsidR="00086AEC" w:rsidRPr="0099742A" w:rsidRDefault="00FC7AC7" w:rsidP="00BA10A4">
            <w:pPr>
              <w:pStyle w:val="BodyText"/>
              <w:spacing w:line="240" w:lineRule="auto"/>
              <w:rPr>
                <w:sz w:val="20"/>
                <w:szCs w:val="20"/>
              </w:rPr>
            </w:pPr>
            <w:r w:rsidRPr="0099742A">
              <w:rPr>
                <w:sz w:val="20"/>
                <w:szCs w:val="20"/>
              </w:rPr>
              <w:t>9%</w:t>
            </w:r>
          </w:p>
        </w:tc>
      </w:tr>
      <w:tr w:rsidR="00D1739C" w:rsidRPr="00D1739C" w14:paraId="116A9A45" w14:textId="77777777" w:rsidTr="00CF771E">
        <w:trPr>
          <w:trHeight w:val="315"/>
        </w:trPr>
        <w:tc>
          <w:tcPr>
            <w:tcW w:w="2520" w:type="dxa"/>
            <w:tcBorders>
              <w:top w:val="nil"/>
              <w:left w:val="nil"/>
              <w:bottom w:val="single" w:sz="4" w:space="0" w:color="auto"/>
              <w:right w:val="nil"/>
            </w:tcBorders>
            <w:shd w:val="clear" w:color="auto" w:fill="auto"/>
            <w:noWrap/>
            <w:vAlign w:val="bottom"/>
            <w:hideMark/>
          </w:tcPr>
          <w:p w14:paraId="155D6894" w14:textId="1FD76B3B" w:rsidR="00086AEC" w:rsidRPr="0099742A" w:rsidRDefault="00FC7AC7" w:rsidP="00BA10A4">
            <w:pPr>
              <w:pStyle w:val="BodyText"/>
              <w:spacing w:line="240" w:lineRule="auto"/>
              <w:rPr>
                <w:sz w:val="20"/>
                <w:szCs w:val="20"/>
              </w:rPr>
            </w:pPr>
            <w:r w:rsidRPr="0099742A">
              <w:rPr>
                <w:sz w:val="20"/>
                <w:szCs w:val="20"/>
              </w:rPr>
              <w:t>Total</w:t>
            </w:r>
            <w:r w:rsidR="001304A3" w:rsidRPr="0099742A">
              <w:rPr>
                <w:sz w:val="20"/>
                <w:szCs w:val="20"/>
              </w:rPr>
              <w:t xml:space="preserve"> </w:t>
            </w:r>
          </w:p>
        </w:tc>
        <w:tc>
          <w:tcPr>
            <w:tcW w:w="720" w:type="dxa"/>
            <w:tcBorders>
              <w:top w:val="nil"/>
              <w:left w:val="nil"/>
              <w:bottom w:val="single" w:sz="4" w:space="0" w:color="auto"/>
              <w:right w:val="nil"/>
            </w:tcBorders>
            <w:shd w:val="clear" w:color="auto" w:fill="auto"/>
            <w:noWrap/>
            <w:vAlign w:val="bottom"/>
            <w:hideMark/>
          </w:tcPr>
          <w:p w14:paraId="3B81AB1D" w14:textId="77777777" w:rsidR="00086AEC" w:rsidRPr="0099742A" w:rsidRDefault="00FC7AC7" w:rsidP="00BA10A4">
            <w:pPr>
              <w:pStyle w:val="BodyText"/>
              <w:spacing w:line="240" w:lineRule="auto"/>
              <w:rPr>
                <w:sz w:val="20"/>
                <w:szCs w:val="20"/>
              </w:rPr>
            </w:pPr>
            <w:r w:rsidRPr="0099742A">
              <w:rPr>
                <w:sz w:val="20"/>
                <w:szCs w:val="20"/>
              </w:rPr>
              <w:t>239</w:t>
            </w:r>
          </w:p>
        </w:tc>
        <w:tc>
          <w:tcPr>
            <w:tcW w:w="720" w:type="dxa"/>
            <w:tcBorders>
              <w:top w:val="nil"/>
              <w:left w:val="nil"/>
              <w:bottom w:val="single" w:sz="4" w:space="0" w:color="auto"/>
              <w:right w:val="nil"/>
            </w:tcBorders>
            <w:shd w:val="clear" w:color="auto" w:fill="auto"/>
            <w:noWrap/>
            <w:vAlign w:val="bottom"/>
            <w:hideMark/>
          </w:tcPr>
          <w:p w14:paraId="788E5DF6" w14:textId="77777777" w:rsidR="00086AEC" w:rsidRPr="0099742A" w:rsidRDefault="00FC7AC7" w:rsidP="00BA10A4">
            <w:pPr>
              <w:pStyle w:val="BodyText"/>
              <w:spacing w:line="240" w:lineRule="auto"/>
              <w:rPr>
                <w:sz w:val="20"/>
                <w:szCs w:val="20"/>
              </w:rPr>
            </w:pPr>
            <w:r w:rsidRPr="0099742A">
              <w:rPr>
                <w:sz w:val="20"/>
                <w:szCs w:val="20"/>
              </w:rPr>
              <w:t>252</w:t>
            </w:r>
          </w:p>
        </w:tc>
        <w:tc>
          <w:tcPr>
            <w:tcW w:w="720" w:type="dxa"/>
            <w:tcBorders>
              <w:top w:val="nil"/>
              <w:left w:val="nil"/>
              <w:bottom w:val="single" w:sz="4" w:space="0" w:color="auto"/>
              <w:right w:val="nil"/>
            </w:tcBorders>
            <w:shd w:val="clear" w:color="auto" w:fill="auto"/>
            <w:noWrap/>
            <w:vAlign w:val="bottom"/>
            <w:hideMark/>
          </w:tcPr>
          <w:p w14:paraId="08B78BD3" w14:textId="77777777" w:rsidR="00086AEC" w:rsidRPr="0099742A" w:rsidRDefault="00FC7AC7" w:rsidP="00BA10A4">
            <w:pPr>
              <w:pStyle w:val="BodyText"/>
              <w:spacing w:line="240" w:lineRule="auto"/>
              <w:rPr>
                <w:sz w:val="20"/>
                <w:szCs w:val="20"/>
              </w:rPr>
            </w:pPr>
            <w:r w:rsidRPr="0099742A">
              <w:rPr>
                <w:sz w:val="20"/>
                <w:szCs w:val="20"/>
              </w:rPr>
              <w:t>254</w:t>
            </w:r>
          </w:p>
        </w:tc>
        <w:tc>
          <w:tcPr>
            <w:tcW w:w="728" w:type="dxa"/>
            <w:tcBorders>
              <w:top w:val="nil"/>
              <w:left w:val="nil"/>
              <w:bottom w:val="single" w:sz="4" w:space="0" w:color="auto"/>
              <w:right w:val="single" w:sz="4" w:space="0" w:color="auto"/>
            </w:tcBorders>
            <w:shd w:val="clear" w:color="auto" w:fill="auto"/>
            <w:noWrap/>
            <w:vAlign w:val="bottom"/>
            <w:hideMark/>
          </w:tcPr>
          <w:p w14:paraId="047BCF09" w14:textId="77777777" w:rsidR="00086AEC" w:rsidRPr="0099742A" w:rsidRDefault="00FC7AC7" w:rsidP="00BA10A4">
            <w:pPr>
              <w:pStyle w:val="BodyText"/>
              <w:spacing w:line="240" w:lineRule="auto"/>
              <w:rPr>
                <w:sz w:val="20"/>
                <w:szCs w:val="20"/>
              </w:rPr>
            </w:pPr>
            <w:r w:rsidRPr="0099742A">
              <w:rPr>
                <w:sz w:val="20"/>
                <w:szCs w:val="20"/>
              </w:rPr>
              <w:t>255</w:t>
            </w:r>
          </w:p>
        </w:tc>
        <w:tc>
          <w:tcPr>
            <w:tcW w:w="720" w:type="dxa"/>
            <w:tcBorders>
              <w:top w:val="nil"/>
              <w:left w:val="nil"/>
              <w:bottom w:val="single" w:sz="4" w:space="0" w:color="auto"/>
              <w:right w:val="nil"/>
            </w:tcBorders>
            <w:shd w:val="clear" w:color="auto" w:fill="auto"/>
            <w:noWrap/>
            <w:vAlign w:val="bottom"/>
            <w:hideMark/>
          </w:tcPr>
          <w:p w14:paraId="1CC23449" w14:textId="77777777" w:rsidR="00086AEC" w:rsidRPr="0099742A" w:rsidRDefault="00FC7AC7" w:rsidP="00BA10A4">
            <w:pPr>
              <w:pStyle w:val="BodyText"/>
              <w:spacing w:line="240" w:lineRule="auto"/>
              <w:rPr>
                <w:sz w:val="20"/>
                <w:szCs w:val="20"/>
              </w:rPr>
            </w:pPr>
            <w:r w:rsidRPr="0099742A">
              <w:rPr>
                <w:sz w:val="20"/>
                <w:szCs w:val="20"/>
              </w:rPr>
              <w:t>241</w:t>
            </w:r>
          </w:p>
        </w:tc>
        <w:tc>
          <w:tcPr>
            <w:tcW w:w="720" w:type="dxa"/>
            <w:tcBorders>
              <w:top w:val="nil"/>
              <w:left w:val="nil"/>
              <w:bottom w:val="single" w:sz="4" w:space="0" w:color="auto"/>
              <w:right w:val="nil"/>
            </w:tcBorders>
            <w:shd w:val="clear" w:color="auto" w:fill="auto"/>
            <w:noWrap/>
            <w:vAlign w:val="bottom"/>
            <w:hideMark/>
          </w:tcPr>
          <w:p w14:paraId="615C87D8" w14:textId="77777777" w:rsidR="00086AEC" w:rsidRPr="0099742A" w:rsidRDefault="00FC7AC7" w:rsidP="00BA10A4">
            <w:pPr>
              <w:pStyle w:val="BodyText"/>
              <w:spacing w:line="240" w:lineRule="auto"/>
              <w:rPr>
                <w:sz w:val="20"/>
                <w:szCs w:val="20"/>
              </w:rPr>
            </w:pPr>
            <w:r w:rsidRPr="0099742A">
              <w:rPr>
                <w:sz w:val="20"/>
                <w:szCs w:val="20"/>
              </w:rPr>
              <w:t>235</w:t>
            </w:r>
          </w:p>
        </w:tc>
        <w:tc>
          <w:tcPr>
            <w:tcW w:w="720" w:type="dxa"/>
            <w:tcBorders>
              <w:top w:val="nil"/>
              <w:left w:val="nil"/>
              <w:bottom w:val="single" w:sz="4" w:space="0" w:color="auto"/>
              <w:right w:val="nil"/>
            </w:tcBorders>
            <w:shd w:val="clear" w:color="auto" w:fill="auto"/>
            <w:noWrap/>
            <w:vAlign w:val="bottom"/>
            <w:hideMark/>
          </w:tcPr>
          <w:p w14:paraId="35D45391" w14:textId="77777777" w:rsidR="00086AEC" w:rsidRPr="0099742A" w:rsidRDefault="00FC7AC7" w:rsidP="00BA10A4">
            <w:pPr>
              <w:pStyle w:val="BodyText"/>
              <w:spacing w:line="240" w:lineRule="auto"/>
              <w:rPr>
                <w:sz w:val="20"/>
                <w:szCs w:val="20"/>
              </w:rPr>
            </w:pPr>
            <w:r w:rsidRPr="0099742A">
              <w:rPr>
                <w:sz w:val="20"/>
                <w:szCs w:val="20"/>
              </w:rPr>
              <w:t>238</w:t>
            </w:r>
          </w:p>
        </w:tc>
        <w:tc>
          <w:tcPr>
            <w:tcW w:w="720" w:type="dxa"/>
            <w:tcBorders>
              <w:top w:val="nil"/>
              <w:left w:val="nil"/>
              <w:bottom w:val="single" w:sz="4" w:space="0" w:color="auto"/>
              <w:right w:val="nil"/>
            </w:tcBorders>
            <w:shd w:val="clear" w:color="auto" w:fill="auto"/>
            <w:noWrap/>
            <w:vAlign w:val="bottom"/>
            <w:hideMark/>
          </w:tcPr>
          <w:p w14:paraId="2D96C34F" w14:textId="77777777" w:rsidR="00086AEC" w:rsidRPr="0099742A" w:rsidRDefault="00FC7AC7" w:rsidP="00BA10A4">
            <w:pPr>
              <w:pStyle w:val="BodyText"/>
              <w:spacing w:line="240" w:lineRule="auto"/>
              <w:rPr>
                <w:sz w:val="20"/>
                <w:szCs w:val="20"/>
              </w:rPr>
            </w:pPr>
            <w:r w:rsidRPr="0099742A">
              <w:rPr>
                <w:sz w:val="20"/>
                <w:szCs w:val="20"/>
              </w:rPr>
              <w:t>248</w:t>
            </w:r>
          </w:p>
        </w:tc>
        <w:tc>
          <w:tcPr>
            <w:tcW w:w="810" w:type="dxa"/>
            <w:tcBorders>
              <w:top w:val="nil"/>
              <w:left w:val="nil"/>
              <w:bottom w:val="single" w:sz="4" w:space="0" w:color="auto"/>
              <w:right w:val="nil"/>
            </w:tcBorders>
            <w:shd w:val="clear" w:color="auto" w:fill="auto"/>
            <w:noWrap/>
            <w:vAlign w:val="bottom"/>
            <w:hideMark/>
          </w:tcPr>
          <w:p w14:paraId="0BCF7B2E" w14:textId="77777777" w:rsidR="00086AEC" w:rsidRPr="0099742A" w:rsidRDefault="00FC7AC7" w:rsidP="00BA10A4">
            <w:pPr>
              <w:pStyle w:val="BodyText"/>
              <w:spacing w:line="240" w:lineRule="auto"/>
              <w:rPr>
                <w:sz w:val="20"/>
                <w:szCs w:val="20"/>
              </w:rPr>
            </w:pPr>
            <w:r w:rsidRPr="0099742A">
              <w:rPr>
                <w:sz w:val="20"/>
                <w:szCs w:val="20"/>
              </w:rPr>
              <w:t>AEO</w:t>
            </w:r>
          </w:p>
        </w:tc>
        <w:tc>
          <w:tcPr>
            <w:tcW w:w="1792" w:type="dxa"/>
            <w:tcBorders>
              <w:top w:val="nil"/>
              <w:left w:val="nil"/>
              <w:bottom w:val="single" w:sz="4" w:space="0" w:color="auto"/>
              <w:right w:val="nil"/>
            </w:tcBorders>
            <w:shd w:val="clear" w:color="auto" w:fill="auto"/>
            <w:noWrap/>
            <w:vAlign w:val="bottom"/>
            <w:hideMark/>
          </w:tcPr>
          <w:p w14:paraId="31B54025" w14:textId="77777777" w:rsidR="00086AEC" w:rsidRPr="0099742A" w:rsidRDefault="00FC7AC7" w:rsidP="00BA10A4">
            <w:pPr>
              <w:pStyle w:val="BodyText"/>
              <w:spacing w:line="240" w:lineRule="auto"/>
              <w:rPr>
                <w:sz w:val="20"/>
                <w:szCs w:val="20"/>
              </w:rPr>
            </w:pPr>
            <w:r w:rsidRPr="0099742A">
              <w:rPr>
                <w:sz w:val="20"/>
                <w:szCs w:val="20"/>
              </w:rPr>
              <w:t>-4%</w:t>
            </w:r>
          </w:p>
        </w:tc>
      </w:tr>
      <w:tr w:rsidR="00D1739C" w:rsidRPr="00D1739C" w14:paraId="74BC7291" w14:textId="77777777" w:rsidTr="00CF771E">
        <w:trPr>
          <w:trHeight w:val="315"/>
        </w:trPr>
        <w:tc>
          <w:tcPr>
            <w:tcW w:w="2520" w:type="dxa"/>
            <w:tcBorders>
              <w:top w:val="single" w:sz="4" w:space="0" w:color="auto"/>
              <w:left w:val="nil"/>
              <w:bottom w:val="nil"/>
              <w:right w:val="nil"/>
            </w:tcBorders>
            <w:shd w:val="clear" w:color="auto" w:fill="auto"/>
            <w:noWrap/>
            <w:vAlign w:val="bottom"/>
          </w:tcPr>
          <w:p w14:paraId="567F8948" w14:textId="50484D11" w:rsidR="009D791E" w:rsidRPr="0099742A" w:rsidRDefault="009D791E" w:rsidP="00BA10A4">
            <w:pPr>
              <w:pStyle w:val="BodyText"/>
              <w:spacing w:line="240" w:lineRule="auto"/>
              <w:rPr>
                <w:sz w:val="20"/>
                <w:szCs w:val="20"/>
              </w:rPr>
            </w:pPr>
            <w:r w:rsidRPr="0099742A">
              <w:rPr>
                <w:sz w:val="20"/>
                <w:szCs w:val="20"/>
              </w:rPr>
              <w:t>Electricity Sector</w:t>
            </w:r>
          </w:p>
        </w:tc>
        <w:tc>
          <w:tcPr>
            <w:tcW w:w="720" w:type="dxa"/>
            <w:tcBorders>
              <w:top w:val="single" w:sz="4" w:space="0" w:color="auto"/>
              <w:left w:val="nil"/>
              <w:bottom w:val="nil"/>
              <w:right w:val="nil"/>
            </w:tcBorders>
            <w:shd w:val="clear" w:color="auto" w:fill="auto"/>
            <w:noWrap/>
            <w:vAlign w:val="bottom"/>
          </w:tcPr>
          <w:p w14:paraId="75C27967"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40B853FD"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7A7AD637" w14:textId="77777777" w:rsidR="009D791E" w:rsidRPr="0099742A" w:rsidRDefault="009D791E" w:rsidP="00BA10A4">
            <w:pPr>
              <w:pStyle w:val="BodyText"/>
              <w:spacing w:line="240" w:lineRule="auto"/>
              <w:rPr>
                <w:sz w:val="20"/>
                <w:szCs w:val="20"/>
              </w:rPr>
            </w:pPr>
          </w:p>
        </w:tc>
        <w:tc>
          <w:tcPr>
            <w:tcW w:w="728" w:type="dxa"/>
            <w:tcBorders>
              <w:top w:val="single" w:sz="4" w:space="0" w:color="auto"/>
              <w:left w:val="nil"/>
              <w:bottom w:val="nil"/>
              <w:right w:val="single" w:sz="4" w:space="0" w:color="auto"/>
            </w:tcBorders>
            <w:shd w:val="clear" w:color="auto" w:fill="auto"/>
            <w:noWrap/>
            <w:vAlign w:val="bottom"/>
          </w:tcPr>
          <w:p w14:paraId="5578FCDB"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1D894796"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368BF9CB"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32FAB258" w14:textId="77777777" w:rsidR="009D791E" w:rsidRPr="0099742A" w:rsidRDefault="009D791E" w:rsidP="00BA10A4">
            <w:pPr>
              <w:pStyle w:val="BodyText"/>
              <w:spacing w:line="240" w:lineRule="auto"/>
              <w:rPr>
                <w:sz w:val="20"/>
                <w:szCs w:val="20"/>
              </w:rPr>
            </w:pPr>
          </w:p>
        </w:tc>
        <w:tc>
          <w:tcPr>
            <w:tcW w:w="720" w:type="dxa"/>
            <w:tcBorders>
              <w:top w:val="single" w:sz="4" w:space="0" w:color="auto"/>
              <w:left w:val="nil"/>
              <w:bottom w:val="nil"/>
              <w:right w:val="nil"/>
            </w:tcBorders>
            <w:shd w:val="clear" w:color="auto" w:fill="auto"/>
            <w:noWrap/>
            <w:vAlign w:val="bottom"/>
          </w:tcPr>
          <w:p w14:paraId="5698AC64" w14:textId="77777777" w:rsidR="009D791E" w:rsidRPr="0099742A" w:rsidRDefault="009D791E" w:rsidP="00BA10A4">
            <w:pPr>
              <w:pStyle w:val="BodyText"/>
              <w:spacing w:line="240" w:lineRule="auto"/>
              <w:rPr>
                <w:sz w:val="20"/>
                <w:szCs w:val="20"/>
              </w:rPr>
            </w:pPr>
          </w:p>
        </w:tc>
        <w:tc>
          <w:tcPr>
            <w:tcW w:w="810" w:type="dxa"/>
            <w:tcBorders>
              <w:top w:val="single" w:sz="4" w:space="0" w:color="auto"/>
              <w:left w:val="nil"/>
              <w:bottom w:val="nil"/>
              <w:right w:val="nil"/>
            </w:tcBorders>
            <w:shd w:val="clear" w:color="auto" w:fill="auto"/>
            <w:noWrap/>
            <w:vAlign w:val="bottom"/>
          </w:tcPr>
          <w:p w14:paraId="3A1A4AAD" w14:textId="77777777" w:rsidR="009D791E" w:rsidRPr="0099742A" w:rsidRDefault="009D791E" w:rsidP="00BA10A4">
            <w:pPr>
              <w:pStyle w:val="BodyText"/>
              <w:spacing w:line="240" w:lineRule="auto"/>
              <w:rPr>
                <w:sz w:val="20"/>
                <w:szCs w:val="20"/>
              </w:rPr>
            </w:pPr>
          </w:p>
        </w:tc>
        <w:tc>
          <w:tcPr>
            <w:tcW w:w="1792" w:type="dxa"/>
            <w:tcBorders>
              <w:top w:val="single" w:sz="4" w:space="0" w:color="auto"/>
              <w:left w:val="nil"/>
              <w:bottom w:val="nil"/>
              <w:right w:val="nil"/>
            </w:tcBorders>
            <w:shd w:val="clear" w:color="auto" w:fill="auto"/>
            <w:noWrap/>
            <w:vAlign w:val="bottom"/>
          </w:tcPr>
          <w:p w14:paraId="1DAF9A3A" w14:textId="77777777" w:rsidR="009D791E" w:rsidRPr="0099742A" w:rsidRDefault="009D791E" w:rsidP="00BA10A4">
            <w:pPr>
              <w:pStyle w:val="BodyText"/>
              <w:spacing w:line="240" w:lineRule="auto"/>
              <w:rPr>
                <w:sz w:val="20"/>
                <w:szCs w:val="20"/>
              </w:rPr>
            </w:pPr>
          </w:p>
        </w:tc>
      </w:tr>
      <w:tr w:rsidR="00D1739C" w:rsidRPr="00D1739C" w14:paraId="2C443766" w14:textId="77777777" w:rsidTr="00CF771E">
        <w:trPr>
          <w:trHeight w:val="315"/>
        </w:trPr>
        <w:tc>
          <w:tcPr>
            <w:tcW w:w="2520" w:type="dxa"/>
            <w:tcBorders>
              <w:top w:val="nil"/>
              <w:left w:val="nil"/>
              <w:bottom w:val="nil"/>
              <w:right w:val="nil"/>
            </w:tcBorders>
            <w:shd w:val="clear" w:color="auto" w:fill="auto"/>
            <w:noWrap/>
            <w:vAlign w:val="center"/>
          </w:tcPr>
          <w:p w14:paraId="7CFEBD6F" w14:textId="59CB9CA6" w:rsidR="00BA10A4" w:rsidRPr="0099742A" w:rsidRDefault="00163944" w:rsidP="00BA10A4">
            <w:pPr>
              <w:pStyle w:val="BodyText"/>
              <w:spacing w:line="240" w:lineRule="auto"/>
              <w:rPr>
                <w:sz w:val="20"/>
                <w:szCs w:val="20"/>
              </w:rPr>
            </w:pPr>
            <w:r>
              <w:rPr>
                <w:sz w:val="20"/>
                <w:szCs w:val="20"/>
              </w:rPr>
              <w:t>Co</w:t>
            </w:r>
            <w:r w:rsidR="00BA10A4" w:rsidRPr="0099742A">
              <w:rPr>
                <w:sz w:val="20"/>
                <w:szCs w:val="20"/>
              </w:rPr>
              <w:t>nsumption</w:t>
            </w:r>
            <w:r>
              <w:rPr>
                <w:sz w:val="20"/>
                <w:szCs w:val="20"/>
              </w:rPr>
              <w:t xml:space="preserve"> </w:t>
            </w:r>
            <w:r w:rsidR="00BA10A4" w:rsidRPr="0099742A">
              <w:rPr>
                <w:sz w:val="20"/>
                <w:szCs w:val="20"/>
              </w:rPr>
              <w:t>(</w:t>
            </w:r>
            <w:proofErr w:type="spellStart"/>
            <w:r w:rsidR="00BA10A4" w:rsidRPr="0099742A">
              <w:rPr>
                <w:sz w:val="20"/>
                <w:szCs w:val="20"/>
              </w:rPr>
              <w:t>MmWh</w:t>
            </w:r>
            <w:proofErr w:type="spellEnd"/>
            <w:r w:rsidR="00BA10A4" w:rsidRPr="0099742A">
              <w:rPr>
                <w:sz w:val="20"/>
                <w:szCs w:val="20"/>
              </w:rPr>
              <w:t>)</w:t>
            </w:r>
          </w:p>
        </w:tc>
        <w:tc>
          <w:tcPr>
            <w:tcW w:w="720" w:type="dxa"/>
            <w:tcBorders>
              <w:top w:val="nil"/>
              <w:left w:val="nil"/>
              <w:bottom w:val="nil"/>
              <w:right w:val="nil"/>
            </w:tcBorders>
            <w:shd w:val="clear" w:color="auto" w:fill="auto"/>
            <w:noWrap/>
            <w:vAlign w:val="center"/>
          </w:tcPr>
          <w:p w14:paraId="53B65591" w14:textId="2C398687" w:rsidR="00BA10A4" w:rsidRPr="0099742A" w:rsidRDefault="00BA10A4" w:rsidP="00BA10A4">
            <w:pPr>
              <w:pStyle w:val="BodyText"/>
              <w:spacing w:line="240" w:lineRule="auto"/>
              <w:rPr>
                <w:sz w:val="20"/>
                <w:szCs w:val="20"/>
              </w:rPr>
            </w:pPr>
            <w:r w:rsidRPr="0099742A">
              <w:rPr>
                <w:sz w:val="20"/>
                <w:szCs w:val="20"/>
              </w:rPr>
              <w:t>3762</w:t>
            </w:r>
          </w:p>
        </w:tc>
        <w:tc>
          <w:tcPr>
            <w:tcW w:w="720" w:type="dxa"/>
            <w:tcBorders>
              <w:top w:val="nil"/>
              <w:left w:val="nil"/>
              <w:bottom w:val="nil"/>
              <w:right w:val="nil"/>
            </w:tcBorders>
            <w:shd w:val="clear" w:color="auto" w:fill="auto"/>
            <w:noWrap/>
            <w:vAlign w:val="center"/>
          </w:tcPr>
          <w:p w14:paraId="14FD7A77" w14:textId="35EAB10D" w:rsidR="00BA10A4" w:rsidRPr="0099742A" w:rsidRDefault="00BA10A4" w:rsidP="00BA10A4">
            <w:pPr>
              <w:pStyle w:val="BodyText"/>
              <w:spacing w:line="240" w:lineRule="auto"/>
              <w:rPr>
                <w:sz w:val="20"/>
                <w:szCs w:val="20"/>
              </w:rPr>
            </w:pPr>
            <w:r w:rsidRPr="0099742A">
              <w:rPr>
                <w:sz w:val="20"/>
                <w:szCs w:val="20"/>
              </w:rPr>
              <w:t>3723</w:t>
            </w:r>
          </w:p>
        </w:tc>
        <w:tc>
          <w:tcPr>
            <w:tcW w:w="720" w:type="dxa"/>
            <w:tcBorders>
              <w:top w:val="nil"/>
              <w:left w:val="nil"/>
              <w:bottom w:val="nil"/>
              <w:right w:val="nil"/>
            </w:tcBorders>
            <w:shd w:val="clear" w:color="auto" w:fill="auto"/>
            <w:noWrap/>
            <w:vAlign w:val="center"/>
          </w:tcPr>
          <w:p w14:paraId="5B4FD217" w14:textId="0797088F" w:rsidR="00BA10A4" w:rsidRPr="0099742A" w:rsidRDefault="00BA10A4" w:rsidP="00BA10A4">
            <w:pPr>
              <w:pStyle w:val="BodyText"/>
              <w:spacing w:line="240" w:lineRule="auto"/>
              <w:rPr>
                <w:sz w:val="20"/>
                <w:szCs w:val="20"/>
              </w:rPr>
            </w:pPr>
            <w:r w:rsidRPr="0099742A">
              <w:rPr>
                <w:sz w:val="20"/>
                <w:szCs w:val="20"/>
              </w:rPr>
              <w:t>3859</w:t>
            </w:r>
          </w:p>
        </w:tc>
        <w:tc>
          <w:tcPr>
            <w:tcW w:w="728" w:type="dxa"/>
            <w:tcBorders>
              <w:top w:val="nil"/>
              <w:left w:val="nil"/>
              <w:bottom w:val="nil"/>
              <w:right w:val="single" w:sz="4" w:space="0" w:color="auto"/>
            </w:tcBorders>
            <w:shd w:val="clear" w:color="auto" w:fill="auto"/>
            <w:noWrap/>
            <w:vAlign w:val="center"/>
          </w:tcPr>
          <w:p w14:paraId="203B924D" w14:textId="482FF857" w:rsidR="00BA10A4" w:rsidRPr="0099742A" w:rsidRDefault="00BA10A4" w:rsidP="00BA10A4">
            <w:pPr>
              <w:pStyle w:val="BodyText"/>
              <w:spacing w:line="240" w:lineRule="auto"/>
              <w:rPr>
                <w:sz w:val="20"/>
                <w:szCs w:val="20"/>
              </w:rPr>
            </w:pPr>
            <w:r w:rsidRPr="0099742A">
              <w:rPr>
                <w:sz w:val="20"/>
                <w:szCs w:val="20"/>
              </w:rPr>
              <w:t>3811</w:t>
            </w:r>
          </w:p>
        </w:tc>
        <w:tc>
          <w:tcPr>
            <w:tcW w:w="720" w:type="dxa"/>
            <w:tcBorders>
              <w:top w:val="nil"/>
              <w:left w:val="nil"/>
              <w:bottom w:val="nil"/>
              <w:right w:val="nil"/>
            </w:tcBorders>
            <w:shd w:val="clear" w:color="auto" w:fill="auto"/>
            <w:noWrap/>
            <w:vAlign w:val="center"/>
          </w:tcPr>
          <w:p w14:paraId="28685490" w14:textId="735709C1" w:rsidR="00BA10A4" w:rsidRPr="0099742A" w:rsidRDefault="00BA10A4" w:rsidP="00BA10A4">
            <w:pPr>
              <w:pStyle w:val="BodyText"/>
              <w:spacing w:line="240" w:lineRule="auto"/>
              <w:rPr>
                <w:sz w:val="20"/>
                <w:szCs w:val="20"/>
              </w:rPr>
            </w:pPr>
            <w:r w:rsidRPr="0099742A">
              <w:rPr>
                <w:sz w:val="20"/>
                <w:szCs w:val="20"/>
              </w:rPr>
              <w:t>3958</w:t>
            </w:r>
          </w:p>
        </w:tc>
        <w:tc>
          <w:tcPr>
            <w:tcW w:w="720" w:type="dxa"/>
            <w:tcBorders>
              <w:top w:val="nil"/>
              <w:left w:val="nil"/>
              <w:bottom w:val="nil"/>
              <w:right w:val="nil"/>
            </w:tcBorders>
            <w:shd w:val="clear" w:color="auto" w:fill="auto"/>
            <w:noWrap/>
            <w:vAlign w:val="center"/>
          </w:tcPr>
          <w:p w14:paraId="4580E1D1" w14:textId="6D1E1D62" w:rsidR="00BA10A4" w:rsidRPr="0099742A" w:rsidRDefault="00BA10A4" w:rsidP="00BA10A4">
            <w:pPr>
              <w:pStyle w:val="BodyText"/>
              <w:spacing w:line="240" w:lineRule="auto"/>
              <w:rPr>
                <w:sz w:val="20"/>
                <w:szCs w:val="20"/>
              </w:rPr>
            </w:pPr>
            <w:r w:rsidRPr="0099742A">
              <w:rPr>
                <w:sz w:val="20"/>
                <w:szCs w:val="20"/>
              </w:rPr>
              <w:t>3979</w:t>
            </w:r>
          </w:p>
        </w:tc>
        <w:tc>
          <w:tcPr>
            <w:tcW w:w="720" w:type="dxa"/>
            <w:tcBorders>
              <w:top w:val="nil"/>
              <w:left w:val="nil"/>
              <w:bottom w:val="nil"/>
              <w:right w:val="nil"/>
            </w:tcBorders>
            <w:shd w:val="clear" w:color="auto" w:fill="auto"/>
            <w:noWrap/>
            <w:vAlign w:val="center"/>
          </w:tcPr>
          <w:p w14:paraId="7C63F008" w14:textId="375A2493" w:rsidR="00BA10A4" w:rsidRPr="0099742A" w:rsidRDefault="00BA10A4" w:rsidP="00BA10A4">
            <w:pPr>
              <w:pStyle w:val="BodyText"/>
              <w:spacing w:line="240" w:lineRule="auto"/>
              <w:rPr>
                <w:sz w:val="20"/>
                <w:szCs w:val="20"/>
              </w:rPr>
            </w:pPr>
            <w:r w:rsidRPr="0099742A">
              <w:rPr>
                <w:sz w:val="20"/>
                <w:szCs w:val="20"/>
              </w:rPr>
              <w:t>4007</w:t>
            </w:r>
          </w:p>
        </w:tc>
        <w:tc>
          <w:tcPr>
            <w:tcW w:w="720" w:type="dxa"/>
            <w:tcBorders>
              <w:top w:val="nil"/>
              <w:left w:val="nil"/>
              <w:bottom w:val="nil"/>
              <w:right w:val="nil"/>
            </w:tcBorders>
            <w:shd w:val="clear" w:color="auto" w:fill="auto"/>
            <w:noWrap/>
            <w:vAlign w:val="center"/>
          </w:tcPr>
          <w:p w14:paraId="20FC4C55" w14:textId="1839EB81" w:rsidR="00BA10A4" w:rsidRPr="0099742A" w:rsidRDefault="00BA10A4" w:rsidP="00BA10A4">
            <w:pPr>
              <w:pStyle w:val="BodyText"/>
              <w:spacing w:line="240" w:lineRule="auto"/>
              <w:rPr>
                <w:sz w:val="20"/>
                <w:szCs w:val="20"/>
              </w:rPr>
            </w:pPr>
            <w:r w:rsidRPr="0099742A">
              <w:rPr>
                <w:sz w:val="20"/>
                <w:szCs w:val="20"/>
              </w:rPr>
              <w:t>4043</w:t>
            </w:r>
          </w:p>
        </w:tc>
        <w:tc>
          <w:tcPr>
            <w:tcW w:w="810" w:type="dxa"/>
            <w:tcBorders>
              <w:top w:val="nil"/>
              <w:left w:val="nil"/>
              <w:bottom w:val="nil"/>
              <w:right w:val="nil"/>
            </w:tcBorders>
            <w:shd w:val="clear" w:color="auto" w:fill="auto"/>
            <w:noWrap/>
            <w:vAlign w:val="center"/>
          </w:tcPr>
          <w:p w14:paraId="0A09223D" w14:textId="5E806479" w:rsidR="00BA10A4" w:rsidRPr="0099742A" w:rsidRDefault="00BA10A4" w:rsidP="00BA10A4">
            <w:pPr>
              <w:pStyle w:val="BodyText"/>
              <w:spacing w:line="240" w:lineRule="auto"/>
              <w:rPr>
                <w:sz w:val="20"/>
                <w:szCs w:val="20"/>
              </w:rPr>
            </w:pPr>
            <w:r w:rsidRPr="0099742A">
              <w:rPr>
                <w:sz w:val="20"/>
                <w:szCs w:val="20"/>
              </w:rPr>
              <w:t>EIA</w:t>
            </w:r>
          </w:p>
        </w:tc>
        <w:tc>
          <w:tcPr>
            <w:tcW w:w="1792" w:type="dxa"/>
            <w:tcBorders>
              <w:top w:val="nil"/>
              <w:left w:val="nil"/>
              <w:bottom w:val="nil"/>
              <w:right w:val="nil"/>
            </w:tcBorders>
            <w:shd w:val="clear" w:color="auto" w:fill="auto"/>
            <w:noWrap/>
            <w:vAlign w:val="bottom"/>
          </w:tcPr>
          <w:p w14:paraId="1B732AF8" w14:textId="506EEB0F" w:rsidR="00BA10A4" w:rsidRPr="0099742A" w:rsidRDefault="00BA10A4" w:rsidP="00BA10A4">
            <w:pPr>
              <w:pStyle w:val="BodyText"/>
              <w:spacing w:line="240" w:lineRule="auto"/>
              <w:rPr>
                <w:sz w:val="20"/>
                <w:szCs w:val="20"/>
              </w:rPr>
            </w:pPr>
            <w:r w:rsidRPr="0099742A">
              <w:rPr>
                <w:sz w:val="20"/>
                <w:szCs w:val="20"/>
              </w:rPr>
              <w:t>-5%</w:t>
            </w:r>
          </w:p>
        </w:tc>
      </w:tr>
      <w:tr w:rsidR="00D1739C" w:rsidRPr="00D1739C" w14:paraId="4D014C5F" w14:textId="77777777" w:rsidTr="00CF771E">
        <w:trPr>
          <w:trHeight w:val="315"/>
        </w:trPr>
        <w:tc>
          <w:tcPr>
            <w:tcW w:w="2520" w:type="dxa"/>
            <w:tcBorders>
              <w:top w:val="nil"/>
              <w:left w:val="nil"/>
              <w:bottom w:val="nil"/>
              <w:right w:val="nil"/>
            </w:tcBorders>
            <w:shd w:val="clear" w:color="auto" w:fill="auto"/>
            <w:noWrap/>
            <w:vAlign w:val="center"/>
          </w:tcPr>
          <w:p w14:paraId="046C62E7" w14:textId="2CB2F56F" w:rsidR="00BA10A4" w:rsidRPr="0099742A" w:rsidRDefault="00BA10A4" w:rsidP="00BA10A4">
            <w:pPr>
              <w:pStyle w:val="BodyText"/>
              <w:spacing w:line="240" w:lineRule="auto"/>
              <w:rPr>
                <w:sz w:val="20"/>
                <w:szCs w:val="20"/>
              </w:rPr>
            </w:pPr>
            <w:r w:rsidRPr="0099742A">
              <w:rPr>
                <w:sz w:val="20"/>
                <w:szCs w:val="20"/>
              </w:rPr>
              <w:t>N</w:t>
            </w:r>
            <w:r w:rsidR="00A70744" w:rsidRPr="0099742A">
              <w:rPr>
                <w:sz w:val="20"/>
                <w:szCs w:val="20"/>
              </w:rPr>
              <w:t xml:space="preserve">atural </w:t>
            </w:r>
            <w:r w:rsidRPr="0099742A">
              <w:rPr>
                <w:sz w:val="20"/>
                <w:szCs w:val="20"/>
              </w:rPr>
              <w:t>G</w:t>
            </w:r>
            <w:r w:rsidR="00A70744" w:rsidRPr="0099742A">
              <w:rPr>
                <w:sz w:val="20"/>
                <w:szCs w:val="20"/>
              </w:rPr>
              <w:t>as</w:t>
            </w:r>
            <w:r w:rsidRPr="0099742A">
              <w:rPr>
                <w:sz w:val="20"/>
                <w:szCs w:val="20"/>
              </w:rPr>
              <w:t xml:space="preserve"> %</w:t>
            </w:r>
          </w:p>
        </w:tc>
        <w:tc>
          <w:tcPr>
            <w:tcW w:w="720" w:type="dxa"/>
            <w:tcBorders>
              <w:top w:val="nil"/>
              <w:left w:val="nil"/>
              <w:bottom w:val="nil"/>
              <w:right w:val="nil"/>
            </w:tcBorders>
            <w:shd w:val="clear" w:color="auto" w:fill="auto"/>
            <w:noWrap/>
            <w:vAlign w:val="center"/>
          </w:tcPr>
          <w:p w14:paraId="4D1AE087" w14:textId="0E0876BB" w:rsidR="00BA10A4" w:rsidRPr="0099742A" w:rsidRDefault="00BA10A4" w:rsidP="00BA10A4">
            <w:pPr>
              <w:pStyle w:val="BodyText"/>
              <w:spacing w:line="240" w:lineRule="auto"/>
              <w:rPr>
                <w:sz w:val="20"/>
                <w:szCs w:val="20"/>
              </w:rPr>
            </w:pPr>
            <w:r w:rsidRPr="0099742A">
              <w:rPr>
                <w:sz w:val="20"/>
                <w:szCs w:val="20"/>
              </w:rPr>
              <w:t>34%</w:t>
            </w:r>
          </w:p>
        </w:tc>
        <w:tc>
          <w:tcPr>
            <w:tcW w:w="720" w:type="dxa"/>
            <w:tcBorders>
              <w:top w:val="nil"/>
              <w:left w:val="nil"/>
              <w:bottom w:val="nil"/>
              <w:right w:val="nil"/>
            </w:tcBorders>
            <w:shd w:val="clear" w:color="auto" w:fill="auto"/>
            <w:noWrap/>
            <w:vAlign w:val="center"/>
          </w:tcPr>
          <w:p w14:paraId="1B24861E" w14:textId="75BF9F20" w:rsidR="00BA10A4" w:rsidRPr="0099742A" w:rsidRDefault="00BA10A4" w:rsidP="00BA10A4">
            <w:pPr>
              <w:pStyle w:val="BodyText"/>
              <w:spacing w:line="240" w:lineRule="auto"/>
              <w:rPr>
                <w:sz w:val="20"/>
                <w:szCs w:val="20"/>
              </w:rPr>
            </w:pPr>
            <w:r w:rsidRPr="0099742A">
              <w:rPr>
                <w:sz w:val="20"/>
                <w:szCs w:val="20"/>
              </w:rPr>
              <w:t>32%</w:t>
            </w:r>
          </w:p>
        </w:tc>
        <w:tc>
          <w:tcPr>
            <w:tcW w:w="720" w:type="dxa"/>
            <w:tcBorders>
              <w:top w:val="nil"/>
              <w:left w:val="nil"/>
              <w:bottom w:val="nil"/>
              <w:right w:val="nil"/>
            </w:tcBorders>
            <w:shd w:val="clear" w:color="auto" w:fill="auto"/>
            <w:noWrap/>
            <w:vAlign w:val="center"/>
          </w:tcPr>
          <w:p w14:paraId="6339F607" w14:textId="53487B7F" w:rsidR="00BA10A4" w:rsidRPr="0099742A" w:rsidRDefault="00BA10A4" w:rsidP="00BA10A4">
            <w:pPr>
              <w:pStyle w:val="BodyText"/>
              <w:spacing w:line="240" w:lineRule="auto"/>
              <w:rPr>
                <w:sz w:val="20"/>
                <w:szCs w:val="20"/>
              </w:rPr>
            </w:pPr>
            <w:r w:rsidRPr="0099742A">
              <w:rPr>
                <w:sz w:val="20"/>
                <w:szCs w:val="20"/>
              </w:rPr>
              <w:t>36%</w:t>
            </w:r>
          </w:p>
        </w:tc>
        <w:tc>
          <w:tcPr>
            <w:tcW w:w="728" w:type="dxa"/>
            <w:tcBorders>
              <w:top w:val="nil"/>
              <w:left w:val="nil"/>
              <w:bottom w:val="nil"/>
              <w:right w:val="single" w:sz="4" w:space="0" w:color="auto"/>
            </w:tcBorders>
            <w:shd w:val="clear" w:color="auto" w:fill="auto"/>
            <w:noWrap/>
            <w:vAlign w:val="center"/>
          </w:tcPr>
          <w:p w14:paraId="41A04F2C" w14:textId="1EB68E21" w:rsidR="00BA10A4" w:rsidRPr="0099742A" w:rsidRDefault="00BA10A4" w:rsidP="00BA10A4">
            <w:pPr>
              <w:pStyle w:val="BodyText"/>
              <w:spacing w:line="240" w:lineRule="auto"/>
              <w:rPr>
                <w:sz w:val="20"/>
                <w:szCs w:val="20"/>
              </w:rPr>
            </w:pPr>
            <w:r w:rsidRPr="0099742A">
              <w:rPr>
                <w:sz w:val="20"/>
                <w:szCs w:val="20"/>
              </w:rPr>
              <w:t>39%</w:t>
            </w:r>
          </w:p>
        </w:tc>
        <w:tc>
          <w:tcPr>
            <w:tcW w:w="720" w:type="dxa"/>
            <w:tcBorders>
              <w:top w:val="nil"/>
              <w:left w:val="nil"/>
              <w:bottom w:val="nil"/>
              <w:right w:val="nil"/>
            </w:tcBorders>
            <w:shd w:val="clear" w:color="auto" w:fill="auto"/>
            <w:noWrap/>
            <w:vAlign w:val="center"/>
          </w:tcPr>
          <w:p w14:paraId="3E0A22A7" w14:textId="24706299" w:rsidR="00BA10A4" w:rsidRPr="0099742A" w:rsidRDefault="00BA10A4" w:rsidP="00BA10A4">
            <w:pPr>
              <w:pStyle w:val="BodyText"/>
              <w:spacing w:line="240" w:lineRule="auto"/>
              <w:rPr>
                <w:sz w:val="20"/>
                <w:szCs w:val="20"/>
              </w:rPr>
            </w:pPr>
            <w:r w:rsidRPr="0099742A">
              <w:rPr>
                <w:sz w:val="20"/>
                <w:szCs w:val="20"/>
              </w:rPr>
              <w:t>37%</w:t>
            </w:r>
          </w:p>
        </w:tc>
        <w:tc>
          <w:tcPr>
            <w:tcW w:w="720" w:type="dxa"/>
            <w:tcBorders>
              <w:top w:val="nil"/>
              <w:left w:val="nil"/>
              <w:bottom w:val="nil"/>
              <w:right w:val="nil"/>
            </w:tcBorders>
            <w:shd w:val="clear" w:color="auto" w:fill="auto"/>
            <w:noWrap/>
            <w:vAlign w:val="bottom"/>
          </w:tcPr>
          <w:p w14:paraId="25E02814" w14:textId="06835A62" w:rsidR="00BA10A4" w:rsidRPr="0099742A" w:rsidRDefault="00BA10A4" w:rsidP="00BA10A4">
            <w:pPr>
              <w:pStyle w:val="BodyText"/>
              <w:spacing w:line="240" w:lineRule="auto"/>
              <w:rPr>
                <w:sz w:val="20"/>
                <w:szCs w:val="20"/>
              </w:rPr>
            </w:pPr>
            <w:r w:rsidRPr="0099742A">
              <w:rPr>
                <w:sz w:val="20"/>
                <w:szCs w:val="20"/>
              </w:rPr>
              <w:t>37%</w:t>
            </w:r>
          </w:p>
        </w:tc>
        <w:tc>
          <w:tcPr>
            <w:tcW w:w="720" w:type="dxa"/>
            <w:tcBorders>
              <w:top w:val="nil"/>
              <w:left w:val="nil"/>
              <w:bottom w:val="nil"/>
              <w:right w:val="nil"/>
            </w:tcBorders>
            <w:shd w:val="clear" w:color="auto" w:fill="auto"/>
            <w:noWrap/>
            <w:vAlign w:val="bottom"/>
          </w:tcPr>
          <w:p w14:paraId="236E3EB7" w14:textId="782F0A0F" w:rsidR="00BA10A4" w:rsidRPr="0099742A" w:rsidRDefault="00BA10A4" w:rsidP="00BA10A4">
            <w:pPr>
              <w:pStyle w:val="BodyText"/>
              <w:spacing w:line="240" w:lineRule="auto"/>
              <w:rPr>
                <w:sz w:val="20"/>
                <w:szCs w:val="20"/>
              </w:rPr>
            </w:pPr>
            <w:r w:rsidRPr="0099742A">
              <w:rPr>
                <w:sz w:val="20"/>
                <w:szCs w:val="20"/>
              </w:rPr>
              <w:t>37%</w:t>
            </w:r>
          </w:p>
        </w:tc>
        <w:tc>
          <w:tcPr>
            <w:tcW w:w="720" w:type="dxa"/>
            <w:tcBorders>
              <w:top w:val="nil"/>
              <w:left w:val="nil"/>
              <w:bottom w:val="nil"/>
              <w:right w:val="nil"/>
            </w:tcBorders>
            <w:shd w:val="clear" w:color="auto" w:fill="auto"/>
            <w:noWrap/>
            <w:vAlign w:val="bottom"/>
          </w:tcPr>
          <w:p w14:paraId="5768B5D7" w14:textId="3FA1E4F3" w:rsidR="00BA10A4" w:rsidRPr="0099742A" w:rsidRDefault="00BA10A4" w:rsidP="00BA10A4">
            <w:pPr>
              <w:pStyle w:val="BodyText"/>
              <w:spacing w:line="240" w:lineRule="auto"/>
              <w:rPr>
                <w:sz w:val="20"/>
                <w:szCs w:val="20"/>
              </w:rPr>
            </w:pPr>
            <w:r w:rsidRPr="0099742A">
              <w:rPr>
                <w:sz w:val="20"/>
                <w:szCs w:val="20"/>
              </w:rPr>
              <w:t>37%</w:t>
            </w:r>
          </w:p>
        </w:tc>
        <w:tc>
          <w:tcPr>
            <w:tcW w:w="810" w:type="dxa"/>
            <w:tcBorders>
              <w:top w:val="nil"/>
              <w:left w:val="nil"/>
              <w:bottom w:val="nil"/>
              <w:right w:val="nil"/>
            </w:tcBorders>
            <w:shd w:val="clear" w:color="auto" w:fill="auto"/>
            <w:noWrap/>
            <w:vAlign w:val="center"/>
          </w:tcPr>
          <w:p w14:paraId="6714DE42" w14:textId="7E9B5F9A" w:rsidR="00BA10A4" w:rsidRPr="0099742A" w:rsidRDefault="00BA10A4" w:rsidP="00BA10A4">
            <w:pPr>
              <w:pStyle w:val="BodyText"/>
              <w:spacing w:line="240" w:lineRule="auto"/>
              <w:rPr>
                <w:sz w:val="20"/>
                <w:szCs w:val="20"/>
              </w:rPr>
            </w:pPr>
            <w:r w:rsidRPr="0099742A">
              <w:rPr>
                <w:sz w:val="20"/>
                <w:szCs w:val="20"/>
              </w:rPr>
              <w:t>EIA</w:t>
            </w:r>
          </w:p>
        </w:tc>
        <w:tc>
          <w:tcPr>
            <w:tcW w:w="1792" w:type="dxa"/>
            <w:tcBorders>
              <w:top w:val="nil"/>
              <w:left w:val="nil"/>
              <w:bottom w:val="nil"/>
              <w:right w:val="nil"/>
            </w:tcBorders>
            <w:shd w:val="clear" w:color="auto" w:fill="auto"/>
            <w:noWrap/>
            <w:vAlign w:val="bottom"/>
          </w:tcPr>
          <w:p w14:paraId="269F6C0F" w14:textId="4A3C6C4D" w:rsidR="00BA10A4" w:rsidRPr="0099742A" w:rsidRDefault="00BA10A4" w:rsidP="00BA10A4">
            <w:pPr>
              <w:pStyle w:val="BodyText"/>
              <w:spacing w:line="240" w:lineRule="auto"/>
              <w:rPr>
                <w:sz w:val="20"/>
                <w:szCs w:val="20"/>
              </w:rPr>
            </w:pPr>
            <w:r w:rsidRPr="0099742A">
              <w:rPr>
                <w:sz w:val="20"/>
                <w:szCs w:val="20"/>
              </w:rPr>
              <w:t>-5%</w:t>
            </w:r>
          </w:p>
        </w:tc>
      </w:tr>
      <w:tr w:rsidR="00D1739C" w:rsidRPr="00D1739C" w14:paraId="290E93AE" w14:textId="77777777" w:rsidTr="00CF771E">
        <w:trPr>
          <w:trHeight w:val="315"/>
        </w:trPr>
        <w:tc>
          <w:tcPr>
            <w:tcW w:w="2520" w:type="dxa"/>
            <w:tcBorders>
              <w:top w:val="nil"/>
              <w:left w:val="nil"/>
              <w:bottom w:val="nil"/>
              <w:right w:val="nil"/>
            </w:tcBorders>
            <w:shd w:val="clear" w:color="auto" w:fill="auto"/>
            <w:noWrap/>
            <w:vAlign w:val="center"/>
          </w:tcPr>
          <w:p w14:paraId="7610B345" w14:textId="28F0243B" w:rsidR="00BA10A4" w:rsidRPr="0099742A" w:rsidRDefault="00A70744" w:rsidP="00BA10A4">
            <w:pPr>
              <w:pStyle w:val="BodyText"/>
              <w:spacing w:line="240" w:lineRule="auto"/>
              <w:rPr>
                <w:sz w:val="20"/>
                <w:szCs w:val="20"/>
              </w:rPr>
            </w:pPr>
            <w:r w:rsidRPr="0099742A">
              <w:rPr>
                <w:sz w:val="20"/>
                <w:szCs w:val="20"/>
              </w:rPr>
              <w:t>C</w:t>
            </w:r>
            <w:r w:rsidR="00BA10A4" w:rsidRPr="0099742A">
              <w:rPr>
                <w:sz w:val="20"/>
                <w:szCs w:val="20"/>
              </w:rPr>
              <w:t>oal%</w:t>
            </w:r>
          </w:p>
        </w:tc>
        <w:tc>
          <w:tcPr>
            <w:tcW w:w="720" w:type="dxa"/>
            <w:tcBorders>
              <w:top w:val="nil"/>
              <w:left w:val="nil"/>
              <w:bottom w:val="nil"/>
              <w:right w:val="nil"/>
            </w:tcBorders>
            <w:shd w:val="clear" w:color="auto" w:fill="auto"/>
            <w:noWrap/>
            <w:vAlign w:val="center"/>
          </w:tcPr>
          <w:p w14:paraId="79BA4D68" w14:textId="5C775D68" w:rsidR="00BA10A4" w:rsidRPr="0099742A" w:rsidRDefault="00BA10A4" w:rsidP="00BA10A4">
            <w:pPr>
              <w:pStyle w:val="BodyText"/>
              <w:spacing w:line="240" w:lineRule="auto"/>
              <w:rPr>
                <w:sz w:val="20"/>
                <w:szCs w:val="20"/>
              </w:rPr>
            </w:pPr>
            <w:r w:rsidRPr="0099742A">
              <w:rPr>
                <w:sz w:val="20"/>
                <w:szCs w:val="20"/>
              </w:rPr>
              <w:t>30%</w:t>
            </w:r>
          </w:p>
        </w:tc>
        <w:tc>
          <w:tcPr>
            <w:tcW w:w="720" w:type="dxa"/>
            <w:tcBorders>
              <w:top w:val="nil"/>
              <w:left w:val="nil"/>
              <w:bottom w:val="nil"/>
              <w:right w:val="nil"/>
            </w:tcBorders>
            <w:shd w:val="clear" w:color="auto" w:fill="auto"/>
            <w:noWrap/>
            <w:vAlign w:val="center"/>
          </w:tcPr>
          <w:p w14:paraId="7B388BFC" w14:textId="6A473B51" w:rsidR="00BA10A4" w:rsidRPr="0099742A" w:rsidRDefault="00BA10A4" w:rsidP="00BA10A4">
            <w:pPr>
              <w:pStyle w:val="BodyText"/>
              <w:spacing w:line="240" w:lineRule="auto"/>
              <w:rPr>
                <w:sz w:val="20"/>
                <w:szCs w:val="20"/>
              </w:rPr>
            </w:pPr>
            <w:r w:rsidRPr="0099742A">
              <w:rPr>
                <w:sz w:val="20"/>
                <w:szCs w:val="20"/>
              </w:rPr>
              <w:t>30%</w:t>
            </w:r>
          </w:p>
        </w:tc>
        <w:tc>
          <w:tcPr>
            <w:tcW w:w="720" w:type="dxa"/>
            <w:tcBorders>
              <w:top w:val="nil"/>
              <w:left w:val="nil"/>
              <w:bottom w:val="nil"/>
              <w:right w:val="nil"/>
            </w:tcBorders>
            <w:shd w:val="clear" w:color="auto" w:fill="auto"/>
            <w:noWrap/>
            <w:vAlign w:val="center"/>
          </w:tcPr>
          <w:p w14:paraId="435F3078" w14:textId="49BB78C7" w:rsidR="00BA10A4" w:rsidRPr="0099742A" w:rsidRDefault="00BA10A4" w:rsidP="00BA10A4">
            <w:pPr>
              <w:pStyle w:val="BodyText"/>
              <w:spacing w:line="240" w:lineRule="auto"/>
              <w:rPr>
                <w:sz w:val="20"/>
                <w:szCs w:val="20"/>
              </w:rPr>
            </w:pPr>
            <w:r w:rsidRPr="0099742A">
              <w:rPr>
                <w:sz w:val="20"/>
                <w:szCs w:val="20"/>
              </w:rPr>
              <w:t>28%</w:t>
            </w:r>
          </w:p>
        </w:tc>
        <w:tc>
          <w:tcPr>
            <w:tcW w:w="728" w:type="dxa"/>
            <w:tcBorders>
              <w:top w:val="nil"/>
              <w:left w:val="nil"/>
              <w:bottom w:val="nil"/>
              <w:right w:val="single" w:sz="4" w:space="0" w:color="auto"/>
            </w:tcBorders>
            <w:shd w:val="clear" w:color="auto" w:fill="auto"/>
            <w:noWrap/>
            <w:vAlign w:val="center"/>
          </w:tcPr>
          <w:p w14:paraId="35D3310E" w14:textId="381548C7" w:rsidR="00BA10A4" w:rsidRPr="0099742A" w:rsidRDefault="00BA10A4" w:rsidP="00BA10A4">
            <w:pPr>
              <w:pStyle w:val="BodyText"/>
              <w:spacing w:line="240" w:lineRule="auto"/>
              <w:rPr>
                <w:sz w:val="20"/>
                <w:szCs w:val="20"/>
              </w:rPr>
            </w:pPr>
            <w:r w:rsidRPr="0099742A">
              <w:rPr>
                <w:sz w:val="20"/>
                <w:szCs w:val="20"/>
              </w:rPr>
              <w:t>23%</w:t>
            </w:r>
          </w:p>
        </w:tc>
        <w:tc>
          <w:tcPr>
            <w:tcW w:w="720" w:type="dxa"/>
            <w:tcBorders>
              <w:top w:val="nil"/>
              <w:left w:val="nil"/>
              <w:bottom w:val="nil"/>
              <w:right w:val="nil"/>
            </w:tcBorders>
            <w:shd w:val="clear" w:color="auto" w:fill="auto"/>
            <w:noWrap/>
            <w:vAlign w:val="center"/>
          </w:tcPr>
          <w:p w14:paraId="020DA82D" w14:textId="40D90FBA" w:rsidR="00BA10A4" w:rsidRPr="0099742A" w:rsidRDefault="00BA10A4" w:rsidP="00BA10A4">
            <w:pPr>
              <w:pStyle w:val="BodyText"/>
              <w:spacing w:line="240" w:lineRule="auto"/>
              <w:rPr>
                <w:sz w:val="20"/>
                <w:szCs w:val="20"/>
              </w:rPr>
            </w:pPr>
            <w:r w:rsidRPr="0099742A">
              <w:rPr>
                <w:sz w:val="20"/>
                <w:szCs w:val="20"/>
              </w:rPr>
              <w:t>29%</w:t>
            </w:r>
          </w:p>
        </w:tc>
        <w:tc>
          <w:tcPr>
            <w:tcW w:w="720" w:type="dxa"/>
            <w:tcBorders>
              <w:top w:val="nil"/>
              <w:left w:val="nil"/>
              <w:bottom w:val="nil"/>
              <w:right w:val="nil"/>
            </w:tcBorders>
            <w:shd w:val="clear" w:color="auto" w:fill="auto"/>
            <w:noWrap/>
            <w:vAlign w:val="bottom"/>
          </w:tcPr>
          <w:p w14:paraId="60F981C4" w14:textId="623D170E" w:rsidR="00BA10A4" w:rsidRPr="0099742A" w:rsidRDefault="00BA10A4" w:rsidP="00BA10A4">
            <w:pPr>
              <w:pStyle w:val="BodyText"/>
              <w:spacing w:line="240" w:lineRule="auto"/>
              <w:rPr>
                <w:sz w:val="20"/>
                <w:szCs w:val="20"/>
              </w:rPr>
            </w:pPr>
            <w:r w:rsidRPr="0099742A">
              <w:rPr>
                <w:sz w:val="20"/>
                <w:szCs w:val="20"/>
              </w:rPr>
              <w:t>29%</w:t>
            </w:r>
          </w:p>
        </w:tc>
        <w:tc>
          <w:tcPr>
            <w:tcW w:w="720" w:type="dxa"/>
            <w:tcBorders>
              <w:top w:val="nil"/>
              <w:left w:val="nil"/>
              <w:bottom w:val="nil"/>
              <w:right w:val="nil"/>
            </w:tcBorders>
            <w:shd w:val="clear" w:color="auto" w:fill="auto"/>
            <w:noWrap/>
            <w:vAlign w:val="bottom"/>
          </w:tcPr>
          <w:p w14:paraId="5EF4179E" w14:textId="5CAA4EAC" w:rsidR="00BA10A4" w:rsidRPr="0099742A" w:rsidRDefault="00BA10A4" w:rsidP="00BA10A4">
            <w:pPr>
              <w:pStyle w:val="BodyText"/>
              <w:spacing w:line="240" w:lineRule="auto"/>
              <w:rPr>
                <w:sz w:val="20"/>
                <w:szCs w:val="20"/>
              </w:rPr>
            </w:pPr>
            <w:r w:rsidRPr="0099742A">
              <w:rPr>
                <w:sz w:val="20"/>
                <w:szCs w:val="20"/>
              </w:rPr>
              <w:t>29%</w:t>
            </w:r>
          </w:p>
        </w:tc>
        <w:tc>
          <w:tcPr>
            <w:tcW w:w="720" w:type="dxa"/>
            <w:tcBorders>
              <w:top w:val="nil"/>
              <w:left w:val="nil"/>
              <w:bottom w:val="nil"/>
              <w:right w:val="nil"/>
            </w:tcBorders>
            <w:shd w:val="clear" w:color="auto" w:fill="auto"/>
            <w:noWrap/>
            <w:vAlign w:val="bottom"/>
          </w:tcPr>
          <w:p w14:paraId="553AE9F4" w14:textId="0C990D7B" w:rsidR="00BA10A4" w:rsidRPr="0099742A" w:rsidRDefault="00BA10A4" w:rsidP="00BA10A4">
            <w:pPr>
              <w:pStyle w:val="BodyText"/>
              <w:spacing w:line="240" w:lineRule="auto"/>
              <w:rPr>
                <w:sz w:val="20"/>
                <w:szCs w:val="20"/>
              </w:rPr>
            </w:pPr>
            <w:r w:rsidRPr="0099742A">
              <w:rPr>
                <w:sz w:val="20"/>
                <w:szCs w:val="20"/>
              </w:rPr>
              <w:t>29%</w:t>
            </w:r>
          </w:p>
        </w:tc>
        <w:tc>
          <w:tcPr>
            <w:tcW w:w="810" w:type="dxa"/>
            <w:tcBorders>
              <w:top w:val="nil"/>
              <w:left w:val="nil"/>
              <w:bottom w:val="nil"/>
              <w:right w:val="nil"/>
            </w:tcBorders>
            <w:shd w:val="clear" w:color="auto" w:fill="auto"/>
            <w:noWrap/>
            <w:vAlign w:val="center"/>
          </w:tcPr>
          <w:p w14:paraId="502E2283" w14:textId="29AF9B7F" w:rsidR="00BA10A4" w:rsidRPr="0099742A" w:rsidRDefault="00BA10A4" w:rsidP="00BA10A4">
            <w:pPr>
              <w:pStyle w:val="BodyText"/>
              <w:spacing w:line="240" w:lineRule="auto"/>
              <w:rPr>
                <w:sz w:val="20"/>
                <w:szCs w:val="20"/>
              </w:rPr>
            </w:pPr>
            <w:r w:rsidRPr="0099742A">
              <w:rPr>
                <w:sz w:val="20"/>
                <w:szCs w:val="20"/>
              </w:rPr>
              <w:t>EIA</w:t>
            </w:r>
          </w:p>
        </w:tc>
        <w:tc>
          <w:tcPr>
            <w:tcW w:w="1792" w:type="dxa"/>
            <w:tcBorders>
              <w:top w:val="nil"/>
              <w:left w:val="nil"/>
              <w:bottom w:val="nil"/>
              <w:right w:val="nil"/>
            </w:tcBorders>
            <w:shd w:val="clear" w:color="auto" w:fill="auto"/>
            <w:noWrap/>
            <w:vAlign w:val="bottom"/>
          </w:tcPr>
          <w:p w14:paraId="14EED282" w14:textId="0B139540" w:rsidR="00BA10A4" w:rsidRPr="0099742A" w:rsidRDefault="00BA10A4" w:rsidP="00BA10A4">
            <w:pPr>
              <w:pStyle w:val="BodyText"/>
              <w:spacing w:line="240" w:lineRule="auto"/>
              <w:rPr>
                <w:sz w:val="20"/>
                <w:szCs w:val="20"/>
              </w:rPr>
            </w:pPr>
            <w:r w:rsidRPr="0099742A">
              <w:rPr>
                <w:sz w:val="20"/>
                <w:szCs w:val="20"/>
              </w:rPr>
              <w:t>-5%</w:t>
            </w:r>
          </w:p>
        </w:tc>
      </w:tr>
      <w:tr w:rsidR="00D1739C" w:rsidRPr="00D1739C" w14:paraId="3A84B350" w14:textId="77777777" w:rsidTr="00CF771E">
        <w:trPr>
          <w:trHeight w:val="315"/>
        </w:trPr>
        <w:tc>
          <w:tcPr>
            <w:tcW w:w="2520" w:type="dxa"/>
            <w:tcBorders>
              <w:top w:val="nil"/>
              <w:left w:val="nil"/>
              <w:right w:val="nil"/>
            </w:tcBorders>
            <w:shd w:val="clear" w:color="auto" w:fill="auto"/>
            <w:noWrap/>
            <w:vAlign w:val="center"/>
          </w:tcPr>
          <w:p w14:paraId="19E4D5AD" w14:textId="339AC8DD" w:rsidR="00BA10A4" w:rsidRPr="0099742A" w:rsidRDefault="009F08FE" w:rsidP="00BA10A4">
            <w:pPr>
              <w:pStyle w:val="BodyText"/>
              <w:spacing w:line="240" w:lineRule="auto"/>
              <w:rPr>
                <w:sz w:val="20"/>
                <w:szCs w:val="20"/>
              </w:rPr>
            </w:pPr>
            <w:r w:rsidRPr="009F08FE">
              <w:rPr>
                <w:sz w:val="20"/>
                <w:szCs w:val="20"/>
              </w:rPr>
              <w:t>Nuclea</w:t>
            </w:r>
            <w:r w:rsidR="000652C3">
              <w:rPr>
                <w:sz w:val="20"/>
                <w:szCs w:val="20"/>
              </w:rPr>
              <w:t>r</w:t>
            </w:r>
            <w:r w:rsidR="00BA10A4" w:rsidRPr="0099742A">
              <w:rPr>
                <w:sz w:val="20"/>
                <w:szCs w:val="20"/>
              </w:rPr>
              <w:t>%</w:t>
            </w:r>
          </w:p>
        </w:tc>
        <w:tc>
          <w:tcPr>
            <w:tcW w:w="720" w:type="dxa"/>
            <w:tcBorders>
              <w:top w:val="nil"/>
              <w:left w:val="nil"/>
              <w:right w:val="nil"/>
            </w:tcBorders>
            <w:shd w:val="clear" w:color="auto" w:fill="auto"/>
            <w:noWrap/>
            <w:vAlign w:val="center"/>
          </w:tcPr>
          <w:p w14:paraId="7AE60B83" w14:textId="2395D602" w:rsidR="00BA10A4" w:rsidRPr="0099742A" w:rsidRDefault="00BA10A4" w:rsidP="00BA10A4">
            <w:pPr>
              <w:pStyle w:val="BodyText"/>
              <w:spacing w:line="240" w:lineRule="auto"/>
              <w:rPr>
                <w:sz w:val="20"/>
                <w:szCs w:val="20"/>
              </w:rPr>
            </w:pPr>
            <w:r w:rsidRPr="0099742A">
              <w:rPr>
                <w:sz w:val="20"/>
                <w:szCs w:val="20"/>
              </w:rPr>
              <w:t>20%</w:t>
            </w:r>
          </w:p>
        </w:tc>
        <w:tc>
          <w:tcPr>
            <w:tcW w:w="720" w:type="dxa"/>
            <w:tcBorders>
              <w:top w:val="nil"/>
              <w:left w:val="nil"/>
              <w:right w:val="nil"/>
            </w:tcBorders>
            <w:shd w:val="clear" w:color="auto" w:fill="auto"/>
            <w:noWrap/>
            <w:vAlign w:val="center"/>
          </w:tcPr>
          <w:p w14:paraId="66548D3C" w14:textId="463FCACA" w:rsidR="00BA10A4" w:rsidRPr="0099742A" w:rsidRDefault="00BA10A4" w:rsidP="00BA10A4">
            <w:pPr>
              <w:pStyle w:val="BodyText"/>
              <w:spacing w:line="240" w:lineRule="auto"/>
              <w:rPr>
                <w:sz w:val="20"/>
                <w:szCs w:val="20"/>
              </w:rPr>
            </w:pPr>
            <w:r w:rsidRPr="0099742A">
              <w:rPr>
                <w:sz w:val="20"/>
                <w:szCs w:val="20"/>
              </w:rPr>
              <w:t>20%</w:t>
            </w:r>
          </w:p>
        </w:tc>
        <w:tc>
          <w:tcPr>
            <w:tcW w:w="720" w:type="dxa"/>
            <w:tcBorders>
              <w:top w:val="nil"/>
              <w:left w:val="nil"/>
              <w:right w:val="nil"/>
            </w:tcBorders>
            <w:shd w:val="clear" w:color="auto" w:fill="auto"/>
            <w:noWrap/>
            <w:vAlign w:val="center"/>
          </w:tcPr>
          <w:p w14:paraId="54BB1F52" w14:textId="18538CD7" w:rsidR="00BA10A4" w:rsidRPr="0099742A" w:rsidRDefault="00BA10A4" w:rsidP="00BA10A4">
            <w:pPr>
              <w:pStyle w:val="BodyText"/>
              <w:spacing w:line="240" w:lineRule="auto"/>
              <w:rPr>
                <w:sz w:val="20"/>
                <w:szCs w:val="20"/>
              </w:rPr>
            </w:pPr>
            <w:r w:rsidRPr="0099742A">
              <w:rPr>
                <w:sz w:val="20"/>
                <w:szCs w:val="20"/>
              </w:rPr>
              <w:t>20%</w:t>
            </w:r>
          </w:p>
        </w:tc>
        <w:tc>
          <w:tcPr>
            <w:tcW w:w="728" w:type="dxa"/>
            <w:tcBorders>
              <w:top w:val="nil"/>
              <w:left w:val="nil"/>
              <w:right w:val="single" w:sz="4" w:space="0" w:color="auto"/>
            </w:tcBorders>
            <w:shd w:val="clear" w:color="auto" w:fill="auto"/>
            <w:noWrap/>
            <w:vAlign w:val="center"/>
          </w:tcPr>
          <w:p w14:paraId="29AD758A" w14:textId="584EC555" w:rsidR="00BA10A4" w:rsidRPr="0099742A" w:rsidRDefault="00BA10A4" w:rsidP="00BA10A4">
            <w:pPr>
              <w:pStyle w:val="BodyText"/>
              <w:spacing w:line="240" w:lineRule="auto"/>
              <w:rPr>
                <w:sz w:val="20"/>
                <w:szCs w:val="20"/>
              </w:rPr>
            </w:pPr>
            <w:r w:rsidRPr="0099742A">
              <w:rPr>
                <w:sz w:val="20"/>
                <w:szCs w:val="20"/>
              </w:rPr>
              <w:t>20%</w:t>
            </w:r>
          </w:p>
        </w:tc>
        <w:tc>
          <w:tcPr>
            <w:tcW w:w="720" w:type="dxa"/>
            <w:tcBorders>
              <w:top w:val="nil"/>
              <w:left w:val="nil"/>
              <w:right w:val="nil"/>
            </w:tcBorders>
            <w:shd w:val="clear" w:color="auto" w:fill="auto"/>
            <w:noWrap/>
            <w:vAlign w:val="center"/>
          </w:tcPr>
          <w:p w14:paraId="7E83066C" w14:textId="66A6D7DC" w:rsidR="00BA10A4" w:rsidRPr="0099742A" w:rsidRDefault="00BA10A4" w:rsidP="00BA10A4">
            <w:pPr>
              <w:pStyle w:val="BodyText"/>
              <w:spacing w:line="240" w:lineRule="auto"/>
              <w:rPr>
                <w:sz w:val="20"/>
                <w:szCs w:val="20"/>
              </w:rPr>
            </w:pPr>
            <w:r w:rsidRPr="0099742A">
              <w:rPr>
                <w:sz w:val="20"/>
                <w:szCs w:val="20"/>
              </w:rPr>
              <w:t>18%</w:t>
            </w:r>
          </w:p>
        </w:tc>
        <w:tc>
          <w:tcPr>
            <w:tcW w:w="720" w:type="dxa"/>
            <w:tcBorders>
              <w:top w:val="nil"/>
              <w:left w:val="nil"/>
              <w:right w:val="nil"/>
            </w:tcBorders>
            <w:shd w:val="clear" w:color="auto" w:fill="auto"/>
            <w:noWrap/>
            <w:vAlign w:val="bottom"/>
          </w:tcPr>
          <w:p w14:paraId="039A4E88" w14:textId="29B40B42" w:rsidR="00BA10A4" w:rsidRPr="0099742A" w:rsidRDefault="00BA10A4" w:rsidP="00BA10A4">
            <w:pPr>
              <w:pStyle w:val="BodyText"/>
              <w:spacing w:line="240" w:lineRule="auto"/>
              <w:rPr>
                <w:sz w:val="20"/>
                <w:szCs w:val="20"/>
              </w:rPr>
            </w:pPr>
            <w:r w:rsidRPr="0099742A">
              <w:rPr>
                <w:sz w:val="20"/>
                <w:szCs w:val="20"/>
              </w:rPr>
              <w:t>18%</w:t>
            </w:r>
          </w:p>
        </w:tc>
        <w:tc>
          <w:tcPr>
            <w:tcW w:w="720" w:type="dxa"/>
            <w:tcBorders>
              <w:top w:val="nil"/>
              <w:left w:val="nil"/>
              <w:right w:val="nil"/>
            </w:tcBorders>
            <w:shd w:val="clear" w:color="auto" w:fill="auto"/>
            <w:noWrap/>
            <w:vAlign w:val="bottom"/>
          </w:tcPr>
          <w:p w14:paraId="51C35D18" w14:textId="7B20B1DF" w:rsidR="00BA10A4" w:rsidRPr="0099742A" w:rsidRDefault="00BA10A4" w:rsidP="00BA10A4">
            <w:pPr>
              <w:pStyle w:val="BodyText"/>
              <w:spacing w:line="240" w:lineRule="auto"/>
              <w:rPr>
                <w:sz w:val="20"/>
                <w:szCs w:val="20"/>
              </w:rPr>
            </w:pPr>
            <w:r w:rsidRPr="0099742A">
              <w:rPr>
                <w:sz w:val="20"/>
                <w:szCs w:val="20"/>
              </w:rPr>
              <w:t>18%</w:t>
            </w:r>
          </w:p>
        </w:tc>
        <w:tc>
          <w:tcPr>
            <w:tcW w:w="720" w:type="dxa"/>
            <w:tcBorders>
              <w:top w:val="nil"/>
              <w:left w:val="nil"/>
              <w:right w:val="nil"/>
            </w:tcBorders>
            <w:shd w:val="clear" w:color="auto" w:fill="auto"/>
            <w:noWrap/>
            <w:vAlign w:val="bottom"/>
          </w:tcPr>
          <w:p w14:paraId="4ED74992" w14:textId="3054C27B" w:rsidR="00BA10A4" w:rsidRPr="0099742A" w:rsidRDefault="00BA10A4" w:rsidP="00BA10A4">
            <w:pPr>
              <w:pStyle w:val="BodyText"/>
              <w:spacing w:line="240" w:lineRule="auto"/>
              <w:rPr>
                <w:sz w:val="20"/>
                <w:szCs w:val="20"/>
              </w:rPr>
            </w:pPr>
            <w:r w:rsidRPr="0099742A">
              <w:rPr>
                <w:sz w:val="20"/>
                <w:szCs w:val="20"/>
              </w:rPr>
              <w:t>18%</w:t>
            </w:r>
          </w:p>
        </w:tc>
        <w:tc>
          <w:tcPr>
            <w:tcW w:w="810" w:type="dxa"/>
            <w:tcBorders>
              <w:top w:val="nil"/>
              <w:left w:val="nil"/>
              <w:right w:val="nil"/>
            </w:tcBorders>
            <w:shd w:val="clear" w:color="auto" w:fill="auto"/>
            <w:noWrap/>
            <w:vAlign w:val="center"/>
          </w:tcPr>
          <w:p w14:paraId="342E3670" w14:textId="50ED170D" w:rsidR="00BA10A4" w:rsidRPr="0099742A" w:rsidRDefault="00BA10A4" w:rsidP="00BA10A4">
            <w:pPr>
              <w:pStyle w:val="BodyText"/>
              <w:spacing w:line="240" w:lineRule="auto"/>
              <w:rPr>
                <w:sz w:val="20"/>
                <w:szCs w:val="20"/>
              </w:rPr>
            </w:pPr>
            <w:r w:rsidRPr="0099742A">
              <w:rPr>
                <w:sz w:val="20"/>
                <w:szCs w:val="20"/>
              </w:rPr>
              <w:t>EIA</w:t>
            </w:r>
          </w:p>
        </w:tc>
        <w:tc>
          <w:tcPr>
            <w:tcW w:w="1792" w:type="dxa"/>
            <w:tcBorders>
              <w:top w:val="nil"/>
              <w:left w:val="nil"/>
              <w:right w:val="nil"/>
            </w:tcBorders>
            <w:shd w:val="clear" w:color="auto" w:fill="auto"/>
            <w:noWrap/>
            <w:vAlign w:val="bottom"/>
          </w:tcPr>
          <w:p w14:paraId="6BEB3CB4" w14:textId="09517279" w:rsidR="00BA10A4" w:rsidRPr="0099742A" w:rsidRDefault="00BA10A4" w:rsidP="00BA10A4">
            <w:pPr>
              <w:pStyle w:val="BodyText"/>
              <w:spacing w:line="240" w:lineRule="auto"/>
              <w:rPr>
                <w:sz w:val="20"/>
                <w:szCs w:val="20"/>
              </w:rPr>
            </w:pPr>
            <w:r w:rsidRPr="0099742A">
              <w:rPr>
                <w:sz w:val="20"/>
                <w:szCs w:val="20"/>
              </w:rPr>
              <w:t>9%</w:t>
            </w:r>
          </w:p>
        </w:tc>
      </w:tr>
      <w:tr w:rsidR="00D1739C" w:rsidRPr="000B73E2" w14:paraId="1783A9CC" w14:textId="77777777" w:rsidTr="00CF771E">
        <w:trPr>
          <w:trHeight w:val="315"/>
        </w:trPr>
        <w:tc>
          <w:tcPr>
            <w:tcW w:w="2520" w:type="dxa"/>
            <w:tcBorders>
              <w:top w:val="nil"/>
              <w:left w:val="nil"/>
            </w:tcBorders>
            <w:shd w:val="clear" w:color="auto" w:fill="auto"/>
            <w:noWrap/>
            <w:vAlign w:val="center"/>
          </w:tcPr>
          <w:p w14:paraId="0A536316" w14:textId="3E098478" w:rsidR="006F45F7" w:rsidRPr="0099742A" w:rsidRDefault="009F08FE" w:rsidP="006F45F7">
            <w:pPr>
              <w:pStyle w:val="BodyText"/>
              <w:spacing w:line="240" w:lineRule="auto"/>
              <w:rPr>
                <w:sz w:val="20"/>
                <w:szCs w:val="20"/>
              </w:rPr>
            </w:pPr>
            <w:r w:rsidRPr="009F08FE">
              <w:rPr>
                <w:color w:val="000000"/>
                <w:sz w:val="20"/>
                <w:szCs w:val="20"/>
              </w:rPr>
              <w:t>Hydroelect</w:t>
            </w:r>
            <w:r>
              <w:rPr>
                <w:color w:val="000000"/>
                <w:sz w:val="20"/>
                <w:szCs w:val="20"/>
              </w:rPr>
              <w:t>ricity</w:t>
            </w:r>
            <w:r w:rsidR="006F45F7" w:rsidRPr="0099742A">
              <w:rPr>
                <w:color w:val="000000"/>
                <w:sz w:val="20"/>
                <w:szCs w:val="20"/>
              </w:rPr>
              <w:t>%</w:t>
            </w:r>
          </w:p>
        </w:tc>
        <w:tc>
          <w:tcPr>
            <w:tcW w:w="720" w:type="dxa"/>
            <w:tcBorders>
              <w:top w:val="nil"/>
            </w:tcBorders>
            <w:shd w:val="clear" w:color="auto" w:fill="auto"/>
            <w:noWrap/>
            <w:vAlign w:val="center"/>
          </w:tcPr>
          <w:p w14:paraId="3C0D072D" w14:textId="1530DCCC" w:rsidR="006F45F7" w:rsidRPr="0099742A" w:rsidRDefault="006F45F7" w:rsidP="006F45F7">
            <w:pPr>
              <w:pStyle w:val="BodyText"/>
              <w:spacing w:line="240" w:lineRule="auto"/>
              <w:rPr>
                <w:sz w:val="20"/>
                <w:szCs w:val="20"/>
              </w:rPr>
            </w:pPr>
            <w:r w:rsidRPr="0099742A">
              <w:rPr>
                <w:color w:val="000000"/>
                <w:sz w:val="20"/>
                <w:szCs w:val="20"/>
              </w:rPr>
              <w:t>7%</w:t>
            </w:r>
          </w:p>
        </w:tc>
        <w:tc>
          <w:tcPr>
            <w:tcW w:w="720" w:type="dxa"/>
            <w:tcBorders>
              <w:top w:val="nil"/>
            </w:tcBorders>
            <w:shd w:val="clear" w:color="auto" w:fill="auto"/>
            <w:noWrap/>
            <w:vAlign w:val="center"/>
          </w:tcPr>
          <w:p w14:paraId="5AD92E6D" w14:textId="0E932F31" w:rsidR="006F45F7" w:rsidRPr="0099742A" w:rsidRDefault="006F45F7" w:rsidP="006F45F7">
            <w:pPr>
              <w:pStyle w:val="BodyText"/>
              <w:spacing w:line="240" w:lineRule="auto"/>
              <w:rPr>
                <w:sz w:val="20"/>
                <w:szCs w:val="20"/>
              </w:rPr>
            </w:pPr>
            <w:r w:rsidRPr="0099742A">
              <w:rPr>
                <w:color w:val="000000"/>
                <w:sz w:val="20"/>
                <w:szCs w:val="20"/>
              </w:rPr>
              <w:t>7%</w:t>
            </w:r>
          </w:p>
        </w:tc>
        <w:tc>
          <w:tcPr>
            <w:tcW w:w="720" w:type="dxa"/>
            <w:tcBorders>
              <w:top w:val="nil"/>
            </w:tcBorders>
            <w:shd w:val="clear" w:color="auto" w:fill="auto"/>
            <w:noWrap/>
            <w:vAlign w:val="center"/>
          </w:tcPr>
          <w:p w14:paraId="58D6E6B6" w14:textId="3F861D4E" w:rsidR="006F45F7" w:rsidRPr="0099742A" w:rsidRDefault="006F45F7" w:rsidP="006F45F7">
            <w:pPr>
              <w:pStyle w:val="BodyText"/>
              <w:spacing w:line="240" w:lineRule="auto"/>
              <w:rPr>
                <w:sz w:val="20"/>
                <w:szCs w:val="20"/>
              </w:rPr>
            </w:pPr>
            <w:r w:rsidRPr="0099742A">
              <w:rPr>
                <w:color w:val="000000"/>
                <w:sz w:val="20"/>
                <w:szCs w:val="20"/>
              </w:rPr>
              <w:t>7%</w:t>
            </w:r>
          </w:p>
        </w:tc>
        <w:tc>
          <w:tcPr>
            <w:tcW w:w="728" w:type="dxa"/>
            <w:tcBorders>
              <w:top w:val="nil"/>
            </w:tcBorders>
            <w:shd w:val="clear" w:color="auto" w:fill="auto"/>
            <w:noWrap/>
            <w:vAlign w:val="center"/>
          </w:tcPr>
          <w:p w14:paraId="475DA929" w14:textId="171EFD26" w:rsidR="006F45F7" w:rsidRPr="0099742A" w:rsidRDefault="006F45F7" w:rsidP="006F45F7">
            <w:pPr>
              <w:pStyle w:val="BodyText"/>
              <w:spacing w:line="240" w:lineRule="auto"/>
              <w:rPr>
                <w:sz w:val="20"/>
                <w:szCs w:val="20"/>
              </w:rPr>
            </w:pPr>
            <w:r w:rsidRPr="0099742A">
              <w:rPr>
                <w:color w:val="000000"/>
                <w:sz w:val="20"/>
                <w:szCs w:val="20"/>
              </w:rPr>
              <w:t>7%</w:t>
            </w:r>
          </w:p>
        </w:tc>
        <w:tc>
          <w:tcPr>
            <w:tcW w:w="720" w:type="dxa"/>
            <w:tcBorders>
              <w:top w:val="nil"/>
            </w:tcBorders>
            <w:shd w:val="clear" w:color="auto" w:fill="auto"/>
            <w:noWrap/>
            <w:vAlign w:val="center"/>
          </w:tcPr>
          <w:p w14:paraId="6F2F69F3" w14:textId="1AE25D0B" w:rsidR="006F45F7" w:rsidRPr="0099742A" w:rsidRDefault="006F45F7" w:rsidP="006F45F7">
            <w:pPr>
              <w:pStyle w:val="BodyText"/>
              <w:spacing w:line="240" w:lineRule="auto"/>
              <w:rPr>
                <w:sz w:val="20"/>
                <w:szCs w:val="20"/>
              </w:rPr>
            </w:pPr>
            <w:r w:rsidRPr="0099742A">
              <w:rPr>
                <w:color w:val="000000"/>
                <w:sz w:val="20"/>
                <w:szCs w:val="20"/>
              </w:rPr>
              <w:t>6%</w:t>
            </w:r>
          </w:p>
        </w:tc>
        <w:tc>
          <w:tcPr>
            <w:tcW w:w="720" w:type="dxa"/>
            <w:tcBorders>
              <w:top w:val="nil"/>
            </w:tcBorders>
            <w:shd w:val="clear" w:color="auto" w:fill="auto"/>
            <w:noWrap/>
            <w:vAlign w:val="center"/>
          </w:tcPr>
          <w:p w14:paraId="09008A3D" w14:textId="79183859" w:rsidR="006F45F7" w:rsidRPr="0099742A" w:rsidRDefault="006F45F7" w:rsidP="006F45F7">
            <w:pPr>
              <w:pStyle w:val="BodyText"/>
              <w:spacing w:line="240" w:lineRule="auto"/>
              <w:rPr>
                <w:sz w:val="20"/>
                <w:szCs w:val="20"/>
              </w:rPr>
            </w:pPr>
            <w:r w:rsidRPr="0099742A">
              <w:rPr>
                <w:color w:val="000000"/>
                <w:sz w:val="20"/>
                <w:szCs w:val="20"/>
              </w:rPr>
              <w:t>6%</w:t>
            </w:r>
          </w:p>
        </w:tc>
        <w:tc>
          <w:tcPr>
            <w:tcW w:w="720" w:type="dxa"/>
            <w:tcBorders>
              <w:top w:val="nil"/>
            </w:tcBorders>
            <w:shd w:val="clear" w:color="auto" w:fill="auto"/>
            <w:noWrap/>
            <w:vAlign w:val="center"/>
          </w:tcPr>
          <w:p w14:paraId="74C3FC7B" w14:textId="3136A7DE" w:rsidR="006F45F7" w:rsidRPr="0099742A" w:rsidRDefault="006F45F7" w:rsidP="006F45F7">
            <w:pPr>
              <w:pStyle w:val="BodyText"/>
              <w:spacing w:line="240" w:lineRule="auto"/>
              <w:rPr>
                <w:sz w:val="20"/>
                <w:szCs w:val="20"/>
              </w:rPr>
            </w:pPr>
            <w:r w:rsidRPr="0099742A">
              <w:rPr>
                <w:color w:val="000000"/>
                <w:sz w:val="20"/>
                <w:szCs w:val="20"/>
              </w:rPr>
              <w:t>6%</w:t>
            </w:r>
          </w:p>
        </w:tc>
        <w:tc>
          <w:tcPr>
            <w:tcW w:w="720" w:type="dxa"/>
            <w:tcBorders>
              <w:top w:val="nil"/>
            </w:tcBorders>
            <w:shd w:val="clear" w:color="auto" w:fill="auto"/>
            <w:noWrap/>
            <w:vAlign w:val="center"/>
          </w:tcPr>
          <w:p w14:paraId="1DB9EEFA" w14:textId="18D2BB1B" w:rsidR="006F45F7" w:rsidRPr="0099742A" w:rsidRDefault="006F45F7" w:rsidP="006F45F7">
            <w:pPr>
              <w:pStyle w:val="BodyText"/>
              <w:spacing w:line="240" w:lineRule="auto"/>
              <w:rPr>
                <w:sz w:val="20"/>
                <w:szCs w:val="20"/>
              </w:rPr>
            </w:pPr>
            <w:r w:rsidRPr="0099742A">
              <w:rPr>
                <w:color w:val="000000"/>
                <w:sz w:val="20"/>
                <w:szCs w:val="20"/>
              </w:rPr>
              <w:t>7%</w:t>
            </w:r>
          </w:p>
        </w:tc>
        <w:tc>
          <w:tcPr>
            <w:tcW w:w="810" w:type="dxa"/>
            <w:tcBorders>
              <w:top w:val="nil"/>
            </w:tcBorders>
            <w:shd w:val="clear" w:color="auto" w:fill="auto"/>
            <w:noWrap/>
            <w:vAlign w:val="center"/>
          </w:tcPr>
          <w:p w14:paraId="01119CB4" w14:textId="6760AAE9" w:rsidR="006F45F7" w:rsidRPr="0099742A" w:rsidRDefault="006F45F7" w:rsidP="006F45F7">
            <w:pPr>
              <w:pStyle w:val="BodyText"/>
              <w:spacing w:line="240" w:lineRule="auto"/>
              <w:rPr>
                <w:sz w:val="20"/>
                <w:szCs w:val="20"/>
              </w:rPr>
            </w:pPr>
            <w:r w:rsidRPr="0099742A">
              <w:rPr>
                <w:color w:val="000000"/>
                <w:sz w:val="20"/>
                <w:szCs w:val="20"/>
              </w:rPr>
              <w:t>EIA</w:t>
            </w:r>
          </w:p>
        </w:tc>
        <w:tc>
          <w:tcPr>
            <w:tcW w:w="1792" w:type="dxa"/>
            <w:tcBorders>
              <w:top w:val="nil"/>
              <w:right w:val="nil"/>
            </w:tcBorders>
            <w:shd w:val="clear" w:color="auto" w:fill="auto"/>
            <w:noWrap/>
            <w:vAlign w:val="center"/>
          </w:tcPr>
          <w:p w14:paraId="1BB55B7E" w14:textId="02899E04" w:rsidR="006F45F7" w:rsidRPr="0099742A" w:rsidRDefault="006F45F7" w:rsidP="006F45F7">
            <w:pPr>
              <w:pStyle w:val="BodyText"/>
              <w:spacing w:line="240" w:lineRule="auto"/>
              <w:rPr>
                <w:sz w:val="20"/>
                <w:szCs w:val="20"/>
              </w:rPr>
            </w:pPr>
            <w:r w:rsidRPr="0099742A">
              <w:rPr>
                <w:color w:val="000000"/>
                <w:sz w:val="20"/>
                <w:szCs w:val="20"/>
              </w:rPr>
              <w:t>-10%</w:t>
            </w:r>
          </w:p>
        </w:tc>
      </w:tr>
      <w:tr w:rsidR="00D1739C" w:rsidRPr="000B73E2" w14:paraId="2B157A3E" w14:textId="77777777" w:rsidTr="00CF771E">
        <w:trPr>
          <w:trHeight w:val="315"/>
        </w:trPr>
        <w:tc>
          <w:tcPr>
            <w:tcW w:w="2520" w:type="dxa"/>
            <w:tcBorders>
              <w:top w:val="nil"/>
              <w:left w:val="nil"/>
            </w:tcBorders>
            <w:shd w:val="clear" w:color="auto" w:fill="auto"/>
            <w:noWrap/>
            <w:vAlign w:val="center"/>
          </w:tcPr>
          <w:p w14:paraId="40633BA2" w14:textId="7726F814" w:rsidR="000B73E2" w:rsidRPr="000B73E2" w:rsidRDefault="000B73E2" w:rsidP="000B73E2">
            <w:pPr>
              <w:pStyle w:val="BodyText"/>
              <w:spacing w:line="240" w:lineRule="auto"/>
              <w:rPr>
                <w:color w:val="000000"/>
                <w:sz w:val="20"/>
                <w:szCs w:val="20"/>
              </w:rPr>
            </w:pPr>
            <w:r w:rsidRPr="00373A86">
              <w:rPr>
                <w:color w:val="000000"/>
                <w:sz w:val="20"/>
                <w:szCs w:val="20"/>
              </w:rPr>
              <w:t xml:space="preserve">Wind </w:t>
            </w:r>
            <w:r w:rsidR="009F08FE" w:rsidRPr="00666167">
              <w:rPr>
                <w:color w:val="000000"/>
                <w:sz w:val="20"/>
                <w:szCs w:val="20"/>
              </w:rPr>
              <w:t>elec</w:t>
            </w:r>
            <w:r w:rsidR="009F08FE">
              <w:rPr>
                <w:color w:val="000000"/>
                <w:sz w:val="20"/>
                <w:szCs w:val="20"/>
              </w:rPr>
              <w:t>tricity</w:t>
            </w:r>
            <w:r w:rsidRPr="00373A86">
              <w:rPr>
                <w:color w:val="000000"/>
                <w:sz w:val="20"/>
                <w:szCs w:val="20"/>
              </w:rPr>
              <w:t>%</w:t>
            </w:r>
          </w:p>
        </w:tc>
        <w:tc>
          <w:tcPr>
            <w:tcW w:w="720" w:type="dxa"/>
            <w:tcBorders>
              <w:top w:val="nil"/>
            </w:tcBorders>
            <w:shd w:val="clear" w:color="auto" w:fill="auto"/>
            <w:noWrap/>
            <w:vAlign w:val="center"/>
          </w:tcPr>
          <w:p w14:paraId="39F39E61" w14:textId="1FCB6264" w:rsidR="000B73E2" w:rsidRPr="000B73E2" w:rsidRDefault="000B73E2" w:rsidP="000B73E2">
            <w:pPr>
              <w:pStyle w:val="BodyText"/>
              <w:spacing w:line="240" w:lineRule="auto"/>
              <w:rPr>
                <w:color w:val="000000"/>
                <w:sz w:val="20"/>
                <w:szCs w:val="20"/>
              </w:rPr>
            </w:pPr>
            <w:r w:rsidRPr="00373A86">
              <w:rPr>
                <w:color w:val="000000"/>
                <w:sz w:val="20"/>
                <w:szCs w:val="20"/>
              </w:rPr>
              <w:t>6%</w:t>
            </w:r>
          </w:p>
        </w:tc>
        <w:tc>
          <w:tcPr>
            <w:tcW w:w="720" w:type="dxa"/>
            <w:tcBorders>
              <w:top w:val="nil"/>
            </w:tcBorders>
            <w:shd w:val="clear" w:color="auto" w:fill="auto"/>
            <w:noWrap/>
            <w:vAlign w:val="center"/>
          </w:tcPr>
          <w:p w14:paraId="520FB1A0" w14:textId="588A6813" w:rsidR="000B73E2" w:rsidRPr="000B73E2" w:rsidRDefault="000B73E2" w:rsidP="000B73E2">
            <w:pPr>
              <w:pStyle w:val="BodyText"/>
              <w:spacing w:line="240" w:lineRule="auto"/>
              <w:rPr>
                <w:color w:val="000000"/>
                <w:sz w:val="20"/>
                <w:szCs w:val="20"/>
              </w:rPr>
            </w:pPr>
            <w:r w:rsidRPr="00373A86">
              <w:rPr>
                <w:color w:val="000000"/>
                <w:sz w:val="20"/>
                <w:szCs w:val="20"/>
              </w:rPr>
              <w:t>6%</w:t>
            </w:r>
          </w:p>
        </w:tc>
        <w:tc>
          <w:tcPr>
            <w:tcW w:w="720" w:type="dxa"/>
            <w:tcBorders>
              <w:top w:val="nil"/>
            </w:tcBorders>
            <w:shd w:val="clear" w:color="auto" w:fill="auto"/>
            <w:noWrap/>
            <w:vAlign w:val="center"/>
          </w:tcPr>
          <w:p w14:paraId="3F1E1E6B" w14:textId="50C78142"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728" w:type="dxa"/>
            <w:tcBorders>
              <w:top w:val="nil"/>
            </w:tcBorders>
            <w:shd w:val="clear" w:color="auto" w:fill="auto"/>
            <w:noWrap/>
            <w:vAlign w:val="center"/>
          </w:tcPr>
          <w:p w14:paraId="0181B9CE" w14:textId="10B6B172"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720" w:type="dxa"/>
            <w:tcBorders>
              <w:top w:val="nil"/>
            </w:tcBorders>
            <w:shd w:val="clear" w:color="auto" w:fill="auto"/>
            <w:noWrap/>
            <w:vAlign w:val="center"/>
          </w:tcPr>
          <w:p w14:paraId="68C1B986" w14:textId="4BC22E8A"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720" w:type="dxa"/>
            <w:tcBorders>
              <w:top w:val="nil"/>
            </w:tcBorders>
            <w:shd w:val="clear" w:color="auto" w:fill="auto"/>
            <w:noWrap/>
            <w:vAlign w:val="center"/>
          </w:tcPr>
          <w:p w14:paraId="6AF73187" w14:textId="738052F3"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720" w:type="dxa"/>
            <w:tcBorders>
              <w:top w:val="nil"/>
            </w:tcBorders>
            <w:shd w:val="clear" w:color="auto" w:fill="auto"/>
            <w:noWrap/>
            <w:vAlign w:val="center"/>
          </w:tcPr>
          <w:p w14:paraId="28340A45" w14:textId="1CFB26EC"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720" w:type="dxa"/>
            <w:tcBorders>
              <w:top w:val="nil"/>
            </w:tcBorders>
            <w:shd w:val="clear" w:color="auto" w:fill="auto"/>
            <w:noWrap/>
            <w:vAlign w:val="center"/>
          </w:tcPr>
          <w:p w14:paraId="6F7AC737" w14:textId="6A10DBE9" w:rsidR="000B73E2" w:rsidRPr="000B73E2" w:rsidRDefault="000B73E2" w:rsidP="000B73E2">
            <w:pPr>
              <w:pStyle w:val="BodyText"/>
              <w:spacing w:line="240" w:lineRule="auto"/>
              <w:rPr>
                <w:color w:val="000000"/>
                <w:sz w:val="20"/>
                <w:szCs w:val="20"/>
              </w:rPr>
            </w:pPr>
            <w:r w:rsidRPr="00373A86">
              <w:rPr>
                <w:color w:val="000000"/>
                <w:sz w:val="20"/>
                <w:szCs w:val="20"/>
              </w:rPr>
              <w:t>7%</w:t>
            </w:r>
          </w:p>
        </w:tc>
        <w:tc>
          <w:tcPr>
            <w:tcW w:w="810" w:type="dxa"/>
            <w:tcBorders>
              <w:top w:val="nil"/>
            </w:tcBorders>
            <w:shd w:val="clear" w:color="auto" w:fill="auto"/>
            <w:noWrap/>
            <w:vAlign w:val="center"/>
          </w:tcPr>
          <w:p w14:paraId="54397421" w14:textId="23D171FB" w:rsidR="000B73E2" w:rsidRPr="000B73E2" w:rsidRDefault="000B73E2" w:rsidP="000B73E2">
            <w:pPr>
              <w:pStyle w:val="BodyText"/>
              <w:spacing w:line="240" w:lineRule="auto"/>
              <w:rPr>
                <w:color w:val="000000"/>
                <w:sz w:val="20"/>
                <w:szCs w:val="20"/>
              </w:rPr>
            </w:pPr>
            <w:r w:rsidRPr="00373A86">
              <w:rPr>
                <w:color w:val="000000"/>
                <w:sz w:val="20"/>
                <w:szCs w:val="20"/>
              </w:rPr>
              <w:t>EIA</w:t>
            </w:r>
          </w:p>
        </w:tc>
        <w:tc>
          <w:tcPr>
            <w:tcW w:w="1792" w:type="dxa"/>
            <w:tcBorders>
              <w:top w:val="nil"/>
              <w:right w:val="nil"/>
            </w:tcBorders>
            <w:shd w:val="clear" w:color="auto" w:fill="auto"/>
            <w:noWrap/>
            <w:vAlign w:val="center"/>
          </w:tcPr>
          <w:p w14:paraId="3B28E63D" w14:textId="350E7916" w:rsidR="000B73E2" w:rsidRPr="000B73E2" w:rsidRDefault="000B73E2" w:rsidP="000B73E2">
            <w:pPr>
              <w:pStyle w:val="BodyText"/>
              <w:spacing w:line="240" w:lineRule="auto"/>
              <w:rPr>
                <w:color w:val="000000"/>
                <w:sz w:val="20"/>
                <w:szCs w:val="20"/>
              </w:rPr>
            </w:pPr>
            <w:r w:rsidRPr="00373A86">
              <w:rPr>
                <w:color w:val="000000"/>
                <w:sz w:val="20"/>
                <w:szCs w:val="20"/>
              </w:rPr>
              <w:t>10%</w:t>
            </w:r>
          </w:p>
        </w:tc>
      </w:tr>
      <w:tr w:rsidR="00D1739C" w:rsidRPr="000B73E2" w14:paraId="104D52EB" w14:textId="77777777" w:rsidTr="00CF771E">
        <w:trPr>
          <w:trHeight w:val="315"/>
        </w:trPr>
        <w:tc>
          <w:tcPr>
            <w:tcW w:w="2520" w:type="dxa"/>
            <w:tcBorders>
              <w:top w:val="nil"/>
              <w:left w:val="nil"/>
            </w:tcBorders>
            <w:shd w:val="clear" w:color="auto" w:fill="auto"/>
            <w:noWrap/>
            <w:vAlign w:val="center"/>
          </w:tcPr>
          <w:p w14:paraId="3D61EBDA" w14:textId="57ED63DA" w:rsidR="000B73E2" w:rsidRPr="000B73E2" w:rsidRDefault="000B73E2" w:rsidP="000B73E2">
            <w:pPr>
              <w:pStyle w:val="BodyText"/>
              <w:spacing w:line="240" w:lineRule="auto"/>
              <w:rPr>
                <w:color w:val="000000"/>
                <w:sz w:val="20"/>
                <w:szCs w:val="20"/>
              </w:rPr>
            </w:pPr>
            <w:r w:rsidRPr="00373A86">
              <w:rPr>
                <w:color w:val="000000"/>
                <w:sz w:val="20"/>
                <w:szCs w:val="20"/>
              </w:rPr>
              <w:t xml:space="preserve">Solar </w:t>
            </w:r>
            <w:r w:rsidR="009F08FE" w:rsidRPr="00666167">
              <w:rPr>
                <w:color w:val="000000"/>
                <w:sz w:val="20"/>
                <w:szCs w:val="20"/>
              </w:rPr>
              <w:t>elec</w:t>
            </w:r>
            <w:r w:rsidR="009F08FE">
              <w:rPr>
                <w:color w:val="000000"/>
                <w:sz w:val="20"/>
                <w:szCs w:val="20"/>
              </w:rPr>
              <w:t>tricity</w:t>
            </w:r>
            <w:r w:rsidRPr="00373A86">
              <w:rPr>
                <w:color w:val="000000"/>
                <w:sz w:val="20"/>
                <w:szCs w:val="20"/>
              </w:rPr>
              <w:t>%</w:t>
            </w:r>
          </w:p>
        </w:tc>
        <w:tc>
          <w:tcPr>
            <w:tcW w:w="720" w:type="dxa"/>
            <w:tcBorders>
              <w:top w:val="nil"/>
            </w:tcBorders>
            <w:shd w:val="clear" w:color="auto" w:fill="auto"/>
            <w:noWrap/>
            <w:vAlign w:val="center"/>
          </w:tcPr>
          <w:p w14:paraId="70A1E78E" w14:textId="70043F8C" w:rsidR="000B73E2" w:rsidRPr="000B73E2" w:rsidRDefault="000B73E2" w:rsidP="000B73E2">
            <w:pPr>
              <w:pStyle w:val="BodyText"/>
              <w:spacing w:line="240" w:lineRule="auto"/>
              <w:rPr>
                <w:color w:val="000000"/>
                <w:sz w:val="20"/>
                <w:szCs w:val="20"/>
              </w:rPr>
            </w:pPr>
            <w:r w:rsidRPr="00373A86">
              <w:rPr>
                <w:color w:val="000000"/>
                <w:sz w:val="20"/>
                <w:szCs w:val="20"/>
              </w:rPr>
              <w:t>0.9%</w:t>
            </w:r>
          </w:p>
        </w:tc>
        <w:tc>
          <w:tcPr>
            <w:tcW w:w="720" w:type="dxa"/>
            <w:tcBorders>
              <w:top w:val="nil"/>
            </w:tcBorders>
            <w:shd w:val="clear" w:color="auto" w:fill="auto"/>
            <w:noWrap/>
            <w:vAlign w:val="center"/>
          </w:tcPr>
          <w:p w14:paraId="0E3D18DE" w14:textId="6E06C21C" w:rsidR="000B73E2" w:rsidRPr="000B73E2" w:rsidRDefault="000B73E2" w:rsidP="000B73E2">
            <w:pPr>
              <w:pStyle w:val="BodyText"/>
              <w:spacing w:line="240" w:lineRule="auto"/>
              <w:rPr>
                <w:color w:val="000000"/>
                <w:sz w:val="20"/>
                <w:szCs w:val="20"/>
              </w:rPr>
            </w:pPr>
            <w:r w:rsidRPr="00373A86">
              <w:rPr>
                <w:color w:val="000000"/>
                <w:sz w:val="20"/>
                <w:szCs w:val="20"/>
              </w:rPr>
              <w:t>1.3%</w:t>
            </w:r>
          </w:p>
        </w:tc>
        <w:tc>
          <w:tcPr>
            <w:tcW w:w="720" w:type="dxa"/>
            <w:tcBorders>
              <w:top w:val="nil"/>
            </w:tcBorders>
            <w:shd w:val="clear" w:color="auto" w:fill="auto"/>
            <w:noWrap/>
            <w:vAlign w:val="center"/>
          </w:tcPr>
          <w:p w14:paraId="58EFADE0" w14:textId="1451ADE0" w:rsidR="000B73E2" w:rsidRPr="000B73E2" w:rsidRDefault="000B73E2" w:rsidP="000B73E2">
            <w:pPr>
              <w:pStyle w:val="BodyText"/>
              <w:spacing w:line="240" w:lineRule="auto"/>
              <w:rPr>
                <w:color w:val="000000"/>
                <w:sz w:val="20"/>
                <w:szCs w:val="20"/>
              </w:rPr>
            </w:pPr>
            <w:r w:rsidRPr="00373A86">
              <w:rPr>
                <w:color w:val="000000"/>
                <w:sz w:val="20"/>
                <w:szCs w:val="20"/>
              </w:rPr>
              <w:t>1.5%</w:t>
            </w:r>
          </w:p>
        </w:tc>
        <w:tc>
          <w:tcPr>
            <w:tcW w:w="728" w:type="dxa"/>
            <w:tcBorders>
              <w:top w:val="nil"/>
            </w:tcBorders>
            <w:shd w:val="clear" w:color="auto" w:fill="auto"/>
            <w:noWrap/>
            <w:vAlign w:val="center"/>
          </w:tcPr>
          <w:p w14:paraId="7DEE512C" w14:textId="1C882E0A" w:rsidR="000B73E2" w:rsidRPr="000B73E2" w:rsidRDefault="000B73E2" w:rsidP="000B73E2">
            <w:pPr>
              <w:pStyle w:val="BodyText"/>
              <w:spacing w:line="240" w:lineRule="auto"/>
              <w:rPr>
                <w:color w:val="000000"/>
                <w:sz w:val="20"/>
                <w:szCs w:val="20"/>
              </w:rPr>
            </w:pPr>
            <w:r w:rsidRPr="00373A86">
              <w:rPr>
                <w:color w:val="000000"/>
                <w:sz w:val="20"/>
                <w:szCs w:val="20"/>
              </w:rPr>
              <w:t>1.7%</w:t>
            </w:r>
          </w:p>
        </w:tc>
        <w:tc>
          <w:tcPr>
            <w:tcW w:w="720" w:type="dxa"/>
            <w:tcBorders>
              <w:top w:val="nil"/>
            </w:tcBorders>
            <w:shd w:val="clear" w:color="auto" w:fill="auto"/>
            <w:noWrap/>
            <w:vAlign w:val="center"/>
          </w:tcPr>
          <w:p w14:paraId="3AAD0D48" w14:textId="2F5AE9EF" w:rsidR="000B73E2" w:rsidRPr="000B73E2" w:rsidRDefault="000B73E2" w:rsidP="000B73E2">
            <w:pPr>
              <w:pStyle w:val="BodyText"/>
              <w:spacing w:line="240" w:lineRule="auto"/>
              <w:rPr>
                <w:color w:val="000000"/>
                <w:sz w:val="20"/>
                <w:szCs w:val="20"/>
              </w:rPr>
            </w:pPr>
            <w:r w:rsidRPr="00373A86">
              <w:rPr>
                <w:color w:val="000000"/>
                <w:sz w:val="20"/>
                <w:szCs w:val="20"/>
              </w:rPr>
              <w:t>0.6%</w:t>
            </w:r>
          </w:p>
        </w:tc>
        <w:tc>
          <w:tcPr>
            <w:tcW w:w="720" w:type="dxa"/>
            <w:tcBorders>
              <w:top w:val="nil"/>
            </w:tcBorders>
            <w:shd w:val="clear" w:color="auto" w:fill="auto"/>
            <w:noWrap/>
            <w:vAlign w:val="center"/>
          </w:tcPr>
          <w:p w14:paraId="1BE34638" w14:textId="4DCD476C" w:rsidR="000B73E2" w:rsidRPr="000B73E2" w:rsidRDefault="000B73E2" w:rsidP="000B73E2">
            <w:pPr>
              <w:pStyle w:val="BodyText"/>
              <w:spacing w:line="240" w:lineRule="auto"/>
              <w:rPr>
                <w:color w:val="000000"/>
                <w:sz w:val="20"/>
                <w:szCs w:val="20"/>
              </w:rPr>
            </w:pPr>
            <w:r w:rsidRPr="00373A86">
              <w:rPr>
                <w:color w:val="000000"/>
                <w:sz w:val="20"/>
                <w:szCs w:val="20"/>
              </w:rPr>
              <w:t>1.0%</w:t>
            </w:r>
          </w:p>
        </w:tc>
        <w:tc>
          <w:tcPr>
            <w:tcW w:w="720" w:type="dxa"/>
            <w:tcBorders>
              <w:top w:val="nil"/>
            </w:tcBorders>
            <w:shd w:val="clear" w:color="auto" w:fill="auto"/>
            <w:noWrap/>
            <w:vAlign w:val="center"/>
          </w:tcPr>
          <w:p w14:paraId="79099B9F" w14:textId="5739CCA8" w:rsidR="000B73E2" w:rsidRPr="000B73E2" w:rsidRDefault="000B73E2" w:rsidP="000B73E2">
            <w:pPr>
              <w:pStyle w:val="BodyText"/>
              <w:spacing w:line="240" w:lineRule="auto"/>
              <w:rPr>
                <w:color w:val="000000"/>
                <w:sz w:val="20"/>
                <w:szCs w:val="20"/>
              </w:rPr>
            </w:pPr>
            <w:r w:rsidRPr="00373A86">
              <w:rPr>
                <w:color w:val="000000"/>
                <w:sz w:val="20"/>
                <w:szCs w:val="20"/>
              </w:rPr>
              <w:t>1.5%</w:t>
            </w:r>
          </w:p>
        </w:tc>
        <w:tc>
          <w:tcPr>
            <w:tcW w:w="720" w:type="dxa"/>
            <w:tcBorders>
              <w:top w:val="nil"/>
            </w:tcBorders>
            <w:shd w:val="clear" w:color="auto" w:fill="auto"/>
            <w:noWrap/>
            <w:vAlign w:val="center"/>
          </w:tcPr>
          <w:p w14:paraId="00A41555" w14:textId="5F6D1B60" w:rsidR="000B73E2" w:rsidRPr="000B73E2" w:rsidRDefault="000B73E2" w:rsidP="000B73E2">
            <w:pPr>
              <w:pStyle w:val="BodyText"/>
              <w:spacing w:line="240" w:lineRule="auto"/>
              <w:rPr>
                <w:color w:val="000000"/>
                <w:sz w:val="20"/>
                <w:szCs w:val="20"/>
              </w:rPr>
            </w:pPr>
            <w:r w:rsidRPr="00373A86">
              <w:rPr>
                <w:color w:val="000000"/>
                <w:sz w:val="20"/>
                <w:szCs w:val="20"/>
              </w:rPr>
              <w:t>1.9%</w:t>
            </w:r>
          </w:p>
        </w:tc>
        <w:tc>
          <w:tcPr>
            <w:tcW w:w="810" w:type="dxa"/>
            <w:tcBorders>
              <w:top w:val="nil"/>
            </w:tcBorders>
            <w:shd w:val="clear" w:color="auto" w:fill="auto"/>
            <w:noWrap/>
            <w:vAlign w:val="center"/>
          </w:tcPr>
          <w:p w14:paraId="31D30704" w14:textId="77C0239D" w:rsidR="000B73E2" w:rsidRPr="000B73E2" w:rsidRDefault="000B73E2" w:rsidP="000B73E2">
            <w:pPr>
              <w:pStyle w:val="BodyText"/>
              <w:spacing w:line="240" w:lineRule="auto"/>
              <w:rPr>
                <w:color w:val="000000"/>
                <w:sz w:val="20"/>
                <w:szCs w:val="20"/>
              </w:rPr>
            </w:pPr>
            <w:r w:rsidRPr="00373A86">
              <w:rPr>
                <w:color w:val="000000"/>
                <w:sz w:val="20"/>
                <w:szCs w:val="20"/>
              </w:rPr>
              <w:t>EIA</w:t>
            </w:r>
          </w:p>
        </w:tc>
        <w:tc>
          <w:tcPr>
            <w:tcW w:w="1792" w:type="dxa"/>
            <w:tcBorders>
              <w:top w:val="nil"/>
              <w:right w:val="nil"/>
            </w:tcBorders>
            <w:shd w:val="clear" w:color="auto" w:fill="auto"/>
            <w:noWrap/>
            <w:vAlign w:val="center"/>
          </w:tcPr>
          <w:p w14:paraId="07C0F395" w14:textId="212333E6" w:rsidR="000B73E2" w:rsidRPr="000B73E2" w:rsidRDefault="000B73E2" w:rsidP="000B73E2">
            <w:pPr>
              <w:pStyle w:val="BodyText"/>
              <w:spacing w:line="240" w:lineRule="auto"/>
              <w:rPr>
                <w:color w:val="000000"/>
                <w:sz w:val="20"/>
                <w:szCs w:val="20"/>
              </w:rPr>
            </w:pPr>
            <w:r w:rsidRPr="00373A86">
              <w:rPr>
                <w:color w:val="000000"/>
                <w:sz w:val="20"/>
                <w:szCs w:val="20"/>
              </w:rPr>
              <w:t>-11%</w:t>
            </w:r>
          </w:p>
        </w:tc>
      </w:tr>
      <w:tr w:rsidR="00D1739C" w:rsidRPr="000B73E2" w14:paraId="558BAE0A" w14:textId="77777777" w:rsidTr="00CF771E">
        <w:trPr>
          <w:trHeight w:val="315"/>
        </w:trPr>
        <w:tc>
          <w:tcPr>
            <w:tcW w:w="2520" w:type="dxa"/>
            <w:tcBorders>
              <w:top w:val="nil"/>
              <w:left w:val="nil"/>
              <w:bottom w:val="single" w:sz="4" w:space="0" w:color="auto"/>
            </w:tcBorders>
            <w:shd w:val="clear" w:color="auto" w:fill="auto"/>
            <w:noWrap/>
            <w:vAlign w:val="center"/>
          </w:tcPr>
          <w:p w14:paraId="2E145BD2" w14:textId="68222E0E" w:rsidR="000B73E2" w:rsidRPr="000B73E2" w:rsidRDefault="000B73E2" w:rsidP="000B73E2">
            <w:pPr>
              <w:pStyle w:val="BodyText"/>
              <w:spacing w:line="240" w:lineRule="auto"/>
              <w:rPr>
                <w:color w:val="000000"/>
                <w:sz w:val="20"/>
                <w:szCs w:val="20"/>
              </w:rPr>
            </w:pPr>
            <w:r w:rsidRPr="00373A86">
              <w:rPr>
                <w:color w:val="000000"/>
                <w:sz w:val="20"/>
                <w:szCs w:val="20"/>
              </w:rPr>
              <w:t>Total renewable%</w:t>
            </w:r>
          </w:p>
        </w:tc>
        <w:tc>
          <w:tcPr>
            <w:tcW w:w="720" w:type="dxa"/>
            <w:tcBorders>
              <w:top w:val="nil"/>
              <w:bottom w:val="single" w:sz="4" w:space="0" w:color="auto"/>
            </w:tcBorders>
            <w:shd w:val="clear" w:color="auto" w:fill="auto"/>
            <w:noWrap/>
            <w:vAlign w:val="center"/>
          </w:tcPr>
          <w:p w14:paraId="5E135D15" w14:textId="0E043EBB" w:rsidR="000B73E2" w:rsidRPr="000B73E2" w:rsidRDefault="000B73E2" w:rsidP="000B73E2">
            <w:pPr>
              <w:pStyle w:val="BodyText"/>
              <w:spacing w:line="240" w:lineRule="auto"/>
              <w:rPr>
                <w:color w:val="000000"/>
                <w:sz w:val="20"/>
                <w:szCs w:val="20"/>
              </w:rPr>
            </w:pPr>
            <w:r w:rsidRPr="00373A86">
              <w:rPr>
                <w:color w:val="000000"/>
                <w:sz w:val="20"/>
                <w:szCs w:val="20"/>
              </w:rPr>
              <w:t>15%</w:t>
            </w:r>
          </w:p>
        </w:tc>
        <w:tc>
          <w:tcPr>
            <w:tcW w:w="720" w:type="dxa"/>
            <w:tcBorders>
              <w:top w:val="nil"/>
              <w:bottom w:val="single" w:sz="4" w:space="0" w:color="auto"/>
            </w:tcBorders>
            <w:shd w:val="clear" w:color="auto" w:fill="auto"/>
            <w:noWrap/>
            <w:vAlign w:val="center"/>
          </w:tcPr>
          <w:p w14:paraId="27E6C7A5" w14:textId="53E748B3" w:rsidR="000B73E2" w:rsidRPr="000B73E2" w:rsidRDefault="000B73E2" w:rsidP="000B73E2">
            <w:pPr>
              <w:pStyle w:val="BodyText"/>
              <w:spacing w:line="240" w:lineRule="auto"/>
              <w:rPr>
                <w:color w:val="000000"/>
                <w:sz w:val="20"/>
                <w:szCs w:val="20"/>
              </w:rPr>
            </w:pPr>
            <w:r w:rsidRPr="00373A86">
              <w:rPr>
                <w:color w:val="000000"/>
                <w:sz w:val="20"/>
                <w:szCs w:val="20"/>
              </w:rPr>
              <w:t>17%</w:t>
            </w:r>
          </w:p>
        </w:tc>
        <w:tc>
          <w:tcPr>
            <w:tcW w:w="720" w:type="dxa"/>
            <w:tcBorders>
              <w:top w:val="nil"/>
              <w:bottom w:val="single" w:sz="4" w:space="0" w:color="auto"/>
            </w:tcBorders>
            <w:shd w:val="clear" w:color="auto" w:fill="auto"/>
            <w:noWrap/>
            <w:vAlign w:val="center"/>
          </w:tcPr>
          <w:p w14:paraId="5B85D6B0" w14:textId="6ADCE0C7" w:rsidR="000B73E2" w:rsidRPr="000B73E2" w:rsidRDefault="000B73E2" w:rsidP="000B73E2">
            <w:pPr>
              <w:pStyle w:val="BodyText"/>
              <w:spacing w:line="240" w:lineRule="auto"/>
              <w:rPr>
                <w:color w:val="000000"/>
                <w:sz w:val="20"/>
                <w:szCs w:val="20"/>
              </w:rPr>
            </w:pPr>
            <w:r w:rsidRPr="00373A86">
              <w:rPr>
                <w:color w:val="000000"/>
                <w:sz w:val="20"/>
                <w:szCs w:val="20"/>
              </w:rPr>
              <w:t>17%</w:t>
            </w:r>
          </w:p>
        </w:tc>
        <w:tc>
          <w:tcPr>
            <w:tcW w:w="728" w:type="dxa"/>
            <w:tcBorders>
              <w:top w:val="nil"/>
              <w:bottom w:val="single" w:sz="4" w:space="0" w:color="auto"/>
            </w:tcBorders>
            <w:shd w:val="clear" w:color="auto" w:fill="auto"/>
            <w:noWrap/>
            <w:vAlign w:val="center"/>
          </w:tcPr>
          <w:p w14:paraId="3889FE4C" w14:textId="36A825C2" w:rsidR="000B73E2" w:rsidRPr="000B73E2" w:rsidRDefault="000B73E2" w:rsidP="000B73E2">
            <w:pPr>
              <w:pStyle w:val="BodyText"/>
              <w:spacing w:line="240" w:lineRule="auto"/>
              <w:rPr>
                <w:color w:val="000000"/>
                <w:sz w:val="20"/>
                <w:szCs w:val="20"/>
              </w:rPr>
            </w:pPr>
            <w:r w:rsidRPr="00373A86">
              <w:rPr>
                <w:color w:val="000000"/>
                <w:sz w:val="20"/>
                <w:szCs w:val="20"/>
              </w:rPr>
              <w:t>18%</w:t>
            </w:r>
          </w:p>
        </w:tc>
        <w:tc>
          <w:tcPr>
            <w:tcW w:w="720" w:type="dxa"/>
            <w:tcBorders>
              <w:top w:val="nil"/>
              <w:bottom w:val="single" w:sz="4" w:space="0" w:color="auto"/>
            </w:tcBorders>
            <w:shd w:val="clear" w:color="auto" w:fill="auto"/>
            <w:noWrap/>
            <w:vAlign w:val="center"/>
          </w:tcPr>
          <w:p w14:paraId="20ED73B7" w14:textId="6BBD59DE" w:rsidR="000B73E2" w:rsidRPr="000B73E2" w:rsidRDefault="000B73E2" w:rsidP="000B73E2">
            <w:pPr>
              <w:pStyle w:val="BodyText"/>
              <w:spacing w:line="240" w:lineRule="auto"/>
              <w:rPr>
                <w:color w:val="000000"/>
                <w:sz w:val="20"/>
                <w:szCs w:val="20"/>
              </w:rPr>
            </w:pPr>
            <w:r w:rsidRPr="00373A86">
              <w:rPr>
                <w:color w:val="000000"/>
                <w:sz w:val="20"/>
                <w:szCs w:val="20"/>
              </w:rPr>
              <w:t>15%</w:t>
            </w:r>
          </w:p>
        </w:tc>
        <w:tc>
          <w:tcPr>
            <w:tcW w:w="720" w:type="dxa"/>
            <w:tcBorders>
              <w:top w:val="nil"/>
              <w:bottom w:val="single" w:sz="4" w:space="0" w:color="auto"/>
            </w:tcBorders>
            <w:shd w:val="clear" w:color="auto" w:fill="auto"/>
            <w:noWrap/>
            <w:vAlign w:val="center"/>
          </w:tcPr>
          <w:p w14:paraId="507CFF9B" w14:textId="5A2D840C" w:rsidR="000B73E2" w:rsidRPr="000B73E2" w:rsidRDefault="000B73E2" w:rsidP="000B73E2">
            <w:pPr>
              <w:pStyle w:val="BodyText"/>
              <w:spacing w:line="240" w:lineRule="auto"/>
              <w:rPr>
                <w:color w:val="000000"/>
                <w:sz w:val="20"/>
                <w:szCs w:val="20"/>
              </w:rPr>
            </w:pPr>
            <w:r w:rsidRPr="00373A86">
              <w:rPr>
                <w:color w:val="000000"/>
                <w:sz w:val="20"/>
                <w:szCs w:val="20"/>
              </w:rPr>
              <w:t>15%</w:t>
            </w:r>
          </w:p>
        </w:tc>
        <w:tc>
          <w:tcPr>
            <w:tcW w:w="720" w:type="dxa"/>
            <w:tcBorders>
              <w:top w:val="nil"/>
              <w:bottom w:val="single" w:sz="4" w:space="0" w:color="auto"/>
            </w:tcBorders>
            <w:shd w:val="clear" w:color="auto" w:fill="auto"/>
            <w:noWrap/>
            <w:vAlign w:val="center"/>
          </w:tcPr>
          <w:p w14:paraId="6666CC20" w14:textId="1F2F9781" w:rsidR="000B73E2" w:rsidRPr="000B73E2" w:rsidRDefault="000B73E2" w:rsidP="000B73E2">
            <w:pPr>
              <w:pStyle w:val="BodyText"/>
              <w:spacing w:line="240" w:lineRule="auto"/>
              <w:rPr>
                <w:color w:val="000000"/>
                <w:sz w:val="20"/>
                <w:szCs w:val="20"/>
              </w:rPr>
            </w:pPr>
            <w:r w:rsidRPr="00373A86">
              <w:rPr>
                <w:color w:val="000000"/>
                <w:sz w:val="20"/>
                <w:szCs w:val="20"/>
              </w:rPr>
              <w:t>16%</w:t>
            </w:r>
          </w:p>
        </w:tc>
        <w:tc>
          <w:tcPr>
            <w:tcW w:w="720" w:type="dxa"/>
            <w:tcBorders>
              <w:top w:val="nil"/>
              <w:bottom w:val="single" w:sz="4" w:space="0" w:color="auto"/>
            </w:tcBorders>
            <w:shd w:val="clear" w:color="auto" w:fill="auto"/>
            <w:noWrap/>
            <w:vAlign w:val="center"/>
          </w:tcPr>
          <w:p w14:paraId="10B1DA45" w14:textId="7FD3ECDA" w:rsidR="000B73E2" w:rsidRPr="000B73E2" w:rsidRDefault="000B73E2" w:rsidP="000B73E2">
            <w:pPr>
              <w:pStyle w:val="BodyText"/>
              <w:spacing w:line="240" w:lineRule="auto"/>
              <w:rPr>
                <w:color w:val="000000"/>
                <w:sz w:val="20"/>
                <w:szCs w:val="20"/>
              </w:rPr>
            </w:pPr>
            <w:r w:rsidRPr="00373A86">
              <w:rPr>
                <w:color w:val="000000"/>
                <w:sz w:val="20"/>
                <w:szCs w:val="20"/>
              </w:rPr>
              <w:t>17%</w:t>
            </w:r>
          </w:p>
        </w:tc>
        <w:tc>
          <w:tcPr>
            <w:tcW w:w="810" w:type="dxa"/>
            <w:tcBorders>
              <w:top w:val="nil"/>
              <w:bottom w:val="single" w:sz="4" w:space="0" w:color="auto"/>
            </w:tcBorders>
            <w:shd w:val="clear" w:color="auto" w:fill="auto"/>
            <w:noWrap/>
            <w:vAlign w:val="center"/>
          </w:tcPr>
          <w:p w14:paraId="120F3919" w14:textId="003261DB" w:rsidR="000B73E2" w:rsidRPr="000B73E2" w:rsidRDefault="000B73E2" w:rsidP="000B73E2">
            <w:pPr>
              <w:pStyle w:val="BodyText"/>
              <w:spacing w:line="240" w:lineRule="auto"/>
              <w:rPr>
                <w:color w:val="000000"/>
                <w:sz w:val="20"/>
                <w:szCs w:val="20"/>
              </w:rPr>
            </w:pPr>
            <w:r w:rsidRPr="00373A86">
              <w:rPr>
                <w:color w:val="000000"/>
                <w:sz w:val="20"/>
                <w:szCs w:val="20"/>
              </w:rPr>
              <w:t>EIA</w:t>
            </w:r>
          </w:p>
        </w:tc>
        <w:tc>
          <w:tcPr>
            <w:tcW w:w="1792" w:type="dxa"/>
            <w:tcBorders>
              <w:top w:val="nil"/>
              <w:bottom w:val="single" w:sz="4" w:space="0" w:color="auto"/>
              <w:right w:val="nil"/>
            </w:tcBorders>
            <w:shd w:val="clear" w:color="auto" w:fill="auto"/>
            <w:noWrap/>
            <w:vAlign w:val="center"/>
          </w:tcPr>
          <w:p w14:paraId="6D0E381D" w14:textId="27E0CF60" w:rsidR="000B73E2" w:rsidRPr="000B73E2" w:rsidRDefault="000B73E2" w:rsidP="000B73E2">
            <w:pPr>
              <w:pStyle w:val="BodyText"/>
              <w:spacing w:line="240" w:lineRule="auto"/>
              <w:rPr>
                <w:color w:val="000000"/>
                <w:sz w:val="20"/>
                <w:szCs w:val="20"/>
              </w:rPr>
            </w:pPr>
            <w:r w:rsidRPr="00373A86">
              <w:rPr>
                <w:color w:val="000000"/>
                <w:sz w:val="20"/>
                <w:szCs w:val="20"/>
              </w:rPr>
              <w:t>-6%</w:t>
            </w:r>
          </w:p>
        </w:tc>
      </w:tr>
      <w:tr w:rsidR="00415310" w:rsidRPr="00D1739C" w14:paraId="19969D44" w14:textId="77777777" w:rsidTr="00CF771E">
        <w:trPr>
          <w:trHeight w:val="315"/>
        </w:trPr>
        <w:tc>
          <w:tcPr>
            <w:tcW w:w="10890" w:type="dxa"/>
            <w:gridSpan w:val="11"/>
            <w:tcBorders>
              <w:top w:val="single" w:sz="4" w:space="0" w:color="auto"/>
              <w:left w:val="nil"/>
              <w:right w:val="nil"/>
            </w:tcBorders>
            <w:shd w:val="clear" w:color="auto" w:fill="auto"/>
            <w:noWrap/>
            <w:vAlign w:val="bottom"/>
          </w:tcPr>
          <w:p w14:paraId="36C75F0F" w14:textId="3A3DBFD3" w:rsidR="00415310" w:rsidRPr="0099742A" w:rsidRDefault="00415310">
            <w:pPr>
              <w:pStyle w:val="BodyText"/>
              <w:spacing w:line="240" w:lineRule="auto"/>
              <w:rPr>
                <w:sz w:val="20"/>
                <w:szCs w:val="20"/>
              </w:rPr>
            </w:pPr>
            <w:r>
              <w:rPr>
                <w:sz w:val="20"/>
                <w:szCs w:val="20"/>
              </w:rPr>
              <w:t xml:space="preserve">GHG Emissions </w:t>
            </w:r>
            <w:r w:rsidRPr="0099742A">
              <w:rPr>
                <w:sz w:val="20"/>
                <w:szCs w:val="20"/>
              </w:rPr>
              <w:t>(million metric tons of CO</w:t>
            </w:r>
            <w:r w:rsidRPr="0099742A">
              <w:rPr>
                <w:sz w:val="20"/>
                <w:szCs w:val="20"/>
                <w:vertAlign w:val="subscript"/>
              </w:rPr>
              <w:t>2</w:t>
            </w:r>
            <w:r w:rsidRPr="0099742A">
              <w:rPr>
                <w:sz w:val="20"/>
                <w:szCs w:val="20"/>
              </w:rPr>
              <w:t>)</w:t>
            </w:r>
          </w:p>
        </w:tc>
      </w:tr>
      <w:tr w:rsidR="00C54377" w:rsidRPr="00D1739C" w14:paraId="755414A6" w14:textId="77777777" w:rsidTr="00CF771E">
        <w:trPr>
          <w:trHeight w:val="315"/>
        </w:trPr>
        <w:tc>
          <w:tcPr>
            <w:tcW w:w="2520" w:type="dxa"/>
            <w:tcBorders>
              <w:left w:val="nil"/>
              <w:right w:val="nil"/>
            </w:tcBorders>
            <w:shd w:val="clear" w:color="auto" w:fill="auto"/>
            <w:noWrap/>
            <w:vAlign w:val="bottom"/>
          </w:tcPr>
          <w:p w14:paraId="29A39059" w14:textId="652DC719" w:rsidR="00C54377" w:rsidRPr="0099742A" w:rsidRDefault="00C54377" w:rsidP="00C54377">
            <w:pPr>
              <w:pStyle w:val="BodyText"/>
              <w:spacing w:line="240" w:lineRule="auto"/>
              <w:rPr>
                <w:sz w:val="20"/>
                <w:szCs w:val="20"/>
              </w:rPr>
            </w:pPr>
            <w:r>
              <w:rPr>
                <w:sz w:val="20"/>
                <w:szCs w:val="20"/>
              </w:rPr>
              <w:t>T</w:t>
            </w:r>
            <w:r w:rsidRPr="0099742A">
              <w:rPr>
                <w:sz w:val="20"/>
                <w:szCs w:val="20"/>
              </w:rPr>
              <w:t xml:space="preserve">ransportation </w:t>
            </w:r>
          </w:p>
        </w:tc>
        <w:tc>
          <w:tcPr>
            <w:tcW w:w="720" w:type="dxa"/>
            <w:tcBorders>
              <w:left w:val="nil"/>
              <w:right w:val="nil"/>
            </w:tcBorders>
            <w:shd w:val="clear" w:color="auto" w:fill="auto"/>
            <w:noWrap/>
            <w:vAlign w:val="center"/>
          </w:tcPr>
          <w:p w14:paraId="02E55D09" w14:textId="121CF626" w:rsidR="00C54377" w:rsidRPr="00C54377" w:rsidRDefault="00C54377" w:rsidP="00C54377">
            <w:pPr>
              <w:pStyle w:val="BodyText"/>
              <w:spacing w:line="240" w:lineRule="auto"/>
              <w:rPr>
                <w:sz w:val="20"/>
                <w:szCs w:val="20"/>
              </w:rPr>
            </w:pPr>
            <w:r w:rsidRPr="00C54377">
              <w:rPr>
                <w:color w:val="000000"/>
                <w:sz w:val="20"/>
                <w:szCs w:val="20"/>
              </w:rPr>
              <w:t xml:space="preserve">1,869 </w:t>
            </w:r>
          </w:p>
        </w:tc>
        <w:tc>
          <w:tcPr>
            <w:tcW w:w="720" w:type="dxa"/>
            <w:tcBorders>
              <w:left w:val="nil"/>
              <w:right w:val="nil"/>
            </w:tcBorders>
            <w:shd w:val="clear" w:color="auto" w:fill="auto"/>
            <w:noWrap/>
            <w:vAlign w:val="center"/>
          </w:tcPr>
          <w:p w14:paraId="342EC650" w14:textId="1498F1B6" w:rsidR="00C54377" w:rsidRPr="00C54377" w:rsidRDefault="00C54377" w:rsidP="00C54377">
            <w:pPr>
              <w:pStyle w:val="BodyText"/>
              <w:spacing w:line="240" w:lineRule="auto"/>
              <w:rPr>
                <w:sz w:val="20"/>
                <w:szCs w:val="20"/>
              </w:rPr>
            </w:pPr>
            <w:r w:rsidRPr="00C54377">
              <w:rPr>
                <w:color w:val="000000"/>
                <w:sz w:val="20"/>
                <w:szCs w:val="20"/>
              </w:rPr>
              <w:t xml:space="preserve">1,887 </w:t>
            </w:r>
          </w:p>
        </w:tc>
        <w:tc>
          <w:tcPr>
            <w:tcW w:w="720" w:type="dxa"/>
            <w:tcBorders>
              <w:left w:val="nil"/>
              <w:right w:val="nil"/>
            </w:tcBorders>
            <w:shd w:val="clear" w:color="auto" w:fill="auto"/>
            <w:noWrap/>
            <w:vAlign w:val="center"/>
          </w:tcPr>
          <w:p w14:paraId="017AACB5" w14:textId="2592C7E3" w:rsidR="00C54377" w:rsidRPr="00C54377" w:rsidRDefault="00C54377" w:rsidP="00C54377">
            <w:pPr>
              <w:pStyle w:val="BodyText"/>
              <w:spacing w:line="240" w:lineRule="auto"/>
              <w:rPr>
                <w:sz w:val="20"/>
                <w:szCs w:val="20"/>
              </w:rPr>
            </w:pPr>
            <w:r w:rsidRPr="00C54377">
              <w:rPr>
                <w:color w:val="000000"/>
                <w:sz w:val="20"/>
                <w:szCs w:val="20"/>
              </w:rPr>
              <w:t xml:space="preserve">1,918 </w:t>
            </w:r>
          </w:p>
        </w:tc>
        <w:tc>
          <w:tcPr>
            <w:tcW w:w="728" w:type="dxa"/>
            <w:tcBorders>
              <w:left w:val="nil"/>
              <w:right w:val="single" w:sz="4" w:space="0" w:color="auto"/>
            </w:tcBorders>
            <w:shd w:val="clear" w:color="auto" w:fill="auto"/>
            <w:noWrap/>
            <w:vAlign w:val="center"/>
          </w:tcPr>
          <w:p w14:paraId="5A40445D" w14:textId="200BB517" w:rsidR="00C54377" w:rsidRPr="00C54377" w:rsidRDefault="00C54377" w:rsidP="00C54377">
            <w:pPr>
              <w:pStyle w:val="BodyText"/>
              <w:spacing w:line="240" w:lineRule="auto"/>
              <w:rPr>
                <w:sz w:val="20"/>
                <w:szCs w:val="20"/>
              </w:rPr>
            </w:pPr>
            <w:r w:rsidRPr="00C54377">
              <w:rPr>
                <w:color w:val="000000"/>
                <w:sz w:val="20"/>
                <w:szCs w:val="20"/>
              </w:rPr>
              <w:t xml:space="preserve">1,924 </w:t>
            </w:r>
          </w:p>
        </w:tc>
        <w:tc>
          <w:tcPr>
            <w:tcW w:w="720" w:type="dxa"/>
            <w:tcBorders>
              <w:left w:val="nil"/>
              <w:right w:val="nil"/>
            </w:tcBorders>
            <w:shd w:val="clear" w:color="auto" w:fill="auto"/>
            <w:noWrap/>
            <w:vAlign w:val="center"/>
          </w:tcPr>
          <w:p w14:paraId="6E8B8EDB" w14:textId="197B80F5" w:rsidR="00C54377" w:rsidRPr="00C54377" w:rsidRDefault="00C54377" w:rsidP="00C54377">
            <w:pPr>
              <w:pStyle w:val="BodyText"/>
              <w:spacing w:line="240" w:lineRule="auto"/>
              <w:rPr>
                <w:sz w:val="20"/>
                <w:szCs w:val="20"/>
              </w:rPr>
            </w:pPr>
            <w:r w:rsidRPr="00C54377">
              <w:rPr>
                <w:color w:val="000000"/>
                <w:sz w:val="20"/>
                <w:szCs w:val="20"/>
              </w:rPr>
              <w:t xml:space="preserve">2,182 </w:t>
            </w:r>
          </w:p>
        </w:tc>
        <w:tc>
          <w:tcPr>
            <w:tcW w:w="720" w:type="dxa"/>
            <w:tcBorders>
              <w:left w:val="nil"/>
              <w:right w:val="nil"/>
            </w:tcBorders>
            <w:shd w:val="clear" w:color="auto" w:fill="auto"/>
            <w:noWrap/>
            <w:vAlign w:val="center"/>
          </w:tcPr>
          <w:p w14:paraId="7AF46283" w14:textId="039F5097" w:rsidR="00C54377" w:rsidRPr="00C54377" w:rsidRDefault="00C54377" w:rsidP="00C54377">
            <w:pPr>
              <w:pStyle w:val="BodyText"/>
              <w:spacing w:line="240" w:lineRule="auto"/>
              <w:rPr>
                <w:sz w:val="20"/>
                <w:szCs w:val="20"/>
              </w:rPr>
            </w:pPr>
            <w:r w:rsidRPr="00C54377">
              <w:rPr>
                <w:color w:val="000000"/>
                <w:sz w:val="20"/>
                <w:szCs w:val="20"/>
              </w:rPr>
              <w:t xml:space="preserve">2,169 </w:t>
            </w:r>
          </w:p>
        </w:tc>
        <w:tc>
          <w:tcPr>
            <w:tcW w:w="720" w:type="dxa"/>
            <w:tcBorders>
              <w:left w:val="nil"/>
              <w:right w:val="nil"/>
            </w:tcBorders>
            <w:shd w:val="clear" w:color="auto" w:fill="auto"/>
            <w:noWrap/>
            <w:vAlign w:val="center"/>
          </w:tcPr>
          <w:p w14:paraId="0C743EA5" w14:textId="3CD3C418" w:rsidR="00C54377" w:rsidRPr="00C54377" w:rsidRDefault="00C54377" w:rsidP="00C54377">
            <w:pPr>
              <w:pStyle w:val="BodyText"/>
              <w:spacing w:line="240" w:lineRule="auto"/>
              <w:rPr>
                <w:sz w:val="20"/>
                <w:szCs w:val="20"/>
              </w:rPr>
            </w:pPr>
            <w:r w:rsidRPr="00C54377">
              <w:rPr>
                <w:color w:val="000000"/>
                <w:sz w:val="20"/>
                <w:szCs w:val="20"/>
              </w:rPr>
              <w:t xml:space="preserve">2,163 </w:t>
            </w:r>
          </w:p>
        </w:tc>
        <w:tc>
          <w:tcPr>
            <w:tcW w:w="720" w:type="dxa"/>
            <w:tcBorders>
              <w:left w:val="nil"/>
              <w:right w:val="nil"/>
            </w:tcBorders>
            <w:shd w:val="clear" w:color="auto" w:fill="auto"/>
            <w:noWrap/>
            <w:vAlign w:val="center"/>
          </w:tcPr>
          <w:p w14:paraId="6293E794" w14:textId="4EC4932F" w:rsidR="00C54377" w:rsidRPr="00C54377" w:rsidRDefault="00C54377" w:rsidP="00C54377">
            <w:pPr>
              <w:pStyle w:val="BodyText"/>
              <w:spacing w:line="240" w:lineRule="auto"/>
              <w:rPr>
                <w:sz w:val="20"/>
                <w:szCs w:val="20"/>
              </w:rPr>
            </w:pPr>
            <w:r w:rsidRPr="00C54377">
              <w:rPr>
                <w:color w:val="000000"/>
                <w:sz w:val="20"/>
                <w:szCs w:val="20"/>
              </w:rPr>
              <w:t xml:space="preserve">2,160 </w:t>
            </w:r>
          </w:p>
        </w:tc>
        <w:tc>
          <w:tcPr>
            <w:tcW w:w="810" w:type="dxa"/>
            <w:tcBorders>
              <w:left w:val="nil"/>
              <w:right w:val="nil"/>
            </w:tcBorders>
            <w:shd w:val="clear" w:color="auto" w:fill="auto"/>
            <w:noWrap/>
            <w:vAlign w:val="bottom"/>
          </w:tcPr>
          <w:p w14:paraId="5F27F5FA" w14:textId="0BC53064" w:rsidR="00C54377" w:rsidRPr="0099742A" w:rsidRDefault="00C54377" w:rsidP="00C54377">
            <w:pPr>
              <w:pStyle w:val="BodyText"/>
              <w:spacing w:line="240" w:lineRule="auto"/>
              <w:rPr>
                <w:sz w:val="20"/>
                <w:szCs w:val="20"/>
              </w:rPr>
            </w:pPr>
            <w:r w:rsidRPr="0099742A">
              <w:rPr>
                <w:sz w:val="20"/>
                <w:szCs w:val="20"/>
              </w:rPr>
              <w:t>EIA</w:t>
            </w:r>
          </w:p>
        </w:tc>
        <w:tc>
          <w:tcPr>
            <w:tcW w:w="1792" w:type="dxa"/>
            <w:tcBorders>
              <w:left w:val="nil"/>
              <w:right w:val="nil"/>
            </w:tcBorders>
            <w:shd w:val="clear" w:color="auto" w:fill="auto"/>
            <w:noWrap/>
            <w:vAlign w:val="bottom"/>
          </w:tcPr>
          <w:p w14:paraId="1B14502A" w14:textId="29C3D419" w:rsidR="00C54377" w:rsidRPr="00C54377" w:rsidRDefault="00C54377" w:rsidP="00C54377">
            <w:pPr>
              <w:pStyle w:val="BodyText"/>
              <w:spacing w:line="240" w:lineRule="auto"/>
              <w:rPr>
                <w:sz w:val="22"/>
                <w:szCs w:val="22"/>
              </w:rPr>
            </w:pPr>
            <w:r w:rsidRPr="00C54377">
              <w:rPr>
                <w:color w:val="000000"/>
                <w:sz w:val="22"/>
                <w:szCs w:val="22"/>
              </w:rPr>
              <w:t>14%</w:t>
            </w:r>
          </w:p>
        </w:tc>
      </w:tr>
      <w:tr w:rsidR="00C54377" w:rsidRPr="00D1739C" w14:paraId="0D8C0945" w14:textId="77777777" w:rsidTr="00CF771E">
        <w:trPr>
          <w:trHeight w:val="315"/>
        </w:trPr>
        <w:tc>
          <w:tcPr>
            <w:tcW w:w="2520" w:type="dxa"/>
            <w:tcBorders>
              <w:top w:val="nil"/>
              <w:left w:val="nil"/>
              <w:bottom w:val="single" w:sz="4" w:space="0" w:color="auto"/>
              <w:right w:val="nil"/>
            </w:tcBorders>
            <w:shd w:val="clear" w:color="auto" w:fill="auto"/>
            <w:noWrap/>
          </w:tcPr>
          <w:p w14:paraId="576BB035" w14:textId="20395A37" w:rsidR="00C54377" w:rsidRPr="0099742A" w:rsidRDefault="00C54377" w:rsidP="00C54377">
            <w:pPr>
              <w:pStyle w:val="BodyText"/>
              <w:spacing w:line="240" w:lineRule="auto"/>
              <w:rPr>
                <w:sz w:val="20"/>
                <w:szCs w:val="20"/>
              </w:rPr>
            </w:pPr>
            <w:r>
              <w:rPr>
                <w:sz w:val="20"/>
                <w:szCs w:val="20"/>
              </w:rPr>
              <w:t>Electricity</w:t>
            </w:r>
          </w:p>
        </w:tc>
        <w:tc>
          <w:tcPr>
            <w:tcW w:w="720" w:type="dxa"/>
            <w:tcBorders>
              <w:top w:val="nil"/>
              <w:left w:val="nil"/>
              <w:bottom w:val="single" w:sz="4" w:space="0" w:color="auto"/>
              <w:right w:val="nil"/>
            </w:tcBorders>
            <w:shd w:val="clear" w:color="auto" w:fill="auto"/>
            <w:noWrap/>
            <w:vAlign w:val="bottom"/>
          </w:tcPr>
          <w:p w14:paraId="5953C32F" w14:textId="5C9342F0" w:rsidR="00C54377" w:rsidRPr="00C54377" w:rsidRDefault="00C54377" w:rsidP="00C54377">
            <w:pPr>
              <w:pStyle w:val="BodyText"/>
              <w:spacing w:line="240" w:lineRule="auto"/>
              <w:rPr>
                <w:sz w:val="20"/>
                <w:szCs w:val="20"/>
              </w:rPr>
            </w:pPr>
            <w:r w:rsidRPr="00C54377">
              <w:rPr>
                <w:color w:val="000000"/>
                <w:sz w:val="20"/>
                <w:szCs w:val="20"/>
              </w:rPr>
              <w:t xml:space="preserve">2,845 </w:t>
            </w:r>
          </w:p>
        </w:tc>
        <w:tc>
          <w:tcPr>
            <w:tcW w:w="720" w:type="dxa"/>
            <w:tcBorders>
              <w:top w:val="nil"/>
              <w:left w:val="nil"/>
              <w:bottom w:val="single" w:sz="4" w:space="0" w:color="auto"/>
              <w:right w:val="nil"/>
            </w:tcBorders>
            <w:shd w:val="clear" w:color="auto" w:fill="auto"/>
            <w:noWrap/>
            <w:vAlign w:val="bottom"/>
          </w:tcPr>
          <w:p w14:paraId="7D73CB6C" w14:textId="6CD0F0E2" w:rsidR="00C54377" w:rsidRPr="00C54377" w:rsidRDefault="00C54377" w:rsidP="00C54377">
            <w:pPr>
              <w:pStyle w:val="BodyText"/>
              <w:spacing w:line="240" w:lineRule="auto"/>
              <w:rPr>
                <w:sz w:val="20"/>
                <w:szCs w:val="20"/>
              </w:rPr>
            </w:pPr>
            <w:r w:rsidRPr="00C54377">
              <w:rPr>
                <w:color w:val="000000"/>
                <w:sz w:val="20"/>
                <w:szCs w:val="20"/>
              </w:rPr>
              <w:t xml:space="preserve">2,789 </w:t>
            </w:r>
          </w:p>
        </w:tc>
        <w:tc>
          <w:tcPr>
            <w:tcW w:w="720" w:type="dxa"/>
            <w:tcBorders>
              <w:top w:val="nil"/>
              <w:left w:val="nil"/>
              <w:bottom w:val="single" w:sz="4" w:space="0" w:color="auto"/>
              <w:right w:val="nil"/>
            </w:tcBorders>
            <w:shd w:val="clear" w:color="auto" w:fill="auto"/>
            <w:noWrap/>
            <w:vAlign w:val="bottom"/>
          </w:tcPr>
          <w:p w14:paraId="5E4FD6E8" w14:textId="46406D61" w:rsidR="00C54377" w:rsidRPr="00C54377" w:rsidRDefault="00C54377" w:rsidP="00C54377">
            <w:pPr>
              <w:pStyle w:val="BodyText"/>
              <w:spacing w:line="240" w:lineRule="auto"/>
              <w:rPr>
                <w:sz w:val="20"/>
                <w:szCs w:val="20"/>
              </w:rPr>
            </w:pPr>
            <w:r w:rsidRPr="00C54377">
              <w:rPr>
                <w:color w:val="000000"/>
                <w:sz w:val="20"/>
                <w:szCs w:val="20"/>
              </w:rPr>
              <w:t xml:space="preserve">2,890 </w:t>
            </w:r>
          </w:p>
        </w:tc>
        <w:tc>
          <w:tcPr>
            <w:tcW w:w="728" w:type="dxa"/>
            <w:tcBorders>
              <w:top w:val="nil"/>
              <w:left w:val="nil"/>
              <w:bottom w:val="single" w:sz="4" w:space="0" w:color="auto"/>
              <w:right w:val="single" w:sz="4" w:space="0" w:color="auto"/>
            </w:tcBorders>
            <w:shd w:val="clear" w:color="auto" w:fill="auto"/>
            <w:noWrap/>
            <w:vAlign w:val="bottom"/>
          </w:tcPr>
          <w:p w14:paraId="37F4790B" w14:textId="2DCDA8ED" w:rsidR="00C54377" w:rsidRPr="00C54377" w:rsidRDefault="00C54377" w:rsidP="00C54377">
            <w:pPr>
              <w:pStyle w:val="BodyText"/>
              <w:spacing w:line="240" w:lineRule="auto"/>
              <w:rPr>
                <w:sz w:val="20"/>
                <w:szCs w:val="20"/>
              </w:rPr>
            </w:pPr>
            <w:r w:rsidRPr="00C54377">
              <w:rPr>
                <w:color w:val="000000"/>
                <w:sz w:val="20"/>
                <w:szCs w:val="20"/>
              </w:rPr>
              <w:t xml:space="preserve">2,763 </w:t>
            </w:r>
          </w:p>
        </w:tc>
        <w:tc>
          <w:tcPr>
            <w:tcW w:w="720" w:type="dxa"/>
            <w:tcBorders>
              <w:top w:val="nil"/>
              <w:left w:val="nil"/>
              <w:bottom w:val="single" w:sz="4" w:space="0" w:color="auto"/>
              <w:right w:val="nil"/>
            </w:tcBorders>
            <w:shd w:val="clear" w:color="auto" w:fill="auto"/>
            <w:noWrap/>
            <w:vAlign w:val="center"/>
          </w:tcPr>
          <w:p w14:paraId="38D47104" w14:textId="21838B4B" w:rsidR="00C54377" w:rsidRPr="00C54377" w:rsidRDefault="00C54377" w:rsidP="00C54377">
            <w:pPr>
              <w:pStyle w:val="BodyText"/>
              <w:spacing w:line="240" w:lineRule="auto"/>
              <w:rPr>
                <w:sz w:val="20"/>
                <w:szCs w:val="20"/>
              </w:rPr>
            </w:pPr>
            <w:r w:rsidRPr="00C54377">
              <w:rPr>
                <w:color w:val="000000"/>
                <w:sz w:val="20"/>
                <w:szCs w:val="20"/>
              </w:rPr>
              <w:t xml:space="preserve">2,273 </w:t>
            </w:r>
          </w:p>
        </w:tc>
        <w:tc>
          <w:tcPr>
            <w:tcW w:w="720" w:type="dxa"/>
            <w:tcBorders>
              <w:top w:val="nil"/>
              <w:left w:val="nil"/>
              <w:bottom w:val="single" w:sz="4" w:space="0" w:color="auto"/>
              <w:right w:val="nil"/>
            </w:tcBorders>
            <w:shd w:val="clear" w:color="auto" w:fill="auto"/>
            <w:noWrap/>
            <w:vAlign w:val="center"/>
          </w:tcPr>
          <w:p w14:paraId="49006E02" w14:textId="60883FF0" w:rsidR="00C54377" w:rsidRPr="00C54377" w:rsidRDefault="00C54377" w:rsidP="00C54377">
            <w:pPr>
              <w:pStyle w:val="BodyText"/>
              <w:spacing w:line="240" w:lineRule="auto"/>
              <w:rPr>
                <w:sz w:val="20"/>
                <w:szCs w:val="20"/>
              </w:rPr>
            </w:pPr>
            <w:r w:rsidRPr="00C54377">
              <w:rPr>
                <w:color w:val="000000"/>
                <w:sz w:val="20"/>
                <w:szCs w:val="20"/>
              </w:rPr>
              <w:t xml:space="preserve">2,272 </w:t>
            </w:r>
          </w:p>
        </w:tc>
        <w:tc>
          <w:tcPr>
            <w:tcW w:w="720" w:type="dxa"/>
            <w:tcBorders>
              <w:top w:val="nil"/>
              <w:left w:val="nil"/>
              <w:bottom w:val="single" w:sz="4" w:space="0" w:color="auto"/>
              <w:right w:val="nil"/>
            </w:tcBorders>
            <w:shd w:val="clear" w:color="auto" w:fill="auto"/>
            <w:noWrap/>
            <w:vAlign w:val="center"/>
          </w:tcPr>
          <w:p w14:paraId="30892E7A" w14:textId="7FFAC51A" w:rsidR="00C54377" w:rsidRPr="00C54377" w:rsidRDefault="00C54377" w:rsidP="00C54377">
            <w:pPr>
              <w:pStyle w:val="BodyText"/>
              <w:spacing w:line="240" w:lineRule="auto"/>
              <w:rPr>
                <w:sz w:val="20"/>
                <w:szCs w:val="20"/>
              </w:rPr>
            </w:pPr>
            <w:r w:rsidRPr="00C54377">
              <w:rPr>
                <w:color w:val="000000"/>
                <w:sz w:val="20"/>
                <w:szCs w:val="20"/>
              </w:rPr>
              <w:t xml:space="preserve">2,208 </w:t>
            </w:r>
          </w:p>
        </w:tc>
        <w:tc>
          <w:tcPr>
            <w:tcW w:w="720" w:type="dxa"/>
            <w:tcBorders>
              <w:top w:val="nil"/>
              <w:left w:val="nil"/>
              <w:bottom w:val="single" w:sz="4" w:space="0" w:color="auto"/>
              <w:right w:val="nil"/>
            </w:tcBorders>
            <w:shd w:val="clear" w:color="auto" w:fill="auto"/>
            <w:noWrap/>
            <w:vAlign w:val="center"/>
          </w:tcPr>
          <w:p w14:paraId="19C8B971" w14:textId="7579F27C" w:rsidR="00C54377" w:rsidRPr="00C54377" w:rsidRDefault="00C54377" w:rsidP="00C54377">
            <w:pPr>
              <w:pStyle w:val="BodyText"/>
              <w:spacing w:line="240" w:lineRule="auto"/>
              <w:rPr>
                <w:sz w:val="20"/>
                <w:szCs w:val="20"/>
              </w:rPr>
            </w:pPr>
            <w:r w:rsidRPr="00C54377">
              <w:rPr>
                <w:color w:val="000000"/>
                <w:sz w:val="20"/>
                <w:szCs w:val="20"/>
              </w:rPr>
              <w:t xml:space="preserve">2,220 </w:t>
            </w:r>
          </w:p>
        </w:tc>
        <w:tc>
          <w:tcPr>
            <w:tcW w:w="810" w:type="dxa"/>
            <w:tcBorders>
              <w:top w:val="nil"/>
              <w:left w:val="nil"/>
              <w:bottom w:val="single" w:sz="4" w:space="0" w:color="auto"/>
              <w:right w:val="nil"/>
            </w:tcBorders>
            <w:shd w:val="clear" w:color="auto" w:fill="auto"/>
            <w:noWrap/>
            <w:vAlign w:val="bottom"/>
          </w:tcPr>
          <w:p w14:paraId="447EE397" w14:textId="19C0D1F1" w:rsidR="00C54377" w:rsidRPr="0099742A" w:rsidRDefault="00C54377" w:rsidP="00C54377">
            <w:pPr>
              <w:pStyle w:val="BodyText"/>
              <w:spacing w:line="240" w:lineRule="auto"/>
              <w:rPr>
                <w:sz w:val="20"/>
                <w:szCs w:val="20"/>
              </w:rPr>
            </w:pPr>
            <w:r w:rsidRPr="0099742A">
              <w:rPr>
                <w:sz w:val="20"/>
                <w:szCs w:val="20"/>
              </w:rPr>
              <w:t>EIA</w:t>
            </w:r>
          </w:p>
        </w:tc>
        <w:tc>
          <w:tcPr>
            <w:tcW w:w="1792" w:type="dxa"/>
            <w:tcBorders>
              <w:top w:val="nil"/>
              <w:left w:val="nil"/>
              <w:bottom w:val="single" w:sz="4" w:space="0" w:color="auto"/>
              <w:right w:val="nil"/>
            </w:tcBorders>
            <w:shd w:val="clear" w:color="auto" w:fill="auto"/>
            <w:noWrap/>
            <w:vAlign w:val="bottom"/>
          </w:tcPr>
          <w:p w14:paraId="52EDF2E4" w14:textId="57286E59" w:rsidR="00C54377" w:rsidRPr="00C54377" w:rsidRDefault="009F57B9" w:rsidP="00C54377">
            <w:pPr>
              <w:pStyle w:val="BodyText"/>
              <w:spacing w:line="240" w:lineRule="auto"/>
              <w:rPr>
                <w:sz w:val="22"/>
                <w:szCs w:val="22"/>
              </w:rPr>
            </w:pPr>
            <w:r w:rsidRPr="0099742A">
              <w:rPr>
                <w:sz w:val="20"/>
                <w:szCs w:val="20"/>
              </w:rPr>
              <w:t>-10%</w:t>
            </w:r>
            <w:commentRangeStart w:id="7"/>
            <w:commentRangeStart w:id="8"/>
            <w:commentRangeEnd w:id="7"/>
            <w:r>
              <w:rPr>
                <w:rStyle w:val="CommentReference"/>
              </w:rPr>
              <w:commentReference w:id="7"/>
            </w:r>
            <w:commentRangeEnd w:id="8"/>
            <w:r>
              <w:rPr>
                <w:rStyle w:val="CommentReference"/>
              </w:rPr>
              <w:commentReference w:id="8"/>
            </w:r>
          </w:p>
        </w:tc>
      </w:tr>
    </w:tbl>
    <w:p w14:paraId="252CB9ED" w14:textId="77777777" w:rsidR="00831646" w:rsidRPr="00CF771E" w:rsidRDefault="00831646" w:rsidP="00CF771E">
      <w:pPr>
        <w:widowControl w:val="0"/>
        <w:spacing w:line="240" w:lineRule="auto"/>
        <w:ind w:firstLine="0"/>
        <w:rPr>
          <w:sz w:val="20"/>
          <w:szCs w:val="20"/>
        </w:rPr>
      </w:pPr>
      <w:r w:rsidRPr="00CF771E">
        <w:rPr>
          <w:sz w:val="20"/>
          <w:szCs w:val="20"/>
        </w:rPr>
        <w:t>*The observed actual GHG emissions of 2016 to 2019 from the electricity sector are from US EIA report of 2021, where the emission from the electricity sector can be indirectly referred from the Figure 4 of energy-related carbon dioxide emission by fossil fuel and are the sum of emission from the sources of coal and natural gas.</w:t>
      </w:r>
    </w:p>
    <w:p w14:paraId="1510AC9B" w14:textId="35AC5EBA" w:rsidR="00806E67" w:rsidRPr="002E1178" w:rsidRDefault="006F45F7" w:rsidP="002E1178">
      <w:pPr>
        <w:pStyle w:val="Caption"/>
        <w:ind w:firstLine="0"/>
        <w:rPr>
          <w:b/>
          <w:bCs/>
        </w:rPr>
      </w:pPr>
      <w:r w:rsidRPr="002E1178">
        <w:rPr>
          <w:b/>
          <w:bCs/>
        </w:rPr>
        <w:lastRenderedPageBreak/>
        <w:t xml:space="preserve">Table </w:t>
      </w:r>
      <w:r w:rsidR="00BA2D10" w:rsidRPr="002E1178">
        <w:rPr>
          <w:b/>
          <w:bCs/>
        </w:rPr>
        <w:t>A</w:t>
      </w:r>
      <w:r w:rsidR="00BA2D10">
        <w:rPr>
          <w:b/>
          <w:bCs/>
        </w:rPr>
        <w:t xml:space="preserve">4 </w:t>
      </w:r>
      <w:r w:rsidR="000B1783">
        <w:rPr>
          <w:b/>
          <w:bCs/>
        </w:rPr>
        <w:t>(b)</w:t>
      </w:r>
      <w:r w:rsidRPr="002E1178">
        <w:rPr>
          <w:b/>
          <w:bCs/>
        </w:rPr>
        <w:t xml:space="preserve"> </w:t>
      </w:r>
      <w:r w:rsidR="00631551" w:rsidRPr="002E1178">
        <w:rPr>
          <w:b/>
          <w:bCs/>
        </w:rPr>
        <w:t>Model</w:t>
      </w:r>
      <w:r w:rsidR="00163944">
        <w:rPr>
          <w:b/>
          <w:bCs/>
        </w:rPr>
        <w:t xml:space="preserve"> Validation</w:t>
      </w:r>
      <w:r w:rsidR="00631551" w:rsidRPr="002E1178">
        <w:rPr>
          <w:b/>
          <w:bCs/>
        </w:rPr>
        <w:t xml:space="preserve"> Without Considering Intangible Costs </w:t>
      </w:r>
      <w:r w:rsidR="002E1178">
        <w:rPr>
          <w:b/>
          <w:bCs/>
        </w:rPr>
        <w:t>a</w:t>
      </w:r>
      <w:r w:rsidR="00631551" w:rsidRPr="002E1178">
        <w:rPr>
          <w:b/>
          <w:bCs/>
        </w:rPr>
        <w:t>nd Preferences</w:t>
      </w:r>
    </w:p>
    <w:tbl>
      <w:tblPr>
        <w:tblW w:w="9576" w:type="dxa"/>
        <w:tblLayout w:type="fixed"/>
        <w:tblLook w:val="04A0" w:firstRow="1" w:lastRow="0" w:firstColumn="1" w:lastColumn="0" w:noHBand="0" w:noVBand="1"/>
      </w:tblPr>
      <w:tblGrid>
        <w:gridCol w:w="2160"/>
        <w:gridCol w:w="669"/>
        <w:gridCol w:w="668"/>
        <w:gridCol w:w="668"/>
        <w:gridCol w:w="668"/>
        <w:gridCol w:w="668"/>
        <w:gridCol w:w="668"/>
        <w:gridCol w:w="668"/>
        <w:gridCol w:w="668"/>
        <w:gridCol w:w="870"/>
        <w:gridCol w:w="1201"/>
      </w:tblGrid>
      <w:tr w:rsidR="00762268" w:rsidRPr="00762268" w14:paraId="463232C0" w14:textId="77777777" w:rsidTr="00415310">
        <w:trPr>
          <w:trHeight w:val="315"/>
        </w:trPr>
        <w:tc>
          <w:tcPr>
            <w:tcW w:w="2160" w:type="dxa"/>
            <w:tcBorders>
              <w:top w:val="single" w:sz="4" w:space="0" w:color="auto"/>
              <w:left w:val="nil"/>
              <w:bottom w:val="nil"/>
              <w:right w:val="nil"/>
            </w:tcBorders>
            <w:shd w:val="clear" w:color="auto" w:fill="auto"/>
          </w:tcPr>
          <w:p w14:paraId="4DDD804A" w14:textId="77777777" w:rsidR="00762268" w:rsidRPr="00762268" w:rsidRDefault="00762268" w:rsidP="00762268">
            <w:pPr>
              <w:pStyle w:val="BodyText"/>
              <w:spacing w:line="240" w:lineRule="auto"/>
              <w:rPr>
                <w:sz w:val="20"/>
                <w:szCs w:val="20"/>
              </w:rPr>
            </w:pPr>
          </w:p>
        </w:tc>
        <w:tc>
          <w:tcPr>
            <w:tcW w:w="2673" w:type="dxa"/>
            <w:gridSpan w:val="4"/>
            <w:tcBorders>
              <w:top w:val="single" w:sz="4" w:space="0" w:color="auto"/>
              <w:left w:val="nil"/>
              <w:bottom w:val="nil"/>
              <w:right w:val="single" w:sz="4" w:space="0" w:color="auto"/>
            </w:tcBorders>
            <w:shd w:val="clear" w:color="auto" w:fill="auto"/>
            <w:noWrap/>
          </w:tcPr>
          <w:p w14:paraId="3173146A" w14:textId="45B82C4B" w:rsidR="00762268" w:rsidRPr="00762268" w:rsidRDefault="00762268" w:rsidP="00762268">
            <w:pPr>
              <w:pStyle w:val="BodyText"/>
              <w:spacing w:line="240" w:lineRule="auto"/>
              <w:rPr>
                <w:sz w:val="20"/>
                <w:szCs w:val="20"/>
              </w:rPr>
            </w:pPr>
            <w:r w:rsidRPr="0099742A">
              <w:rPr>
                <w:sz w:val="20"/>
                <w:szCs w:val="20"/>
              </w:rPr>
              <w:t>Observed</w:t>
            </w:r>
          </w:p>
        </w:tc>
        <w:tc>
          <w:tcPr>
            <w:tcW w:w="2672" w:type="dxa"/>
            <w:gridSpan w:val="4"/>
            <w:tcBorders>
              <w:top w:val="single" w:sz="4" w:space="0" w:color="auto"/>
              <w:left w:val="nil"/>
              <w:bottom w:val="nil"/>
              <w:right w:val="nil"/>
            </w:tcBorders>
            <w:shd w:val="clear" w:color="auto" w:fill="auto"/>
            <w:noWrap/>
          </w:tcPr>
          <w:p w14:paraId="08CEC883" w14:textId="0D83CC7D" w:rsidR="00762268" w:rsidRPr="00762268" w:rsidRDefault="00762268" w:rsidP="00762268">
            <w:pPr>
              <w:pStyle w:val="BodyText"/>
              <w:spacing w:line="240" w:lineRule="auto"/>
              <w:rPr>
                <w:sz w:val="20"/>
                <w:szCs w:val="20"/>
              </w:rPr>
            </w:pPr>
            <w:r w:rsidRPr="0099742A">
              <w:rPr>
                <w:sz w:val="20"/>
                <w:szCs w:val="20"/>
              </w:rPr>
              <w:t>Model outcome</w:t>
            </w:r>
          </w:p>
        </w:tc>
        <w:tc>
          <w:tcPr>
            <w:tcW w:w="870" w:type="dxa"/>
            <w:tcBorders>
              <w:top w:val="single" w:sz="4" w:space="0" w:color="auto"/>
              <w:left w:val="nil"/>
              <w:bottom w:val="nil"/>
              <w:right w:val="nil"/>
            </w:tcBorders>
            <w:shd w:val="clear" w:color="auto" w:fill="auto"/>
            <w:noWrap/>
          </w:tcPr>
          <w:p w14:paraId="7FEF03A8" w14:textId="269D31ED" w:rsidR="00762268" w:rsidRPr="00762268" w:rsidRDefault="00762268" w:rsidP="00762268">
            <w:pPr>
              <w:pStyle w:val="BodyText"/>
              <w:spacing w:line="240" w:lineRule="auto"/>
              <w:rPr>
                <w:sz w:val="20"/>
                <w:szCs w:val="20"/>
              </w:rPr>
            </w:pPr>
            <w:r w:rsidRPr="0099742A">
              <w:rPr>
                <w:sz w:val="20"/>
                <w:szCs w:val="20"/>
              </w:rPr>
              <w:t>Source</w:t>
            </w:r>
          </w:p>
        </w:tc>
        <w:tc>
          <w:tcPr>
            <w:tcW w:w="1201" w:type="dxa"/>
            <w:tcBorders>
              <w:top w:val="single" w:sz="4" w:space="0" w:color="auto"/>
              <w:left w:val="nil"/>
              <w:bottom w:val="single" w:sz="4" w:space="0" w:color="FFFFFF" w:themeColor="background1"/>
              <w:right w:val="nil"/>
            </w:tcBorders>
            <w:shd w:val="clear" w:color="auto" w:fill="auto"/>
            <w:noWrap/>
          </w:tcPr>
          <w:p w14:paraId="0F6C3B78" w14:textId="2DD2D09E" w:rsidR="00762268" w:rsidRPr="00762268" w:rsidRDefault="00762268" w:rsidP="00762268">
            <w:pPr>
              <w:pStyle w:val="BodyText"/>
              <w:spacing w:line="240" w:lineRule="auto"/>
              <w:rPr>
                <w:sz w:val="20"/>
                <w:szCs w:val="20"/>
              </w:rPr>
            </w:pPr>
            <w:r w:rsidRPr="0099742A">
              <w:rPr>
                <w:sz w:val="20"/>
                <w:szCs w:val="20"/>
              </w:rPr>
              <w:t xml:space="preserve">Average </w:t>
            </w:r>
            <w:r w:rsidR="00415310">
              <w:rPr>
                <w:sz w:val="20"/>
                <w:szCs w:val="20"/>
              </w:rPr>
              <w:t>%</w:t>
            </w:r>
            <w:r w:rsidRPr="0099742A">
              <w:rPr>
                <w:sz w:val="20"/>
                <w:szCs w:val="20"/>
              </w:rPr>
              <w:t>difference</w:t>
            </w:r>
          </w:p>
        </w:tc>
      </w:tr>
      <w:tr w:rsidR="00762268" w:rsidRPr="00D1739C" w14:paraId="60FD2953" w14:textId="77777777" w:rsidTr="00415310">
        <w:trPr>
          <w:trHeight w:val="315"/>
        </w:trPr>
        <w:tc>
          <w:tcPr>
            <w:tcW w:w="2160" w:type="dxa"/>
            <w:tcBorders>
              <w:top w:val="nil"/>
              <w:left w:val="nil"/>
              <w:bottom w:val="nil"/>
              <w:right w:val="nil"/>
            </w:tcBorders>
            <w:shd w:val="clear" w:color="auto" w:fill="auto"/>
            <w:vAlign w:val="center"/>
            <w:hideMark/>
          </w:tcPr>
          <w:p w14:paraId="3213D1C8" w14:textId="77777777" w:rsidR="00762268" w:rsidRPr="00373A86" w:rsidRDefault="00762268" w:rsidP="00373A86">
            <w:pPr>
              <w:pStyle w:val="BodyText"/>
              <w:spacing w:line="240" w:lineRule="auto"/>
              <w:rPr>
                <w:sz w:val="20"/>
                <w:szCs w:val="20"/>
              </w:rPr>
            </w:pPr>
          </w:p>
        </w:tc>
        <w:tc>
          <w:tcPr>
            <w:tcW w:w="669" w:type="dxa"/>
            <w:tcBorders>
              <w:top w:val="nil"/>
              <w:left w:val="nil"/>
              <w:bottom w:val="nil"/>
              <w:right w:val="nil"/>
            </w:tcBorders>
            <w:shd w:val="clear" w:color="auto" w:fill="auto"/>
            <w:noWrap/>
            <w:vAlign w:val="bottom"/>
            <w:hideMark/>
          </w:tcPr>
          <w:p w14:paraId="3D63C5F1" w14:textId="77777777" w:rsidR="00762268" w:rsidRPr="00373A86" w:rsidRDefault="00762268" w:rsidP="00373A86">
            <w:pPr>
              <w:pStyle w:val="BodyText"/>
              <w:spacing w:line="240" w:lineRule="auto"/>
              <w:rPr>
                <w:sz w:val="20"/>
                <w:szCs w:val="20"/>
              </w:rPr>
            </w:pPr>
            <w:r w:rsidRPr="00373A86">
              <w:rPr>
                <w:sz w:val="20"/>
                <w:szCs w:val="20"/>
              </w:rPr>
              <w:t>2016</w:t>
            </w:r>
          </w:p>
        </w:tc>
        <w:tc>
          <w:tcPr>
            <w:tcW w:w="668" w:type="dxa"/>
            <w:tcBorders>
              <w:top w:val="nil"/>
              <w:left w:val="nil"/>
              <w:bottom w:val="nil"/>
              <w:right w:val="nil"/>
            </w:tcBorders>
            <w:shd w:val="clear" w:color="auto" w:fill="auto"/>
            <w:noWrap/>
            <w:vAlign w:val="center"/>
            <w:hideMark/>
          </w:tcPr>
          <w:p w14:paraId="37AD71B0" w14:textId="77777777" w:rsidR="00762268" w:rsidRPr="00373A86" w:rsidRDefault="00762268" w:rsidP="00373A86">
            <w:pPr>
              <w:pStyle w:val="BodyText"/>
              <w:spacing w:line="240" w:lineRule="auto"/>
              <w:rPr>
                <w:sz w:val="20"/>
                <w:szCs w:val="20"/>
              </w:rPr>
            </w:pPr>
            <w:r w:rsidRPr="00373A86">
              <w:rPr>
                <w:sz w:val="20"/>
                <w:szCs w:val="20"/>
              </w:rPr>
              <w:t>2017</w:t>
            </w:r>
          </w:p>
        </w:tc>
        <w:tc>
          <w:tcPr>
            <w:tcW w:w="668" w:type="dxa"/>
            <w:tcBorders>
              <w:top w:val="nil"/>
              <w:left w:val="nil"/>
              <w:bottom w:val="nil"/>
              <w:right w:val="nil"/>
            </w:tcBorders>
            <w:shd w:val="clear" w:color="auto" w:fill="auto"/>
            <w:noWrap/>
            <w:vAlign w:val="center"/>
            <w:hideMark/>
          </w:tcPr>
          <w:p w14:paraId="13EF3D30" w14:textId="77777777" w:rsidR="00762268" w:rsidRPr="00373A86" w:rsidRDefault="00762268" w:rsidP="00373A86">
            <w:pPr>
              <w:pStyle w:val="BodyText"/>
              <w:spacing w:line="240" w:lineRule="auto"/>
              <w:rPr>
                <w:sz w:val="20"/>
                <w:szCs w:val="20"/>
              </w:rPr>
            </w:pPr>
            <w:r w:rsidRPr="00373A86">
              <w:rPr>
                <w:sz w:val="20"/>
                <w:szCs w:val="20"/>
              </w:rPr>
              <w:t>2018</w:t>
            </w:r>
          </w:p>
        </w:tc>
        <w:tc>
          <w:tcPr>
            <w:tcW w:w="668" w:type="dxa"/>
            <w:tcBorders>
              <w:top w:val="nil"/>
              <w:left w:val="nil"/>
              <w:bottom w:val="nil"/>
              <w:right w:val="single" w:sz="4" w:space="0" w:color="auto"/>
            </w:tcBorders>
            <w:shd w:val="clear" w:color="auto" w:fill="auto"/>
            <w:noWrap/>
            <w:vAlign w:val="center"/>
            <w:hideMark/>
          </w:tcPr>
          <w:p w14:paraId="5C0B2284" w14:textId="77777777" w:rsidR="00762268" w:rsidRPr="00373A86" w:rsidRDefault="00762268" w:rsidP="00373A86">
            <w:pPr>
              <w:pStyle w:val="BodyText"/>
              <w:spacing w:line="240" w:lineRule="auto"/>
              <w:rPr>
                <w:sz w:val="20"/>
                <w:szCs w:val="20"/>
              </w:rPr>
            </w:pPr>
            <w:r w:rsidRPr="00373A86">
              <w:rPr>
                <w:sz w:val="20"/>
                <w:szCs w:val="20"/>
              </w:rPr>
              <w:t>2019</w:t>
            </w:r>
          </w:p>
        </w:tc>
        <w:tc>
          <w:tcPr>
            <w:tcW w:w="668" w:type="dxa"/>
            <w:tcBorders>
              <w:top w:val="nil"/>
              <w:left w:val="nil"/>
              <w:bottom w:val="nil"/>
              <w:right w:val="nil"/>
            </w:tcBorders>
            <w:shd w:val="clear" w:color="auto" w:fill="auto"/>
            <w:noWrap/>
            <w:vAlign w:val="bottom"/>
            <w:hideMark/>
          </w:tcPr>
          <w:p w14:paraId="3238181E" w14:textId="77777777" w:rsidR="00762268" w:rsidRPr="00373A86" w:rsidRDefault="00762268" w:rsidP="00373A86">
            <w:pPr>
              <w:pStyle w:val="BodyText"/>
              <w:spacing w:line="240" w:lineRule="auto"/>
              <w:rPr>
                <w:sz w:val="20"/>
                <w:szCs w:val="20"/>
              </w:rPr>
            </w:pPr>
            <w:r w:rsidRPr="00373A86">
              <w:rPr>
                <w:sz w:val="20"/>
                <w:szCs w:val="20"/>
              </w:rPr>
              <w:t>2016</w:t>
            </w:r>
          </w:p>
        </w:tc>
        <w:tc>
          <w:tcPr>
            <w:tcW w:w="668" w:type="dxa"/>
            <w:tcBorders>
              <w:top w:val="nil"/>
              <w:left w:val="nil"/>
              <w:bottom w:val="nil"/>
              <w:right w:val="nil"/>
            </w:tcBorders>
            <w:shd w:val="clear" w:color="auto" w:fill="auto"/>
            <w:noWrap/>
            <w:vAlign w:val="center"/>
            <w:hideMark/>
          </w:tcPr>
          <w:p w14:paraId="2D01FB89" w14:textId="77777777" w:rsidR="00762268" w:rsidRPr="00373A86" w:rsidRDefault="00762268" w:rsidP="00373A86">
            <w:pPr>
              <w:pStyle w:val="BodyText"/>
              <w:spacing w:line="240" w:lineRule="auto"/>
              <w:rPr>
                <w:sz w:val="20"/>
                <w:szCs w:val="20"/>
              </w:rPr>
            </w:pPr>
            <w:r w:rsidRPr="00373A86">
              <w:rPr>
                <w:sz w:val="20"/>
                <w:szCs w:val="20"/>
              </w:rPr>
              <w:t>2017</w:t>
            </w:r>
          </w:p>
        </w:tc>
        <w:tc>
          <w:tcPr>
            <w:tcW w:w="668" w:type="dxa"/>
            <w:tcBorders>
              <w:top w:val="nil"/>
              <w:left w:val="nil"/>
              <w:bottom w:val="nil"/>
              <w:right w:val="nil"/>
            </w:tcBorders>
            <w:shd w:val="clear" w:color="auto" w:fill="auto"/>
            <w:noWrap/>
            <w:vAlign w:val="center"/>
            <w:hideMark/>
          </w:tcPr>
          <w:p w14:paraId="401B78EE" w14:textId="77777777" w:rsidR="00762268" w:rsidRPr="00373A86" w:rsidRDefault="00762268" w:rsidP="00373A86">
            <w:pPr>
              <w:pStyle w:val="BodyText"/>
              <w:spacing w:line="240" w:lineRule="auto"/>
              <w:rPr>
                <w:sz w:val="20"/>
                <w:szCs w:val="20"/>
              </w:rPr>
            </w:pPr>
            <w:r w:rsidRPr="00373A86">
              <w:rPr>
                <w:sz w:val="20"/>
                <w:szCs w:val="20"/>
              </w:rPr>
              <w:t>2018</w:t>
            </w:r>
          </w:p>
        </w:tc>
        <w:tc>
          <w:tcPr>
            <w:tcW w:w="668" w:type="dxa"/>
            <w:tcBorders>
              <w:top w:val="nil"/>
              <w:left w:val="nil"/>
              <w:bottom w:val="nil"/>
              <w:right w:val="nil"/>
            </w:tcBorders>
            <w:shd w:val="clear" w:color="auto" w:fill="auto"/>
            <w:noWrap/>
            <w:vAlign w:val="center"/>
            <w:hideMark/>
          </w:tcPr>
          <w:p w14:paraId="78FB2B35" w14:textId="77777777" w:rsidR="00762268" w:rsidRPr="00373A86" w:rsidRDefault="00762268" w:rsidP="00373A86">
            <w:pPr>
              <w:pStyle w:val="BodyText"/>
              <w:spacing w:line="240" w:lineRule="auto"/>
              <w:rPr>
                <w:sz w:val="20"/>
                <w:szCs w:val="20"/>
              </w:rPr>
            </w:pPr>
            <w:r w:rsidRPr="00373A86">
              <w:rPr>
                <w:sz w:val="20"/>
                <w:szCs w:val="20"/>
              </w:rPr>
              <w:t>2019</w:t>
            </w:r>
          </w:p>
        </w:tc>
        <w:tc>
          <w:tcPr>
            <w:tcW w:w="870" w:type="dxa"/>
            <w:tcBorders>
              <w:top w:val="nil"/>
              <w:left w:val="nil"/>
              <w:bottom w:val="nil"/>
              <w:right w:val="nil"/>
            </w:tcBorders>
            <w:shd w:val="clear" w:color="auto" w:fill="auto"/>
            <w:noWrap/>
            <w:vAlign w:val="center"/>
            <w:hideMark/>
          </w:tcPr>
          <w:p w14:paraId="56B58DE8" w14:textId="77777777" w:rsidR="00762268" w:rsidRPr="00373A86" w:rsidRDefault="00762268" w:rsidP="00373A86">
            <w:pPr>
              <w:pStyle w:val="BodyText"/>
              <w:spacing w:line="240" w:lineRule="auto"/>
              <w:rPr>
                <w:sz w:val="20"/>
                <w:szCs w:val="20"/>
              </w:rPr>
            </w:pPr>
          </w:p>
        </w:tc>
        <w:tc>
          <w:tcPr>
            <w:tcW w:w="1201" w:type="dxa"/>
            <w:tcBorders>
              <w:top w:val="single" w:sz="4" w:space="0" w:color="FFFFFF" w:themeColor="background1"/>
              <w:left w:val="nil"/>
              <w:bottom w:val="single" w:sz="4" w:space="0" w:color="auto"/>
              <w:right w:val="nil"/>
            </w:tcBorders>
            <w:shd w:val="clear" w:color="auto" w:fill="auto"/>
            <w:noWrap/>
            <w:vAlign w:val="center"/>
            <w:hideMark/>
          </w:tcPr>
          <w:p w14:paraId="0E11EEA7" w14:textId="77777777" w:rsidR="00762268" w:rsidRPr="00373A86" w:rsidRDefault="00762268" w:rsidP="00373A86">
            <w:pPr>
              <w:pStyle w:val="BodyText"/>
              <w:spacing w:line="240" w:lineRule="auto"/>
              <w:rPr>
                <w:sz w:val="20"/>
                <w:szCs w:val="20"/>
              </w:rPr>
            </w:pPr>
            <w:r w:rsidRPr="00373A86">
              <w:rPr>
                <w:sz w:val="20"/>
                <w:szCs w:val="20"/>
              </w:rPr>
              <w:t> </w:t>
            </w:r>
          </w:p>
        </w:tc>
      </w:tr>
      <w:tr w:rsidR="00762268" w:rsidRPr="000B73E2" w14:paraId="7FB39FC9" w14:textId="77777777" w:rsidTr="00415310">
        <w:trPr>
          <w:trHeight w:val="315"/>
        </w:trPr>
        <w:tc>
          <w:tcPr>
            <w:tcW w:w="4833" w:type="dxa"/>
            <w:gridSpan w:val="5"/>
            <w:tcBorders>
              <w:top w:val="single" w:sz="4" w:space="0" w:color="auto"/>
              <w:left w:val="nil"/>
              <w:bottom w:val="single" w:sz="4" w:space="0" w:color="auto"/>
              <w:right w:val="single" w:sz="4" w:space="0" w:color="auto"/>
            </w:tcBorders>
            <w:shd w:val="clear" w:color="auto" w:fill="auto"/>
            <w:noWrap/>
            <w:vAlign w:val="center"/>
            <w:hideMark/>
          </w:tcPr>
          <w:p w14:paraId="6B2738E1" w14:textId="77777777" w:rsidR="00762268" w:rsidRPr="00373A86" w:rsidRDefault="00762268" w:rsidP="00373A86">
            <w:pPr>
              <w:spacing w:line="240" w:lineRule="auto"/>
              <w:ind w:firstLine="0"/>
              <w:rPr>
                <w:color w:val="000000"/>
                <w:sz w:val="20"/>
                <w:szCs w:val="20"/>
              </w:rPr>
            </w:pPr>
            <w:r w:rsidRPr="00373A86">
              <w:rPr>
                <w:color w:val="000000"/>
                <w:sz w:val="20"/>
                <w:szCs w:val="20"/>
              </w:rPr>
              <w:t>Fuel gallons (billion liters)</w:t>
            </w:r>
          </w:p>
          <w:p w14:paraId="5ABE06DF"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single" w:sz="4" w:space="0" w:color="auto"/>
              <w:right w:val="nil"/>
            </w:tcBorders>
            <w:shd w:val="clear" w:color="auto" w:fill="auto"/>
            <w:noWrap/>
            <w:vAlign w:val="center"/>
            <w:hideMark/>
          </w:tcPr>
          <w:p w14:paraId="471A9205"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6160B111"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5575BE8E"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211C1E36" w14:textId="77777777" w:rsidR="00762268" w:rsidRPr="00373A86" w:rsidRDefault="00762268" w:rsidP="00373A86">
            <w:pPr>
              <w:pStyle w:val="BodyText"/>
              <w:spacing w:line="240" w:lineRule="auto"/>
              <w:rPr>
                <w:sz w:val="20"/>
                <w:szCs w:val="20"/>
              </w:rPr>
            </w:pPr>
            <w:r w:rsidRPr="00373A86">
              <w:rPr>
                <w:sz w:val="20"/>
                <w:szCs w:val="20"/>
              </w:rPr>
              <w:t> </w:t>
            </w:r>
          </w:p>
        </w:tc>
        <w:tc>
          <w:tcPr>
            <w:tcW w:w="870" w:type="dxa"/>
            <w:tcBorders>
              <w:top w:val="single" w:sz="4" w:space="0" w:color="auto"/>
              <w:left w:val="nil"/>
              <w:bottom w:val="single" w:sz="4" w:space="0" w:color="auto"/>
              <w:right w:val="nil"/>
            </w:tcBorders>
            <w:shd w:val="clear" w:color="auto" w:fill="auto"/>
            <w:noWrap/>
            <w:vAlign w:val="center"/>
            <w:hideMark/>
          </w:tcPr>
          <w:p w14:paraId="4EBFC22D" w14:textId="77777777" w:rsidR="00762268" w:rsidRPr="00373A86" w:rsidRDefault="00762268" w:rsidP="00373A86">
            <w:pPr>
              <w:pStyle w:val="BodyText"/>
              <w:spacing w:line="240" w:lineRule="auto"/>
              <w:rPr>
                <w:sz w:val="20"/>
                <w:szCs w:val="20"/>
              </w:rPr>
            </w:pPr>
            <w:r w:rsidRPr="00373A86">
              <w:rPr>
                <w:sz w:val="20"/>
                <w:szCs w:val="20"/>
              </w:rPr>
              <w:t> </w:t>
            </w:r>
          </w:p>
        </w:tc>
        <w:tc>
          <w:tcPr>
            <w:tcW w:w="1201" w:type="dxa"/>
            <w:tcBorders>
              <w:top w:val="nil"/>
              <w:left w:val="nil"/>
              <w:bottom w:val="single" w:sz="4" w:space="0" w:color="auto"/>
              <w:right w:val="nil"/>
            </w:tcBorders>
            <w:shd w:val="clear" w:color="auto" w:fill="auto"/>
            <w:noWrap/>
            <w:vAlign w:val="center"/>
            <w:hideMark/>
          </w:tcPr>
          <w:p w14:paraId="2D8919E8" w14:textId="77777777" w:rsidR="00762268" w:rsidRPr="00373A86" w:rsidRDefault="00762268" w:rsidP="00373A86">
            <w:pPr>
              <w:pStyle w:val="BodyText"/>
              <w:spacing w:line="240" w:lineRule="auto"/>
              <w:rPr>
                <w:sz w:val="20"/>
                <w:szCs w:val="20"/>
              </w:rPr>
            </w:pPr>
            <w:r w:rsidRPr="00373A86">
              <w:rPr>
                <w:sz w:val="20"/>
                <w:szCs w:val="20"/>
              </w:rPr>
              <w:t> </w:t>
            </w:r>
          </w:p>
        </w:tc>
      </w:tr>
      <w:tr w:rsidR="00762268" w:rsidRPr="00D1739C" w14:paraId="25EBBA24" w14:textId="77777777" w:rsidTr="00415310">
        <w:trPr>
          <w:trHeight w:val="315"/>
        </w:trPr>
        <w:tc>
          <w:tcPr>
            <w:tcW w:w="2160" w:type="dxa"/>
            <w:tcBorders>
              <w:top w:val="nil"/>
              <w:left w:val="nil"/>
              <w:bottom w:val="nil"/>
              <w:right w:val="nil"/>
            </w:tcBorders>
            <w:shd w:val="clear" w:color="auto" w:fill="auto"/>
            <w:noWrap/>
            <w:vAlign w:val="center"/>
            <w:hideMark/>
          </w:tcPr>
          <w:p w14:paraId="2905DF4D" w14:textId="0299FFFB" w:rsidR="00762268" w:rsidRPr="00373A86" w:rsidRDefault="00415310" w:rsidP="00762268">
            <w:pPr>
              <w:pStyle w:val="BodyText"/>
              <w:spacing w:line="240" w:lineRule="auto"/>
              <w:rPr>
                <w:sz w:val="20"/>
                <w:szCs w:val="20"/>
              </w:rPr>
            </w:pPr>
            <w:r>
              <w:rPr>
                <w:sz w:val="20"/>
                <w:szCs w:val="20"/>
              </w:rPr>
              <w:t>C</w:t>
            </w:r>
            <w:r w:rsidR="00762268" w:rsidRPr="00373A86">
              <w:rPr>
                <w:sz w:val="20"/>
                <w:szCs w:val="20"/>
              </w:rPr>
              <w:t>onsumption</w:t>
            </w:r>
          </w:p>
        </w:tc>
        <w:tc>
          <w:tcPr>
            <w:tcW w:w="669" w:type="dxa"/>
            <w:tcBorders>
              <w:top w:val="nil"/>
              <w:left w:val="nil"/>
              <w:bottom w:val="nil"/>
              <w:right w:val="nil"/>
            </w:tcBorders>
            <w:shd w:val="clear" w:color="auto" w:fill="auto"/>
            <w:noWrap/>
            <w:vAlign w:val="center"/>
            <w:hideMark/>
          </w:tcPr>
          <w:p w14:paraId="61545B6C" w14:textId="4D16A495" w:rsidR="00762268" w:rsidRPr="00762268" w:rsidRDefault="00762268" w:rsidP="00762268">
            <w:pPr>
              <w:pStyle w:val="BodyText"/>
              <w:spacing w:line="240" w:lineRule="auto"/>
              <w:rPr>
                <w:sz w:val="20"/>
                <w:szCs w:val="20"/>
              </w:rPr>
            </w:pPr>
            <w:r w:rsidRPr="0099742A">
              <w:rPr>
                <w:color w:val="000000"/>
                <w:sz w:val="20"/>
                <w:szCs w:val="20"/>
              </w:rPr>
              <w:t>942</w:t>
            </w:r>
          </w:p>
        </w:tc>
        <w:tc>
          <w:tcPr>
            <w:tcW w:w="668" w:type="dxa"/>
            <w:tcBorders>
              <w:top w:val="nil"/>
              <w:left w:val="nil"/>
              <w:bottom w:val="nil"/>
              <w:right w:val="nil"/>
            </w:tcBorders>
            <w:shd w:val="clear" w:color="auto" w:fill="auto"/>
            <w:noWrap/>
            <w:vAlign w:val="center"/>
            <w:hideMark/>
          </w:tcPr>
          <w:p w14:paraId="7C441EE3" w14:textId="4D08B028" w:rsidR="00762268" w:rsidRPr="00762268" w:rsidRDefault="00762268" w:rsidP="00762268">
            <w:pPr>
              <w:pStyle w:val="BodyText"/>
              <w:spacing w:line="240" w:lineRule="auto"/>
              <w:rPr>
                <w:sz w:val="20"/>
                <w:szCs w:val="20"/>
              </w:rPr>
            </w:pPr>
            <w:r w:rsidRPr="0099742A">
              <w:rPr>
                <w:color w:val="000000"/>
                <w:sz w:val="20"/>
                <w:szCs w:val="20"/>
              </w:rPr>
              <w:t>961</w:t>
            </w:r>
          </w:p>
        </w:tc>
        <w:tc>
          <w:tcPr>
            <w:tcW w:w="668" w:type="dxa"/>
            <w:tcBorders>
              <w:top w:val="nil"/>
              <w:left w:val="nil"/>
              <w:bottom w:val="nil"/>
              <w:right w:val="nil"/>
            </w:tcBorders>
            <w:shd w:val="clear" w:color="auto" w:fill="auto"/>
            <w:noWrap/>
            <w:vAlign w:val="center"/>
            <w:hideMark/>
          </w:tcPr>
          <w:p w14:paraId="5C61F6CE" w14:textId="7441251C" w:rsidR="00762268" w:rsidRPr="00762268" w:rsidRDefault="00762268" w:rsidP="00762268">
            <w:pPr>
              <w:pStyle w:val="BodyText"/>
              <w:spacing w:line="240" w:lineRule="auto"/>
              <w:rPr>
                <w:sz w:val="20"/>
                <w:szCs w:val="20"/>
              </w:rPr>
            </w:pPr>
            <w:r w:rsidRPr="0099742A">
              <w:rPr>
                <w:color w:val="000000"/>
                <w:sz w:val="20"/>
                <w:szCs w:val="20"/>
              </w:rPr>
              <w:t>984</w:t>
            </w:r>
          </w:p>
        </w:tc>
        <w:tc>
          <w:tcPr>
            <w:tcW w:w="668" w:type="dxa"/>
            <w:tcBorders>
              <w:top w:val="nil"/>
              <w:left w:val="nil"/>
              <w:bottom w:val="nil"/>
              <w:right w:val="single" w:sz="4" w:space="0" w:color="auto"/>
            </w:tcBorders>
            <w:shd w:val="clear" w:color="auto" w:fill="auto"/>
            <w:noWrap/>
            <w:vAlign w:val="center"/>
            <w:hideMark/>
          </w:tcPr>
          <w:p w14:paraId="35461EEB" w14:textId="7723B84B" w:rsidR="00762268" w:rsidRPr="00762268" w:rsidRDefault="00762268" w:rsidP="00762268">
            <w:pPr>
              <w:pStyle w:val="BodyText"/>
              <w:spacing w:line="240" w:lineRule="auto"/>
              <w:rPr>
                <w:sz w:val="20"/>
                <w:szCs w:val="20"/>
              </w:rPr>
            </w:pPr>
            <w:r w:rsidRPr="0099742A">
              <w:rPr>
                <w:color w:val="000000"/>
                <w:sz w:val="20"/>
                <w:szCs w:val="20"/>
              </w:rPr>
              <w:t>961</w:t>
            </w:r>
          </w:p>
        </w:tc>
        <w:tc>
          <w:tcPr>
            <w:tcW w:w="668" w:type="dxa"/>
            <w:tcBorders>
              <w:top w:val="nil"/>
              <w:left w:val="nil"/>
              <w:bottom w:val="nil"/>
              <w:right w:val="nil"/>
            </w:tcBorders>
            <w:shd w:val="clear" w:color="auto" w:fill="auto"/>
            <w:noWrap/>
            <w:vAlign w:val="center"/>
            <w:hideMark/>
          </w:tcPr>
          <w:p w14:paraId="5E1CEE4B" w14:textId="3C203993" w:rsidR="00762268" w:rsidRPr="00762268" w:rsidRDefault="00762268" w:rsidP="00762268">
            <w:pPr>
              <w:pStyle w:val="BodyText"/>
              <w:spacing w:line="240" w:lineRule="auto"/>
              <w:rPr>
                <w:sz w:val="20"/>
                <w:szCs w:val="20"/>
              </w:rPr>
            </w:pPr>
            <w:r w:rsidRPr="0099742A">
              <w:rPr>
                <w:color w:val="000000"/>
                <w:sz w:val="20"/>
                <w:szCs w:val="20"/>
              </w:rPr>
              <w:t>980</w:t>
            </w:r>
          </w:p>
        </w:tc>
        <w:tc>
          <w:tcPr>
            <w:tcW w:w="668" w:type="dxa"/>
            <w:tcBorders>
              <w:top w:val="nil"/>
              <w:left w:val="nil"/>
              <w:bottom w:val="nil"/>
              <w:right w:val="nil"/>
            </w:tcBorders>
            <w:shd w:val="clear" w:color="auto" w:fill="auto"/>
            <w:noWrap/>
            <w:vAlign w:val="center"/>
            <w:hideMark/>
          </w:tcPr>
          <w:p w14:paraId="16EE93AE" w14:textId="00914CB1" w:rsidR="00762268" w:rsidRPr="00762268" w:rsidRDefault="00762268" w:rsidP="00762268">
            <w:pPr>
              <w:pStyle w:val="BodyText"/>
              <w:spacing w:line="240" w:lineRule="auto"/>
              <w:rPr>
                <w:sz w:val="20"/>
                <w:szCs w:val="20"/>
              </w:rPr>
            </w:pPr>
            <w:r w:rsidRPr="0099742A">
              <w:rPr>
                <w:color w:val="000000"/>
                <w:sz w:val="20"/>
                <w:szCs w:val="20"/>
              </w:rPr>
              <w:t>1003</w:t>
            </w:r>
          </w:p>
        </w:tc>
        <w:tc>
          <w:tcPr>
            <w:tcW w:w="668" w:type="dxa"/>
            <w:tcBorders>
              <w:top w:val="nil"/>
              <w:left w:val="nil"/>
              <w:bottom w:val="nil"/>
              <w:right w:val="nil"/>
            </w:tcBorders>
            <w:shd w:val="clear" w:color="auto" w:fill="auto"/>
            <w:noWrap/>
            <w:vAlign w:val="center"/>
            <w:hideMark/>
          </w:tcPr>
          <w:p w14:paraId="59A44B48" w14:textId="1AACDFA0" w:rsidR="00762268" w:rsidRPr="00762268" w:rsidRDefault="00762268" w:rsidP="00762268">
            <w:pPr>
              <w:pStyle w:val="BodyText"/>
              <w:spacing w:line="240" w:lineRule="auto"/>
              <w:rPr>
                <w:sz w:val="20"/>
                <w:szCs w:val="20"/>
              </w:rPr>
            </w:pPr>
            <w:r w:rsidRPr="0099742A">
              <w:rPr>
                <w:color w:val="000000"/>
                <w:sz w:val="20"/>
                <w:szCs w:val="20"/>
              </w:rPr>
              <w:t>973</w:t>
            </w:r>
          </w:p>
        </w:tc>
        <w:tc>
          <w:tcPr>
            <w:tcW w:w="668" w:type="dxa"/>
            <w:tcBorders>
              <w:top w:val="nil"/>
              <w:left w:val="nil"/>
              <w:bottom w:val="nil"/>
              <w:right w:val="nil"/>
            </w:tcBorders>
            <w:shd w:val="clear" w:color="auto" w:fill="auto"/>
            <w:noWrap/>
            <w:vAlign w:val="center"/>
            <w:hideMark/>
          </w:tcPr>
          <w:p w14:paraId="0EE8F787" w14:textId="5D93E954" w:rsidR="00762268" w:rsidRPr="00762268" w:rsidRDefault="00762268" w:rsidP="00762268">
            <w:pPr>
              <w:pStyle w:val="BodyText"/>
              <w:spacing w:line="240" w:lineRule="auto"/>
              <w:rPr>
                <w:sz w:val="20"/>
                <w:szCs w:val="20"/>
              </w:rPr>
            </w:pPr>
            <w:r w:rsidRPr="0099742A">
              <w:rPr>
                <w:color w:val="000000"/>
                <w:sz w:val="20"/>
                <w:szCs w:val="20"/>
              </w:rPr>
              <w:t>992</w:t>
            </w:r>
          </w:p>
        </w:tc>
        <w:tc>
          <w:tcPr>
            <w:tcW w:w="870" w:type="dxa"/>
            <w:tcBorders>
              <w:top w:val="nil"/>
              <w:left w:val="nil"/>
              <w:bottom w:val="nil"/>
              <w:right w:val="nil"/>
            </w:tcBorders>
            <w:shd w:val="clear" w:color="auto" w:fill="auto"/>
            <w:noWrap/>
            <w:vAlign w:val="center"/>
            <w:hideMark/>
          </w:tcPr>
          <w:p w14:paraId="1A6CBEE0" w14:textId="41A2A1BE" w:rsidR="00762268" w:rsidRPr="00762268" w:rsidRDefault="00762268" w:rsidP="00762268">
            <w:pPr>
              <w:pStyle w:val="BodyText"/>
              <w:spacing w:line="240" w:lineRule="auto"/>
              <w:rPr>
                <w:sz w:val="20"/>
                <w:szCs w:val="20"/>
              </w:rPr>
            </w:pPr>
            <w:r w:rsidRPr="0099742A">
              <w:rPr>
                <w:sz w:val="20"/>
                <w:szCs w:val="20"/>
              </w:rPr>
              <w:t>DOE</w:t>
            </w:r>
          </w:p>
        </w:tc>
        <w:tc>
          <w:tcPr>
            <w:tcW w:w="1201" w:type="dxa"/>
            <w:tcBorders>
              <w:top w:val="nil"/>
              <w:left w:val="nil"/>
              <w:bottom w:val="nil"/>
              <w:right w:val="nil"/>
            </w:tcBorders>
            <w:shd w:val="clear" w:color="auto" w:fill="auto"/>
            <w:noWrap/>
            <w:vAlign w:val="center"/>
            <w:hideMark/>
          </w:tcPr>
          <w:p w14:paraId="58E36021" w14:textId="52CAAFE4" w:rsidR="00762268" w:rsidRPr="00762268" w:rsidRDefault="00762268" w:rsidP="00762268">
            <w:pPr>
              <w:pStyle w:val="BodyText"/>
              <w:spacing w:line="240" w:lineRule="auto"/>
              <w:rPr>
                <w:sz w:val="20"/>
                <w:szCs w:val="20"/>
              </w:rPr>
            </w:pPr>
            <w:r w:rsidRPr="0099742A">
              <w:rPr>
                <w:color w:val="000000"/>
                <w:sz w:val="20"/>
                <w:szCs w:val="20"/>
              </w:rPr>
              <w:t>3%</w:t>
            </w:r>
          </w:p>
        </w:tc>
      </w:tr>
      <w:tr w:rsidR="00762268" w:rsidRPr="00D1739C" w14:paraId="1FC8C800" w14:textId="77777777" w:rsidTr="00415310">
        <w:trPr>
          <w:trHeight w:val="315"/>
        </w:trPr>
        <w:tc>
          <w:tcPr>
            <w:tcW w:w="2160" w:type="dxa"/>
            <w:tcBorders>
              <w:top w:val="nil"/>
              <w:left w:val="nil"/>
              <w:bottom w:val="nil"/>
              <w:right w:val="nil"/>
            </w:tcBorders>
            <w:shd w:val="clear" w:color="auto" w:fill="auto"/>
            <w:noWrap/>
            <w:vAlign w:val="center"/>
            <w:hideMark/>
          </w:tcPr>
          <w:p w14:paraId="5F50BCFC" w14:textId="77777777" w:rsidR="00762268" w:rsidRPr="00373A86" w:rsidRDefault="00762268" w:rsidP="00762268">
            <w:pPr>
              <w:pStyle w:val="BodyText"/>
              <w:spacing w:line="240" w:lineRule="auto"/>
              <w:rPr>
                <w:sz w:val="20"/>
                <w:szCs w:val="20"/>
              </w:rPr>
            </w:pPr>
            <w:r w:rsidRPr="00373A86">
              <w:rPr>
                <w:sz w:val="20"/>
                <w:szCs w:val="20"/>
              </w:rPr>
              <w:t>US oil supply</w:t>
            </w:r>
          </w:p>
        </w:tc>
        <w:tc>
          <w:tcPr>
            <w:tcW w:w="669" w:type="dxa"/>
            <w:tcBorders>
              <w:top w:val="nil"/>
              <w:left w:val="nil"/>
              <w:bottom w:val="nil"/>
              <w:right w:val="nil"/>
            </w:tcBorders>
            <w:shd w:val="clear" w:color="auto" w:fill="auto"/>
            <w:noWrap/>
            <w:vAlign w:val="center"/>
            <w:hideMark/>
          </w:tcPr>
          <w:p w14:paraId="376EFB72" w14:textId="299C9EA4" w:rsidR="00762268" w:rsidRPr="00762268" w:rsidRDefault="00762268" w:rsidP="00762268">
            <w:pPr>
              <w:pStyle w:val="BodyText"/>
              <w:spacing w:line="240" w:lineRule="auto"/>
              <w:rPr>
                <w:sz w:val="20"/>
                <w:szCs w:val="20"/>
              </w:rPr>
            </w:pPr>
            <w:r w:rsidRPr="0099742A">
              <w:rPr>
                <w:color w:val="000000"/>
                <w:sz w:val="20"/>
                <w:szCs w:val="20"/>
              </w:rPr>
              <w:t>515</w:t>
            </w:r>
          </w:p>
        </w:tc>
        <w:tc>
          <w:tcPr>
            <w:tcW w:w="668" w:type="dxa"/>
            <w:tcBorders>
              <w:top w:val="nil"/>
              <w:left w:val="nil"/>
              <w:bottom w:val="nil"/>
              <w:right w:val="nil"/>
            </w:tcBorders>
            <w:shd w:val="clear" w:color="auto" w:fill="auto"/>
            <w:noWrap/>
            <w:vAlign w:val="center"/>
            <w:hideMark/>
          </w:tcPr>
          <w:p w14:paraId="37B10D78" w14:textId="336D8DF6" w:rsidR="00762268" w:rsidRPr="00762268" w:rsidRDefault="00762268" w:rsidP="00762268">
            <w:pPr>
              <w:pStyle w:val="BodyText"/>
              <w:spacing w:line="240" w:lineRule="auto"/>
              <w:rPr>
                <w:sz w:val="20"/>
                <w:szCs w:val="20"/>
              </w:rPr>
            </w:pPr>
            <w:r w:rsidRPr="0099742A">
              <w:rPr>
                <w:color w:val="000000"/>
                <w:sz w:val="20"/>
                <w:szCs w:val="20"/>
              </w:rPr>
              <w:t>545</w:t>
            </w:r>
          </w:p>
        </w:tc>
        <w:tc>
          <w:tcPr>
            <w:tcW w:w="668" w:type="dxa"/>
            <w:tcBorders>
              <w:top w:val="nil"/>
              <w:left w:val="nil"/>
              <w:bottom w:val="nil"/>
              <w:right w:val="nil"/>
            </w:tcBorders>
            <w:shd w:val="clear" w:color="auto" w:fill="auto"/>
            <w:noWrap/>
            <w:vAlign w:val="center"/>
            <w:hideMark/>
          </w:tcPr>
          <w:p w14:paraId="1E5E9242" w14:textId="4E6BA0F7" w:rsidR="00762268" w:rsidRPr="00762268" w:rsidRDefault="00762268" w:rsidP="00762268">
            <w:pPr>
              <w:pStyle w:val="BodyText"/>
              <w:spacing w:line="240" w:lineRule="auto"/>
              <w:rPr>
                <w:sz w:val="20"/>
                <w:szCs w:val="20"/>
              </w:rPr>
            </w:pPr>
            <w:r w:rsidRPr="0099742A">
              <w:rPr>
                <w:color w:val="000000"/>
                <w:sz w:val="20"/>
                <w:szCs w:val="20"/>
              </w:rPr>
              <w:t>636</w:t>
            </w:r>
          </w:p>
        </w:tc>
        <w:tc>
          <w:tcPr>
            <w:tcW w:w="668" w:type="dxa"/>
            <w:tcBorders>
              <w:top w:val="nil"/>
              <w:left w:val="nil"/>
              <w:bottom w:val="nil"/>
              <w:right w:val="single" w:sz="4" w:space="0" w:color="auto"/>
            </w:tcBorders>
            <w:shd w:val="clear" w:color="auto" w:fill="auto"/>
            <w:noWrap/>
            <w:vAlign w:val="center"/>
            <w:hideMark/>
          </w:tcPr>
          <w:p w14:paraId="2D1DA367" w14:textId="4C01CC73" w:rsidR="00762268" w:rsidRPr="00762268" w:rsidRDefault="00762268" w:rsidP="00762268">
            <w:pPr>
              <w:pStyle w:val="BodyText"/>
              <w:spacing w:line="240" w:lineRule="auto"/>
              <w:rPr>
                <w:sz w:val="20"/>
                <w:szCs w:val="20"/>
              </w:rPr>
            </w:pPr>
            <w:r w:rsidRPr="0099742A">
              <w:rPr>
                <w:color w:val="000000"/>
                <w:sz w:val="20"/>
                <w:szCs w:val="20"/>
              </w:rPr>
              <w:t>712</w:t>
            </w:r>
          </w:p>
        </w:tc>
        <w:tc>
          <w:tcPr>
            <w:tcW w:w="668" w:type="dxa"/>
            <w:tcBorders>
              <w:top w:val="nil"/>
              <w:left w:val="nil"/>
              <w:bottom w:val="nil"/>
              <w:right w:val="nil"/>
            </w:tcBorders>
            <w:shd w:val="clear" w:color="auto" w:fill="auto"/>
            <w:noWrap/>
            <w:vAlign w:val="center"/>
            <w:hideMark/>
          </w:tcPr>
          <w:p w14:paraId="65126D73" w14:textId="23013761" w:rsidR="00762268" w:rsidRPr="00762268" w:rsidRDefault="00762268" w:rsidP="00762268">
            <w:pPr>
              <w:pStyle w:val="BodyText"/>
              <w:spacing w:line="240" w:lineRule="auto"/>
              <w:rPr>
                <w:sz w:val="20"/>
                <w:szCs w:val="20"/>
              </w:rPr>
            </w:pPr>
            <w:r w:rsidRPr="0099742A">
              <w:rPr>
                <w:color w:val="000000"/>
                <w:sz w:val="20"/>
                <w:szCs w:val="20"/>
              </w:rPr>
              <w:t>545</w:t>
            </w:r>
          </w:p>
        </w:tc>
        <w:tc>
          <w:tcPr>
            <w:tcW w:w="668" w:type="dxa"/>
            <w:tcBorders>
              <w:top w:val="nil"/>
              <w:left w:val="nil"/>
              <w:bottom w:val="nil"/>
              <w:right w:val="nil"/>
            </w:tcBorders>
            <w:shd w:val="clear" w:color="auto" w:fill="auto"/>
            <w:noWrap/>
            <w:vAlign w:val="center"/>
            <w:hideMark/>
          </w:tcPr>
          <w:p w14:paraId="0EFDB61D" w14:textId="6E2483DE" w:rsidR="00762268" w:rsidRPr="00762268" w:rsidRDefault="00762268" w:rsidP="00762268">
            <w:pPr>
              <w:pStyle w:val="BodyText"/>
              <w:spacing w:line="240" w:lineRule="auto"/>
              <w:rPr>
                <w:sz w:val="20"/>
                <w:szCs w:val="20"/>
              </w:rPr>
            </w:pPr>
            <w:r w:rsidRPr="0099742A">
              <w:rPr>
                <w:color w:val="000000"/>
                <w:sz w:val="20"/>
                <w:szCs w:val="20"/>
              </w:rPr>
              <w:t>545</w:t>
            </w:r>
          </w:p>
        </w:tc>
        <w:tc>
          <w:tcPr>
            <w:tcW w:w="668" w:type="dxa"/>
            <w:tcBorders>
              <w:top w:val="nil"/>
              <w:left w:val="nil"/>
              <w:bottom w:val="nil"/>
              <w:right w:val="nil"/>
            </w:tcBorders>
            <w:shd w:val="clear" w:color="auto" w:fill="auto"/>
            <w:noWrap/>
            <w:vAlign w:val="center"/>
            <w:hideMark/>
          </w:tcPr>
          <w:p w14:paraId="36402823" w14:textId="03E96955" w:rsidR="00762268" w:rsidRPr="00762268" w:rsidRDefault="00762268" w:rsidP="00762268">
            <w:pPr>
              <w:pStyle w:val="BodyText"/>
              <w:spacing w:line="240" w:lineRule="auto"/>
              <w:rPr>
                <w:sz w:val="20"/>
                <w:szCs w:val="20"/>
              </w:rPr>
            </w:pPr>
            <w:r w:rsidRPr="0099742A">
              <w:rPr>
                <w:color w:val="000000"/>
                <w:sz w:val="20"/>
                <w:szCs w:val="20"/>
              </w:rPr>
              <w:t>700</w:t>
            </w:r>
          </w:p>
        </w:tc>
        <w:tc>
          <w:tcPr>
            <w:tcW w:w="668" w:type="dxa"/>
            <w:tcBorders>
              <w:top w:val="nil"/>
              <w:left w:val="nil"/>
              <w:bottom w:val="nil"/>
              <w:right w:val="nil"/>
            </w:tcBorders>
            <w:shd w:val="clear" w:color="auto" w:fill="auto"/>
            <w:noWrap/>
            <w:vAlign w:val="center"/>
            <w:hideMark/>
          </w:tcPr>
          <w:p w14:paraId="5650A9FE" w14:textId="758FB7ED" w:rsidR="00762268" w:rsidRPr="00762268" w:rsidRDefault="00762268" w:rsidP="00762268">
            <w:pPr>
              <w:pStyle w:val="BodyText"/>
              <w:spacing w:line="240" w:lineRule="auto"/>
              <w:rPr>
                <w:sz w:val="20"/>
                <w:szCs w:val="20"/>
              </w:rPr>
            </w:pPr>
            <w:r w:rsidRPr="0099742A">
              <w:rPr>
                <w:color w:val="000000"/>
                <w:sz w:val="20"/>
                <w:szCs w:val="20"/>
              </w:rPr>
              <w:t>662</w:t>
            </w:r>
          </w:p>
        </w:tc>
        <w:tc>
          <w:tcPr>
            <w:tcW w:w="870" w:type="dxa"/>
            <w:tcBorders>
              <w:top w:val="nil"/>
              <w:left w:val="nil"/>
              <w:bottom w:val="nil"/>
              <w:right w:val="nil"/>
            </w:tcBorders>
            <w:shd w:val="clear" w:color="auto" w:fill="auto"/>
            <w:noWrap/>
            <w:vAlign w:val="bottom"/>
            <w:hideMark/>
          </w:tcPr>
          <w:p w14:paraId="6F9668F6" w14:textId="1F30EAEF" w:rsidR="00762268" w:rsidRPr="00762268" w:rsidRDefault="00762268" w:rsidP="00762268">
            <w:pPr>
              <w:pStyle w:val="BodyText"/>
              <w:spacing w:line="240" w:lineRule="auto"/>
              <w:rPr>
                <w:sz w:val="20"/>
                <w:szCs w:val="20"/>
              </w:rPr>
            </w:pPr>
            <w:r w:rsidRPr="0099742A">
              <w:rPr>
                <w:sz w:val="20"/>
                <w:szCs w:val="20"/>
              </w:rPr>
              <w:t>DOE</w:t>
            </w:r>
          </w:p>
        </w:tc>
        <w:tc>
          <w:tcPr>
            <w:tcW w:w="1201" w:type="dxa"/>
            <w:tcBorders>
              <w:top w:val="nil"/>
              <w:left w:val="nil"/>
              <w:bottom w:val="nil"/>
              <w:right w:val="nil"/>
            </w:tcBorders>
            <w:shd w:val="clear" w:color="auto" w:fill="auto"/>
            <w:noWrap/>
            <w:vAlign w:val="center"/>
            <w:hideMark/>
          </w:tcPr>
          <w:p w14:paraId="78459096" w14:textId="60969CD7" w:rsidR="00762268" w:rsidRPr="00762268" w:rsidRDefault="00762268" w:rsidP="00762268">
            <w:pPr>
              <w:pStyle w:val="BodyText"/>
              <w:spacing w:line="240" w:lineRule="auto"/>
              <w:rPr>
                <w:sz w:val="20"/>
                <w:szCs w:val="20"/>
              </w:rPr>
            </w:pPr>
            <w:r w:rsidRPr="0099742A">
              <w:rPr>
                <w:color w:val="000000"/>
                <w:sz w:val="20"/>
                <w:szCs w:val="20"/>
              </w:rPr>
              <w:t>2%</w:t>
            </w:r>
          </w:p>
        </w:tc>
      </w:tr>
      <w:tr w:rsidR="00762268" w:rsidRPr="00D1739C" w14:paraId="51EFBB8B" w14:textId="77777777" w:rsidTr="00415310">
        <w:trPr>
          <w:trHeight w:val="315"/>
        </w:trPr>
        <w:tc>
          <w:tcPr>
            <w:tcW w:w="2160" w:type="dxa"/>
            <w:tcBorders>
              <w:top w:val="nil"/>
              <w:left w:val="nil"/>
              <w:bottom w:val="nil"/>
              <w:right w:val="nil"/>
            </w:tcBorders>
            <w:shd w:val="clear" w:color="auto" w:fill="auto"/>
            <w:noWrap/>
            <w:vAlign w:val="center"/>
            <w:hideMark/>
          </w:tcPr>
          <w:p w14:paraId="74AD6510" w14:textId="77777777" w:rsidR="00762268" w:rsidRPr="00373A86" w:rsidRDefault="00762268" w:rsidP="00762268">
            <w:pPr>
              <w:pStyle w:val="BodyText"/>
              <w:spacing w:line="240" w:lineRule="auto"/>
              <w:rPr>
                <w:sz w:val="20"/>
                <w:szCs w:val="20"/>
              </w:rPr>
            </w:pPr>
            <w:r w:rsidRPr="00373A86">
              <w:rPr>
                <w:sz w:val="20"/>
                <w:szCs w:val="20"/>
              </w:rPr>
              <w:t>ROW oil use</w:t>
            </w:r>
          </w:p>
        </w:tc>
        <w:tc>
          <w:tcPr>
            <w:tcW w:w="669" w:type="dxa"/>
            <w:tcBorders>
              <w:top w:val="nil"/>
              <w:left w:val="nil"/>
              <w:bottom w:val="nil"/>
              <w:right w:val="nil"/>
            </w:tcBorders>
            <w:shd w:val="clear" w:color="auto" w:fill="auto"/>
            <w:noWrap/>
            <w:vAlign w:val="center"/>
            <w:hideMark/>
          </w:tcPr>
          <w:p w14:paraId="3B0B1870" w14:textId="6137C43E" w:rsidR="00762268" w:rsidRPr="00762268" w:rsidRDefault="00762268" w:rsidP="00762268">
            <w:pPr>
              <w:pStyle w:val="BodyText"/>
              <w:spacing w:line="240" w:lineRule="auto"/>
              <w:rPr>
                <w:sz w:val="20"/>
                <w:szCs w:val="20"/>
              </w:rPr>
            </w:pPr>
            <w:r w:rsidRPr="0099742A">
              <w:rPr>
                <w:color w:val="000000"/>
                <w:sz w:val="20"/>
                <w:szCs w:val="20"/>
              </w:rPr>
              <w:t>4254</w:t>
            </w:r>
          </w:p>
        </w:tc>
        <w:tc>
          <w:tcPr>
            <w:tcW w:w="668" w:type="dxa"/>
            <w:tcBorders>
              <w:top w:val="nil"/>
              <w:left w:val="nil"/>
              <w:bottom w:val="nil"/>
              <w:right w:val="nil"/>
            </w:tcBorders>
            <w:shd w:val="clear" w:color="auto" w:fill="auto"/>
            <w:noWrap/>
            <w:vAlign w:val="center"/>
            <w:hideMark/>
          </w:tcPr>
          <w:p w14:paraId="33B563D2" w14:textId="799B922A" w:rsidR="00762268" w:rsidRPr="00762268" w:rsidRDefault="00762268" w:rsidP="00762268">
            <w:pPr>
              <w:pStyle w:val="BodyText"/>
              <w:spacing w:line="240" w:lineRule="auto"/>
              <w:rPr>
                <w:sz w:val="20"/>
                <w:szCs w:val="20"/>
              </w:rPr>
            </w:pPr>
            <w:r w:rsidRPr="0099742A">
              <w:rPr>
                <w:color w:val="000000"/>
                <w:sz w:val="20"/>
                <w:szCs w:val="20"/>
              </w:rPr>
              <w:t>4285</w:t>
            </w:r>
          </w:p>
        </w:tc>
        <w:tc>
          <w:tcPr>
            <w:tcW w:w="668" w:type="dxa"/>
            <w:tcBorders>
              <w:top w:val="nil"/>
              <w:left w:val="nil"/>
              <w:bottom w:val="nil"/>
              <w:right w:val="nil"/>
            </w:tcBorders>
            <w:shd w:val="clear" w:color="auto" w:fill="auto"/>
            <w:noWrap/>
            <w:vAlign w:val="center"/>
            <w:hideMark/>
          </w:tcPr>
          <w:p w14:paraId="50C32EAD" w14:textId="7E72A905" w:rsidR="00762268" w:rsidRPr="00762268" w:rsidRDefault="00762268" w:rsidP="00762268">
            <w:pPr>
              <w:pStyle w:val="BodyText"/>
              <w:spacing w:line="240" w:lineRule="auto"/>
              <w:rPr>
                <w:sz w:val="20"/>
                <w:szCs w:val="20"/>
              </w:rPr>
            </w:pPr>
            <w:r w:rsidRPr="0099742A">
              <w:rPr>
                <w:color w:val="000000"/>
                <w:sz w:val="20"/>
                <w:szCs w:val="20"/>
              </w:rPr>
              <w:t>4451</w:t>
            </w:r>
          </w:p>
        </w:tc>
        <w:tc>
          <w:tcPr>
            <w:tcW w:w="668" w:type="dxa"/>
            <w:tcBorders>
              <w:top w:val="nil"/>
              <w:left w:val="nil"/>
              <w:bottom w:val="nil"/>
              <w:right w:val="single" w:sz="4" w:space="0" w:color="auto"/>
            </w:tcBorders>
            <w:shd w:val="clear" w:color="auto" w:fill="auto"/>
            <w:noWrap/>
            <w:vAlign w:val="center"/>
            <w:hideMark/>
          </w:tcPr>
          <w:p w14:paraId="6AE2964F" w14:textId="0FCB15E3" w:rsidR="00762268" w:rsidRPr="00762268" w:rsidRDefault="00762268" w:rsidP="00762268">
            <w:pPr>
              <w:pStyle w:val="BodyText"/>
              <w:spacing w:line="240" w:lineRule="auto"/>
              <w:rPr>
                <w:sz w:val="20"/>
                <w:szCs w:val="20"/>
              </w:rPr>
            </w:pPr>
            <w:r w:rsidRPr="0099742A">
              <w:rPr>
                <w:color w:val="000000"/>
                <w:sz w:val="20"/>
                <w:szCs w:val="20"/>
              </w:rPr>
              <w:t>4527</w:t>
            </w:r>
          </w:p>
        </w:tc>
        <w:tc>
          <w:tcPr>
            <w:tcW w:w="668" w:type="dxa"/>
            <w:tcBorders>
              <w:top w:val="nil"/>
              <w:left w:val="nil"/>
              <w:bottom w:val="nil"/>
              <w:right w:val="nil"/>
            </w:tcBorders>
            <w:shd w:val="clear" w:color="auto" w:fill="auto"/>
            <w:noWrap/>
            <w:vAlign w:val="center"/>
            <w:hideMark/>
          </w:tcPr>
          <w:p w14:paraId="11AD5162" w14:textId="6AD7A0C1" w:rsidR="00762268" w:rsidRPr="00762268" w:rsidRDefault="00762268" w:rsidP="00762268">
            <w:pPr>
              <w:pStyle w:val="BodyText"/>
              <w:spacing w:line="240" w:lineRule="auto"/>
              <w:rPr>
                <w:sz w:val="20"/>
                <w:szCs w:val="20"/>
              </w:rPr>
            </w:pPr>
            <w:r w:rsidRPr="0099742A">
              <w:rPr>
                <w:color w:val="000000"/>
                <w:sz w:val="20"/>
                <w:szCs w:val="20"/>
              </w:rPr>
              <w:t>4251</w:t>
            </w:r>
          </w:p>
        </w:tc>
        <w:tc>
          <w:tcPr>
            <w:tcW w:w="668" w:type="dxa"/>
            <w:tcBorders>
              <w:top w:val="nil"/>
              <w:left w:val="nil"/>
              <w:bottom w:val="nil"/>
              <w:right w:val="nil"/>
            </w:tcBorders>
            <w:shd w:val="clear" w:color="auto" w:fill="auto"/>
            <w:noWrap/>
            <w:vAlign w:val="center"/>
            <w:hideMark/>
          </w:tcPr>
          <w:p w14:paraId="4117D9AB" w14:textId="2494EA86" w:rsidR="00762268" w:rsidRPr="00762268" w:rsidRDefault="00762268" w:rsidP="00762268">
            <w:pPr>
              <w:pStyle w:val="BodyText"/>
              <w:spacing w:line="240" w:lineRule="auto"/>
              <w:rPr>
                <w:sz w:val="20"/>
                <w:szCs w:val="20"/>
              </w:rPr>
            </w:pPr>
            <w:r w:rsidRPr="0099742A">
              <w:rPr>
                <w:color w:val="000000"/>
                <w:sz w:val="20"/>
                <w:szCs w:val="20"/>
              </w:rPr>
              <w:t>4254</w:t>
            </w:r>
          </w:p>
        </w:tc>
        <w:tc>
          <w:tcPr>
            <w:tcW w:w="668" w:type="dxa"/>
            <w:tcBorders>
              <w:top w:val="nil"/>
              <w:left w:val="nil"/>
              <w:bottom w:val="nil"/>
              <w:right w:val="nil"/>
            </w:tcBorders>
            <w:shd w:val="clear" w:color="auto" w:fill="auto"/>
            <w:noWrap/>
            <w:vAlign w:val="center"/>
            <w:hideMark/>
          </w:tcPr>
          <w:p w14:paraId="4B065062" w14:textId="57CFC9BF" w:rsidR="00762268" w:rsidRPr="00762268" w:rsidRDefault="00762268" w:rsidP="00762268">
            <w:pPr>
              <w:pStyle w:val="BodyText"/>
              <w:spacing w:line="240" w:lineRule="auto"/>
              <w:rPr>
                <w:sz w:val="20"/>
                <w:szCs w:val="20"/>
              </w:rPr>
            </w:pPr>
            <w:r w:rsidRPr="0099742A">
              <w:rPr>
                <w:color w:val="000000"/>
                <w:sz w:val="20"/>
                <w:szCs w:val="20"/>
              </w:rPr>
              <w:t>4508</w:t>
            </w:r>
          </w:p>
        </w:tc>
        <w:tc>
          <w:tcPr>
            <w:tcW w:w="668" w:type="dxa"/>
            <w:tcBorders>
              <w:top w:val="nil"/>
              <w:left w:val="nil"/>
              <w:bottom w:val="nil"/>
              <w:right w:val="nil"/>
            </w:tcBorders>
            <w:shd w:val="clear" w:color="auto" w:fill="auto"/>
            <w:noWrap/>
            <w:vAlign w:val="center"/>
            <w:hideMark/>
          </w:tcPr>
          <w:p w14:paraId="4C46A295" w14:textId="597B85A4" w:rsidR="00762268" w:rsidRPr="00762268" w:rsidRDefault="00762268" w:rsidP="00762268">
            <w:pPr>
              <w:pStyle w:val="BodyText"/>
              <w:spacing w:line="240" w:lineRule="auto"/>
              <w:rPr>
                <w:sz w:val="20"/>
                <w:szCs w:val="20"/>
              </w:rPr>
            </w:pPr>
            <w:r w:rsidRPr="0099742A">
              <w:rPr>
                <w:color w:val="000000"/>
                <w:sz w:val="20"/>
                <w:szCs w:val="20"/>
              </w:rPr>
              <w:t>4466</w:t>
            </w:r>
          </w:p>
        </w:tc>
        <w:tc>
          <w:tcPr>
            <w:tcW w:w="870" w:type="dxa"/>
            <w:tcBorders>
              <w:top w:val="nil"/>
              <w:left w:val="nil"/>
              <w:bottom w:val="nil"/>
              <w:right w:val="nil"/>
            </w:tcBorders>
            <w:shd w:val="clear" w:color="auto" w:fill="auto"/>
            <w:noWrap/>
            <w:vAlign w:val="bottom"/>
            <w:hideMark/>
          </w:tcPr>
          <w:p w14:paraId="4CD805F2" w14:textId="5CD44643" w:rsidR="00762268" w:rsidRPr="00762268" w:rsidRDefault="00762268" w:rsidP="00762268">
            <w:pPr>
              <w:pStyle w:val="BodyText"/>
              <w:spacing w:line="240" w:lineRule="auto"/>
              <w:rPr>
                <w:sz w:val="20"/>
                <w:szCs w:val="20"/>
              </w:rPr>
            </w:pPr>
            <w:r w:rsidRPr="0099742A">
              <w:rPr>
                <w:sz w:val="20"/>
                <w:szCs w:val="20"/>
              </w:rPr>
              <w:t>DOE</w:t>
            </w:r>
          </w:p>
        </w:tc>
        <w:tc>
          <w:tcPr>
            <w:tcW w:w="1201" w:type="dxa"/>
            <w:tcBorders>
              <w:top w:val="nil"/>
              <w:left w:val="nil"/>
              <w:bottom w:val="nil"/>
              <w:right w:val="nil"/>
            </w:tcBorders>
            <w:shd w:val="clear" w:color="auto" w:fill="auto"/>
            <w:noWrap/>
            <w:vAlign w:val="center"/>
            <w:hideMark/>
          </w:tcPr>
          <w:p w14:paraId="1668EA43" w14:textId="2C00071C" w:rsidR="00762268" w:rsidRPr="00762268" w:rsidRDefault="00762268" w:rsidP="00762268">
            <w:pPr>
              <w:pStyle w:val="BodyText"/>
              <w:spacing w:line="240" w:lineRule="auto"/>
              <w:rPr>
                <w:sz w:val="20"/>
                <w:szCs w:val="20"/>
              </w:rPr>
            </w:pPr>
            <w:r w:rsidRPr="0099742A">
              <w:rPr>
                <w:color w:val="000000"/>
                <w:sz w:val="20"/>
                <w:szCs w:val="20"/>
              </w:rPr>
              <w:t>0%</w:t>
            </w:r>
          </w:p>
        </w:tc>
      </w:tr>
      <w:tr w:rsidR="00762268" w:rsidRPr="00D1739C" w14:paraId="0490575F" w14:textId="77777777" w:rsidTr="00415310">
        <w:trPr>
          <w:trHeight w:val="315"/>
        </w:trPr>
        <w:tc>
          <w:tcPr>
            <w:tcW w:w="2160" w:type="dxa"/>
            <w:tcBorders>
              <w:top w:val="nil"/>
              <w:left w:val="nil"/>
              <w:bottom w:val="nil"/>
              <w:right w:val="nil"/>
            </w:tcBorders>
            <w:shd w:val="clear" w:color="auto" w:fill="auto"/>
            <w:noWrap/>
            <w:vAlign w:val="center"/>
            <w:hideMark/>
          </w:tcPr>
          <w:p w14:paraId="74FAADF7" w14:textId="77777777" w:rsidR="00762268" w:rsidRPr="00373A86" w:rsidRDefault="00762268" w:rsidP="00762268">
            <w:pPr>
              <w:pStyle w:val="BodyText"/>
              <w:spacing w:line="240" w:lineRule="auto"/>
              <w:rPr>
                <w:sz w:val="20"/>
                <w:szCs w:val="20"/>
              </w:rPr>
            </w:pPr>
            <w:r w:rsidRPr="00373A86">
              <w:rPr>
                <w:sz w:val="20"/>
                <w:szCs w:val="20"/>
              </w:rPr>
              <w:t>ROW oil supply</w:t>
            </w:r>
          </w:p>
        </w:tc>
        <w:tc>
          <w:tcPr>
            <w:tcW w:w="669" w:type="dxa"/>
            <w:tcBorders>
              <w:top w:val="nil"/>
              <w:left w:val="nil"/>
              <w:bottom w:val="nil"/>
              <w:right w:val="nil"/>
            </w:tcBorders>
            <w:shd w:val="clear" w:color="auto" w:fill="auto"/>
            <w:noWrap/>
            <w:vAlign w:val="center"/>
            <w:hideMark/>
          </w:tcPr>
          <w:p w14:paraId="4FF0E134" w14:textId="3370633B" w:rsidR="00762268" w:rsidRPr="00762268" w:rsidRDefault="00762268" w:rsidP="00762268">
            <w:pPr>
              <w:pStyle w:val="BodyText"/>
              <w:spacing w:line="240" w:lineRule="auto"/>
              <w:rPr>
                <w:sz w:val="20"/>
                <w:szCs w:val="20"/>
              </w:rPr>
            </w:pPr>
            <w:r w:rsidRPr="0099742A">
              <w:rPr>
                <w:color w:val="000000"/>
                <w:sz w:val="20"/>
                <w:szCs w:val="20"/>
              </w:rPr>
              <w:t>4686</w:t>
            </w:r>
          </w:p>
        </w:tc>
        <w:tc>
          <w:tcPr>
            <w:tcW w:w="668" w:type="dxa"/>
            <w:tcBorders>
              <w:top w:val="nil"/>
              <w:left w:val="nil"/>
              <w:bottom w:val="nil"/>
              <w:right w:val="nil"/>
            </w:tcBorders>
            <w:shd w:val="clear" w:color="auto" w:fill="auto"/>
            <w:noWrap/>
            <w:vAlign w:val="center"/>
            <w:hideMark/>
          </w:tcPr>
          <w:p w14:paraId="66FC671F" w14:textId="60435D40" w:rsidR="00762268" w:rsidRPr="00762268" w:rsidRDefault="00762268" w:rsidP="00762268">
            <w:pPr>
              <w:pStyle w:val="BodyText"/>
              <w:spacing w:line="240" w:lineRule="auto"/>
              <w:rPr>
                <w:sz w:val="20"/>
                <w:szCs w:val="20"/>
              </w:rPr>
            </w:pPr>
            <w:r w:rsidRPr="0099742A">
              <w:rPr>
                <w:color w:val="000000"/>
                <w:sz w:val="20"/>
                <w:szCs w:val="20"/>
              </w:rPr>
              <w:t>4705</w:t>
            </w:r>
          </w:p>
        </w:tc>
        <w:tc>
          <w:tcPr>
            <w:tcW w:w="668" w:type="dxa"/>
            <w:tcBorders>
              <w:top w:val="nil"/>
              <w:left w:val="nil"/>
              <w:bottom w:val="nil"/>
              <w:right w:val="nil"/>
            </w:tcBorders>
            <w:shd w:val="clear" w:color="auto" w:fill="auto"/>
            <w:noWrap/>
            <w:vAlign w:val="center"/>
            <w:hideMark/>
          </w:tcPr>
          <w:p w14:paraId="7C0D0B4A" w14:textId="135D542B" w:rsidR="00762268" w:rsidRPr="00762268" w:rsidRDefault="00762268" w:rsidP="00762268">
            <w:pPr>
              <w:pStyle w:val="BodyText"/>
              <w:spacing w:line="240" w:lineRule="auto"/>
              <w:rPr>
                <w:sz w:val="20"/>
                <w:szCs w:val="20"/>
              </w:rPr>
            </w:pPr>
            <w:r w:rsidRPr="0099742A">
              <w:rPr>
                <w:color w:val="000000"/>
                <w:sz w:val="20"/>
                <w:szCs w:val="20"/>
              </w:rPr>
              <w:t>4799</w:t>
            </w:r>
          </w:p>
        </w:tc>
        <w:tc>
          <w:tcPr>
            <w:tcW w:w="668" w:type="dxa"/>
            <w:tcBorders>
              <w:top w:val="nil"/>
              <w:left w:val="nil"/>
              <w:bottom w:val="nil"/>
              <w:right w:val="single" w:sz="4" w:space="0" w:color="auto"/>
            </w:tcBorders>
            <w:shd w:val="clear" w:color="auto" w:fill="auto"/>
            <w:noWrap/>
            <w:vAlign w:val="center"/>
            <w:hideMark/>
          </w:tcPr>
          <w:p w14:paraId="1B771FD4" w14:textId="7D135CAF" w:rsidR="00762268" w:rsidRPr="00762268" w:rsidRDefault="00762268" w:rsidP="00762268">
            <w:pPr>
              <w:pStyle w:val="BodyText"/>
              <w:spacing w:line="240" w:lineRule="auto"/>
              <w:rPr>
                <w:sz w:val="20"/>
                <w:szCs w:val="20"/>
              </w:rPr>
            </w:pPr>
            <w:r w:rsidRPr="0099742A">
              <w:rPr>
                <w:color w:val="000000"/>
                <w:sz w:val="20"/>
                <w:szCs w:val="20"/>
              </w:rPr>
              <w:t>4777</w:t>
            </w:r>
          </w:p>
        </w:tc>
        <w:tc>
          <w:tcPr>
            <w:tcW w:w="668" w:type="dxa"/>
            <w:tcBorders>
              <w:top w:val="nil"/>
              <w:left w:val="nil"/>
              <w:bottom w:val="nil"/>
              <w:right w:val="nil"/>
            </w:tcBorders>
            <w:shd w:val="clear" w:color="auto" w:fill="auto"/>
            <w:noWrap/>
            <w:vAlign w:val="center"/>
            <w:hideMark/>
          </w:tcPr>
          <w:p w14:paraId="440CCAED" w14:textId="6D3EFDA1" w:rsidR="00762268" w:rsidRPr="00762268" w:rsidRDefault="00762268" w:rsidP="00762268">
            <w:pPr>
              <w:pStyle w:val="BodyText"/>
              <w:spacing w:line="240" w:lineRule="auto"/>
              <w:rPr>
                <w:sz w:val="20"/>
                <w:szCs w:val="20"/>
              </w:rPr>
            </w:pPr>
            <w:r w:rsidRPr="0099742A">
              <w:rPr>
                <w:color w:val="000000"/>
                <w:sz w:val="20"/>
                <w:szCs w:val="20"/>
              </w:rPr>
              <w:t>4690</w:t>
            </w:r>
          </w:p>
        </w:tc>
        <w:tc>
          <w:tcPr>
            <w:tcW w:w="668" w:type="dxa"/>
            <w:tcBorders>
              <w:top w:val="nil"/>
              <w:left w:val="nil"/>
              <w:bottom w:val="nil"/>
              <w:right w:val="nil"/>
            </w:tcBorders>
            <w:shd w:val="clear" w:color="auto" w:fill="auto"/>
            <w:noWrap/>
            <w:vAlign w:val="center"/>
            <w:hideMark/>
          </w:tcPr>
          <w:p w14:paraId="39D1C7CE" w14:textId="7FF5D2D8" w:rsidR="00762268" w:rsidRPr="00762268" w:rsidRDefault="00762268" w:rsidP="00762268">
            <w:pPr>
              <w:pStyle w:val="BodyText"/>
              <w:spacing w:line="240" w:lineRule="auto"/>
              <w:rPr>
                <w:sz w:val="20"/>
                <w:szCs w:val="20"/>
              </w:rPr>
            </w:pPr>
            <w:r w:rsidRPr="0099742A">
              <w:rPr>
                <w:color w:val="000000"/>
                <w:sz w:val="20"/>
                <w:szCs w:val="20"/>
              </w:rPr>
              <w:t>4709</w:t>
            </w:r>
          </w:p>
        </w:tc>
        <w:tc>
          <w:tcPr>
            <w:tcW w:w="668" w:type="dxa"/>
            <w:tcBorders>
              <w:top w:val="nil"/>
              <w:left w:val="nil"/>
              <w:bottom w:val="nil"/>
              <w:right w:val="nil"/>
            </w:tcBorders>
            <w:shd w:val="clear" w:color="auto" w:fill="auto"/>
            <w:noWrap/>
            <w:vAlign w:val="center"/>
            <w:hideMark/>
          </w:tcPr>
          <w:p w14:paraId="3FEAFE48" w14:textId="14A6A334" w:rsidR="00762268" w:rsidRPr="00762268" w:rsidRDefault="00762268" w:rsidP="00762268">
            <w:pPr>
              <w:pStyle w:val="BodyText"/>
              <w:spacing w:line="240" w:lineRule="auto"/>
              <w:rPr>
                <w:sz w:val="20"/>
                <w:szCs w:val="20"/>
              </w:rPr>
            </w:pPr>
            <w:r w:rsidRPr="0099742A">
              <w:rPr>
                <w:color w:val="000000"/>
                <w:sz w:val="20"/>
                <w:szCs w:val="20"/>
              </w:rPr>
              <w:t>4780</w:t>
            </w:r>
          </w:p>
        </w:tc>
        <w:tc>
          <w:tcPr>
            <w:tcW w:w="668" w:type="dxa"/>
            <w:tcBorders>
              <w:top w:val="nil"/>
              <w:left w:val="nil"/>
              <w:bottom w:val="nil"/>
              <w:right w:val="nil"/>
            </w:tcBorders>
            <w:shd w:val="clear" w:color="auto" w:fill="auto"/>
            <w:noWrap/>
            <w:vAlign w:val="center"/>
            <w:hideMark/>
          </w:tcPr>
          <w:p w14:paraId="3529DED5" w14:textId="72C2DBF0" w:rsidR="00762268" w:rsidRPr="00762268" w:rsidRDefault="00762268" w:rsidP="00762268">
            <w:pPr>
              <w:pStyle w:val="BodyText"/>
              <w:spacing w:line="240" w:lineRule="auto"/>
              <w:rPr>
                <w:sz w:val="20"/>
                <w:szCs w:val="20"/>
              </w:rPr>
            </w:pPr>
            <w:r w:rsidRPr="0099742A">
              <w:rPr>
                <w:color w:val="000000"/>
                <w:sz w:val="20"/>
                <w:szCs w:val="20"/>
              </w:rPr>
              <w:t>4796</w:t>
            </w:r>
          </w:p>
        </w:tc>
        <w:tc>
          <w:tcPr>
            <w:tcW w:w="870" w:type="dxa"/>
            <w:tcBorders>
              <w:top w:val="nil"/>
              <w:left w:val="nil"/>
              <w:bottom w:val="nil"/>
              <w:right w:val="nil"/>
            </w:tcBorders>
            <w:shd w:val="clear" w:color="auto" w:fill="auto"/>
            <w:noWrap/>
            <w:vAlign w:val="bottom"/>
            <w:hideMark/>
          </w:tcPr>
          <w:p w14:paraId="22566095" w14:textId="3F49E8FA" w:rsidR="00762268" w:rsidRPr="00762268" w:rsidRDefault="00762268" w:rsidP="00762268">
            <w:pPr>
              <w:pStyle w:val="BodyText"/>
              <w:spacing w:line="240" w:lineRule="auto"/>
              <w:rPr>
                <w:sz w:val="20"/>
                <w:szCs w:val="20"/>
              </w:rPr>
            </w:pPr>
            <w:r w:rsidRPr="0099742A">
              <w:rPr>
                <w:sz w:val="20"/>
                <w:szCs w:val="20"/>
              </w:rPr>
              <w:t>DOE</w:t>
            </w:r>
          </w:p>
        </w:tc>
        <w:tc>
          <w:tcPr>
            <w:tcW w:w="1201" w:type="dxa"/>
            <w:tcBorders>
              <w:top w:val="nil"/>
              <w:left w:val="nil"/>
              <w:bottom w:val="nil"/>
              <w:right w:val="nil"/>
            </w:tcBorders>
            <w:shd w:val="clear" w:color="auto" w:fill="auto"/>
            <w:noWrap/>
            <w:vAlign w:val="center"/>
            <w:hideMark/>
          </w:tcPr>
          <w:p w14:paraId="66C3E761" w14:textId="4D54804D" w:rsidR="00762268" w:rsidRPr="00762268" w:rsidRDefault="00762268" w:rsidP="00762268">
            <w:pPr>
              <w:pStyle w:val="BodyText"/>
              <w:spacing w:line="240" w:lineRule="auto"/>
              <w:rPr>
                <w:sz w:val="20"/>
                <w:szCs w:val="20"/>
              </w:rPr>
            </w:pPr>
            <w:r w:rsidRPr="0099742A">
              <w:rPr>
                <w:color w:val="000000"/>
                <w:sz w:val="20"/>
                <w:szCs w:val="20"/>
              </w:rPr>
              <w:t>0%</w:t>
            </w:r>
          </w:p>
        </w:tc>
      </w:tr>
      <w:tr w:rsidR="00762268" w:rsidRPr="00D1739C" w14:paraId="5A07F625" w14:textId="77777777" w:rsidTr="00415310">
        <w:trPr>
          <w:trHeight w:val="315"/>
        </w:trPr>
        <w:tc>
          <w:tcPr>
            <w:tcW w:w="2160" w:type="dxa"/>
            <w:tcBorders>
              <w:top w:val="nil"/>
              <w:left w:val="nil"/>
              <w:bottom w:val="nil"/>
              <w:right w:val="nil"/>
            </w:tcBorders>
            <w:shd w:val="clear" w:color="auto" w:fill="auto"/>
            <w:noWrap/>
            <w:vAlign w:val="center"/>
            <w:hideMark/>
          </w:tcPr>
          <w:p w14:paraId="307496E7" w14:textId="77777777" w:rsidR="00762268" w:rsidRPr="00373A86" w:rsidRDefault="00762268" w:rsidP="00762268">
            <w:pPr>
              <w:pStyle w:val="BodyText"/>
              <w:spacing w:line="240" w:lineRule="auto"/>
              <w:rPr>
                <w:sz w:val="20"/>
                <w:szCs w:val="20"/>
              </w:rPr>
            </w:pPr>
            <w:r w:rsidRPr="00373A86">
              <w:rPr>
                <w:sz w:val="20"/>
                <w:szCs w:val="20"/>
              </w:rPr>
              <w:t>E10</w:t>
            </w:r>
          </w:p>
        </w:tc>
        <w:tc>
          <w:tcPr>
            <w:tcW w:w="669" w:type="dxa"/>
            <w:tcBorders>
              <w:top w:val="nil"/>
              <w:left w:val="nil"/>
              <w:bottom w:val="nil"/>
              <w:right w:val="nil"/>
            </w:tcBorders>
            <w:shd w:val="clear" w:color="auto" w:fill="auto"/>
            <w:noWrap/>
            <w:vAlign w:val="center"/>
            <w:hideMark/>
          </w:tcPr>
          <w:p w14:paraId="03CDE906" w14:textId="29B269D5" w:rsidR="00762268" w:rsidRPr="00762268" w:rsidRDefault="00762268" w:rsidP="00762268">
            <w:pPr>
              <w:pStyle w:val="BodyText"/>
              <w:spacing w:line="240" w:lineRule="auto"/>
              <w:rPr>
                <w:sz w:val="20"/>
                <w:szCs w:val="20"/>
              </w:rPr>
            </w:pPr>
            <w:r w:rsidRPr="0099742A">
              <w:rPr>
                <w:color w:val="000000"/>
                <w:sz w:val="20"/>
                <w:szCs w:val="20"/>
              </w:rPr>
              <w:t>541</w:t>
            </w:r>
          </w:p>
        </w:tc>
        <w:tc>
          <w:tcPr>
            <w:tcW w:w="668" w:type="dxa"/>
            <w:tcBorders>
              <w:top w:val="nil"/>
              <w:left w:val="nil"/>
              <w:bottom w:val="nil"/>
              <w:right w:val="nil"/>
            </w:tcBorders>
            <w:shd w:val="clear" w:color="auto" w:fill="auto"/>
            <w:noWrap/>
            <w:vAlign w:val="center"/>
            <w:hideMark/>
          </w:tcPr>
          <w:p w14:paraId="0D713B23" w14:textId="6AC5DCCC" w:rsidR="00762268" w:rsidRPr="00762268" w:rsidRDefault="00762268" w:rsidP="00762268">
            <w:pPr>
              <w:pStyle w:val="BodyText"/>
              <w:spacing w:line="240" w:lineRule="auto"/>
              <w:rPr>
                <w:sz w:val="20"/>
                <w:szCs w:val="20"/>
              </w:rPr>
            </w:pPr>
            <w:r w:rsidRPr="0099742A">
              <w:rPr>
                <w:color w:val="000000"/>
                <w:sz w:val="20"/>
                <w:szCs w:val="20"/>
              </w:rPr>
              <w:t>541</w:t>
            </w:r>
          </w:p>
        </w:tc>
        <w:tc>
          <w:tcPr>
            <w:tcW w:w="668" w:type="dxa"/>
            <w:tcBorders>
              <w:top w:val="nil"/>
              <w:left w:val="nil"/>
              <w:bottom w:val="nil"/>
              <w:right w:val="nil"/>
            </w:tcBorders>
            <w:shd w:val="clear" w:color="auto" w:fill="auto"/>
            <w:noWrap/>
            <w:vAlign w:val="center"/>
            <w:hideMark/>
          </w:tcPr>
          <w:p w14:paraId="4BF66AC8" w14:textId="7E27F730" w:rsidR="00762268" w:rsidRPr="00762268" w:rsidRDefault="00762268" w:rsidP="00762268">
            <w:pPr>
              <w:pStyle w:val="BodyText"/>
              <w:spacing w:line="240" w:lineRule="auto"/>
              <w:rPr>
                <w:sz w:val="20"/>
                <w:szCs w:val="20"/>
              </w:rPr>
            </w:pPr>
            <w:r w:rsidRPr="0099742A">
              <w:rPr>
                <w:color w:val="000000"/>
                <w:sz w:val="20"/>
                <w:szCs w:val="20"/>
              </w:rPr>
              <w:t>541</w:t>
            </w:r>
          </w:p>
        </w:tc>
        <w:tc>
          <w:tcPr>
            <w:tcW w:w="668" w:type="dxa"/>
            <w:tcBorders>
              <w:top w:val="nil"/>
              <w:left w:val="nil"/>
              <w:bottom w:val="nil"/>
              <w:right w:val="single" w:sz="4" w:space="0" w:color="auto"/>
            </w:tcBorders>
            <w:shd w:val="clear" w:color="auto" w:fill="auto"/>
            <w:noWrap/>
            <w:vAlign w:val="center"/>
            <w:hideMark/>
          </w:tcPr>
          <w:p w14:paraId="476B55EB" w14:textId="48A83F76" w:rsidR="00762268" w:rsidRPr="00762268" w:rsidRDefault="00762268" w:rsidP="00762268">
            <w:pPr>
              <w:pStyle w:val="BodyText"/>
              <w:spacing w:line="240" w:lineRule="auto"/>
              <w:rPr>
                <w:sz w:val="20"/>
                <w:szCs w:val="20"/>
              </w:rPr>
            </w:pPr>
            <w:r w:rsidRPr="0099742A">
              <w:rPr>
                <w:color w:val="000000"/>
                <w:sz w:val="20"/>
                <w:szCs w:val="20"/>
              </w:rPr>
              <w:t>541</w:t>
            </w:r>
          </w:p>
        </w:tc>
        <w:tc>
          <w:tcPr>
            <w:tcW w:w="668" w:type="dxa"/>
            <w:tcBorders>
              <w:top w:val="nil"/>
              <w:left w:val="nil"/>
              <w:bottom w:val="nil"/>
              <w:right w:val="nil"/>
            </w:tcBorders>
            <w:shd w:val="clear" w:color="auto" w:fill="auto"/>
            <w:noWrap/>
            <w:vAlign w:val="center"/>
            <w:hideMark/>
          </w:tcPr>
          <w:p w14:paraId="7BCBFB59" w14:textId="3F8D81A0" w:rsidR="00762268" w:rsidRPr="00762268" w:rsidRDefault="00762268" w:rsidP="00762268">
            <w:pPr>
              <w:pStyle w:val="BodyText"/>
              <w:spacing w:line="240" w:lineRule="auto"/>
              <w:rPr>
                <w:sz w:val="20"/>
                <w:szCs w:val="20"/>
              </w:rPr>
            </w:pPr>
            <w:r w:rsidRPr="0099742A">
              <w:rPr>
                <w:color w:val="000000"/>
                <w:sz w:val="20"/>
                <w:szCs w:val="20"/>
              </w:rPr>
              <w:t>484</w:t>
            </w:r>
          </w:p>
        </w:tc>
        <w:tc>
          <w:tcPr>
            <w:tcW w:w="668" w:type="dxa"/>
            <w:tcBorders>
              <w:top w:val="nil"/>
              <w:left w:val="nil"/>
              <w:bottom w:val="nil"/>
              <w:right w:val="nil"/>
            </w:tcBorders>
            <w:shd w:val="clear" w:color="auto" w:fill="auto"/>
            <w:noWrap/>
            <w:vAlign w:val="center"/>
            <w:hideMark/>
          </w:tcPr>
          <w:p w14:paraId="5B768383" w14:textId="0DD3F30B" w:rsidR="00762268" w:rsidRPr="00762268" w:rsidRDefault="00762268" w:rsidP="00762268">
            <w:pPr>
              <w:pStyle w:val="BodyText"/>
              <w:spacing w:line="240" w:lineRule="auto"/>
              <w:rPr>
                <w:sz w:val="20"/>
                <w:szCs w:val="20"/>
              </w:rPr>
            </w:pPr>
            <w:r w:rsidRPr="0099742A">
              <w:rPr>
                <w:color w:val="000000"/>
                <w:sz w:val="20"/>
                <w:szCs w:val="20"/>
              </w:rPr>
              <w:t>484</w:t>
            </w:r>
          </w:p>
        </w:tc>
        <w:tc>
          <w:tcPr>
            <w:tcW w:w="668" w:type="dxa"/>
            <w:tcBorders>
              <w:top w:val="nil"/>
              <w:left w:val="nil"/>
              <w:bottom w:val="nil"/>
              <w:right w:val="nil"/>
            </w:tcBorders>
            <w:shd w:val="clear" w:color="auto" w:fill="auto"/>
            <w:noWrap/>
            <w:vAlign w:val="center"/>
            <w:hideMark/>
          </w:tcPr>
          <w:p w14:paraId="6CA00DEE" w14:textId="31D52538" w:rsidR="00762268" w:rsidRPr="00762268" w:rsidRDefault="00762268" w:rsidP="00762268">
            <w:pPr>
              <w:pStyle w:val="BodyText"/>
              <w:spacing w:line="240" w:lineRule="auto"/>
              <w:rPr>
                <w:sz w:val="20"/>
                <w:szCs w:val="20"/>
              </w:rPr>
            </w:pPr>
            <w:r w:rsidRPr="0099742A">
              <w:rPr>
                <w:color w:val="000000"/>
                <w:sz w:val="20"/>
                <w:szCs w:val="20"/>
              </w:rPr>
              <w:t>481</w:t>
            </w:r>
          </w:p>
        </w:tc>
        <w:tc>
          <w:tcPr>
            <w:tcW w:w="668" w:type="dxa"/>
            <w:tcBorders>
              <w:top w:val="nil"/>
              <w:left w:val="nil"/>
              <w:bottom w:val="nil"/>
              <w:right w:val="nil"/>
            </w:tcBorders>
            <w:shd w:val="clear" w:color="auto" w:fill="auto"/>
            <w:noWrap/>
            <w:vAlign w:val="center"/>
            <w:hideMark/>
          </w:tcPr>
          <w:p w14:paraId="53435F64" w14:textId="2E5A4A63" w:rsidR="00762268" w:rsidRPr="00762268" w:rsidRDefault="00762268" w:rsidP="00762268">
            <w:pPr>
              <w:pStyle w:val="BodyText"/>
              <w:spacing w:line="240" w:lineRule="auto"/>
              <w:rPr>
                <w:sz w:val="20"/>
                <w:szCs w:val="20"/>
              </w:rPr>
            </w:pPr>
            <w:r w:rsidRPr="0099742A">
              <w:rPr>
                <w:color w:val="000000"/>
                <w:sz w:val="20"/>
                <w:szCs w:val="20"/>
              </w:rPr>
              <w:t>477</w:t>
            </w:r>
          </w:p>
        </w:tc>
        <w:tc>
          <w:tcPr>
            <w:tcW w:w="870" w:type="dxa"/>
            <w:tcBorders>
              <w:top w:val="nil"/>
              <w:left w:val="nil"/>
              <w:bottom w:val="nil"/>
              <w:right w:val="nil"/>
            </w:tcBorders>
            <w:shd w:val="clear" w:color="auto" w:fill="auto"/>
            <w:noWrap/>
            <w:vAlign w:val="bottom"/>
            <w:hideMark/>
          </w:tcPr>
          <w:p w14:paraId="5AAF69F3" w14:textId="5466D5BF" w:rsidR="00762268" w:rsidRPr="00762268" w:rsidRDefault="00762268" w:rsidP="00762268">
            <w:pPr>
              <w:pStyle w:val="BodyText"/>
              <w:spacing w:line="240" w:lineRule="auto"/>
              <w:rPr>
                <w:sz w:val="20"/>
                <w:szCs w:val="20"/>
              </w:rPr>
            </w:pPr>
            <w:r w:rsidRPr="0099742A">
              <w:rPr>
                <w:sz w:val="20"/>
                <w:szCs w:val="20"/>
              </w:rPr>
              <w:t>EIA</w:t>
            </w:r>
          </w:p>
        </w:tc>
        <w:tc>
          <w:tcPr>
            <w:tcW w:w="1201" w:type="dxa"/>
            <w:tcBorders>
              <w:top w:val="nil"/>
              <w:left w:val="nil"/>
              <w:bottom w:val="nil"/>
              <w:right w:val="nil"/>
            </w:tcBorders>
            <w:shd w:val="clear" w:color="auto" w:fill="auto"/>
            <w:noWrap/>
            <w:vAlign w:val="center"/>
            <w:hideMark/>
          </w:tcPr>
          <w:p w14:paraId="16807B54" w14:textId="3F39D0CA" w:rsidR="00762268" w:rsidRPr="00762268" w:rsidRDefault="00762268" w:rsidP="00762268">
            <w:pPr>
              <w:pStyle w:val="BodyText"/>
              <w:spacing w:line="240" w:lineRule="auto"/>
              <w:rPr>
                <w:sz w:val="20"/>
                <w:szCs w:val="20"/>
              </w:rPr>
            </w:pPr>
            <w:r w:rsidRPr="0099742A">
              <w:rPr>
                <w:color w:val="000000"/>
                <w:sz w:val="20"/>
                <w:szCs w:val="20"/>
              </w:rPr>
              <w:t>-11%</w:t>
            </w:r>
          </w:p>
        </w:tc>
      </w:tr>
      <w:tr w:rsidR="00762268" w:rsidRPr="00D1739C" w14:paraId="19EDCA6A" w14:textId="77777777" w:rsidTr="00415310">
        <w:trPr>
          <w:trHeight w:val="315"/>
        </w:trPr>
        <w:tc>
          <w:tcPr>
            <w:tcW w:w="2160" w:type="dxa"/>
            <w:tcBorders>
              <w:top w:val="nil"/>
              <w:left w:val="nil"/>
              <w:bottom w:val="nil"/>
              <w:right w:val="nil"/>
            </w:tcBorders>
            <w:shd w:val="clear" w:color="auto" w:fill="auto"/>
            <w:noWrap/>
            <w:vAlign w:val="center"/>
            <w:hideMark/>
          </w:tcPr>
          <w:p w14:paraId="7E7ABEDB" w14:textId="77777777" w:rsidR="00762268" w:rsidRPr="00373A86" w:rsidRDefault="00762268" w:rsidP="00762268">
            <w:pPr>
              <w:pStyle w:val="BodyText"/>
              <w:spacing w:line="240" w:lineRule="auto"/>
              <w:rPr>
                <w:sz w:val="20"/>
                <w:szCs w:val="20"/>
              </w:rPr>
            </w:pPr>
            <w:r w:rsidRPr="00373A86">
              <w:rPr>
                <w:sz w:val="20"/>
                <w:szCs w:val="20"/>
              </w:rPr>
              <w:t>Blended diesel</w:t>
            </w:r>
          </w:p>
        </w:tc>
        <w:tc>
          <w:tcPr>
            <w:tcW w:w="669" w:type="dxa"/>
            <w:tcBorders>
              <w:top w:val="nil"/>
              <w:left w:val="nil"/>
              <w:bottom w:val="nil"/>
              <w:right w:val="nil"/>
            </w:tcBorders>
            <w:shd w:val="clear" w:color="auto" w:fill="auto"/>
            <w:noWrap/>
            <w:vAlign w:val="center"/>
            <w:hideMark/>
          </w:tcPr>
          <w:p w14:paraId="45F8DA75" w14:textId="6405E71A" w:rsidR="00762268" w:rsidRPr="00762268" w:rsidRDefault="00762268" w:rsidP="00762268">
            <w:pPr>
              <w:pStyle w:val="BodyText"/>
              <w:spacing w:line="240" w:lineRule="auto"/>
              <w:rPr>
                <w:sz w:val="20"/>
                <w:szCs w:val="20"/>
              </w:rPr>
            </w:pPr>
            <w:r w:rsidRPr="0099742A">
              <w:rPr>
                <w:color w:val="000000"/>
                <w:sz w:val="20"/>
                <w:szCs w:val="20"/>
              </w:rPr>
              <w:t>193</w:t>
            </w:r>
          </w:p>
        </w:tc>
        <w:tc>
          <w:tcPr>
            <w:tcW w:w="668" w:type="dxa"/>
            <w:tcBorders>
              <w:top w:val="nil"/>
              <w:left w:val="nil"/>
              <w:bottom w:val="nil"/>
              <w:right w:val="nil"/>
            </w:tcBorders>
            <w:shd w:val="clear" w:color="auto" w:fill="auto"/>
            <w:noWrap/>
            <w:vAlign w:val="center"/>
            <w:hideMark/>
          </w:tcPr>
          <w:p w14:paraId="76E1A0EE" w14:textId="2A5B3CB1" w:rsidR="00762268" w:rsidRPr="00762268" w:rsidRDefault="00762268" w:rsidP="00762268">
            <w:pPr>
              <w:pStyle w:val="BodyText"/>
              <w:spacing w:line="240" w:lineRule="auto"/>
              <w:rPr>
                <w:sz w:val="20"/>
                <w:szCs w:val="20"/>
              </w:rPr>
            </w:pPr>
            <w:r w:rsidRPr="0099742A">
              <w:rPr>
                <w:color w:val="000000"/>
                <w:sz w:val="20"/>
                <w:szCs w:val="20"/>
              </w:rPr>
              <w:t>197</w:t>
            </w:r>
          </w:p>
        </w:tc>
        <w:tc>
          <w:tcPr>
            <w:tcW w:w="668" w:type="dxa"/>
            <w:tcBorders>
              <w:top w:val="nil"/>
              <w:left w:val="nil"/>
              <w:bottom w:val="nil"/>
              <w:right w:val="nil"/>
            </w:tcBorders>
            <w:shd w:val="clear" w:color="auto" w:fill="auto"/>
            <w:noWrap/>
            <w:vAlign w:val="center"/>
            <w:hideMark/>
          </w:tcPr>
          <w:p w14:paraId="48E7AFEA" w14:textId="3029C2CA" w:rsidR="00762268" w:rsidRPr="00762268" w:rsidRDefault="00762268" w:rsidP="00762268">
            <w:pPr>
              <w:pStyle w:val="BodyText"/>
              <w:spacing w:line="240" w:lineRule="auto"/>
              <w:rPr>
                <w:sz w:val="20"/>
                <w:szCs w:val="20"/>
              </w:rPr>
            </w:pPr>
            <w:r w:rsidRPr="0099742A">
              <w:rPr>
                <w:color w:val="000000"/>
                <w:sz w:val="20"/>
                <w:szCs w:val="20"/>
              </w:rPr>
              <w:t>208</w:t>
            </w:r>
          </w:p>
        </w:tc>
        <w:tc>
          <w:tcPr>
            <w:tcW w:w="668" w:type="dxa"/>
            <w:tcBorders>
              <w:top w:val="nil"/>
              <w:left w:val="nil"/>
              <w:bottom w:val="nil"/>
              <w:right w:val="single" w:sz="4" w:space="0" w:color="auto"/>
            </w:tcBorders>
            <w:shd w:val="clear" w:color="auto" w:fill="auto"/>
            <w:noWrap/>
            <w:vAlign w:val="center"/>
            <w:hideMark/>
          </w:tcPr>
          <w:p w14:paraId="7B547BBF" w14:textId="3F635F29" w:rsidR="00762268" w:rsidRPr="00762268" w:rsidRDefault="00762268" w:rsidP="00762268">
            <w:pPr>
              <w:pStyle w:val="BodyText"/>
              <w:spacing w:line="240" w:lineRule="auto"/>
              <w:rPr>
                <w:sz w:val="20"/>
                <w:szCs w:val="20"/>
              </w:rPr>
            </w:pPr>
            <w:r w:rsidRPr="0099742A">
              <w:rPr>
                <w:color w:val="000000"/>
                <w:sz w:val="20"/>
                <w:szCs w:val="20"/>
              </w:rPr>
              <w:t>204</w:t>
            </w:r>
          </w:p>
        </w:tc>
        <w:tc>
          <w:tcPr>
            <w:tcW w:w="668" w:type="dxa"/>
            <w:tcBorders>
              <w:top w:val="nil"/>
              <w:left w:val="nil"/>
              <w:bottom w:val="nil"/>
              <w:right w:val="nil"/>
            </w:tcBorders>
            <w:shd w:val="clear" w:color="auto" w:fill="auto"/>
            <w:noWrap/>
            <w:vAlign w:val="center"/>
            <w:hideMark/>
          </w:tcPr>
          <w:p w14:paraId="731C431F" w14:textId="4602D9EF" w:rsidR="00762268" w:rsidRPr="00762268" w:rsidRDefault="00762268" w:rsidP="00762268">
            <w:pPr>
              <w:pStyle w:val="BodyText"/>
              <w:spacing w:line="240" w:lineRule="auto"/>
              <w:rPr>
                <w:sz w:val="20"/>
                <w:szCs w:val="20"/>
              </w:rPr>
            </w:pPr>
            <w:r w:rsidRPr="0099742A">
              <w:rPr>
                <w:color w:val="000000"/>
                <w:sz w:val="20"/>
                <w:szCs w:val="20"/>
              </w:rPr>
              <w:t>201</w:t>
            </w:r>
          </w:p>
        </w:tc>
        <w:tc>
          <w:tcPr>
            <w:tcW w:w="668" w:type="dxa"/>
            <w:tcBorders>
              <w:top w:val="nil"/>
              <w:left w:val="nil"/>
              <w:bottom w:val="nil"/>
              <w:right w:val="nil"/>
            </w:tcBorders>
            <w:shd w:val="clear" w:color="auto" w:fill="auto"/>
            <w:noWrap/>
            <w:vAlign w:val="center"/>
            <w:hideMark/>
          </w:tcPr>
          <w:p w14:paraId="1E47FC77" w14:textId="2F3F25E5" w:rsidR="00762268" w:rsidRPr="00762268" w:rsidRDefault="00762268" w:rsidP="00762268">
            <w:pPr>
              <w:pStyle w:val="BodyText"/>
              <w:spacing w:line="240" w:lineRule="auto"/>
              <w:rPr>
                <w:sz w:val="20"/>
                <w:szCs w:val="20"/>
              </w:rPr>
            </w:pPr>
            <w:r w:rsidRPr="0099742A">
              <w:rPr>
                <w:color w:val="000000"/>
                <w:sz w:val="20"/>
                <w:szCs w:val="20"/>
              </w:rPr>
              <w:t>202</w:t>
            </w:r>
          </w:p>
        </w:tc>
        <w:tc>
          <w:tcPr>
            <w:tcW w:w="668" w:type="dxa"/>
            <w:tcBorders>
              <w:top w:val="nil"/>
              <w:left w:val="nil"/>
              <w:bottom w:val="nil"/>
              <w:right w:val="nil"/>
            </w:tcBorders>
            <w:shd w:val="clear" w:color="auto" w:fill="auto"/>
            <w:noWrap/>
            <w:vAlign w:val="center"/>
            <w:hideMark/>
          </w:tcPr>
          <w:p w14:paraId="4AAD32FA" w14:textId="4CE2374D" w:rsidR="00762268" w:rsidRPr="00762268" w:rsidRDefault="00762268" w:rsidP="00762268">
            <w:pPr>
              <w:pStyle w:val="BodyText"/>
              <w:spacing w:line="240" w:lineRule="auto"/>
              <w:rPr>
                <w:sz w:val="20"/>
                <w:szCs w:val="20"/>
              </w:rPr>
            </w:pPr>
            <w:r w:rsidRPr="0099742A">
              <w:rPr>
                <w:color w:val="000000"/>
                <w:sz w:val="20"/>
                <w:szCs w:val="20"/>
              </w:rPr>
              <w:t>201</w:t>
            </w:r>
          </w:p>
        </w:tc>
        <w:tc>
          <w:tcPr>
            <w:tcW w:w="668" w:type="dxa"/>
            <w:tcBorders>
              <w:top w:val="nil"/>
              <w:left w:val="nil"/>
              <w:bottom w:val="nil"/>
              <w:right w:val="nil"/>
            </w:tcBorders>
            <w:shd w:val="clear" w:color="auto" w:fill="auto"/>
            <w:noWrap/>
            <w:vAlign w:val="center"/>
            <w:hideMark/>
          </w:tcPr>
          <w:p w14:paraId="7189812D" w14:textId="7E3F3D36" w:rsidR="00762268" w:rsidRPr="00762268" w:rsidRDefault="00762268" w:rsidP="00762268">
            <w:pPr>
              <w:pStyle w:val="BodyText"/>
              <w:spacing w:line="240" w:lineRule="auto"/>
              <w:rPr>
                <w:sz w:val="20"/>
                <w:szCs w:val="20"/>
              </w:rPr>
            </w:pPr>
            <w:r w:rsidRPr="0099742A">
              <w:rPr>
                <w:color w:val="000000"/>
                <w:sz w:val="20"/>
                <w:szCs w:val="20"/>
              </w:rPr>
              <w:t>201</w:t>
            </w:r>
          </w:p>
        </w:tc>
        <w:tc>
          <w:tcPr>
            <w:tcW w:w="870" w:type="dxa"/>
            <w:tcBorders>
              <w:top w:val="nil"/>
              <w:left w:val="nil"/>
              <w:bottom w:val="nil"/>
              <w:right w:val="nil"/>
            </w:tcBorders>
            <w:shd w:val="clear" w:color="auto" w:fill="auto"/>
            <w:noWrap/>
            <w:vAlign w:val="bottom"/>
            <w:hideMark/>
          </w:tcPr>
          <w:p w14:paraId="432D8BD1" w14:textId="6285B159" w:rsidR="00762268" w:rsidRPr="00762268" w:rsidRDefault="00762268" w:rsidP="00762268">
            <w:pPr>
              <w:pStyle w:val="BodyText"/>
              <w:spacing w:line="240" w:lineRule="auto"/>
              <w:rPr>
                <w:sz w:val="20"/>
                <w:szCs w:val="20"/>
              </w:rPr>
            </w:pPr>
            <w:r w:rsidRPr="0099742A">
              <w:rPr>
                <w:sz w:val="20"/>
                <w:szCs w:val="20"/>
              </w:rPr>
              <w:t>EIA</w:t>
            </w:r>
          </w:p>
        </w:tc>
        <w:tc>
          <w:tcPr>
            <w:tcW w:w="1201" w:type="dxa"/>
            <w:tcBorders>
              <w:top w:val="nil"/>
              <w:left w:val="nil"/>
              <w:bottom w:val="nil"/>
              <w:right w:val="nil"/>
            </w:tcBorders>
            <w:shd w:val="clear" w:color="auto" w:fill="auto"/>
            <w:noWrap/>
            <w:vAlign w:val="center"/>
            <w:hideMark/>
          </w:tcPr>
          <w:p w14:paraId="45599D21" w14:textId="791BBBF3" w:rsidR="00762268" w:rsidRPr="00762268" w:rsidRDefault="00762268" w:rsidP="00762268">
            <w:pPr>
              <w:pStyle w:val="BodyText"/>
              <w:spacing w:line="240" w:lineRule="auto"/>
              <w:rPr>
                <w:sz w:val="20"/>
                <w:szCs w:val="20"/>
              </w:rPr>
            </w:pPr>
            <w:r w:rsidRPr="0099742A">
              <w:rPr>
                <w:color w:val="000000"/>
                <w:sz w:val="20"/>
                <w:szCs w:val="20"/>
              </w:rPr>
              <w:t>0%</w:t>
            </w:r>
          </w:p>
        </w:tc>
      </w:tr>
      <w:tr w:rsidR="00762268" w:rsidRPr="00D1739C" w14:paraId="08A729AA" w14:textId="77777777" w:rsidTr="00415310">
        <w:trPr>
          <w:trHeight w:val="315"/>
        </w:trPr>
        <w:tc>
          <w:tcPr>
            <w:tcW w:w="2160" w:type="dxa"/>
            <w:tcBorders>
              <w:top w:val="nil"/>
              <w:left w:val="nil"/>
              <w:bottom w:val="single" w:sz="4" w:space="0" w:color="auto"/>
              <w:right w:val="nil"/>
            </w:tcBorders>
            <w:shd w:val="clear" w:color="auto" w:fill="auto"/>
            <w:noWrap/>
            <w:vAlign w:val="center"/>
            <w:hideMark/>
          </w:tcPr>
          <w:p w14:paraId="527B0CAA" w14:textId="77777777" w:rsidR="00762268" w:rsidRPr="00373A86" w:rsidRDefault="00762268" w:rsidP="00373A86">
            <w:pPr>
              <w:pStyle w:val="BodyText"/>
              <w:spacing w:line="240" w:lineRule="auto"/>
              <w:rPr>
                <w:sz w:val="20"/>
                <w:szCs w:val="20"/>
              </w:rPr>
            </w:pPr>
            <w:r w:rsidRPr="00373A86">
              <w:rPr>
                <w:sz w:val="20"/>
                <w:szCs w:val="20"/>
              </w:rPr>
              <w:t xml:space="preserve">Prices ($ per </w:t>
            </w:r>
            <w:r w:rsidRPr="00373A86">
              <w:rPr>
                <w:rFonts w:hint="eastAsia"/>
                <w:sz w:val="20"/>
                <w:szCs w:val="20"/>
              </w:rPr>
              <w:t>lite</w:t>
            </w:r>
            <w:r w:rsidRPr="00373A86">
              <w:rPr>
                <w:sz w:val="20"/>
                <w:szCs w:val="20"/>
              </w:rPr>
              <w:t>r)</w:t>
            </w:r>
          </w:p>
        </w:tc>
        <w:tc>
          <w:tcPr>
            <w:tcW w:w="669" w:type="dxa"/>
            <w:tcBorders>
              <w:top w:val="nil"/>
              <w:left w:val="nil"/>
              <w:bottom w:val="single" w:sz="4" w:space="0" w:color="auto"/>
              <w:right w:val="nil"/>
            </w:tcBorders>
            <w:shd w:val="clear" w:color="auto" w:fill="auto"/>
            <w:noWrap/>
            <w:vAlign w:val="center"/>
            <w:hideMark/>
          </w:tcPr>
          <w:p w14:paraId="55A1AC86"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3664778F"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474B6B7C"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single" w:sz="4" w:space="0" w:color="auto"/>
            </w:tcBorders>
            <w:shd w:val="clear" w:color="auto" w:fill="auto"/>
            <w:noWrap/>
            <w:vAlign w:val="center"/>
            <w:hideMark/>
          </w:tcPr>
          <w:p w14:paraId="33675947"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1ED8BB7B"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7B9D2A7B"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5773B7DA"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nil"/>
              <w:left w:val="nil"/>
              <w:bottom w:val="single" w:sz="4" w:space="0" w:color="auto"/>
              <w:right w:val="nil"/>
            </w:tcBorders>
            <w:shd w:val="clear" w:color="auto" w:fill="auto"/>
            <w:noWrap/>
            <w:vAlign w:val="center"/>
            <w:hideMark/>
          </w:tcPr>
          <w:p w14:paraId="0D611A1D" w14:textId="77777777" w:rsidR="00762268" w:rsidRPr="00373A86" w:rsidRDefault="00762268" w:rsidP="00373A86">
            <w:pPr>
              <w:pStyle w:val="BodyText"/>
              <w:spacing w:line="240" w:lineRule="auto"/>
              <w:rPr>
                <w:sz w:val="20"/>
                <w:szCs w:val="20"/>
              </w:rPr>
            </w:pPr>
            <w:r w:rsidRPr="00373A86">
              <w:rPr>
                <w:sz w:val="20"/>
                <w:szCs w:val="20"/>
              </w:rPr>
              <w:t> </w:t>
            </w:r>
          </w:p>
        </w:tc>
        <w:tc>
          <w:tcPr>
            <w:tcW w:w="870" w:type="dxa"/>
            <w:tcBorders>
              <w:top w:val="nil"/>
              <w:left w:val="nil"/>
              <w:bottom w:val="single" w:sz="4" w:space="0" w:color="auto"/>
              <w:right w:val="nil"/>
            </w:tcBorders>
            <w:shd w:val="clear" w:color="auto" w:fill="auto"/>
            <w:noWrap/>
            <w:hideMark/>
          </w:tcPr>
          <w:p w14:paraId="61337DEF" w14:textId="77777777" w:rsidR="00762268" w:rsidRPr="00373A86" w:rsidRDefault="00762268" w:rsidP="00373A86">
            <w:pPr>
              <w:pStyle w:val="BodyText"/>
              <w:spacing w:line="240" w:lineRule="auto"/>
              <w:rPr>
                <w:sz w:val="20"/>
                <w:szCs w:val="20"/>
              </w:rPr>
            </w:pPr>
            <w:r w:rsidRPr="00373A86">
              <w:rPr>
                <w:sz w:val="20"/>
                <w:szCs w:val="20"/>
              </w:rPr>
              <w:t> </w:t>
            </w:r>
          </w:p>
        </w:tc>
        <w:tc>
          <w:tcPr>
            <w:tcW w:w="1201" w:type="dxa"/>
            <w:tcBorders>
              <w:top w:val="nil"/>
              <w:left w:val="nil"/>
              <w:bottom w:val="single" w:sz="4" w:space="0" w:color="auto"/>
              <w:right w:val="nil"/>
            </w:tcBorders>
            <w:shd w:val="clear" w:color="auto" w:fill="auto"/>
            <w:noWrap/>
            <w:vAlign w:val="center"/>
            <w:hideMark/>
          </w:tcPr>
          <w:p w14:paraId="0F732AE5" w14:textId="77777777" w:rsidR="00762268" w:rsidRPr="00373A86" w:rsidRDefault="00762268" w:rsidP="00373A86">
            <w:pPr>
              <w:pStyle w:val="BodyText"/>
              <w:spacing w:line="240" w:lineRule="auto"/>
              <w:rPr>
                <w:sz w:val="20"/>
                <w:szCs w:val="20"/>
              </w:rPr>
            </w:pPr>
            <w:r w:rsidRPr="00373A86">
              <w:rPr>
                <w:sz w:val="20"/>
                <w:szCs w:val="20"/>
              </w:rPr>
              <w:t> </w:t>
            </w:r>
          </w:p>
        </w:tc>
      </w:tr>
      <w:tr w:rsidR="00762268" w:rsidRPr="00D1739C" w14:paraId="70F8B6C6" w14:textId="77777777" w:rsidTr="00415310">
        <w:trPr>
          <w:trHeight w:val="315"/>
        </w:trPr>
        <w:tc>
          <w:tcPr>
            <w:tcW w:w="2160" w:type="dxa"/>
            <w:tcBorders>
              <w:top w:val="nil"/>
              <w:left w:val="nil"/>
              <w:bottom w:val="nil"/>
              <w:right w:val="nil"/>
            </w:tcBorders>
            <w:shd w:val="clear" w:color="auto" w:fill="auto"/>
            <w:noWrap/>
            <w:vAlign w:val="center"/>
            <w:hideMark/>
          </w:tcPr>
          <w:p w14:paraId="73CDB974" w14:textId="77777777" w:rsidR="00762268" w:rsidRPr="00373A86" w:rsidRDefault="00762268" w:rsidP="00762268">
            <w:pPr>
              <w:pStyle w:val="BodyText"/>
              <w:spacing w:line="240" w:lineRule="auto"/>
              <w:rPr>
                <w:sz w:val="20"/>
                <w:szCs w:val="20"/>
              </w:rPr>
            </w:pPr>
            <w:r w:rsidRPr="00373A86">
              <w:rPr>
                <w:sz w:val="20"/>
                <w:szCs w:val="20"/>
              </w:rPr>
              <w:t>US oil price</w:t>
            </w:r>
          </w:p>
        </w:tc>
        <w:tc>
          <w:tcPr>
            <w:tcW w:w="669" w:type="dxa"/>
            <w:tcBorders>
              <w:top w:val="nil"/>
              <w:left w:val="nil"/>
              <w:bottom w:val="nil"/>
              <w:right w:val="nil"/>
            </w:tcBorders>
            <w:shd w:val="clear" w:color="auto" w:fill="auto"/>
            <w:noWrap/>
            <w:vAlign w:val="center"/>
            <w:hideMark/>
          </w:tcPr>
          <w:p w14:paraId="36508CC7" w14:textId="1A2A4710" w:rsidR="00762268" w:rsidRPr="00762268" w:rsidRDefault="00762268" w:rsidP="00762268">
            <w:pPr>
              <w:pStyle w:val="BodyText"/>
              <w:spacing w:line="240" w:lineRule="auto"/>
              <w:rPr>
                <w:sz w:val="20"/>
                <w:szCs w:val="20"/>
              </w:rPr>
            </w:pPr>
            <w:r w:rsidRPr="0099742A">
              <w:rPr>
                <w:color w:val="000000"/>
                <w:sz w:val="20"/>
                <w:szCs w:val="20"/>
              </w:rPr>
              <w:t>0.27</w:t>
            </w:r>
          </w:p>
        </w:tc>
        <w:tc>
          <w:tcPr>
            <w:tcW w:w="668" w:type="dxa"/>
            <w:tcBorders>
              <w:top w:val="nil"/>
              <w:left w:val="nil"/>
              <w:bottom w:val="nil"/>
              <w:right w:val="nil"/>
            </w:tcBorders>
            <w:shd w:val="clear" w:color="auto" w:fill="auto"/>
            <w:noWrap/>
            <w:vAlign w:val="center"/>
            <w:hideMark/>
          </w:tcPr>
          <w:p w14:paraId="4B358F06" w14:textId="6A454144" w:rsidR="00762268" w:rsidRPr="00762268" w:rsidRDefault="00762268" w:rsidP="00762268">
            <w:pPr>
              <w:pStyle w:val="BodyText"/>
              <w:spacing w:line="240" w:lineRule="auto"/>
              <w:rPr>
                <w:sz w:val="20"/>
                <w:szCs w:val="20"/>
              </w:rPr>
            </w:pPr>
            <w:r w:rsidRPr="0099742A">
              <w:rPr>
                <w:color w:val="000000"/>
                <w:sz w:val="20"/>
                <w:szCs w:val="20"/>
              </w:rPr>
              <w:t>0.32</w:t>
            </w:r>
          </w:p>
        </w:tc>
        <w:tc>
          <w:tcPr>
            <w:tcW w:w="668" w:type="dxa"/>
            <w:tcBorders>
              <w:top w:val="nil"/>
              <w:left w:val="nil"/>
              <w:bottom w:val="nil"/>
              <w:right w:val="nil"/>
            </w:tcBorders>
            <w:shd w:val="clear" w:color="auto" w:fill="auto"/>
            <w:noWrap/>
            <w:vAlign w:val="center"/>
            <w:hideMark/>
          </w:tcPr>
          <w:p w14:paraId="60BCC620" w14:textId="70339BD4" w:rsidR="00762268" w:rsidRPr="00762268" w:rsidRDefault="00762268" w:rsidP="00762268">
            <w:pPr>
              <w:pStyle w:val="BodyText"/>
              <w:spacing w:line="240" w:lineRule="auto"/>
              <w:rPr>
                <w:sz w:val="20"/>
                <w:szCs w:val="20"/>
              </w:rPr>
            </w:pPr>
            <w:r w:rsidRPr="0099742A">
              <w:rPr>
                <w:color w:val="000000"/>
                <w:sz w:val="20"/>
                <w:szCs w:val="20"/>
              </w:rPr>
              <w:t>0.41</w:t>
            </w:r>
          </w:p>
        </w:tc>
        <w:tc>
          <w:tcPr>
            <w:tcW w:w="668" w:type="dxa"/>
            <w:tcBorders>
              <w:top w:val="nil"/>
              <w:left w:val="nil"/>
              <w:bottom w:val="nil"/>
              <w:right w:val="single" w:sz="4" w:space="0" w:color="auto"/>
            </w:tcBorders>
            <w:shd w:val="clear" w:color="auto" w:fill="auto"/>
            <w:noWrap/>
            <w:vAlign w:val="center"/>
            <w:hideMark/>
          </w:tcPr>
          <w:p w14:paraId="45099783" w14:textId="7251AAB7" w:rsidR="00762268" w:rsidRPr="00762268" w:rsidRDefault="00762268" w:rsidP="00762268">
            <w:pPr>
              <w:pStyle w:val="BodyText"/>
              <w:spacing w:line="240" w:lineRule="auto"/>
              <w:rPr>
                <w:sz w:val="20"/>
                <w:szCs w:val="20"/>
              </w:rPr>
            </w:pPr>
            <w:r w:rsidRPr="0099742A">
              <w:rPr>
                <w:color w:val="000000"/>
                <w:sz w:val="20"/>
                <w:szCs w:val="20"/>
              </w:rPr>
              <w:t>0.36</w:t>
            </w:r>
          </w:p>
        </w:tc>
        <w:tc>
          <w:tcPr>
            <w:tcW w:w="668" w:type="dxa"/>
            <w:tcBorders>
              <w:top w:val="nil"/>
              <w:left w:val="nil"/>
              <w:bottom w:val="nil"/>
              <w:right w:val="nil"/>
            </w:tcBorders>
            <w:shd w:val="clear" w:color="auto" w:fill="auto"/>
            <w:noWrap/>
            <w:vAlign w:val="center"/>
            <w:hideMark/>
          </w:tcPr>
          <w:p w14:paraId="1C0646EC" w14:textId="58F7FE7E" w:rsidR="00762268" w:rsidRPr="00762268" w:rsidRDefault="00762268" w:rsidP="00762268">
            <w:pPr>
              <w:pStyle w:val="BodyText"/>
              <w:spacing w:line="240" w:lineRule="auto"/>
              <w:rPr>
                <w:sz w:val="20"/>
                <w:szCs w:val="20"/>
              </w:rPr>
            </w:pPr>
            <w:r w:rsidRPr="0099742A">
              <w:rPr>
                <w:color w:val="000000"/>
                <w:sz w:val="20"/>
                <w:szCs w:val="20"/>
              </w:rPr>
              <w:t>0.27</w:t>
            </w:r>
          </w:p>
        </w:tc>
        <w:tc>
          <w:tcPr>
            <w:tcW w:w="668" w:type="dxa"/>
            <w:tcBorders>
              <w:top w:val="nil"/>
              <w:left w:val="nil"/>
              <w:bottom w:val="nil"/>
              <w:right w:val="nil"/>
            </w:tcBorders>
            <w:shd w:val="clear" w:color="auto" w:fill="auto"/>
            <w:noWrap/>
            <w:vAlign w:val="center"/>
            <w:hideMark/>
          </w:tcPr>
          <w:p w14:paraId="37DB8667" w14:textId="21A9332E" w:rsidR="00762268" w:rsidRPr="00762268" w:rsidRDefault="00762268" w:rsidP="00762268">
            <w:pPr>
              <w:pStyle w:val="BodyText"/>
              <w:spacing w:line="240" w:lineRule="auto"/>
              <w:rPr>
                <w:sz w:val="20"/>
                <w:szCs w:val="20"/>
              </w:rPr>
            </w:pPr>
            <w:r w:rsidRPr="0099742A">
              <w:rPr>
                <w:color w:val="000000"/>
                <w:sz w:val="20"/>
                <w:szCs w:val="20"/>
              </w:rPr>
              <w:t>0.30</w:t>
            </w:r>
          </w:p>
        </w:tc>
        <w:tc>
          <w:tcPr>
            <w:tcW w:w="668" w:type="dxa"/>
            <w:tcBorders>
              <w:top w:val="nil"/>
              <w:left w:val="nil"/>
              <w:bottom w:val="nil"/>
              <w:right w:val="nil"/>
            </w:tcBorders>
            <w:shd w:val="clear" w:color="auto" w:fill="auto"/>
            <w:noWrap/>
            <w:vAlign w:val="center"/>
            <w:hideMark/>
          </w:tcPr>
          <w:p w14:paraId="7BBFFFDF" w14:textId="410591CE" w:rsidR="00762268" w:rsidRPr="00762268" w:rsidRDefault="00762268" w:rsidP="00762268">
            <w:pPr>
              <w:pStyle w:val="BodyText"/>
              <w:spacing w:line="240" w:lineRule="auto"/>
              <w:rPr>
                <w:sz w:val="20"/>
                <w:szCs w:val="20"/>
              </w:rPr>
            </w:pPr>
            <w:r w:rsidRPr="0099742A">
              <w:rPr>
                <w:color w:val="000000"/>
                <w:sz w:val="20"/>
                <w:szCs w:val="20"/>
              </w:rPr>
              <w:t>0.40</w:t>
            </w:r>
          </w:p>
        </w:tc>
        <w:tc>
          <w:tcPr>
            <w:tcW w:w="668" w:type="dxa"/>
            <w:tcBorders>
              <w:top w:val="nil"/>
              <w:left w:val="nil"/>
              <w:bottom w:val="nil"/>
              <w:right w:val="nil"/>
            </w:tcBorders>
            <w:shd w:val="clear" w:color="auto" w:fill="auto"/>
            <w:noWrap/>
            <w:vAlign w:val="center"/>
            <w:hideMark/>
          </w:tcPr>
          <w:p w14:paraId="0FC801C7" w14:textId="507C673E" w:rsidR="00762268" w:rsidRPr="00762268" w:rsidRDefault="00762268" w:rsidP="00762268">
            <w:pPr>
              <w:pStyle w:val="BodyText"/>
              <w:spacing w:line="240" w:lineRule="auto"/>
              <w:rPr>
                <w:sz w:val="20"/>
                <w:szCs w:val="20"/>
              </w:rPr>
            </w:pPr>
            <w:r w:rsidRPr="0099742A">
              <w:rPr>
                <w:color w:val="000000"/>
                <w:sz w:val="20"/>
                <w:szCs w:val="20"/>
              </w:rPr>
              <w:t>0.36</w:t>
            </w:r>
          </w:p>
        </w:tc>
        <w:tc>
          <w:tcPr>
            <w:tcW w:w="870" w:type="dxa"/>
            <w:tcBorders>
              <w:top w:val="nil"/>
              <w:left w:val="nil"/>
              <w:bottom w:val="nil"/>
              <w:right w:val="nil"/>
            </w:tcBorders>
            <w:shd w:val="clear" w:color="auto" w:fill="auto"/>
            <w:noWrap/>
            <w:vAlign w:val="center"/>
            <w:hideMark/>
          </w:tcPr>
          <w:p w14:paraId="06F8FB33" w14:textId="1EDC6CF5" w:rsidR="00762268" w:rsidRPr="00762268" w:rsidRDefault="00762268" w:rsidP="00762268">
            <w:pPr>
              <w:pStyle w:val="BodyText"/>
              <w:spacing w:line="240" w:lineRule="auto"/>
              <w:rPr>
                <w:sz w:val="20"/>
                <w:szCs w:val="20"/>
              </w:rPr>
            </w:pPr>
            <w:r w:rsidRPr="0099742A">
              <w:rPr>
                <w:sz w:val="20"/>
                <w:szCs w:val="20"/>
              </w:rPr>
              <w:t>WTI</w:t>
            </w:r>
          </w:p>
        </w:tc>
        <w:tc>
          <w:tcPr>
            <w:tcW w:w="1201" w:type="dxa"/>
            <w:tcBorders>
              <w:top w:val="nil"/>
              <w:left w:val="nil"/>
              <w:bottom w:val="nil"/>
              <w:right w:val="nil"/>
            </w:tcBorders>
            <w:shd w:val="clear" w:color="auto" w:fill="auto"/>
            <w:noWrap/>
            <w:vAlign w:val="center"/>
            <w:hideMark/>
          </w:tcPr>
          <w:p w14:paraId="18C98715" w14:textId="60F6DC2D" w:rsidR="00762268" w:rsidRPr="00762268" w:rsidRDefault="00762268" w:rsidP="00762268">
            <w:pPr>
              <w:pStyle w:val="BodyText"/>
              <w:spacing w:line="240" w:lineRule="auto"/>
              <w:rPr>
                <w:sz w:val="20"/>
                <w:szCs w:val="20"/>
              </w:rPr>
            </w:pPr>
            <w:r w:rsidRPr="0099742A">
              <w:rPr>
                <w:color w:val="000000"/>
                <w:sz w:val="20"/>
                <w:szCs w:val="20"/>
              </w:rPr>
              <w:t>-2%</w:t>
            </w:r>
          </w:p>
        </w:tc>
      </w:tr>
      <w:tr w:rsidR="00762268" w:rsidRPr="00D1739C" w14:paraId="31CB3F6A" w14:textId="77777777" w:rsidTr="00415310">
        <w:trPr>
          <w:trHeight w:val="315"/>
        </w:trPr>
        <w:tc>
          <w:tcPr>
            <w:tcW w:w="2160" w:type="dxa"/>
            <w:tcBorders>
              <w:top w:val="nil"/>
              <w:left w:val="nil"/>
              <w:bottom w:val="nil"/>
              <w:right w:val="nil"/>
            </w:tcBorders>
            <w:shd w:val="clear" w:color="auto" w:fill="auto"/>
            <w:noWrap/>
            <w:vAlign w:val="center"/>
            <w:hideMark/>
          </w:tcPr>
          <w:p w14:paraId="41C0B38D" w14:textId="77777777" w:rsidR="00762268" w:rsidRPr="00373A86" w:rsidRDefault="00762268" w:rsidP="00762268">
            <w:pPr>
              <w:pStyle w:val="BodyText"/>
              <w:spacing w:line="240" w:lineRule="auto"/>
              <w:rPr>
                <w:sz w:val="20"/>
                <w:szCs w:val="20"/>
              </w:rPr>
            </w:pPr>
            <w:r w:rsidRPr="00373A86">
              <w:rPr>
                <w:sz w:val="20"/>
                <w:szCs w:val="20"/>
              </w:rPr>
              <w:t>ROW oil price</w:t>
            </w:r>
          </w:p>
        </w:tc>
        <w:tc>
          <w:tcPr>
            <w:tcW w:w="669" w:type="dxa"/>
            <w:tcBorders>
              <w:top w:val="nil"/>
              <w:left w:val="nil"/>
              <w:bottom w:val="nil"/>
              <w:right w:val="nil"/>
            </w:tcBorders>
            <w:shd w:val="clear" w:color="auto" w:fill="auto"/>
            <w:noWrap/>
            <w:vAlign w:val="center"/>
            <w:hideMark/>
          </w:tcPr>
          <w:p w14:paraId="18B4F6D3" w14:textId="61C722AD" w:rsidR="00762268" w:rsidRPr="00762268" w:rsidRDefault="00762268" w:rsidP="00762268">
            <w:pPr>
              <w:pStyle w:val="BodyText"/>
              <w:spacing w:line="240" w:lineRule="auto"/>
              <w:rPr>
                <w:sz w:val="20"/>
                <w:szCs w:val="20"/>
              </w:rPr>
            </w:pPr>
            <w:r w:rsidRPr="0099742A">
              <w:rPr>
                <w:color w:val="000000"/>
                <w:sz w:val="20"/>
                <w:szCs w:val="20"/>
              </w:rPr>
              <w:t>0.27</w:t>
            </w:r>
          </w:p>
        </w:tc>
        <w:tc>
          <w:tcPr>
            <w:tcW w:w="668" w:type="dxa"/>
            <w:tcBorders>
              <w:top w:val="nil"/>
              <w:left w:val="nil"/>
              <w:bottom w:val="nil"/>
              <w:right w:val="nil"/>
            </w:tcBorders>
            <w:shd w:val="clear" w:color="auto" w:fill="auto"/>
            <w:noWrap/>
            <w:vAlign w:val="center"/>
            <w:hideMark/>
          </w:tcPr>
          <w:p w14:paraId="716DC4E1" w14:textId="612BD093" w:rsidR="00762268" w:rsidRPr="00762268" w:rsidRDefault="00762268" w:rsidP="00762268">
            <w:pPr>
              <w:pStyle w:val="BodyText"/>
              <w:spacing w:line="240" w:lineRule="auto"/>
              <w:rPr>
                <w:sz w:val="20"/>
                <w:szCs w:val="20"/>
              </w:rPr>
            </w:pPr>
            <w:r w:rsidRPr="0099742A">
              <w:rPr>
                <w:color w:val="000000"/>
                <w:sz w:val="20"/>
                <w:szCs w:val="20"/>
              </w:rPr>
              <w:t>0.34</w:t>
            </w:r>
          </w:p>
        </w:tc>
        <w:tc>
          <w:tcPr>
            <w:tcW w:w="668" w:type="dxa"/>
            <w:tcBorders>
              <w:top w:val="nil"/>
              <w:left w:val="nil"/>
              <w:bottom w:val="nil"/>
              <w:right w:val="nil"/>
            </w:tcBorders>
            <w:shd w:val="clear" w:color="auto" w:fill="auto"/>
            <w:noWrap/>
            <w:vAlign w:val="center"/>
            <w:hideMark/>
          </w:tcPr>
          <w:p w14:paraId="1B26EFD7" w14:textId="78DBE0A8" w:rsidR="00762268" w:rsidRPr="00762268" w:rsidRDefault="00762268" w:rsidP="00762268">
            <w:pPr>
              <w:pStyle w:val="BodyText"/>
              <w:spacing w:line="240" w:lineRule="auto"/>
              <w:rPr>
                <w:sz w:val="20"/>
                <w:szCs w:val="20"/>
              </w:rPr>
            </w:pPr>
            <w:r w:rsidRPr="0099742A">
              <w:rPr>
                <w:color w:val="000000"/>
                <w:sz w:val="20"/>
                <w:szCs w:val="20"/>
              </w:rPr>
              <w:t>0.45</w:t>
            </w:r>
          </w:p>
        </w:tc>
        <w:tc>
          <w:tcPr>
            <w:tcW w:w="668" w:type="dxa"/>
            <w:tcBorders>
              <w:top w:val="nil"/>
              <w:left w:val="nil"/>
              <w:bottom w:val="nil"/>
              <w:right w:val="single" w:sz="4" w:space="0" w:color="auto"/>
            </w:tcBorders>
            <w:shd w:val="clear" w:color="auto" w:fill="auto"/>
            <w:noWrap/>
            <w:vAlign w:val="center"/>
            <w:hideMark/>
          </w:tcPr>
          <w:p w14:paraId="3FCBC793" w14:textId="7B0F8F44" w:rsidR="00762268" w:rsidRPr="00762268" w:rsidRDefault="00762268" w:rsidP="00762268">
            <w:pPr>
              <w:pStyle w:val="BodyText"/>
              <w:spacing w:line="240" w:lineRule="auto"/>
              <w:rPr>
                <w:sz w:val="20"/>
                <w:szCs w:val="20"/>
              </w:rPr>
            </w:pPr>
            <w:r w:rsidRPr="0099742A">
              <w:rPr>
                <w:color w:val="000000"/>
                <w:sz w:val="20"/>
                <w:szCs w:val="20"/>
              </w:rPr>
              <w:t>0.40</w:t>
            </w:r>
          </w:p>
        </w:tc>
        <w:tc>
          <w:tcPr>
            <w:tcW w:w="668" w:type="dxa"/>
            <w:tcBorders>
              <w:top w:val="nil"/>
              <w:left w:val="nil"/>
              <w:bottom w:val="nil"/>
              <w:right w:val="nil"/>
            </w:tcBorders>
            <w:shd w:val="clear" w:color="auto" w:fill="auto"/>
            <w:noWrap/>
            <w:vAlign w:val="center"/>
            <w:hideMark/>
          </w:tcPr>
          <w:p w14:paraId="07B41C49" w14:textId="2F1EFD45" w:rsidR="00762268" w:rsidRPr="00762268" w:rsidRDefault="00762268" w:rsidP="00762268">
            <w:pPr>
              <w:pStyle w:val="BodyText"/>
              <w:spacing w:line="240" w:lineRule="auto"/>
              <w:rPr>
                <w:sz w:val="20"/>
                <w:szCs w:val="20"/>
              </w:rPr>
            </w:pPr>
            <w:r w:rsidRPr="0099742A">
              <w:rPr>
                <w:color w:val="000000"/>
                <w:sz w:val="20"/>
                <w:szCs w:val="20"/>
              </w:rPr>
              <w:t>0.27</w:t>
            </w:r>
          </w:p>
        </w:tc>
        <w:tc>
          <w:tcPr>
            <w:tcW w:w="668" w:type="dxa"/>
            <w:tcBorders>
              <w:top w:val="nil"/>
              <w:left w:val="nil"/>
              <w:bottom w:val="nil"/>
              <w:right w:val="nil"/>
            </w:tcBorders>
            <w:shd w:val="clear" w:color="auto" w:fill="auto"/>
            <w:noWrap/>
            <w:vAlign w:val="center"/>
            <w:hideMark/>
          </w:tcPr>
          <w:p w14:paraId="23ADD3BE" w14:textId="0594D992" w:rsidR="00762268" w:rsidRPr="00762268" w:rsidRDefault="00762268" w:rsidP="00762268">
            <w:pPr>
              <w:pStyle w:val="BodyText"/>
              <w:spacing w:line="240" w:lineRule="auto"/>
              <w:rPr>
                <w:sz w:val="20"/>
                <w:szCs w:val="20"/>
              </w:rPr>
            </w:pPr>
            <w:r w:rsidRPr="0099742A">
              <w:rPr>
                <w:color w:val="000000"/>
                <w:sz w:val="20"/>
                <w:szCs w:val="20"/>
              </w:rPr>
              <w:t>0.30</w:t>
            </w:r>
          </w:p>
        </w:tc>
        <w:tc>
          <w:tcPr>
            <w:tcW w:w="668" w:type="dxa"/>
            <w:tcBorders>
              <w:top w:val="nil"/>
              <w:left w:val="nil"/>
              <w:bottom w:val="nil"/>
              <w:right w:val="nil"/>
            </w:tcBorders>
            <w:shd w:val="clear" w:color="auto" w:fill="auto"/>
            <w:noWrap/>
            <w:vAlign w:val="center"/>
            <w:hideMark/>
          </w:tcPr>
          <w:p w14:paraId="5EA0F4D7" w14:textId="46769638" w:rsidR="00762268" w:rsidRPr="00762268" w:rsidRDefault="00762268" w:rsidP="00762268">
            <w:pPr>
              <w:pStyle w:val="BodyText"/>
              <w:spacing w:line="240" w:lineRule="auto"/>
              <w:rPr>
                <w:sz w:val="20"/>
                <w:szCs w:val="20"/>
              </w:rPr>
            </w:pPr>
            <w:r w:rsidRPr="0099742A">
              <w:rPr>
                <w:color w:val="000000"/>
                <w:sz w:val="20"/>
                <w:szCs w:val="20"/>
              </w:rPr>
              <w:t>0.40</w:t>
            </w:r>
          </w:p>
        </w:tc>
        <w:tc>
          <w:tcPr>
            <w:tcW w:w="668" w:type="dxa"/>
            <w:tcBorders>
              <w:top w:val="nil"/>
              <w:left w:val="nil"/>
              <w:bottom w:val="nil"/>
              <w:right w:val="nil"/>
            </w:tcBorders>
            <w:shd w:val="clear" w:color="auto" w:fill="auto"/>
            <w:noWrap/>
            <w:vAlign w:val="center"/>
            <w:hideMark/>
          </w:tcPr>
          <w:p w14:paraId="5FDDCD9F" w14:textId="62E1C85B" w:rsidR="00762268" w:rsidRPr="00762268" w:rsidRDefault="00762268" w:rsidP="00762268">
            <w:pPr>
              <w:pStyle w:val="BodyText"/>
              <w:spacing w:line="240" w:lineRule="auto"/>
              <w:rPr>
                <w:sz w:val="20"/>
                <w:szCs w:val="20"/>
              </w:rPr>
            </w:pPr>
            <w:r w:rsidRPr="0099742A">
              <w:rPr>
                <w:color w:val="000000"/>
                <w:sz w:val="20"/>
                <w:szCs w:val="20"/>
              </w:rPr>
              <w:t>0.36</w:t>
            </w:r>
          </w:p>
        </w:tc>
        <w:tc>
          <w:tcPr>
            <w:tcW w:w="870" w:type="dxa"/>
            <w:tcBorders>
              <w:top w:val="nil"/>
              <w:left w:val="nil"/>
              <w:bottom w:val="nil"/>
              <w:right w:val="nil"/>
            </w:tcBorders>
            <w:shd w:val="clear" w:color="auto" w:fill="auto"/>
            <w:noWrap/>
            <w:vAlign w:val="bottom"/>
            <w:hideMark/>
          </w:tcPr>
          <w:p w14:paraId="5B262DB8" w14:textId="71F89120" w:rsidR="00762268" w:rsidRPr="00762268" w:rsidRDefault="00762268" w:rsidP="00762268">
            <w:pPr>
              <w:pStyle w:val="BodyText"/>
              <w:spacing w:line="240" w:lineRule="auto"/>
              <w:rPr>
                <w:sz w:val="20"/>
                <w:szCs w:val="20"/>
              </w:rPr>
            </w:pPr>
            <w:r w:rsidRPr="0099742A">
              <w:rPr>
                <w:sz w:val="20"/>
                <w:szCs w:val="20"/>
              </w:rPr>
              <w:t>Brent</w:t>
            </w:r>
          </w:p>
        </w:tc>
        <w:tc>
          <w:tcPr>
            <w:tcW w:w="1201" w:type="dxa"/>
            <w:tcBorders>
              <w:top w:val="nil"/>
              <w:left w:val="nil"/>
              <w:bottom w:val="nil"/>
              <w:right w:val="nil"/>
            </w:tcBorders>
            <w:shd w:val="clear" w:color="auto" w:fill="auto"/>
            <w:noWrap/>
            <w:vAlign w:val="center"/>
            <w:hideMark/>
          </w:tcPr>
          <w:p w14:paraId="62B4C754" w14:textId="3F4A7963" w:rsidR="00762268" w:rsidRPr="00762268" w:rsidRDefault="00762268" w:rsidP="00762268">
            <w:pPr>
              <w:pStyle w:val="BodyText"/>
              <w:spacing w:line="240" w:lineRule="auto"/>
              <w:rPr>
                <w:sz w:val="20"/>
                <w:szCs w:val="20"/>
              </w:rPr>
            </w:pPr>
            <w:r w:rsidRPr="0099742A">
              <w:rPr>
                <w:color w:val="000000"/>
                <w:sz w:val="20"/>
                <w:szCs w:val="20"/>
              </w:rPr>
              <w:t>-8%</w:t>
            </w:r>
          </w:p>
        </w:tc>
      </w:tr>
      <w:tr w:rsidR="00762268" w:rsidRPr="00D1739C" w14:paraId="288B4F99" w14:textId="77777777" w:rsidTr="00415310">
        <w:trPr>
          <w:trHeight w:val="315"/>
        </w:trPr>
        <w:tc>
          <w:tcPr>
            <w:tcW w:w="2160" w:type="dxa"/>
            <w:tcBorders>
              <w:top w:val="nil"/>
              <w:left w:val="nil"/>
              <w:bottom w:val="nil"/>
              <w:right w:val="nil"/>
            </w:tcBorders>
            <w:shd w:val="clear" w:color="auto" w:fill="auto"/>
            <w:noWrap/>
            <w:vAlign w:val="center"/>
            <w:hideMark/>
          </w:tcPr>
          <w:p w14:paraId="2E540FDF" w14:textId="77777777" w:rsidR="00762268" w:rsidRPr="00373A86" w:rsidRDefault="00762268" w:rsidP="00762268">
            <w:pPr>
              <w:pStyle w:val="BodyText"/>
              <w:spacing w:line="240" w:lineRule="auto"/>
              <w:rPr>
                <w:sz w:val="20"/>
                <w:szCs w:val="20"/>
              </w:rPr>
            </w:pPr>
            <w:r w:rsidRPr="00373A86">
              <w:rPr>
                <w:sz w:val="20"/>
                <w:szCs w:val="20"/>
              </w:rPr>
              <w:t>US wholesale ethanol</w:t>
            </w:r>
          </w:p>
        </w:tc>
        <w:tc>
          <w:tcPr>
            <w:tcW w:w="669" w:type="dxa"/>
            <w:tcBorders>
              <w:top w:val="nil"/>
              <w:left w:val="nil"/>
              <w:bottom w:val="nil"/>
              <w:right w:val="nil"/>
            </w:tcBorders>
            <w:shd w:val="clear" w:color="auto" w:fill="auto"/>
            <w:noWrap/>
            <w:vAlign w:val="center"/>
            <w:hideMark/>
          </w:tcPr>
          <w:p w14:paraId="69F1B47A" w14:textId="023EF8D1" w:rsidR="00762268" w:rsidRPr="00762268" w:rsidRDefault="00762268" w:rsidP="00762268">
            <w:pPr>
              <w:pStyle w:val="BodyText"/>
              <w:spacing w:line="240" w:lineRule="auto"/>
              <w:rPr>
                <w:sz w:val="20"/>
                <w:szCs w:val="20"/>
              </w:rPr>
            </w:pPr>
            <w:r w:rsidRPr="0099742A">
              <w:rPr>
                <w:color w:val="000000"/>
                <w:sz w:val="20"/>
                <w:szCs w:val="20"/>
              </w:rPr>
              <w:t>0.41</w:t>
            </w:r>
          </w:p>
        </w:tc>
        <w:tc>
          <w:tcPr>
            <w:tcW w:w="668" w:type="dxa"/>
            <w:tcBorders>
              <w:top w:val="nil"/>
              <w:left w:val="nil"/>
              <w:bottom w:val="nil"/>
              <w:right w:val="nil"/>
            </w:tcBorders>
            <w:shd w:val="clear" w:color="auto" w:fill="auto"/>
            <w:noWrap/>
            <w:vAlign w:val="center"/>
            <w:hideMark/>
          </w:tcPr>
          <w:p w14:paraId="78A59DAF" w14:textId="4A8933CB" w:rsidR="00762268" w:rsidRPr="00762268" w:rsidRDefault="00762268" w:rsidP="00762268">
            <w:pPr>
              <w:pStyle w:val="BodyText"/>
              <w:spacing w:line="240" w:lineRule="auto"/>
              <w:rPr>
                <w:sz w:val="20"/>
                <w:szCs w:val="20"/>
              </w:rPr>
            </w:pPr>
            <w:r w:rsidRPr="0099742A">
              <w:rPr>
                <w:color w:val="000000"/>
                <w:sz w:val="20"/>
                <w:szCs w:val="20"/>
              </w:rPr>
              <w:t>0.38</w:t>
            </w:r>
          </w:p>
        </w:tc>
        <w:tc>
          <w:tcPr>
            <w:tcW w:w="668" w:type="dxa"/>
            <w:tcBorders>
              <w:top w:val="nil"/>
              <w:left w:val="nil"/>
              <w:bottom w:val="nil"/>
              <w:right w:val="nil"/>
            </w:tcBorders>
            <w:shd w:val="clear" w:color="auto" w:fill="auto"/>
            <w:noWrap/>
            <w:vAlign w:val="center"/>
            <w:hideMark/>
          </w:tcPr>
          <w:p w14:paraId="049F3BF6" w14:textId="416E3FB4" w:rsidR="00762268" w:rsidRPr="00762268" w:rsidRDefault="00762268" w:rsidP="00762268">
            <w:pPr>
              <w:pStyle w:val="BodyText"/>
              <w:spacing w:line="240" w:lineRule="auto"/>
              <w:rPr>
                <w:sz w:val="20"/>
                <w:szCs w:val="20"/>
              </w:rPr>
            </w:pPr>
            <w:r w:rsidRPr="0099742A">
              <w:rPr>
                <w:color w:val="000000"/>
                <w:sz w:val="20"/>
                <w:szCs w:val="20"/>
              </w:rPr>
              <w:t>0.32</w:t>
            </w:r>
          </w:p>
        </w:tc>
        <w:tc>
          <w:tcPr>
            <w:tcW w:w="668" w:type="dxa"/>
            <w:tcBorders>
              <w:top w:val="nil"/>
              <w:left w:val="nil"/>
              <w:bottom w:val="nil"/>
              <w:right w:val="single" w:sz="4" w:space="0" w:color="auto"/>
            </w:tcBorders>
            <w:shd w:val="clear" w:color="auto" w:fill="auto"/>
            <w:noWrap/>
            <w:vAlign w:val="center"/>
            <w:hideMark/>
          </w:tcPr>
          <w:p w14:paraId="6BCC09BB" w14:textId="244B65A1" w:rsidR="00762268" w:rsidRPr="00762268" w:rsidRDefault="00762268" w:rsidP="00762268">
            <w:pPr>
              <w:pStyle w:val="BodyText"/>
              <w:spacing w:line="240" w:lineRule="auto"/>
              <w:rPr>
                <w:sz w:val="20"/>
                <w:szCs w:val="20"/>
              </w:rPr>
            </w:pPr>
            <w:r w:rsidRPr="0099742A">
              <w:rPr>
                <w:color w:val="000000"/>
                <w:sz w:val="20"/>
                <w:szCs w:val="20"/>
              </w:rPr>
              <w:t>0.33</w:t>
            </w:r>
          </w:p>
        </w:tc>
        <w:tc>
          <w:tcPr>
            <w:tcW w:w="668" w:type="dxa"/>
            <w:tcBorders>
              <w:top w:val="nil"/>
              <w:left w:val="nil"/>
              <w:bottom w:val="nil"/>
              <w:right w:val="nil"/>
            </w:tcBorders>
            <w:shd w:val="clear" w:color="auto" w:fill="auto"/>
            <w:noWrap/>
            <w:vAlign w:val="center"/>
            <w:hideMark/>
          </w:tcPr>
          <w:p w14:paraId="0D9E4213" w14:textId="749BF2E6" w:rsidR="00762268" w:rsidRPr="00762268" w:rsidRDefault="00762268" w:rsidP="00762268">
            <w:pPr>
              <w:pStyle w:val="BodyText"/>
              <w:spacing w:line="240" w:lineRule="auto"/>
              <w:rPr>
                <w:sz w:val="20"/>
                <w:szCs w:val="20"/>
              </w:rPr>
            </w:pPr>
            <w:r w:rsidRPr="0099742A">
              <w:rPr>
                <w:color w:val="000000"/>
                <w:sz w:val="20"/>
                <w:szCs w:val="20"/>
              </w:rPr>
              <w:t>0.42</w:t>
            </w:r>
          </w:p>
        </w:tc>
        <w:tc>
          <w:tcPr>
            <w:tcW w:w="668" w:type="dxa"/>
            <w:tcBorders>
              <w:top w:val="nil"/>
              <w:left w:val="nil"/>
              <w:bottom w:val="nil"/>
              <w:right w:val="nil"/>
            </w:tcBorders>
            <w:shd w:val="clear" w:color="auto" w:fill="auto"/>
            <w:noWrap/>
            <w:vAlign w:val="center"/>
            <w:hideMark/>
          </w:tcPr>
          <w:p w14:paraId="0B597F30" w14:textId="41224FC8" w:rsidR="00762268" w:rsidRPr="00762268" w:rsidRDefault="00762268" w:rsidP="00762268">
            <w:pPr>
              <w:pStyle w:val="BodyText"/>
              <w:spacing w:line="240" w:lineRule="auto"/>
              <w:rPr>
                <w:sz w:val="20"/>
                <w:szCs w:val="20"/>
              </w:rPr>
            </w:pPr>
            <w:r w:rsidRPr="0099742A">
              <w:rPr>
                <w:color w:val="000000"/>
                <w:sz w:val="20"/>
                <w:szCs w:val="20"/>
              </w:rPr>
              <w:t>0.39</w:t>
            </w:r>
          </w:p>
        </w:tc>
        <w:tc>
          <w:tcPr>
            <w:tcW w:w="668" w:type="dxa"/>
            <w:tcBorders>
              <w:top w:val="nil"/>
              <w:left w:val="nil"/>
              <w:bottom w:val="nil"/>
              <w:right w:val="nil"/>
            </w:tcBorders>
            <w:shd w:val="clear" w:color="auto" w:fill="auto"/>
            <w:noWrap/>
            <w:vAlign w:val="center"/>
            <w:hideMark/>
          </w:tcPr>
          <w:p w14:paraId="03711554" w14:textId="3D345549" w:rsidR="00762268" w:rsidRPr="00762268" w:rsidRDefault="00762268" w:rsidP="00762268">
            <w:pPr>
              <w:pStyle w:val="BodyText"/>
              <w:spacing w:line="240" w:lineRule="auto"/>
              <w:rPr>
                <w:sz w:val="20"/>
                <w:szCs w:val="20"/>
              </w:rPr>
            </w:pPr>
            <w:r w:rsidRPr="0099742A">
              <w:rPr>
                <w:color w:val="000000"/>
                <w:sz w:val="20"/>
                <w:szCs w:val="20"/>
              </w:rPr>
              <w:t>0.39</w:t>
            </w:r>
          </w:p>
        </w:tc>
        <w:tc>
          <w:tcPr>
            <w:tcW w:w="668" w:type="dxa"/>
            <w:tcBorders>
              <w:top w:val="nil"/>
              <w:left w:val="nil"/>
              <w:bottom w:val="nil"/>
              <w:right w:val="nil"/>
            </w:tcBorders>
            <w:shd w:val="clear" w:color="auto" w:fill="auto"/>
            <w:noWrap/>
            <w:vAlign w:val="center"/>
            <w:hideMark/>
          </w:tcPr>
          <w:p w14:paraId="244BF688" w14:textId="14C9AEA9" w:rsidR="00762268" w:rsidRPr="00762268" w:rsidRDefault="00762268" w:rsidP="00762268">
            <w:pPr>
              <w:pStyle w:val="BodyText"/>
              <w:spacing w:line="240" w:lineRule="auto"/>
              <w:rPr>
                <w:sz w:val="20"/>
                <w:szCs w:val="20"/>
              </w:rPr>
            </w:pPr>
            <w:r w:rsidRPr="0099742A">
              <w:rPr>
                <w:color w:val="000000"/>
                <w:sz w:val="20"/>
                <w:szCs w:val="20"/>
              </w:rPr>
              <w:t>0.39</w:t>
            </w:r>
          </w:p>
        </w:tc>
        <w:tc>
          <w:tcPr>
            <w:tcW w:w="870" w:type="dxa"/>
            <w:tcBorders>
              <w:top w:val="nil"/>
              <w:left w:val="nil"/>
              <w:bottom w:val="nil"/>
              <w:right w:val="nil"/>
            </w:tcBorders>
            <w:shd w:val="clear" w:color="auto" w:fill="auto"/>
            <w:noWrap/>
            <w:vAlign w:val="bottom"/>
            <w:hideMark/>
          </w:tcPr>
          <w:p w14:paraId="113D9008" w14:textId="2716A429" w:rsidR="00762268" w:rsidRPr="00762268" w:rsidRDefault="00762268" w:rsidP="00762268">
            <w:pPr>
              <w:pStyle w:val="BodyText"/>
              <w:spacing w:line="240" w:lineRule="auto"/>
              <w:rPr>
                <w:sz w:val="20"/>
                <w:szCs w:val="20"/>
              </w:rPr>
            </w:pPr>
            <w:r w:rsidRPr="0099742A">
              <w:rPr>
                <w:sz w:val="20"/>
                <w:szCs w:val="20"/>
              </w:rPr>
              <w:t>NEO price</w:t>
            </w:r>
          </w:p>
        </w:tc>
        <w:tc>
          <w:tcPr>
            <w:tcW w:w="1201" w:type="dxa"/>
            <w:tcBorders>
              <w:top w:val="nil"/>
              <w:left w:val="nil"/>
              <w:bottom w:val="nil"/>
              <w:right w:val="nil"/>
            </w:tcBorders>
            <w:shd w:val="clear" w:color="auto" w:fill="auto"/>
            <w:noWrap/>
            <w:vAlign w:val="center"/>
            <w:hideMark/>
          </w:tcPr>
          <w:p w14:paraId="01CB4778" w14:textId="022E9B0E" w:rsidR="00762268" w:rsidRPr="00762268" w:rsidRDefault="00762268" w:rsidP="00762268">
            <w:pPr>
              <w:pStyle w:val="BodyText"/>
              <w:spacing w:line="240" w:lineRule="auto"/>
              <w:rPr>
                <w:sz w:val="20"/>
                <w:szCs w:val="20"/>
              </w:rPr>
            </w:pPr>
            <w:r w:rsidRPr="0099742A">
              <w:rPr>
                <w:color w:val="000000"/>
                <w:sz w:val="20"/>
                <w:szCs w:val="20"/>
              </w:rPr>
              <w:t>10%</w:t>
            </w:r>
          </w:p>
        </w:tc>
      </w:tr>
      <w:tr w:rsidR="00762268" w:rsidRPr="00D1739C" w14:paraId="41DF8780" w14:textId="77777777" w:rsidTr="00415310">
        <w:trPr>
          <w:trHeight w:val="315"/>
        </w:trPr>
        <w:tc>
          <w:tcPr>
            <w:tcW w:w="2160" w:type="dxa"/>
            <w:tcBorders>
              <w:top w:val="nil"/>
              <w:left w:val="nil"/>
              <w:bottom w:val="nil"/>
              <w:right w:val="nil"/>
            </w:tcBorders>
            <w:shd w:val="clear" w:color="auto" w:fill="auto"/>
            <w:noWrap/>
            <w:vAlign w:val="center"/>
            <w:hideMark/>
          </w:tcPr>
          <w:p w14:paraId="795CE8E4" w14:textId="77777777" w:rsidR="00762268" w:rsidRPr="00373A86" w:rsidRDefault="00762268" w:rsidP="00762268">
            <w:pPr>
              <w:pStyle w:val="BodyText"/>
              <w:spacing w:line="240" w:lineRule="auto"/>
              <w:rPr>
                <w:sz w:val="20"/>
                <w:szCs w:val="20"/>
              </w:rPr>
            </w:pPr>
            <w:r w:rsidRPr="00373A86">
              <w:rPr>
                <w:sz w:val="20"/>
                <w:szCs w:val="20"/>
              </w:rPr>
              <w:t>US retail E10 ($/</w:t>
            </w:r>
            <w:proofErr w:type="spellStart"/>
            <w:r w:rsidRPr="00373A86">
              <w:rPr>
                <w:sz w:val="20"/>
                <w:szCs w:val="20"/>
              </w:rPr>
              <w:t>gge</w:t>
            </w:r>
            <w:proofErr w:type="spellEnd"/>
            <w:r w:rsidRPr="00373A86">
              <w:rPr>
                <w:sz w:val="20"/>
                <w:szCs w:val="20"/>
              </w:rPr>
              <w:t>)</w:t>
            </w:r>
          </w:p>
        </w:tc>
        <w:tc>
          <w:tcPr>
            <w:tcW w:w="669" w:type="dxa"/>
            <w:tcBorders>
              <w:top w:val="nil"/>
              <w:left w:val="nil"/>
              <w:bottom w:val="nil"/>
              <w:right w:val="nil"/>
            </w:tcBorders>
            <w:shd w:val="clear" w:color="auto" w:fill="auto"/>
            <w:noWrap/>
            <w:vAlign w:val="center"/>
            <w:hideMark/>
          </w:tcPr>
          <w:p w14:paraId="7C5F60BF" w14:textId="683B392E" w:rsidR="00762268" w:rsidRPr="00762268" w:rsidRDefault="00762268" w:rsidP="00762268">
            <w:pPr>
              <w:pStyle w:val="BodyText"/>
              <w:spacing w:line="240" w:lineRule="auto"/>
              <w:rPr>
                <w:sz w:val="20"/>
                <w:szCs w:val="20"/>
              </w:rPr>
            </w:pPr>
            <w:r w:rsidRPr="0099742A">
              <w:rPr>
                <w:color w:val="000000"/>
                <w:sz w:val="20"/>
                <w:szCs w:val="20"/>
              </w:rPr>
              <w:t>0.56</w:t>
            </w:r>
          </w:p>
        </w:tc>
        <w:tc>
          <w:tcPr>
            <w:tcW w:w="668" w:type="dxa"/>
            <w:tcBorders>
              <w:top w:val="nil"/>
              <w:left w:val="nil"/>
              <w:bottom w:val="nil"/>
              <w:right w:val="nil"/>
            </w:tcBorders>
            <w:shd w:val="clear" w:color="auto" w:fill="auto"/>
            <w:noWrap/>
            <w:vAlign w:val="center"/>
            <w:hideMark/>
          </w:tcPr>
          <w:p w14:paraId="720F6B35" w14:textId="78EB194D" w:rsidR="00762268" w:rsidRPr="00762268" w:rsidRDefault="00762268" w:rsidP="00762268">
            <w:pPr>
              <w:pStyle w:val="BodyText"/>
              <w:spacing w:line="240" w:lineRule="auto"/>
              <w:rPr>
                <w:sz w:val="20"/>
                <w:szCs w:val="20"/>
              </w:rPr>
            </w:pPr>
            <w:r w:rsidRPr="0099742A">
              <w:rPr>
                <w:color w:val="000000"/>
                <w:sz w:val="20"/>
                <w:szCs w:val="20"/>
              </w:rPr>
              <w:t>0.62</w:t>
            </w:r>
          </w:p>
        </w:tc>
        <w:tc>
          <w:tcPr>
            <w:tcW w:w="668" w:type="dxa"/>
            <w:tcBorders>
              <w:top w:val="nil"/>
              <w:left w:val="nil"/>
              <w:bottom w:val="nil"/>
              <w:right w:val="nil"/>
            </w:tcBorders>
            <w:shd w:val="clear" w:color="auto" w:fill="auto"/>
            <w:noWrap/>
            <w:vAlign w:val="center"/>
            <w:hideMark/>
          </w:tcPr>
          <w:p w14:paraId="5490B8C7" w14:textId="400C9887" w:rsidR="00762268" w:rsidRPr="00762268" w:rsidRDefault="00762268" w:rsidP="00762268">
            <w:pPr>
              <w:pStyle w:val="BodyText"/>
              <w:spacing w:line="240" w:lineRule="auto"/>
              <w:rPr>
                <w:sz w:val="20"/>
                <w:szCs w:val="20"/>
              </w:rPr>
            </w:pPr>
            <w:r w:rsidRPr="0099742A">
              <w:rPr>
                <w:color w:val="000000"/>
                <w:sz w:val="20"/>
                <w:szCs w:val="20"/>
              </w:rPr>
              <w:t>0.72</w:t>
            </w:r>
          </w:p>
        </w:tc>
        <w:tc>
          <w:tcPr>
            <w:tcW w:w="668" w:type="dxa"/>
            <w:tcBorders>
              <w:top w:val="nil"/>
              <w:left w:val="nil"/>
              <w:bottom w:val="nil"/>
              <w:right w:val="single" w:sz="4" w:space="0" w:color="auto"/>
            </w:tcBorders>
            <w:shd w:val="clear" w:color="auto" w:fill="auto"/>
            <w:noWrap/>
            <w:vAlign w:val="center"/>
            <w:hideMark/>
          </w:tcPr>
          <w:p w14:paraId="4F0D931E" w14:textId="5B74A0B9" w:rsidR="00762268" w:rsidRPr="00762268" w:rsidRDefault="00762268" w:rsidP="00762268">
            <w:pPr>
              <w:pStyle w:val="BodyText"/>
              <w:spacing w:line="240" w:lineRule="auto"/>
              <w:rPr>
                <w:sz w:val="20"/>
                <w:szCs w:val="20"/>
              </w:rPr>
            </w:pPr>
            <w:r w:rsidRPr="0099742A">
              <w:rPr>
                <w:color w:val="000000"/>
                <w:sz w:val="20"/>
                <w:szCs w:val="20"/>
              </w:rPr>
              <w:t>0.69</w:t>
            </w:r>
          </w:p>
        </w:tc>
        <w:tc>
          <w:tcPr>
            <w:tcW w:w="668" w:type="dxa"/>
            <w:tcBorders>
              <w:top w:val="nil"/>
              <w:left w:val="nil"/>
              <w:bottom w:val="nil"/>
              <w:right w:val="nil"/>
            </w:tcBorders>
            <w:shd w:val="clear" w:color="auto" w:fill="auto"/>
            <w:noWrap/>
            <w:vAlign w:val="center"/>
            <w:hideMark/>
          </w:tcPr>
          <w:p w14:paraId="56D1C428" w14:textId="498E8B2A" w:rsidR="00762268" w:rsidRPr="00762268" w:rsidRDefault="00762268" w:rsidP="00762268">
            <w:pPr>
              <w:pStyle w:val="BodyText"/>
              <w:spacing w:line="240" w:lineRule="auto"/>
              <w:rPr>
                <w:sz w:val="20"/>
                <w:szCs w:val="20"/>
              </w:rPr>
            </w:pPr>
            <w:r w:rsidRPr="0099742A">
              <w:rPr>
                <w:color w:val="000000"/>
                <w:sz w:val="20"/>
                <w:szCs w:val="20"/>
              </w:rPr>
              <w:t>0.61</w:t>
            </w:r>
          </w:p>
        </w:tc>
        <w:tc>
          <w:tcPr>
            <w:tcW w:w="668" w:type="dxa"/>
            <w:tcBorders>
              <w:top w:val="nil"/>
              <w:left w:val="nil"/>
              <w:bottom w:val="nil"/>
              <w:right w:val="nil"/>
            </w:tcBorders>
            <w:shd w:val="clear" w:color="auto" w:fill="auto"/>
            <w:noWrap/>
            <w:vAlign w:val="center"/>
            <w:hideMark/>
          </w:tcPr>
          <w:p w14:paraId="485F1FB4" w14:textId="7DF2C362" w:rsidR="00762268" w:rsidRPr="00762268" w:rsidRDefault="00762268" w:rsidP="00762268">
            <w:pPr>
              <w:pStyle w:val="BodyText"/>
              <w:spacing w:line="240" w:lineRule="auto"/>
              <w:rPr>
                <w:sz w:val="20"/>
                <w:szCs w:val="20"/>
              </w:rPr>
            </w:pPr>
            <w:r w:rsidRPr="0099742A">
              <w:rPr>
                <w:color w:val="000000"/>
                <w:sz w:val="20"/>
                <w:szCs w:val="20"/>
              </w:rPr>
              <w:t>0.67</w:t>
            </w:r>
          </w:p>
        </w:tc>
        <w:tc>
          <w:tcPr>
            <w:tcW w:w="668" w:type="dxa"/>
            <w:tcBorders>
              <w:top w:val="nil"/>
              <w:left w:val="nil"/>
              <w:bottom w:val="nil"/>
              <w:right w:val="nil"/>
            </w:tcBorders>
            <w:shd w:val="clear" w:color="auto" w:fill="auto"/>
            <w:noWrap/>
            <w:vAlign w:val="center"/>
            <w:hideMark/>
          </w:tcPr>
          <w:p w14:paraId="045008D2" w14:textId="2C58CC7B" w:rsidR="00762268" w:rsidRPr="00762268" w:rsidRDefault="00762268" w:rsidP="00762268">
            <w:pPr>
              <w:pStyle w:val="BodyText"/>
              <w:spacing w:line="240" w:lineRule="auto"/>
              <w:rPr>
                <w:sz w:val="20"/>
                <w:szCs w:val="20"/>
              </w:rPr>
            </w:pPr>
            <w:r w:rsidRPr="0099742A">
              <w:rPr>
                <w:color w:val="000000"/>
                <w:sz w:val="20"/>
                <w:szCs w:val="20"/>
              </w:rPr>
              <w:t>0.81</w:t>
            </w:r>
          </w:p>
        </w:tc>
        <w:tc>
          <w:tcPr>
            <w:tcW w:w="668" w:type="dxa"/>
            <w:tcBorders>
              <w:top w:val="nil"/>
              <w:left w:val="nil"/>
              <w:bottom w:val="nil"/>
              <w:right w:val="nil"/>
            </w:tcBorders>
            <w:shd w:val="clear" w:color="auto" w:fill="auto"/>
            <w:noWrap/>
            <w:vAlign w:val="center"/>
            <w:hideMark/>
          </w:tcPr>
          <w:p w14:paraId="0D6F1E42" w14:textId="298313E7" w:rsidR="00762268" w:rsidRPr="00762268" w:rsidRDefault="00762268" w:rsidP="00762268">
            <w:pPr>
              <w:pStyle w:val="BodyText"/>
              <w:spacing w:line="240" w:lineRule="auto"/>
              <w:rPr>
                <w:sz w:val="20"/>
                <w:szCs w:val="20"/>
              </w:rPr>
            </w:pPr>
            <w:r w:rsidRPr="0099742A">
              <w:rPr>
                <w:color w:val="000000"/>
                <w:sz w:val="20"/>
                <w:szCs w:val="20"/>
              </w:rPr>
              <w:t>0.75</w:t>
            </w:r>
          </w:p>
        </w:tc>
        <w:tc>
          <w:tcPr>
            <w:tcW w:w="870" w:type="dxa"/>
            <w:tcBorders>
              <w:top w:val="nil"/>
              <w:left w:val="nil"/>
              <w:bottom w:val="nil"/>
              <w:right w:val="nil"/>
            </w:tcBorders>
            <w:shd w:val="clear" w:color="auto" w:fill="auto"/>
            <w:noWrap/>
            <w:vAlign w:val="bottom"/>
            <w:hideMark/>
          </w:tcPr>
          <w:p w14:paraId="7AE885C4" w14:textId="0FCF77FD" w:rsidR="00762268" w:rsidRPr="00762268" w:rsidRDefault="00762268" w:rsidP="00762268">
            <w:pPr>
              <w:pStyle w:val="BodyText"/>
              <w:spacing w:line="240" w:lineRule="auto"/>
              <w:rPr>
                <w:sz w:val="20"/>
                <w:szCs w:val="20"/>
              </w:rPr>
            </w:pPr>
            <w:r w:rsidRPr="0099742A">
              <w:rPr>
                <w:sz w:val="20"/>
                <w:szCs w:val="20"/>
              </w:rPr>
              <w:t>AFDC</w:t>
            </w:r>
          </w:p>
        </w:tc>
        <w:tc>
          <w:tcPr>
            <w:tcW w:w="1201" w:type="dxa"/>
            <w:tcBorders>
              <w:top w:val="nil"/>
              <w:left w:val="nil"/>
              <w:bottom w:val="nil"/>
              <w:right w:val="nil"/>
            </w:tcBorders>
            <w:shd w:val="clear" w:color="auto" w:fill="auto"/>
            <w:noWrap/>
            <w:vAlign w:val="center"/>
            <w:hideMark/>
          </w:tcPr>
          <w:p w14:paraId="4560AE75" w14:textId="60521FB1" w:rsidR="00762268" w:rsidRPr="00762268" w:rsidRDefault="00762268" w:rsidP="00762268">
            <w:pPr>
              <w:pStyle w:val="BodyText"/>
              <w:spacing w:line="240" w:lineRule="auto"/>
              <w:rPr>
                <w:sz w:val="20"/>
                <w:szCs w:val="20"/>
              </w:rPr>
            </w:pPr>
            <w:r w:rsidRPr="0099742A">
              <w:rPr>
                <w:color w:val="000000"/>
                <w:sz w:val="20"/>
                <w:szCs w:val="20"/>
              </w:rPr>
              <w:t>9%</w:t>
            </w:r>
          </w:p>
        </w:tc>
      </w:tr>
      <w:tr w:rsidR="00762268" w:rsidRPr="00D1739C" w14:paraId="69825B92" w14:textId="77777777" w:rsidTr="00415310">
        <w:trPr>
          <w:trHeight w:val="315"/>
        </w:trPr>
        <w:tc>
          <w:tcPr>
            <w:tcW w:w="2160" w:type="dxa"/>
            <w:tcBorders>
              <w:top w:val="nil"/>
              <w:left w:val="nil"/>
              <w:bottom w:val="nil"/>
              <w:right w:val="nil"/>
            </w:tcBorders>
            <w:shd w:val="clear" w:color="auto" w:fill="auto"/>
            <w:noWrap/>
            <w:vAlign w:val="center"/>
            <w:hideMark/>
          </w:tcPr>
          <w:p w14:paraId="236FF53F" w14:textId="77777777" w:rsidR="00762268" w:rsidRPr="00373A86" w:rsidRDefault="00762268" w:rsidP="00762268">
            <w:pPr>
              <w:pStyle w:val="BodyText"/>
              <w:spacing w:line="240" w:lineRule="auto"/>
              <w:rPr>
                <w:sz w:val="20"/>
                <w:szCs w:val="20"/>
              </w:rPr>
            </w:pPr>
            <w:r w:rsidRPr="00373A86">
              <w:rPr>
                <w:sz w:val="20"/>
                <w:szCs w:val="20"/>
              </w:rPr>
              <w:t xml:space="preserve">US retail diesel </w:t>
            </w:r>
          </w:p>
        </w:tc>
        <w:tc>
          <w:tcPr>
            <w:tcW w:w="669" w:type="dxa"/>
            <w:tcBorders>
              <w:top w:val="nil"/>
              <w:left w:val="nil"/>
              <w:bottom w:val="nil"/>
              <w:right w:val="nil"/>
            </w:tcBorders>
            <w:shd w:val="clear" w:color="auto" w:fill="auto"/>
            <w:noWrap/>
            <w:vAlign w:val="center"/>
            <w:hideMark/>
          </w:tcPr>
          <w:p w14:paraId="19203241" w14:textId="359B2F9E" w:rsidR="00762268" w:rsidRPr="00762268" w:rsidRDefault="00762268" w:rsidP="00762268">
            <w:pPr>
              <w:pStyle w:val="BodyText"/>
              <w:spacing w:line="240" w:lineRule="auto"/>
              <w:rPr>
                <w:sz w:val="20"/>
                <w:szCs w:val="20"/>
              </w:rPr>
            </w:pPr>
            <w:r w:rsidRPr="0099742A">
              <w:rPr>
                <w:color w:val="000000"/>
                <w:sz w:val="20"/>
                <w:szCs w:val="20"/>
              </w:rPr>
              <w:t>0.51</w:t>
            </w:r>
          </w:p>
        </w:tc>
        <w:tc>
          <w:tcPr>
            <w:tcW w:w="668" w:type="dxa"/>
            <w:tcBorders>
              <w:top w:val="nil"/>
              <w:left w:val="nil"/>
              <w:bottom w:val="nil"/>
              <w:right w:val="nil"/>
            </w:tcBorders>
            <w:shd w:val="clear" w:color="auto" w:fill="auto"/>
            <w:noWrap/>
            <w:vAlign w:val="center"/>
            <w:hideMark/>
          </w:tcPr>
          <w:p w14:paraId="03349C38" w14:textId="1CB38A8D" w:rsidR="00762268" w:rsidRPr="00762268" w:rsidRDefault="00762268" w:rsidP="00762268">
            <w:pPr>
              <w:pStyle w:val="BodyText"/>
              <w:spacing w:line="240" w:lineRule="auto"/>
              <w:rPr>
                <w:sz w:val="20"/>
                <w:szCs w:val="20"/>
              </w:rPr>
            </w:pPr>
            <w:r w:rsidRPr="0099742A">
              <w:rPr>
                <w:color w:val="000000"/>
                <w:sz w:val="20"/>
                <w:szCs w:val="20"/>
              </w:rPr>
              <w:t>0.54</w:t>
            </w:r>
          </w:p>
        </w:tc>
        <w:tc>
          <w:tcPr>
            <w:tcW w:w="668" w:type="dxa"/>
            <w:tcBorders>
              <w:top w:val="nil"/>
              <w:left w:val="nil"/>
              <w:bottom w:val="nil"/>
              <w:right w:val="nil"/>
            </w:tcBorders>
            <w:shd w:val="clear" w:color="auto" w:fill="auto"/>
            <w:noWrap/>
            <w:vAlign w:val="center"/>
            <w:hideMark/>
          </w:tcPr>
          <w:p w14:paraId="1459B117" w14:textId="092A528A" w:rsidR="00762268" w:rsidRPr="00762268" w:rsidRDefault="00762268" w:rsidP="00762268">
            <w:pPr>
              <w:pStyle w:val="BodyText"/>
              <w:spacing w:line="240" w:lineRule="auto"/>
              <w:rPr>
                <w:sz w:val="20"/>
                <w:szCs w:val="20"/>
              </w:rPr>
            </w:pPr>
            <w:r w:rsidRPr="0099742A">
              <w:rPr>
                <w:color w:val="000000"/>
                <w:sz w:val="20"/>
                <w:szCs w:val="20"/>
              </w:rPr>
              <w:t>0.63</w:t>
            </w:r>
          </w:p>
        </w:tc>
        <w:tc>
          <w:tcPr>
            <w:tcW w:w="668" w:type="dxa"/>
            <w:tcBorders>
              <w:top w:val="nil"/>
              <w:left w:val="nil"/>
              <w:bottom w:val="nil"/>
              <w:right w:val="single" w:sz="4" w:space="0" w:color="auto"/>
            </w:tcBorders>
            <w:shd w:val="clear" w:color="auto" w:fill="auto"/>
            <w:noWrap/>
            <w:vAlign w:val="center"/>
            <w:hideMark/>
          </w:tcPr>
          <w:p w14:paraId="4FEB814B" w14:textId="06E80E72" w:rsidR="00762268" w:rsidRPr="00762268" w:rsidRDefault="00762268" w:rsidP="00762268">
            <w:pPr>
              <w:pStyle w:val="BodyText"/>
              <w:spacing w:line="240" w:lineRule="auto"/>
              <w:rPr>
                <w:sz w:val="20"/>
                <w:szCs w:val="20"/>
              </w:rPr>
            </w:pPr>
            <w:r w:rsidRPr="0099742A">
              <w:rPr>
                <w:color w:val="000000"/>
                <w:sz w:val="20"/>
                <w:szCs w:val="20"/>
              </w:rPr>
              <w:t>0.61</w:t>
            </w:r>
          </w:p>
        </w:tc>
        <w:tc>
          <w:tcPr>
            <w:tcW w:w="668" w:type="dxa"/>
            <w:tcBorders>
              <w:top w:val="nil"/>
              <w:left w:val="nil"/>
              <w:bottom w:val="nil"/>
              <w:right w:val="nil"/>
            </w:tcBorders>
            <w:shd w:val="clear" w:color="auto" w:fill="auto"/>
            <w:noWrap/>
            <w:vAlign w:val="center"/>
            <w:hideMark/>
          </w:tcPr>
          <w:p w14:paraId="18CC0519" w14:textId="12227807" w:rsidR="00762268" w:rsidRPr="00762268" w:rsidRDefault="00762268" w:rsidP="00762268">
            <w:pPr>
              <w:pStyle w:val="BodyText"/>
              <w:spacing w:line="240" w:lineRule="auto"/>
              <w:rPr>
                <w:sz w:val="20"/>
                <w:szCs w:val="20"/>
              </w:rPr>
            </w:pPr>
            <w:r w:rsidRPr="0099742A">
              <w:rPr>
                <w:color w:val="000000"/>
                <w:sz w:val="20"/>
                <w:szCs w:val="20"/>
              </w:rPr>
              <w:t>0.47</w:t>
            </w:r>
          </w:p>
        </w:tc>
        <w:tc>
          <w:tcPr>
            <w:tcW w:w="668" w:type="dxa"/>
            <w:tcBorders>
              <w:top w:val="nil"/>
              <w:left w:val="nil"/>
              <w:bottom w:val="nil"/>
              <w:right w:val="nil"/>
            </w:tcBorders>
            <w:shd w:val="clear" w:color="auto" w:fill="auto"/>
            <w:noWrap/>
            <w:vAlign w:val="center"/>
            <w:hideMark/>
          </w:tcPr>
          <w:p w14:paraId="65EC444E" w14:textId="32DB167A" w:rsidR="00762268" w:rsidRPr="00762268" w:rsidRDefault="00762268" w:rsidP="00762268">
            <w:pPr>
              <w:pStyle w:val="BodyText"/>
              <w:spacing w:line="240" w:lineRule="auto"/>
              <w:rPr>
                <w:sz w:val="20"/>
                <w:szCs w:val="20"/>
              </w:rPr>
            </w:pPr>
            <w:r w:rsidRPr="0099742A">
              <w:rPr>
                <w:color w:val="000000"/>
                <w:sz w:val="20"/>
                <w:szCs w:val="20"/>
              </w:rPr>
              <w:t>0.52</w:t>
            </w:r>
          </w:p>
        </w:tc>
        <w:tc>
          <w:tcPr>
            <w:tcW w:w="668" w:type="dxa"/>
            <w:tcBorders>
              <w:top w:val="nil"/>
              <w:left w:val="nil"/>
              <w:bottom w:val="nil"/>
              <w:right w:val="nil"/>
            </w:tcBorders>
            <w:shd w:val="clear" w:color="auto" w:fill="auto"/>
            <w:noWrap/>
            <w:vAlign w:val="center"/>
            <w:hideMark/>
          </w:tcPr>
          <w:p w14:paraId="34055554" w14:textId="2CD2E982" w:rsidR="00762268" w:rsidRPr="00762268" w:rsidRDefault="00762268" w:rsidP="00762268">
            <w:pPr>
              <w:pStyle w:val="BodyText"/>
              <w:spacing w:line="240" w:lineRule="auto"/>
              <w:rPr>
                <w:sz w:val="20"/>
                <w:szCs w:val="20"/>
              </w:rPr>
            </w:pPr>
            <w:r w:rsidRPr="0099742A">
              <w:rPr>
                <w:color w:val="000000"/>
                <w:sz w:val="20"/>
                <w:szCs w:val="20"/>
              </w:rPr>
              <w:t>0.51</w:t>
            </w:r>
          </w:p>
        </w:tc>
        <w:tc>
          <w:tcPr>
            <w:tcW w:w="668" w:type="dxa"/>
            <w:tcBorders>
              <w:top w:val="nil"/>
              <w:left w:val="nil"/>
              <w:bottom w:val="nil"/>
              <w:right w:val="nil"/>
            </w:tcBorders>
            <w:shd w:val="clear" w:color="auto" w:fill="auto"/>
            <w:noWrap/>
            <w:vAlign w:val="center"/>
            <w:hideMark/>
          </w:tcPr>
          <w:p w14:paraId="4BA74E0F" w14:textId="7C1688E1" w:rsidR="00762268" w:rsidRPr="00762268" w:rsidRDefault="00762268" w:rsidP="00762268">
            <w:pPr>
              <w:pStyle w:val="BodyText"/>
              <w:spacing w:line="240" w:lineRule="auto"/>
              <w:rPr>
                <w:sz w:val="20"/>
                <w:szCs w:val="20"/>
              </w:rPr>
            </w:pPr>
            <w:r w:rsidRPr="0099742A">
              <w:rPr>
                <w:color w:val="000000"/>
                <w:sz w:val="20"/>
                <w:szCs w:val="20"/>
              </w:rPr>
              <w:t>0.57</w:t>
            </w:r>
          </w:p>
        </w:tc>
        <w:tc>
          <w:tcPr>
            <w:tcW w:w="870" w:type="dxa"/>
            <w:tcBorders>
              <w:top w:val="nil"/>
              <w:left w:val="nil"/>
              <w:bottom w:val="nil"/>
              <w:right w:val="nil"/>
            </w:tcBorders>
            <w:shd w:val="clear" w:color="auto" w:fill="auto"/>
            <w:noWrap/>
            <w:vAlign w:val="bottom"/>
            <w:hideMark/>
          </w:tcPr>
          <w:p w14:paraId="6C6A676B" w14:textId="6EC03C82" w:rsidR="00762268" w:rsidRPr="00762268" w:rsidRDefault="00762268" w:rsidP="00762268">
            <w:pPr>
              <w:pStyle w:val="BodyText"/>
              <w:spacing w:line="240" w:lineRule="auto"/>
              <w:rPr>
                <w:sz w:val="20"/>
                <w:szCs w:val="20"/>
              </w:rPr>
            </w:pPr>
            <w:r w:rsidRPr="0099742A">
              <w:rPr>
                <w:sz w:val="20"/>
                <w:szCs w:val="20"/>
              </w:rPr>
              <w:t>AFDC</w:t>
            </w:r>
          </w:p>
        </w:tc>
        <w:tc>
          <w:tcPr>
            <w:tcW w:w="1201" w:type="dxa"/>
            <w:tcBorders>
              <w:top w:val="nil"/>
              <w:left w:val="nil"/>
              <w:bottom w:val="nil"/>
              <w:right w:val="nil"/>
            </w:tcBorders>
            <w:shd w:val="clear" w:color="auto" w:fill="auto"/>
            <w:noWrap/>
            <w:vAlign w:val="center"/>
            <w:hideMark/>
          </w:tcPr>
          <w:p w14:paraId="490E6922" w14:textId="6E10B126" w:rsidR="00762268" w:rsidRPr="00762268" w:rsidRDefault="00762268" w:rsidP="00762268">
            <w:pPr>
              <w:pStyle w:val="BodyText"/>
              <w:spacing w:line="240" w:lineRule="auto"/>
              <w:rPr>
                <w:sz w:val="20"/>
                <w:szCs w:val="20"/>
              </w:rPr>
            </w:pPr>
            <w:r w:rsidRPr="0099742A">
              <w:rPr>
                <w:color w:val="000000"/>
                <w:sz w:val="20"/>
                <w:szCs w:val="20"/>
              </w:rPr>
              <w:t>-9%</w:t>
            </w:r>
          </w:p>
        </w:tc>
      </w:tr>
      <w:tr w:rsidR="00762268" w:rsidRPr="00C54377" w14:paraId="2291EC41" w14:textId="77777777" w:rsidTr="00C54377">
        <w:trPr>
          <w:trHeight w:val="315"/>
        </w:trPr>
        <w:tc>
          <w:tcPr>
            <w:tcW w:w="4833" w:type="dxa"/>
            <w:gridSpan w:val="5"/>
            <w:tcBorders>
              <w:top w:val="nil"/>
              <w:left w:val="nil"/>
              <w:bottom w:val="single" w:sz="4" w:space="0" w:color="auto"/>
              <w:right w:val="single" w:sz="4" w:space="0" w:color="auto"/>
            </w:tcBorders>
            <w:shd w:val="clear" w:color="auto" w:fill="auto"/>
            <w:noWrap/>
            <w:vAlign w:val="center"/>
            <w:hideMark/>
          </w:tcPr>
          <w:p w14:paraId="72E7329F" w14:textId="41BDA73A" w:rsidR="00762268" w:rsidRPr="00C54377" w:rsidRDefault="00762268" w:rsidP="00373A86">
            <w:pPr>
              <w:pStyle w:val="BodyText"/>
              <w:spacing w:line="240" w:lineRule="auto"/>
              <w:rPr>
                <w:sz w:val="20"/>
                <w:szCs w:val="20"/>
              </w:rPr>
            </w:pPr>
            <w:r w:rsidRPr="00C54377">
              <w:rPr>
                <w:sz w:val="20"/>
                <w:szCs w:val="20"/>
              </w:rPr>
              <w:t xml:space="preserve">Vehicle </w:t>
            </w:r>
            <w:r w:rsidR="00C54377" w:rsidRPr="00C54377">
              <w:rPr>
                <w:sz w:val="20"/>
                <w:szCs w:val="20"/>
              </w:rPr>
              <w:t xml:space="preserve">kilometer </w:t>
            </w:r>
            <w:r w:rsidRPr="00C54377">
              <w:rPr>
                <w:sz w:val="20"/>
                <w:szCs w:val="20"/>
              </w:rPr>
              <w:t xml:space="preserve">traveled (billion </w:t>
            </w:r>
            <w:r w:rsidRPr="00C54377">
              <w:rPr>
                <w:rFonts w:hint="eastAsia"/>
                <w:sz w:val="20"/>
                <w:szCs w:val="20"/>
              </w:rPr>
              <w:t>km</w:t>
            </w:r>
            <w:r w:rsidRPr="00C54377">
              <w:rPr>
                <w:sz w:val="20"/>
                <w:szCs w:val="20"/>
              </w:rPr>
              <w:t>) </w:t>
            </w:r>
          </w:p>
        </w:tc>
        <w:tc>
          <w:tcPr>
            <w:tcW w:w="668" w:type="dxa"/>
            <w:tcBorders>
              <w:top w:val="nil"/>
              <w:left w:val="nil"/>
              <w:bottom w:val="single" w:sz="4" w:space="0" w:color="auto"/>
              <w:right w:val="nil"/>
            </w:tcBorders>
            <w:shd w:val="clear" w:color="auto" w:fill="auto"/>
            <w:noWrap/>
            <w:vAlign w:val="center"/>
            <w:hideMark/>
          </w:tcPr>
          <w:p w14:paraId="2A8E0442" w14:textId="77777777" w:rsidR="00762268" w:rsidRPr="00C54377" w:rsidRDefault="00762268" w:rsidP="00373A86">
            <w:pPr>
              <w:pStyle w:val="BodyText"/>
              <w:spacing w:line="240" w:lineRule="auto"/>
              <w:rPr>
                <w:sz w:val="20"/>
                <w:szCs w:val="20"/>
              </w:rPr>
            </w:pPr>
            <w:r w:rsidRPr="00C54377">
              <w:rPr>
                <w:sz w:val="20"/>
                <w:szCs w:val="20"/>
              </w:rPr>
              <w:t> </w:t>
            </w:r>
          </w:p>
        </w:tc>
        <w:tc>
          <w:tcPr>
            <w:tcW w:w="668" w:type="dxa"/>
            <w:tcBorders>
              <w:top w:val="nil"/>
              <w:left w:val="nil"/>
              <w:bottom w:val="single" w:sz="4" w:space="0" w:color="auto"/>
              <w:right w:val="nil"/>
            </w:tcBorders>
            <w:shd w:val="clear" w:color="auto" w:fill="auto"/>
            <w:noWrap/>
            <w:vAlign w:val="center"/>
            <w:hideMark/>
          </w:tcPr>
          <w:p w14:paraId="2546339E" w14:textId="77777777" w:rsidR="00762268" w:rsidRPr="00C54377" w:rsidRDefault="00762268" w:rsidP="00373A86">
            <w:pPr>
              <w:pStyle w:val="BodyText"/>
              <w:spacing w:line="240" w:lineRule="auto"/>
              <w:rPr>
                <w:sz w:val="20"/>
                <w:szCs w:val="20"/>
              </w:rPr>
            </w:pPr>
            <w:r w:rsidRPr="00C54377">
              <w:rPr>
                <w:sz w:val="20"/>
                <w:szCs w:val="20"/>
              </w:rPr>
              <w:t> </w:t>
            </w:r>
          </w:p>
        </w:tc>
        <w:tc>
          <w:tcPr>
            <w:tcW w:w="668" w:type="dxa"/>
            <w:tcBorders>
              <w:top w:val="nil"/>
              <w:left w:val="nil"/>
              <w:bottom w:val="single" w:sz="4" w:space="0" w:color="auto"/>
              <w:right w:val="nil"/>
            </w:tcBorders>
            <w:shd w:val="clear" w:color="auto" w:fill="auto"/>
            <w:noWrap/>
            <w:vAlign w:val="center"/>
            <w:hideMark/>
          </w:tcPr>
          <w:p w14:paraId="1136ED7F" w14:textId="77777777" w:rsidR="00762268" w:rsidRPr="00C54377" w:rsidRDefault="00762268" w:rsidP="00373A86">
            <w:pPr>
              <w:pStyle w:val="BodyText"/>
              <w:spacing w:line="240" w:lineRule="auto"/>
              <w:rPr>
                <w:sz w:val="20"/>
                <w:szCs w:val="20"/>
              </w:rPr>
            </w:pPr>
            <w:r w:rsidRPr="00C54377">
              <w:rPr>
                <w:sz w:val="20"/>
                <w:szCs w:val="20"/>
              </w:rPr>
              <w:t> </w:t>
            </w:r>
          </w:p>
        </w:tc>
        <w:tc>
          <w:tcPr>
            <w:tcW w:w="668" w:type="dxa"/>
            <w:tcBorders>
              <w:top w:val="nil"/>
              <w:left w:val="nil"/>
              <w:bottom w:val="single" w:sz="4" w:space="0" w:color="auto"/>
              <w:right w:val="nil"/>
            </w:tcBorders>
            <w:shd w:val="clear" w:color="auto" w:fill="auto"/>
            <w:noWrap/>
            <w:vAlign w:val="center"/>
            <w:hideMark/>
          </w:tcPr>
          <w:p w14:paraId="0341E45A" w14:textId="77777777" w:rsidR="00762268" w:rsidRPr="00C54377" w:rsidRDefault="00762268" w:rsidP="00373A86">
            <w:pPr>
              <w:pStyle w:val="BodyText"/>
              <w:spacing w:line="240" w:lineRule="auto"/>
              <w:rPr>
                <w:sz w:val="20"/>
                <w:szCs w:val="20"/>
              </w:rPr>
            </w:pPr>
            <w:r w:rsidRPr="00C54377">
              <w:rPr>
                <w:sz w:val="20"/>
                <w:szCs w:val="20"/>
              </w:rPr>
              <w:t> </w:t>
            </w:r>
          </w:p>
        </w:tc>
        <w:tc>
          <w:tcPr>
            <w:tcW w:w="870" w:type="dxa"/>
            <w:tcBorders>
              <w:top w:val="nil"/>
              <w:left w:val="nil"/>
              <w:bottom w:val="single" w:sz="4" w:space="0" w:color="auto"/>
              <w:right w:val="nil"/>
            </w:tcBorders>
            <w:shd w:val="clear" w:color="auto" w:fill="auto"/>
            <w:noWrap/>
            <w:hideMark/>
          </w:tcPr>
          <w:p w14:paraId="11E2018D" w14:textId="77777777" w:rsidR="00762268" w:rsidRPr="00C54377" w:rsidRDefault="00762268" w:rsidP="00373A86">
            <w:pPr>
              <w:pStyle w:val="BodyText"/>
              <w:spacing w:line="240" w:lineRule="auto"/>
              <w:rPr>
                <w:sz w:val="20"/>
                <w:szCs w:val="20"/>
              </w:rPr>
            </w:pPr>
            <w:r w:rsidRPr="00C54377">
              <w:rPr>
                <w:sz w:val="20"/>
                <w:szCs w:val="20"/>
              </w:rPr>
              <w:t> </w:t>
            </w:r>
          </w:p>
        </w:tc>
        <w:tc>
          <w:tcPr>
            <w:tcW w:w="1201" w:type="dxa"/>
            <w:tcBorders>
              <w:top w:val="nil"/>
              <w:left w:val="nil"/>
              <w:bottom w:val="single" w:sz="4" w:space="0" w:color="auto"/>
              <w:right w:val="nil"/>
            </w:tcBorders>
            <w:shd w:val="clear" w:color="auto" w:fill="auto"/>
            <w:noWrap/>
            <w:vAlign w:val="center"/>
            <w:hideMark/>
          </w:tcPr>
          <w:p w14:paraId="26624230" w14:textId="77777777" w:rsidR="00762268" w:rsidRPr="00C54377" w:rsidRDefault="00762268" w:rsidP="00373A86">
            <w:pPr>
              <w:pStyle w:val="BodyText"/>
              <w:spacing w:line="240" w:lineRule="auto"/>
              <w:rPr>
                <w:sz w:val="20"/>
                <w:szCs w:val="20"/>
              </w:rPr>
            </w:pPr>
            <w:r w:rsidRPr="00C54377">
              <w:rPr>
                <w:sz w:val="20"/>
                <w:szCs w:val="20"/>
              </w:rPr>
              <w:t> </w:t>
            </w:r>
          </w:p>
        </w:tc>
      </w:tr>
      <w:tr w:rsidR="00762268" w:rsidRPr="00C54377" w14:paraId="618FB791" w14:textId="77777777" w:rsidTr="00C54377">
        <w:trPr>
          <w:trHeight w:val="315"/>
        </w:trPr>
        <w:tc>
          <w:tcPr>
            <w:tcW w:w="2160" w:type="dxa"/>
            <w:tcBorders>
              <w:top w:val="nil"/>
              <w:left w:val="nil"/>
              <w:bottom w:val="nil"/>
              <w:right w:val="nil"/>
            </w:tcBorders>
            <w:shd w:val="clear" w:color="auto" w:fill="auto"/>
            <w:noWrap/>
            <w:vAlign w:val="center"/>
            <w:hideMark/>
          </w:tcPr>
          <w:p w14:paraId="532131A9" w14:textId="0950E237" w:rsidR="00762268" w:rsidRPr="00C54377" w:rsidRDefault="00762268" w:rsidP="00762268">
            <w:pPr>
              <w:pStyle w:val="BodyText"/>
              <w:spacing w:line="240" w:lineRule="auto"/>
              <w:rPr>
                <w:sz w:val="20"/>
                <w:szCs w:val="20"/>
              </w:rPr>
            </w:pPr>
            <w:r w:rsidRPr="00C54377">
              <w:rPr>
                <w:sz w:val="20"/>
                <w:szCs w:val="20"/>
              </w:rPr>
              <w:t>Gasoline vehicle</w:t>
            </w:r>
          </w:p>
        </w:tc>
        <w:tc>
          <w:tcPr>
            <w:tcW w:w="669" w:type="dxa"/>
            <w:tcBorders>
              <w:top w:val="nil"/>
              <w:left w:val="nil"/>
              <w:bottom w:val="nil"/>
              <w:right w:val="nil"/>
            </w:tcBorders>
            <w:shd w:val="clear" w:color="auto" w:fill="auto"/>
            <w:noWrap/>
            <w:vAlign w:val="center"/>
            <w:hideMark/>
          </w:tcPr>
          <w:p w14:paraId="3B7AF524" w14:textId="387C6D97" w:rsidR="00762268" w:rsidRPr="00C54377" w:rsidRDefault="00762268" w:rsidP="00762268">
            <w:pPr>
              <w:pStyle w:val="BodyText"/>
              <w:spacing w:line="240" w:lineRule="auto"/>
              <w:rPr>
                <w:sz w:val="20"/>
                <w:szCs w:val="20"/>
              </w:rPr>
            </w:pPr>
            <w:r w:rsidRPr="00C54377">
              <w:rPr>
                <w:color w:val="000000"/>
                <w:sz w:val="20"/>
                <w:szCs w:val="20"/>
              </w:rPr>
              <w:t>4395</w:t>
            </w:r>
          </w:p>
        </w:tc>
        <w:tc>
          <w:tcPr>
            <w:tcW w:w="668" w:type="dxa"/>
            <w:tcBorders>
              <w:top w:val="nil"/>
              <w:left w:val="nil"/>
              <w:bottom w:val="nil"/>
              <w:right w:val="nil"/>
            </w:tcBorders>
            <w:shd w:val="clear" w:color="auto" w:fill="auto"/>
            <w:noWrap/>
            <w:vAlign w:val="center"/>
            <w:hideMark/>
          </w:tcPr>
          <w:p w14:paraId="771B2A43" w14:textId="188506CF" w:rsidR="00762268" w:rsidRPr="00C54377" w:rsidRDefault="00762268" w:rsidP="00762268">
            <w:pPr>
              <w:pStyle w:val="BodyText"/>
              <w:spacing w:line="240" w:lineRule="auto"/>
              <w:rPr>
                <w:sz w:val="20"/>
                <w:szCs w:val="20"/>
              </w:rPr>
            </w:pPr>
            <w:r w:rsidRPr="00C54377">
              <w:rPr>
                <w:color w:val="000000"/>
                <w:sz w:val="20"/>
                <w:szCs w:val="20"/>
              </w:rPr>
              <w:t>4538</w:t>
            </w:r>
          </w:p>
        </w:tc>
        <w:tc>
          <w:tcPr>
            <w:tcW w:w="668" w:type="dxa"/>
            <w:tcBorders>
              <w:top w:val="nil"/>
              <w:left w:val="nil"/>
              <w:bottom w:val="nil"/>
              <w:right w:val="nil"/>
            </w:tcBorders>
            <w:shd w:val="clear" w:color="auto" w:fill="auto"/>
            <w:noWrap/>
            <w:vAlign w:val="center"/>
            <w:hideMark/>
          </w:tcPr>
          <w:p w14:paraId="6831316A" w14:textId="4262FB95" w:rsidR="00762268" w:rsidRPr="00C54377" w:rsidRDefault="00762268" w:rsidP="00762268">
            <w:pPr>
              <w:pStyle w:val="BodyText"/>
              <w:spacing w:line="240" w:lineRule="auto"/>
              <w:rPr>
                <w:sz w:val="20"/>
                <w:szCs w:val="20"/>
              </w:rPr>
            </w:pPr>
            <w:r w:rsidRPr="00C54377">
              <w:rPr>
                <w:color w:val="000000"/>
                <w:sz w:val="20"/>
                <w:szCs w:val="20"/>
              </w:rPr>
              <w:t>4613</w:t>
            </w:r>
          </w:p>
        </w:tc>
        <w:tc>
          <w:tcPr>
            <w:tcW w:w="668" w:type="dxa"/>
            <w:tcBorders>
              <w:top w:val="nil"/>
              <w:left w:val="nil"/>
              <w:bottom w:val="nil"/>
              <w:right w:val="single" w:sz="4" w:space="0" w:color="auto"/>
            </w:tcBorders>
            <w:shd w:val="clear" w:color="auto" w:fill="auto"/>
            <w:noWrap/>
            <w:vAlign w:val="center"/>
            <w:hideMark/>
          </w:tcPr>
          <w:p w14:paraId="4241B10F" w14:textId="6A5A486F" w:rsidR="00762268" w:rsidRPr="00C54377" w:rsidRDefault="00762268" w:rsidP="00762268">
            <w:pPr>
              <w:pStyle w:val="BodyText"/>
              <w:spacing w:line="240" w:lineRule="auto"/>
              <w:rPr>
                <w:sz w:val="20"/>
                <w:szCs w:val="20"/>
              </w:rPr>
            </w:pPr>
            <w:r w:rsidRPr="00C54377">
              <w:rPr>
                <w:color w:val="000000"/>
                <w:sz w:val="20"/>
                <w:szCs w:val="20"/>
              </w:rPr>
              <w:t>4667</w:t>
            </w:r>
          </w:p>
        </w:tc>
        <w:tc>
          <w:tcPr>
            <w:tcW w:w="668" w:type="dxa"/>
            <w:tcBorders>
              <w:top w:val="nil"/>
              <w:left w:val="nil"/>
              <w:bottom w:val="nil"/>
              <w:right w:val="nil"/>
            </w:tcBorders>
            <w:shd w:val="clear" w:color="auto" w:fill="auto"/>
            <w:noWrap/>
            <w:vAlign w:val="center"/>
            <w:hideMark/>
          </w:tcPr>
          <w:p w14:paraId="6D326875" w14:textId="2499CB34" w:rsidR="00762268" w:rsidRPr="00C54377" w:rsidRDefault="00762268" w:rsidP="00762268">
            <w:pPr>
              <w:pStyle w:val="BodyText"/>
              <w:spacing w:line="240" w:lineRule="auto"/>
              <w:rPr>
                <w:sz w:val="20"/>
                <w:szCs w:val="20"/>
              </w:rPr>
            </w:pPr>
            <w:r w:rsidRPr="00C54377">
              <w:rPr>
                <w:color w:val="000000"/>
                <w:sz w:val="20"/>
                <w:szCs w:val="20"/>
              </w:rPr>
              <w:t>4366</w:t>
            </w:r>
          </w:p>
        </w:tc>
        <w:tc>
          <w:tcPr>
            <w:tcW w:w="668" w:type="dxa"/>
            <w:tcBorders>
              <w:top w:val="nil"/>
              <w:left w:val="nil"/>
              <w:bottom w:val="nil"/>
              <w:right w:val="nil"/>
            </w:tcBorders>
            <w:shd w:val="clear" w:color="auto" w:fill="auto"/>
            <w:noWrap/>
            <w:vAlign w:val="center"/>
            <w:hideMark/>
          </w:tcPr>
          <w:p w14:paraId="41DE52CE" w14:textId="3B154D8D" w:rsidR="00762268" w:rsidRPr="00C54377" w:rsidRDefault="00762268" w:rsidP="00762268">
            <w:pPr>
              <w:pStyle w:val="BodyText"/>
              <w:spacing w:line="240" w:lineRule="auto"/>
              <w:rPr>
                <w:sz w:val="20"/>
                <w:szCs w:val="20"/>
              </w:rPr>
            </w:pPr>
            <w:r w:rsidRPr="00C54377">
              <w:rPr>
                <w:color w:val="000000"/>
                <w:sz w:val="20"/>
                <w:szCs w:val="20"/>
              </w:rPr>
              <w:t>4416</w:t>
            </w:r>
          </w:p>
        </w:tc>
        <w:tc>
          <w:tcPr>
            <w:tcW w:w="668" w:type="dxa"/>
            <w:tcBorders>
              <w:top w:val="nil"/>
              <w:left w:val="nil"/>
              <w:bottom w:val="nil"/>
              <w:right w:val="nil"/>
            </w:tcBorders>
            <w:shd w:val="clear" w:color="auto" w:fill="auto"/>
            <w:noWrap/>
            <w:vAlign w:val="center"/>
            <w:hideMark/>
          </w:tcPr>
          <w:p w14:paraId="091B7DE2" w14:textId="3B4CF4E3" w:rsidR="00762268" w:rsidRPr="00C54377" w:rsidRDefault="00762268" w:rsidP="00762268">
            <w:pPr>
              <w:pStyle w:val="BodyText"/>
              <w:spacing w:line="240" w:lineRule="auto"/>
              <w:rPr>
                <w:sz w:val="20"/>
                <w:szCs w:val="20"/>
              </w:rPr>
            </w:pPr>
            <w:r w:rsidRPr="00C54377">
              <w:rPr>
                <w:color w:val="000000"/>
                <w:sz w:val="20"/>
                <w:szCs w:val="20"/>
              </w:rPr>
              <w:t>4557</w:t>
            </w:r>
          </w:p>
        </w:tc>
        <w:tc>
          <w:tcPr>
            <w:tcW w:w="668" w:type="dxa"/>
            <w:tcBorders>
              <w:top w:val="nil"/>
              <w:left w:val="nil"/>
              <w:bottom w:val="nil"/>
              <w:right w:val="nil"/>
            </w:tcBorders>
            <w:shd w:val="clear" w:color="auto" w:fill="auto"/>
            <w:noWrap/>
            <w:vAlign w:val="center"/>
            <w:hideMark/>
          </w:tcPr>
          <w:p w14:paraId="7EB900CB" w14:textId="67C054C9" w:rsidR="00762268" w:rsidRPr="00C54377" w:rsidRDefault="00762268" w:rsidP="00762268">
            <w:pPr>
              <w:pStyle w:val="BodyText"/>
              <w:spacing w:line="240" w:lineRule="auto"/>
              <w:rPr>
                <w:sz w:val="20"/>
                <w:szCs w:val="20"/>
              </w:rPr>
            </w:pPr>
            <w:r w:rsidRPr="00C54377">
              <w:rPr>
                <w:color w:val="000000"/>
                <w:sz w:val="20"/>
                <w:szCs w:val="20"/>
              </w:rPr>
              <w:t>4,722</w:t>
            </w:r>
          </w:p>
        </w:tc>
        <w:tc>
          <w:tcPr>
            <w:tcW w:w="870" w:type="dxa"/>
            <w:tcBorders>
              <w:top w:val="nil"/>
              <w:left w:val="nil"/>
              <w:bottom w:val="nil"/>
              <w:right w:val="nil"/>
            </w:tcBorders>
            <w:shd w:val="clear" w:color="auto" w:fill="auto"/>
            <w:noWrap/>
            <w:vAlign w:val="center"/>
            <w:hideMark/>
          </w:tcPr>
          <w:p w14:paraId="1A6066B5" w14:textId="7B5D8D0E" w:rsidR="00762268" w:rsidRPr="00C54377" w:rsidRDefault="00762268" w:rsidP="00762268">
            <w:pPr>
              <w:pStyle w:val="BodyText"/>
              <w:spacing w:line="240" w:lineRule="auto"/>
              <w:rPr>
                <w:sz w:val="20"/>
                <w:szCs w:val="20"/>
              </w:rPr>
            </w:pPr>
            <w:r w:rsidRPr="00C54377">
              <w:rPr>
                <w:sz w:val="20"/>
                <w:szCs w:val="20"/>
              </w:rPr>
              <w:t>EIA</w:t>
            </w:r>
          </w:p>
        </w:tc>
        <w:tc>
          <w:tcPr>
            <w:tcW w:w="1201" w:type="dxa"/>
            <w:tcBorders>
              <w:top w:val="nil"/>
              <w:left w:val="nil"/>
              <w:bottom w:val="nil"/>
              <w:right w:val="nil"/>
            </w:tcBorders>
            <w:shd w:val="clear" w:color="auto" w:fill="auto"/>
            <w:noWrap/>
            <w:vAlign w:val="center"/>
            <w:hideMark/>
          </w:tcPr>
          <w:p w14:paraId="7F50E413" w14:textId="4D41395B" w:rsidR="00762268" w:rsidRPr="00C54377" w:rsidRDefault="00762268" w:rsidP="00762268">
            <w:pPr>
              <w:pStyle w:val="BodyText"/>
              <w:spacing w:line="240" w:lineRule="auto"/>
              <w:rPr>
                <w:sz w:val="20"/>
                <w:szCs w:val="20"/>
              </w:rPr>
            </w:pPr>
            <w:r w:rsidRPr="00C54377">
              <w:rPr>
                <w:color w:val="000000"/>
                <w:sz w:val="20"/>
                <w:szCs w:val="20"/>
              </w:rPr>
              <w:t>-1%</w:t>
            </w:r>
          </w:p>
        </w:tc>
      </w:tr>
      <w:tr w:rsidR="00762268" w:rsidRPr="00D1739C" w14:paraId="01B85EF1" w14:textId="77777777" w:rsidTr="00C54377">
        <w:trPr>
          <w:trHeight w:val="315"/>
        </w:trPr>
        <w:tc>
          <w:tcPr>
            <w:tcW w:w="2160" w:type="dxa"/>
            <w:tcBorders>
              <w:top w:val="nil"/>
              <w:left w:val="nil"/>
              <w:bottom w:val="single" w:sz="4" w:space="0" w:color="auto"/>
              <w:right w:val="nil"/>
            </w:tcBorders>
            <w:shd w:val="clear" w:color="auto" w:fill="auto"/>
            <w:noWrap/>
            <w:vAlign w:val="center"/>
            <w:hideMark/>
          </w:tcPr>
          <w:p w14:paraId="1316AB0C" w14:textId="3567DBD2" w:rsidR="00762268" w:rsidRPr="00C54377" w:rsidRDefault="00762268" w:rsidP="00762268">
            <w:pPr>
              <w:pStyle w:val="BodyText"/>
              <w:spacing w:line="240" w:lineRule="auto"/>
              <w:rPr>
                <w:sz w:val="20"/>
                <w:szCs w:val="20"/>
              </w:rPr>
            </w:pPr>
            <w:r w:rsidRPr="00C54377">
              <w:rPr>
                <w:sz w:val="20"/>
                <w:szCs w:val="20"/>
              </w:rPr>
              <w:t>Diesel vehicle</w:t>
            </w:r>
          </w:p>
        </w:tc>
        <w:tc>
          <w:tcPr>
            <w:tcW w:w="669" w:type="dxa"/>
            <w:tcBorders>
              <w:top w:val="nil"/>
              <w:left w:val="nil"/>
              <w:bottom w:val="single" w:sz="4" w:space="0" w:color="auto"/>
              <w:right w:val="nil"/>
            </w:tcBorders>
            <w:shd w:val="clear" w:color="auto" w:fill="auto"/>
            <w:noWrap/>
            <w:vAlign w:val="center"/>
            <w:hideMark/>
          </w:tcPr>
          <w:p w14:paraId="67ACA175" w14:textId="3719C665" w:rsidR="00762268" w:rsidRPr="00C54377" w:rsidRDefault="00762268" w:rsidP="00762268">
            <w:pPr>
              <w:pStyle w:val="BodyText"/>
              <w:spacing w:line="240" w:lineRule="auto"/>
              <w:rPr>
                <w:sz w:val="20"/>
                <w:szCs w:val="20"/>
              </w:rPr>
            </w:pPr>
            <w:r w:rsidRPr="00C54377">
              <w:rPr>
                <w:color w:val="000000"/>
                <w:sz w:val="20"/>
                <w:szCs w:val="20"/>
              </w:rPr>
              <w:t>656</w:t>
            </w:r>
          </w:p>
        </w:tc>
        <w:tc>
          <w:tcPr>
            <w:tcW w:w="668" w:type="dxa"/>
            <w:tcBorders>
              <w:top w:val="nil"/>
              <w:left w:val="nil"/>
              <w:bottom w:val="single" w:sz="4" w:space="0" w:color="auto"/>
              <w:right w:val="nil"/>
            </w:tcBorders>
            <w:shd w:val="clear" w:color="auto" w:fill="auto"/>
            <w:noWrap/>
            <w:vAlign w:val="center"/>
            <w:hideMark/>
          </w:tcPr>
          <w:p w14:paraId="64BAE4E3" w14:textId="1CC2BBC0" w:rsidR="00762268" w:rsidRPr="00C54377" w:rsidRDefault="00762268" w:rsidP="00762268">
            <w:pPr>
              <w:pStyle w:val="BodyText"/>
              <w:spacing w:line="240" w:lineRule="auto"/>
              <w:rPr>
                <w:sz w:val="20"/>
                <w:szCs w:val="20"/>
              </w:rPr>
            </w:pPr>
            <w:r w:rsidRPr="00C54377">
              <w:rPr>
                <w:color w:val="000000"/>
                <w:sz w:val="20"/>
                <w:szCs w:val="20"/>
              </w:rPr>
              <w:t>664</w:t>
            </w:r>
          </w:p>
        </w:tc>
        <w:tc>
          <w:tcPr>
            <w:tcW w:w="668" w:type="dxa"/>
            <w:tcBorders>
              <w:top w:val="nil"/>
              <w:left w:val="nil"/>
              <w:bottom w:val="single" w:sz="4" w:space="0" w:color="auto"/>
              <w:right w:val="nil"/>
            </w:tcBorders>
            <w:shd w:val="clear" w:color="auto" w:fill="auto"/>
            <w:noWrap/>
            <w:vAlign w:val="center"/>
            <w:hideMark/>
          </w:tcPr>
          <w:p w14:paraId="70EBBB11" w14:textId="7FB1437F" w:rsidR="00762268" w:rsidRPr="00C54377" w:rsidRDefault="00762268" w:rsidP="00762268">
            <w:pPr>
              <w:pStyle w:val="BodyText"/>
              <w:spacing w:line="240" w:lineRule="auto"/>
              <w:rPr>
                <w:sz w:val="20"/>
                <w:szCs w:val="20"/>
              </w:rPr>
            </w:pPr>
            <w:r w:rsidRPr="00C54377">
              <w:rPr>
                <w:color w:val="000000"/>
                <w:sz w:val="20"/>
                <w:szCs w:val="20"/>
              </w:rPr>
              <w:t>699</w:t>
            </w:r>
          </w:p>
        </w:tc>
        <w:tc>
          <w:tcPr>
            <w:tcW w:w="668" w:type="dxa"/>
            <w:tcBorders>
              <w:top w:val="nil"/>
              <w:left w:val="nil"/>
              <w:bottom w:val="single" w:sz="4" w:space="0" w:color="auto"/>
              <w:right w:val="single" w:sz="4" w:space="0" w:color="auto"/>
            </w:tcBorders>
            <w:shd w:val="clear" w:color="auto" w:fill="auto"/>
            <w:noWrap/>
            <w:vAlign w:val="center"/>
            <w:hideMark/>
          </w:tcPr>
          <w:p w14:paraId="1E747CE1" w14:textId="546EDFE7" w:rsidR="00762268" w:rsidRPr="00C54377" w:rsidRDefault="00762268" w:rsidP="00762268">
            <w:pPr>
              <w:pStyle w:val="BodyText"/>
              <w:spacing w:line="240" w:lineRule="auto"/>
              <w:rPr>
                <w:sz w:val="20"/>
                <w:szCs w:val="20"/>
              </w:rPr>
            </w:pPr>
            <w:r w:rsidRPr="00C54377">
              <w:rPr>
                <w:color w:val="000000"/>
                <w:sz w:val="20"/>
                <w:szCs w:val="20"/>
              </w:rPr>
              <w:t>693</w:t>
            </w:r>
          </w:p>
        </w:tc>
        <w:tc>
          <w:tcPr>
            <w:tcW w:w="668" w:type="dxa"/>
            <w:tcBorders>
              <w:top w:val="nil"/>
              <w:left w:val="nil"/>
              <w:bottom w:val="single" w:sz="4" w:space="0" w:color="auto"/>
              <w:right w:val="nil"/>
            </w:tcBorders>
            <w:shd w:val="clear" w:color="auto" w:fill="auto"/>
            <w:noWrap/>
            <w:vAlign w:val="center"/>
            <w:hideMark/>
          </w:tcPr>
          <w:p w14:paraId="75E78765" w14:textId="1065B7C3" w:rsidR="00762268" w:rsidRPr="00C54377" w:rsidRDefault="00762268" w:rsidP="00762268">
            <w:pPr>
              <w:pStyle w:val="BodyText"/>
              <w:spacing w:line="240" w:lineRule="auto"/>
              <w:rPr>
                <w:sz w:val="20"/>
                <w:szCs w:val="20"/>
              </w:rPr>
            </w:pPr>
            <w:r w:rsidRPr="00C54377">
              <w:rPr>
                <w:color w:val="000000"/>
                <w:sz w:val="20"/>
                <w:szCs w:val="20"/>
              </w:rPr>
              <w:t>696</w:t>
            </w:r>
          </w:p>
        </w:tc>
        <w:tc>
          <w:tcPr>
            <w:tcW w:w="668" w:type="dxa"/>
            <w:tcBorders>
              <w:top w:val="nil"/>
              <w:left w:val="nil"/>
              <w:bottom w:val="single" w:sz="4" w:space="0" w:color="auto"/>
              <w:right w:val="nil"/>
            </w:tcBorders>
            <w:shd w:val="clear" w:color="auto" w:fill="auto"/>
            <w:noWrap/>
            <w:vAlign w:val="center"/>
            <w:hideMark/>
          </w:tcPr>
          <w:p w14:paraId="4E422EB8" w14:textId="31DAD10A" w:rsidR="00762268" w:rsidRPr="00C54377" w:rsidRDefault="00762268" w:rsidP="00762268">
            <w:pPr>
              <w:pStyle w:val="BodyText"/>
              <w:spacing w:line="240" w:lineRule="auto"/>
              <w:rPr>
                <w:sz w:val="20"/>
                <w:szCs w:val="20"/>
              </w:rPr>
            </w:pPr>
            <w:r w:rsidRPr="00C54377">
              <w:rPr>
                <w:color w:val="000000"/>
                <w:sz w:val="20"/>
                <w:szCs w:val="20"/>
              </w:rPr>
              <w:t>710</w:t>
            </w:r>
          </w:p>
        </w:tc>
        <w:tc>
          <w:tcPr>
            <w:tcW w:w="668" w:type="dxa"/>
            <w:tcBorders>
              <w:top w:val="nil"/>
              <w:left w:val="nil"/>
              <w:bottom w:val="single" w:sz="4" w:space="0" w:color="auto"/>
              <w:right w:val="nil"/>
            </w:tcBorders>
            <w:shd w:val="clear" w:color="auto" w:fill="auto"/>
            <w:noWrap/>
            <w:vAlign w:val="center"/>
            <w:hideMark/>
          </w:tcPr>
          <w:p w14:paraId="5C071A97" w14:textId="30FF7D9F" w:rsidR="00762268" w:rsidRPr="00C54377" w:rsidRDefault="00762268" w:rsidP="00762268">
            <w:pPr>
              <w:pStyle w:val="BodyText"/>
              <w:spacing w:line="240" w:lineRule="auto"/>
              <w:rPr>
                <w:sz w:val="20"/>
                <w:szCs w:val="20"/>
              </w:rPr>
            </w:pPr>
            <w:r w:rsidRPr="00C54377">
              <w:rPr>
                <w:color w:val="000000"/>
                <w:sz w:val="20"/>
                <w:szCs w:val="20"/>
              </w:rPr>
              <w:t>715</w:t>
            </w:r>
          </w:p>
        </w:tc>
        <w:tc>
          <w:tcPr>
            <w:tcW w:w="668" w:type="dxa"/>
            <w:tcBorders>
              <w:top w:val="nil"/>
              <w:left w:val="nil"/>
              <w:bottom w:val="single" w:sz="4" w:space="0" w:color="auto"/>
              <w:right w:val="nil"/>
            </w:tcBorders>
            <w:shd w:val="clear" w:color="auto" w:fill="auto"/>
            <w:noWrap/>
            <w:vAlign w:val="center"/>
            <w:hideMark/>
          </w:tcPr>
          <w:p w14:paraId="1793F337" w14:textId="420FDA40" w:rsidR="00762268" w:rsidRPr="00C54377" w:rsidRDefault="00762268" w:rsidP="00762268">
            <w:pPr>
              <w:pStyle w:val="BodyText"/>
              <w:spacing w:line="240" w:lineRule="auto"/>
              <w:rPr>
                <w:sz w:val="20"/>
                <w:szCs w:val="20"/>
              </w:rPr>
            </w:pPr>
            <w:r w:rsidRPr="00C54377">
              <w:rPr>
                <w:color w:val="000000"/>
                <w:sz w:val="20"/>
                <w:szCs w:val="20"/>
              </w:rPr>
              <w:t>723</w:t>
            </w:r>
          </w:p>
        </w:tc>
        <w:tc>
          <w:tcPr>
            <w:tcW w:w="870" w:type="dxa"/>
            <w:tcBorders>
              <w:top w:val="nil"/>
              <w:left w:val="nil"/>
              <w:bottom w:val="single" w:sz="4" w:space="0" w:color="auto"/>
              <w:right w:val="nil"/>
            </w:tcBorders>
            <w:shd w:val="clear" w:color="auto" w:fill="auto"/>
            <w:noWrap/>
            <w:vAlign w:val="bottom"/>
            <w:hideMark/>
          </w:tcPr>
          <w:p w14:paraId="21E64F16" w14:textId="7E28291F" w:rsidR="00762268" w:rsidRPr="00C54377" w:rsidRDefault="00762268" w:rsidP="00762268">
            <w:pPr>
              <w:pStyle w:val="BodyText"/>
              <w:spacing w:line="240" w:lineRule="auto"/>
              <w:rPr>
                <w:sz w:val="20"/>
                <w:szCs w:val="20"/>
              </w:rPr>
            </w:pPr>
            <w:r w:rsidRPr="00C54377">
              <w:rPr>
                <w:sz w:val="20"/>
                <w:szCs w:val="20"/>
              </w:rPr>
              <w:t>EIA</w:t>
            </w:r>
          </w:p>
        </w:tc>
        <w:tc>
          <w:tcPr>
            <w:tcW w:w="1201" w:type="dxa"/>
            <w:tcBorders>
              <w:top w:val="nil"/>
              <w:left w:val="nil"/>
              <w:bottom w:val="single" w:sz="4" w:space="0" w:color="auto"/>
              <w:right w:val="nil"/>
            </w:tcBorders>
            <w:shd w:val="clear" w:color="auto" w:fill="auto"/>
            <w:noWrap/>
            <w:vAlign w:val="center"/>
            <w:hideMark/>
          </w:tcPr>
          <w:p w14:paraId="1B74CB1F" w14:textId="58181CE4" w:rsidR="00762268" w:rsidRPr="00762268" w:rsidRDefault="00762268" w:rsidP="00762268">
            <w:pPr>
              <w:pStyle w:val="BodyText"/>
              <w:spacing w:line="240" w:lineRule="auto"/>
              <w:rPr>
                <w:sz w:val="20"/>
                <w:szCs w:val="20"/>
              </w:rPr>
            </w:pPr>
            <w:r w:rsidRPr="00C54377">
              <w:rPr>
                <w:color w:val="000000"/>
                <w:sz w:val="20"/>
                <w:szCs w:val="20"/>
              </w:rPr>
              <w:t>5%</w:t>
            </w:r>
          </w:p>
        </w:tc>
      </w:tr>
      <w:tr w:rsidR="00762268" w:rsidRPr="000B73E2" w14:paraId="2B4E70B4" w14:textId="77777777" w:rsidTr="00415310">
        <w:trPr>
          <w:trHeight w:val="315"/>
        </w:trPr>
        <w:tc>
          <w:tcPr>
            <w:tcW w:w="4833" w:type="dxa"/>
            <w:gridSpan w:val="5"/>
            <w:tcBorders>
              <w:top w:val="single" w:sz="4" w:space="0" w:color="auto"/>
              <w:left w:val="nil"/>
              <w:bottom w:val="single" w:sz="4" w:space="0" w:color="auto"/>
              <w:right w:val="single" w:sz="4" w:space="0" w:color="auto"/>
            </w:tcBorders>
            <w:shd w:val="clear" w:color="auto" w:fill="auto"/>
            <w:noWrap/>
            <w:vAlign w:val="center"/>
            <w:hideMark/>
          </w:tcPr>
          <w:p w14:paraId="443D5B1F" w14:textId="77777777" w:rsidR="00762268" w:rsidRPr="00373A86" w:rsidRDefault="00762268" w:rsidP="00373A86">
            <w:pPr>
              <w:pStyle w:val="BodyText"/>
              <w:spacing w:line="240" w:lineRule="auto"/>
              <w:rPr>
                <w:sz w:val="20"/>
                <w:szCs w:val="20"/>
              </w:rPr>
            </w:pPr>
            <w:r w:rsidRPr="00373A86">
              <w:rPr>
                <w:sz w:val="20"/>
                <w:szCs w:val="20"/>
              </w:rPr>
              <w:t>Vehicle stocks (million) </w:t>
            </w:r>
          </w:p>
        </w:tc>
        <w:tc>
          <w:tcPr>
            <w:tcW w:w="668" w:type="dxa"/>
            <w:tcBorders>
              <w:top w:val="single" w:sz="4" w:space="0" w:color="auto"/>
              <w:left w:val="nil"/>
              <w:bottom w:val="single" w:sz="4" w:space="0" w:color="auto"/>
              <w:right w:val="nil"/>
            </w:tcBorders>
            <w:shd w:val="clear" w:color="auto" w:fill="auto"/>
            <w:noWrap/>
            <w:vAlign w:val="bottom"/>
            <w:hideMark/>
          </w:tcPr>
          <w:p w14:paraId="00DD8AA9"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4E1D1311"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4C714A51" w14:textId="77777777" w:rsidR="00762268" w:rsidRPr="00373A86" w:rsidRDefault="00762268" w:rsidP="00373A86">
            <w:pPr>
              <w:pStyle w:val="BodyText"/>
              <w:spacing w:line="240" w:lineRule="auto"/>
              <w:rPr>
                <w:sz w:val="20"/>
                <w:szCs w:val="20"/>
              </w:rPr>
            </w:pPr>
            <w:r w:rsidRPr="00373A86">
              <w:rPr>
                <w:sz w:val="20"/>
                <w:szCs w:val="20"/>
              </w:rPr>
              <w:t> </w:t>
            </w:r>
          </w:p>
        </w:tc>
        <w:tc>
          <w:tcPr>
            <w:tcW w:w="668" w:type="dxa"/>
            <w:tcBorders>
              <w:top w:val="single" w:sz="4" w:space="0" w:color="auto"/>
              <w:left w:val="nil"/>
              <w:bottom w:val="single" w:sz="4" w:space="0" w:color="auto"/>
              <w:right w:val="nil"/>
            </w:tcBorders>
            <w:shd w:val="clear" w:color="auto" w:fill="auto"/>
            <w:noWrap/>
            <w:vAlign w:val="center"/>
            <w:hideMark/>
          </w:tcPr>
          <w:p w14:paraId="313CF43F" w14:textId="77777777" w:rsidR="00762268" w:rsidRPr="00373A86" w:rsidRDefault="00762268" w:rsidP="00373A86">
            <w:pPr>
              <w:pStyle w:val="BodyText"/>
              <w:spacing w:line="240" w:lineRule="auto"/>
              <w:rPr>
                <w:sz w:val="20"/>
                <w:szCs w:val="20"/>
              </w:rPr>
            </w:pPr>
            <w:r w:rsidRPr="00373A86">
              <w:rPr>
                <w:sz w:val="20"/>
                <w:szCs w:val="20"/>
              </w:rPr>
              <w:t> </w:t>
            </w:r>
          </w:p>
        </w:tc>
        <w:tc>
          <w:tcPr>
            <w:tcW w:w="870" w:type="dxa"/>
            <w:tcBorders>
              <w:top w:val="single" w:sz="4" w:space="0" w:color="auto"/>
              <w:left w:val="nil"/>
              <w:bottom w:val="single" w:sz="4" w:space="0" w:color="auto"/>
              <w:right w:val="nil"/>
            </w:tcBorders>
            <w:shd w:val="clear" w:color="auto" w:fill="auto"/>
            <w:noWrap/>
            <w:hideMark/>
          </w:tcPr>
          <w:p w14:paraId="0A72E12B" w14:textId="77777777" w:rsidR="00762268" w:rsidRPr="00373A86" w:rsidRDefault="00762268" w:rsidP="00373A86">
            <w:pPr>
              <w:pStyle w:val="BodyText"/>
              <w:spacing w:line="240" w:lineRule="auto"/>
              <w:rPr>
                <w:sz w:val="20"/>
                <w:szCs w:val="20"/>
              </w:rPr>
            </w:pPr>
            <w:r w:rsidRPr="00373A86">
              <w:rPr>
                <w:sz w:val="20"/>
                <w:szCs w:val="20"/>
              </w:rPr>
              <w:t> </w:t>
            </w:r>
          </w:p>
        </w:tc>
        <w:tc>
          <w:tcPr>
            <w:tcW w:w="1201" w:type="dxa"/>
            <w:tcBorders>
              <w:top w:val="single" w:sz="4" w:space="0" w:color="auto"/>
              <w:left w:val="nil"/>
              <w:bottom w:val="single" w:sz="4" w:space="0" w:color="auto"/>
              <w:right w:val="nil"/>
            </w:tcBorders>
            <w:shd w:val="clear" w:color="auto" w:fill="auto"/>
            <w:noWrap/>
            <w:vAlign w:val="center"/>
            <w:hideMark/>
          </w:tcPr>
          <w:p w14:paraId="7434DEA6" w14:textId="77777777" w:rsidR="00762268" w:rsidRPr="00373A86" w:rsidRDefault="00762268" w:rsidP="00373A86">
            <w:pPr>
              <w:pStyle w:val="BodyText"/>
              <w:spacing w:line="240" w:lineRule="auto"/>
              <w:rPr>
                <w:sz w:val="20"/>
                <w:szCs w:val="20"/>
              </w:rPr>
            </w:pPr>
            <w:r w:rsidRPr="00373A86">
              <w:rPr>
                <w:sz w:val="20"/>
                <w:szCs w:val="20"/>
              </w:rPr>
              <w:t> </w:t>
            </w:r>
          </w:p>
        </w:tc>
      </w:tr>
      <w:tr w:rsidR="00762268" w:rsidRPr="00D1739C" w14:paraId="37F9D632" w14:textId="77777777" w:rsidTr="00415310">
        <w:trPr>
          <w:trHeight w:val="315"/>
        </w:trPr>
        <w:tc>
          <w:tcPr>
            <w:tcW w:w="2160" w:type="dxa"/>
            <w:tcBorders>
              <w:top w:val="nil"/>
              <w:left w:val="nil"/>
              <w:bottom w:val="nil"/>
              <w:right w:val="nil"/>
            </w:tcBorders>
            <w:shd w:val="clear" w:color="auto" w:fill="auto"/>
            <w:noWrap/>
            <w:vAlign w:val="bottom"/>
            <w:hideMark/>
          </w:tcPr>
          <w:p w14:paraId="7B468087" w14:textId="77777777" w:rsidR="00762268" w:rsidRPr="00373A86" w:rsidRDefault="00762268" w:rsidP="00762268">
            <w:pPr>
              <w:pStyle w:val="BodyText"/>
              <w:spacing w:line="240" w:lineRule="auto"/>
              <w:rPr>
                <w:sz w:val="20"/>
                <w:szCs w:val="20"/>
              </w:rPr>
            </w:pPr>
            <w:r w:rsidRPr="00373A86">
              <w:rPr>
                <w:sz w:val="20"/>
                <w:szCs w:val="20"/>
              </w:rPr>
              <w:t>CV</w:t>
            </w:r>
          </w:p>
        </w:tc>
        <w:tc>
          <w:tcPr>
            <w:tcW w:w="669" w:type="dxa"/>
            <w:tcBorders>
              <w:top w:val="nil"/>
              <w:left w:val="nil"/>
              <w:bottom w:val="nil"/>
              <w:right w:val="nil"/>
            </w:tcBorders>
            <w:shd w:val="clear" w:color="auto" w:fill="auto"/>
            <w:noWrap/>
            <w:vAlign w:val="bottom"/>
            <w:hideMark/>
          </w:tcPr>
          <w:p w14:paraId="5ABDC4C3" w14:textId="28751612" w:rsidR="00762268" w:rsidRPr="00762268" w:rsidRDefault="00762268" w:rsidP="00762268">
            <w:pPr>
              <w:pStyle w:val="BodyText"/>
              <w:spacing w:line="240" w:lineRule="auto"/>
              <w:rPr>
                <w:sz w:val="20"/>
                <w:szCs w:val="20"/>
              </w:rPr>
            </w:pPr>
            <w:r w:rsidRPr="0099742A">
              <w:rPr>
                <w:sz w:val="20"/>
                <w:szCs w:val="20"/>
              </w:rPr>
              <w:t>215</w:t>
            </w:r>
          </w:p>
        </w:tc>
        <w:tc>
          <w:tcPr>
            <w:tcW w:w="668" w:type="dxa"/>
            <w:tcBorders>
              <w:top w:val="nil"/>
              <w:left w:val="nil"/>
              <w:bottom w:val="nil"/>
              <w:right w:val="nil"/>
            </w:tcBorders>
            <w:shd w:val="clear" w:color="auto" w:fill="auto"/>
            <w:noWrap/>
            <w:vAlign w:val="bottom"/>
            <w:hideMark/>
          </w:tcPr>
          <w:p w14:paraId="3D324149" w14:textId="5CEC45F6" w:rsidR="00762268" w:rsidRPr="00762268" w:rsidRDefault="00762268" w:rsidP="00762268">
            <w:pPr>
              <w:pStyle w:val="BodyText"/>
              <w:spacing w:line="240" w:lineRule="auto"/>
              <w:rPr>
                <w:sz w:val="20"/>
                <w:szCs w:val="20"/>
              </w:rPr>
            </w:pPr>
            <w:r w:rsidRPr="0099742A">
              <w:rPr>
                <w:sz w:val="20"/>
                <w:szCs w:val="20"/>
              </w:rPr>
              <w:t>228</w:t>
            </w:r>
          </w:p>
        </w:tc>
        <w:tc>
          <w:tcPr>
            <w:tcW w:w="668" w:type="dxa"/>
            <w:tcBorders>
              <w:top w:val="nil"/>
              <w:left w:val="nil"/>
              <w:bottom w:val="nil"/>
              <w:right w:val="nil"/>
            </w:tcBorders>
            <w:shd w:val="clear" w:color="auto" w:fill="auto"/>
            <w:noWrap/>
            <w:vAlign w:val="bottom"/>
            <w:hideMark/>
          </w:tcPr>
          <w:p w14:paraId="4BFF5C32" w14:textId="3FACC94D" w:rsidR="00762268" w:rsidRPr="00762268" w:rsidRDefault="00762268" w:rsidP="00762268">
            <w:pPr>
              <w:pStyle w:val="BodyText"/>
              <w:spacing w:line="240" w:lineRule="auto"/>
              <w:rPr>
                <w:sz w:val="20"/>
                <w:szCs w:val="20"/>
              </w:rPr>
            </w:pPr>
            <w:r w:rsidRPr="0099742A">
              <w:rPr>
                <w:sz w:val="20"/>
                <w:szCs w:val="20"/>
              </w:rPr>
              <w:t>228</w:t>
            </w:r>
          </w:p>
        </w:tc>
        <w:tc>
          <w:tcPr>
            <w:tcW w:w="668" w:type="dxa"/>
            <w:tcBorders>
              <w:top w:val="nil"/>
              <w:left w:val="nil"/>
              <w:bottom w:val="nil"/>
              <w:right w:val="single" w:sz="4" w:space="0" w:color="auto"/>
            </w:tcBorders>
            <w:shd w:val="clear" w:color="auto" w:fill="auto"/>
            <w:noWrap/>
            <w:vAlign w:val="bottom"/>
            <w:hideMark/>
          </w:tcPr>
          <w:p w14:paraId="1E80B95E" w14:textId="1824C119" w:rsidR="00762268" w:rsidRPr="00762268" w:rsidRDefault="00762268" w:rsidP="00762268">
            <w:pPr>
              <w:pStyle w:val="BodyText"/>
              <w:spacing w:line="240" w:lineRule="auto"/>
              <w:rPr>
                <w:sz w:val="20"/>
                <w:szCs w:val="20"/>
              </w:rPr>
            </w:pPr>
            <w:r w:rsidRPr="0099742A">
              <w:rPr>
                <w:sz w:val="20"/>
                <w:szCs w:val="20"/>
              </w:rPr>
              <w:t>229</w:t>
            </w:r>
          </w:p>
        </w:tc>
        <w:tc>
          <w:tcPr>
            <w:tcW w:w="668" w:type="dxa"/>
            <w:tcBorders>
              <w:top w:val="nil"/>
              <w:left w:val="nil"/>
              <w:bottom w:val="nil"/>
              <w:right w:val="nil"/>
            </w:tcBorders>
            <w:shd w:val="clear" w:color="auto" w:fill="auto"/>
            <w:noWrap/>
            <w:vAlign w:val="bottom"/>
            <w:hideMark/>
          </w:tcPr>
          <w:p w14:paraId="4B53FE66" w14:textId="7A8ACE26" w:rsidR="00762268" w:rsidRPr="00762268" w:rsidRDefault="00762268" w:rsidP="00762268">
            <w:pPr>
              <w:pStyle w:val="BodyText"/>
              <w:spacing w:line="240" w:lineRule="auto"/>
              <w:rPr>
                <w:sz w:val="20"/>
                <w:szCs w:val="20"/>
              </w:rPr>
            </w:pPr>
            <w:r w:rsidRPr="0099742A">
              <w:rPr>
                <w:color w:val="000000"/>
                <w:sz w:val="20"/>
                <w:szCs w:val="20"/>
              </w:rPr>
              <w:t>207</w:t>
            </w:r>
          </w:p>
        </w:tc>
        <w:tc>
          <w:tcPr>
            <w:tcW w:w="668" w:type="dxa"/>
            <w:tcBorders>
              <w:top w:val="nil"/>
              <w:left w:val="nil"/>
              <w:bottom w:val="nil"/>
              <w:right w:val="nil"/>
            </w:tcBorders>
            <w:shd w:val="clear" w:color="auto" w:fill="auto"/>
            <w:noWrap/>
            <w:vAlign w:val="bottom"/>
            <w:hideMark/>
          </w:tcPr>
          <w:p w14:paraId="7053722F" w14:textId="18951AA7" w:rsidR="00762268" w:rsidRPr="00762268" w:rsidRDefault="00762268" w:rsidP="00762268">
            <w:pPr>
              <w:pStyle w:val="BodyText"/>
              <w:spacing w:line="240" w:lineRule="auto"/>
              <w:rPr>
                <w:sz w:val="20"/>
                <w:szCs w:val="20"/>
              </w:rPr>
            </w:pPr>
            <w:r w:rsidRPr="0099742A">
              <w:rPr>
                <w:color w:val="000000"/>
                <w:sz w:val="20"/>
                <w:szCs w:val="20"/>
              </w:rPr>
              <w:t>190</w:t>
            </w:r>
          </w:p>
        </w:tc>
        <w:tc>
          <w:tcPr>
            <w:tcW w:w="668" w:type="dxa"/>
            <w:tcBorders>
              <w:top w:val="nil"/>
              <w:left w:val="nil"/>
              <w:bottom w:val="nil"/>
              <w:right w:val="nil"/>
            </w:tcBorders>
            <w:shd w:val="clear" w:color="auto" w:fill="auto"/>
            <w:noWrap/>
            <w:vAlign w:val="bottom"/>
            <w:hideMark/>
          </w:tcPr>
          <w:p w14:paraId="4C505AD4" w14:textId="583BFDE6" w:rsidR="00762268" w:rsidRPr="00762268" w:rsidRDefault="00762268" w:rsidP="00762268">
            <w:pPr>
              <w:pStyle w:val="BodyText"/>
              <w:spacing w:line="240" w:lineRule="auto"/>
              <w:rPr>
                <w:sz w:val="20"/>
                <w:szCs w:val="20"/>
              </w:rPr>
            </w:pPr>
            <w:r w:rsidRPr="0099742A">
              <w:rPr>
                <w:color w:val="000000"/>
                <w:sz w:val="20"/>
                <w:szCs w:val="20"/>
              </w:rPr>
              <w:t>173</w:t>
            </w:r>
          </w:p>
        </w:tc>
        <w:tc>
          <w:tcPr>
            <w:tcW w:w="668" w:type="dxa"/>
            <w:tcBorders>
              <w:top w:val="nil"/>
              <w:left w:val="nil"/>
              <w:bottom w:val="nil"/>
              <w:right w:val="nil"/>
            </w:tcBorders>
            <w:shd w:val="clear" w:color="auto" w:fill="auto"/>
            <w:noWrap/>
            <w:vAlign w:val="bottom"/>
            <w:hideMark/>
          </w:tcPr>
          <w:p w14:paraId="41B94444" w14:textId="54FE68D2" w:rsidR="00762268" w:rsidRPr="00762268" w:rsidRDefault="00762268" w:rsidP="00762268">
            <w:pPr>
              <w:pStyle w:val="BodyText"/>
              <w:spacing w:line="240" w:lineRule="auto"/>
              <w:rPr>
                <w:sz w:val="20"/>
                <w:szCs w:val="20"/>
              </w:rPr>
            </w:pPr>
            <w:r w:rsidRPr="0099742A">
              <w:rPr>
                <w:color w:val="000000"/>
                <w:sz w:val="20"/>
                <w:szCs w:val="20"/>
              </w:rPr>
              <w:t>177</w:t>
            </w:r>
          </w:p>
        </w:tc>
        <w:tc>
          <w:tcPr>
            <w:tcW w:w="870" w:type="dxa"/>
            <w:tcBorders>
              <w:top w:val="nil"/>
              <w:left w:val="nil"/>
              <w:bottom w:val="nil"/>
              <w:right w:val="nil"/>
            </w:tcBorders>
            <w:shd w:val="clear" w:color="auto" w:fill="auto"/>
            <w:noWrap/>
            <w:vAlign w:val="bottom"/>
            <w:hideMark/>
          </w:tcPr>
          <w:p w14:paraId="7B7CC8F4" w14:textId="350A53B9"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bottom w:val="nil"/>
              <w:right w:val="nil"/>
            </w:tcBorders>
            <w:shd w:val="clear" w:color="auto" w:fill="auto"/>
            <w:noWrap/>
            <w:vAlign w:val="center"/>
            <w:hideMark/>
          </w:tcPr>
          <w:p w14:paraId="7D363A30" w14:textId="2C6B394A" w:rsidR="00762268" w:rsidRPr="00762268" w:rsidRDefault="00762268" w:rsidP="00762268">
            <w:pPr>
              <w:pStyle w:val="BodyText"/>
              <w:spacing w:line="240" w:lineRule="auto"/>
              <w:rPr>
                <w:sz w:val="20"/>
                <w:szCs w:val="20"/>
              </w:rPr>
            </w:pPr>
            <w:r w:rsidRPr="0099742A">
              <w:rPr>
                <w:color w:val="000000"/>
                <w:sz w:val="20"/>
                <w:szCs w:val="20"/>
              </w:rPr>
              <w:t>-17%</w:t>
            </w:r>
          </w:p>
        </w:tc>
      </w:tr>
      <w:tr w:rsidR="00762268" w:rsidRPr="00D1739C" w14:paraId="7A854730" w14:textId="77777777" w:rsidTr="00415310">
        <w:trPr>
          <w:trHeight w:val="315"/>
        </w:trPr>
        <w:tc>
          <w:tcPr>
            <w:tcW w:w="2160" w:type="dxa"/>
            <w:tcBorders>
              <w:top w:val="nil"/>
              <w:left w:val="nil"/>
              <w:bottom w:val="nil"/>
              <w:right w:val="nil"/>
            </w:tcBorders>
            <w:shd w:val="clear" w:color="auto" w:fill="auto"/>
            <w:noWrap/>
            <w:vAlign w:val="bottom"/>
            <w:hideMark/>
          </w:tcPr>
          <w:p w14:paraId="0F7CF873" w14:textId="77777777" w:rsidR="00762268" w:rsidRPr="00373A86" w:rsidRDefault="00762268" w:rsidP="00762268">
            <w:pPr>
              <w:pStyle w:val="BodyText"/>
              <w:spacing w:line="240" w:lineRule="auto"/>
              <w:rPr>
                <w:sz w:val="20"/>
                <w:szCs w:val="20"/>
              </w:rPr>
            </w:pPr>
            <w:r w:rsidRPr="00373A86">
              <w:rPr>
                <w:sz w:val="20"/>
                <w:szCs w:val="20"/>
              </w:rPr>
              <w:t>FFV</w:t>
            </w:r>
          </w:p>
        </w:tc>
        <w:tc>
          <w:tcPr>
            <w:tcW w:w="669" w:type="dxa"/>
            <w:tcBorders>
              <w:top w:val="nil"/>
              <w:left w:val="nil"/>
              <w:bottom w:val="nil"/>
              <w:right w:val="nil"/>
            </w:tcBorders>
            <w:shd w:val="clear" w:color="auto" w:fill="auto"/>
            <w:noWrap/>
            <w:vAlign w:val="bottom"/>
            <w:hideMark/>
          </w:tcPr>
          <w:p w14:paraId="4854053B" w14:textId="0C784D28" w:rsidR="00762268" w:rsidRPr="00762268" w:rsidRDefault="00762268" w:rsidP="00762268">
            <w:pPr>
              <w:pStyle w:val="BodyText"/>
              <w:spacing w:line="240" w:lineRule="auto"/>
              <w:rPr>
                <w:sz w:val="20"/>
                <w:szCs w:val="20"/>
              </w:rPr>
            </w:pPr>
            <w:r w:rsidRPr="0099742A">
              <w:rPr>
                <w:sz w:val="20"/>
                <w:szCs w:val="20"/>
              </w:rPr>
              <w:t>19.8</w:t>
            </w:r>
          </w:p>
        </w:tc>
        <w:tc>
          <w:tcPr>
            <w:tcW w:w="668" w:type="dxa"/>
            <w:tcBorders>
              <w:top w:val="nil"/>
              <w:left w:val="nil"/>
              <w:bottom w:val="nil"/>
              <w:right w:val="nil"/>
            </w:tcBorders>
            <w:shd w:val="clear" w:color="auto" w:fill="auto"/>
            <w:noWrap/>
            <w:vAlign w:val="bottom"/>
            <w:hideMark/>
          </w:tcPr>
          <w:p w14:paraId="5A597DC7" w14:textId="4515A2F6" w:rsidR="00762268" w:rsidRPr="00762268" w:rsidRDefault="00762268" w:rsidP="00762268">
            <w:pPr>
              <w:pStyle w:val="BodyText"/>
              <w:spacing w:line="240" w:lineRule="auto"/>
              <w:rPr>
                <w:sz w:val="20"/>
                <w:szCs w:val="20"/>
              </w:rPr>
            </w:pPr>
            <w:r w:rsidRPr="0099742A">
              <w:rPr>
                <w:sz w:val="20"/>
                <w:szCs w:val="20"/>
              </w:rPr>
              <w:t>19.4</w:t>
            </w:r>
          </w:p>
        </w:tc>
        <w:tc>
          <w:tcPr>
            <w:tcW w:w="668" w:type="dxa"/>
            <w:tcBorders>
              <w:top w:val="nil"/>
              <w:left w:val="nil"/>
              <w:bottom w:val="nil"/>
              <w:right w:val="nil"/>
            </w:tcBorders>
            <w:shd w:val="clear" w:color="auto" w:fill="auto"/>
            <w:noWrap/>
            <w:vAlign w:val="bottom"/>
            <w:hideMark/>
          </w:tcPr>
          <w:p w14:paraId="363B10DD" w14:textId="6FA589CA" w:rsidR="00762268" w:rsidRPr="00762268" w:rsidRDefault="00762268" w:rsidP="00762268">
            <w:pPr>
              <w:pStyle w:val="BodyText"/>
              <w:spacing w:line="240" w:lineRule="auto"/>
              <w:rPr>
                <w:sz w:val="20"/>
                <w:szCs w:val="20"/>
              </w:rPr>
            </w:pPr>
            <w:r w:rsidRPr="0099742A">
              <w:rPr>
                <w:sz w:val="20"/>
                <w:szCs w:val="20"/>
              </w:rPr>
              <w:t>19.7</w:t>
            </w:r>
          </w:p>
        </w:tc>
        <w:tc>
          <w:tcPr>
            <w:tcW w:w="668" w:type="dxa"/>
            <w:tcBorders>
              <w:top w:val="nil"/>
              <w:left w:val="nil"/>
              <w:bottom w:val="nil"/>
              <w:right w:val="single" w:sz="4" w:space="0" w:color="auto"/>
            </w:tcBorders>
            <w:shd w:val="clear" w:color="auto" w:fill="auto"/>
            <w:noWrap/>
            <w:vAlign w:val="bottom"/>
            <w:hideMark/>
          </w:tcPr>
          <w:p w14:paraId="1302B266" w14:textId="792ED127" w:rsidR="00762268" w:rsidRPr="00762268" w:rsidRDefault="00762268" w:rsidP="00762268">
            <w:pPr>
              <w:pStyle w:val="BodyText"/>
              <w:spacing w:line="240" w:lineRule="auto"/>
              <w:rPr>
                <w:sz w:val="20"/>
                <w:szCs w:val="20"/>
              </w:rPr>
            </w:pPr>
            <w:r w:rsidRPr="0099742A">
              <w:rPr>
                <w:sz w:val="20"/>
                <w:szCs w:val="20"/>
              </w:rPr>
              <w:t>20.2</w:t>
            </w:r>
          </w:p>
        </w:tc>
        <w:tc>
          <w:tcPr>
            <w:tcW w:w="668" w:type="dxa"/>
            <w:tcBorders>
              <w:top w:val="nil"/>
              <w:left w:val="nil"/>
              <w:bottom w:val="nil"/>
              <w:right w:val="nil"/>
            </w:tcBorders>
            <w:shd w:val="clear" w:color="auto" w:fill="auto"/>
            <w:noWrap/>
            <w:vAlign w:val="bottom"/>
            <w:hideMark/>
          </w:tcPr>
          <w:p w14:paraId="6982AACD" w14:textId="631273AC" w:rsidR="00762268" w:rsidRPr="00762268" w:rsidRDefault="00762268" w:rsidP="00762268">
            <w:pPr>
              <w:pStyle w:val="BodyText"/>
              <w:spacing w:line="240" w:lineRule="auto"/>
              <w:rPr>
                <w:sz w:val="20"/>
                <w:szCs w:val="20"/>
              </w:rPr>
            </w:pPr>
            <w:r w:rsidRPr="0099742A">
              <w:rPr>
                <w:color w:val="000000"/>
                <w:sz w:val="20"/>
                <w:szCs w:val="20"/>
              </w:rPr>
              <w:t>24.7</w:t>
            </w:r>
          </w:p>
        </w:tc>
        <w:tc>
          <w:tcPr>
            <w:tcW w:w="668" w:type="dxa"/>
            <w:tcBorders>
              <w:top w:val="nil"/>
              <w:left w:val="nil"/>
              <w:bottom w:val="nil"/>
              <w:right w:val="nil"/>
            </w:tcBorders>
            <w:shd w:val="clear" w:color="auto" w:fill="auto"/>
            <w:noWrap/>
            <w:vAlign w:val="bottom"/>
            <w:hideMark/>
          </w:tcPr>
          <w:p w14:paraId="54DF59B5" w14:textId="6BBA3080" w:rsidR="00762268" w:rsidRPr="00762268" w:rsidRDefault="00762268" w:rsidP="00762268">
            <w:pPr>
              <w:pStyle w:val="BodyText"/>
              <w:spacing w:line="240" w:lineRule="auto"/>
              <w:rPr>
                <w:sz w:val="20"/>
                <w:szCs w:val="20"/>
              </w:rPr>
            </w:pPr>
            <w:r w:rsidRPr="0099742A">
              <w:rPr>
                <w:color w:val="000000"/>
                <w:sz w:val="20"/>
                <w:szCs w:val="20"/>
              </w:rPr>
              <w:t>37.7</w:t>
            </w:r>
          </w:p>
        </w:tc>
        <w:tc>
          <w:tcPr>
            <w:tcW w:w="668" w:type="dxa"/>
            <w:tcBorders>
              <w:top w:val="nil"/>
              <w:left w:val="nil"/>
              <w:bottom w:val="nil"/>
              <w:right w:val="nil"/>
            </w:tcBorders>
            <w:shd w:val="clear" w:color="auto" w:fill="auto"/>
            <w:noWrap/>
            <w:vAlign w:val="bottom"/>
            <w:hideMark/>
          </w:tcPr>
          <w:p w14:paraId="1781496D" w14:textId="1435B4A1" w:rsidR="00762268" w:rsidRPr="00762268" w:rsidRDefault="00762268" w:rsidP="00762268">
            <w:pPr>
              <w:pStyle w:val="BodyText"/>
              <w:spacing w:line="240" w:lineRule="auto"/>
              <w:rPr>
                <w:sz w:val="20"/>
                <w:szCs w:val="20"/>
              </w:rPr>
            </w:pPr>
            <w:r w:rsidRPr="0099742A">
              <w:rPr>
                <w:color w:val="000000"/>
                <w:sz w:val="20"/>
                <w:szCs w:val="20"/>
              </w:rPr>
              <w:t>61.6</w:t>
            </w:r>
          </w:p>
        </w:tc>
        <w:tc>
          <w:tcPr>
            <w:tcW w:w="668" w:type="dxa"/>
            <w:tcBorders>
              <w:top w:val="nil"/>
              <w:left w:val="nil"/>
              <w:bottom w:val="nil"/>
              <w:right w:val="nil"/>
            </w:tcBorders>
            <w:shd w:val="clear" w:color="auto" w:fill="auto"/>
            <w:noWrap/>
            <w:vAlign w:val="bottom"/>
            <w:hideMark/>
          </w:tcPr>
          <w:p w14:paraId="55EA97D0" w14:textId="41FDCD5B" w:rsidR="00762268" w:rsidRPr="00762268" w:rsidRDefault="00762268" w:rsidP="00762268">
            <w:pPr>
              <w:pStyle w:val="BodyText"/>
              <w:spacing w:line="240" w:lineRule="auto"/>
              <w:rPr>
                <w:sz w:val="20"/>
                <w:szCs w:val="20"/>
              </w:rPr>
            </w:pPr>
            <w:r w:rsidRPr="0099742A">
              <w:rPr>
                <w:color w:val="000000"/>
                <w:sz w:val="20"/>
                <w:szCs w:val="20"/>
              </w:rPr>
              <w:t>60.5</w:t>
            </w:r>
          </w:p>
        </w:tc>
        <w:tc>
          <w:tcPr>
            <w:tcW w:w="870" w:type="dxa"/>
            <w:tcBorders>
              <w:top w:val="nil"/>
              <w:left w:val="nil"/>
              <w:bottom w:val="nil"/>
              <w:right w:val="nil"/>
            </w:tcBorders>
            <w:shd w:val="clear" w:color="auto" w:fill="auto"/>
            <w:noWrap/>
            <w:vAlign w:val="bottom"/>
            <w:hideMark/>
          </w:tcPr>
          <w:p w14:paraId="23CEEFC4" w14:textId="05231240"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bottom w:val="nil"/>
              <w:right w:val="nil"/>
            </w:tcBorders>
            <w:shd w:val="clear" w:color="auto" w:fill="auto"/>
            <w:noWrap/>
            <w:vAlign w:val="center"/>
            <w:hideMark/>
          </w:tcPr>
          <w:p w14:paraId="54D0E694" w14:textId="1A0B4C86" w:rsidR="00762268" w:rsidRPr="00762268" w:rsidRDefault="00762268" w:rsidP="00762268">
            <w:pPr>
              <w:pStyle w:val="BodyText"/>
              <w:spacing w:line="240" w:lineRule="auto"/>
              <w:rPr>
                <w:sz w:val="20"/>
                <w:szCs w:val="20"/>
              </w:rPr>
            </w:pPr>
            <w:r w:rsidRPr="0099742A">
              <w:rPr>
                <w:color w:val="000000"/>
                <w:sz w:val="20"/>
                <w:szCs w:val="20"/>
              </w:rPr>
              <w:t>133%</w:t>
            </w:r>
          </w:p>
        </w:tc>
      </w:tr>
      <w:tr w:rsidR="00762268" w:rsidRPr="00D1739C" w14:paraId="4B2F4FA7" w14:textId="77777777" w:rsidTr="00415310">
        <w:trPr>
          <w:trHeight w:val="315"/>
        </w:trPr>
        <w:tc>
          <w:tcPr>
            <w:tcW w:w="2160" w:type="dxa"/>
            <w:tcBorders>
              <w:top w:val="nil"/>
              <w:left w:val="nil"/>
              <w:bottom w:val="nil"/>
              <w:right w:val="nil"/>
            </w:tcBorders>
            <w:shd w:val="clear" w:color="auto" w:fill="auto"/>
            <w:noWrap/>
            <w:vAlign w:val="bottom"/>
            <w:hideMark/>
          </w:tcPr>
          <w:p w14:paraId="15894F2F" w14:textId="77777777" w:rsidR="00762268" w:rsidRPr="00373A86" w:rsidRDefault="00762268" w:rsidP="00762268">
            <w:pPr>
              <w:pStyle w:val="BodyText"/>
              <w:spacing w:line="240" w:lineRule="auto"/>
              <w:rPr>
                <w:sz w:val="20"/>
                <w:szCs w:val="20"/>
              </w:rPr>
            </w:pPr>
            <w:r w:rsidRPr="00373A86">
              <w:rPr>
                <w:sz w:val="20"/>
                <w:szCs w:val="20"/>
              </w:rPr>
              <w:t>HBV</w:t>
            </w:r>
          </w:p>
        </w:tc>
        <w:tc>
          <w:tcPr>
            <w:tcW w:w="669" w:type="dxa"/>
            <w:tcBorders>
              <w:top w:val="nil"/>
              <w:left w:val="nil"/>
              <w:bottom w:val="nil"/>
              <w:right w:val="nil"/>
            </w:tcBorders>
            <w:shd w:val="clear" w:color="auto" w:fill="auto"/>
            <w:noWrap/>
            <w:vAlign w:val="bottom"/>
            <w:hideMark/>
          </w:tcPr>
          <w:p w14:paraId="4FAF6A82" w14:textId="53834EBC" w:rsidR="00762268" w:rsidRPr="00762268" w:rsidRDefault="00762268" w:rsidP="00762268">
            <w:pPr>
              <w:pStyle w:val="BodyText"/>
              <w:spacing w:line="240" w:lineRule="auto"/>
              <w:rPr>
                <w:sz w:val="20"/>
                <w:szCs w:val="20"/>
              </w:rPr>
            </w:pPr>
            <w:r w:rsidRPr="0099742A">
              <w:rPr>
                <w:sz w:val="20"/>
                <w:szCs w:val="20"/>
              </w:rPr>
              <w:t>4.07</w:t>
            </w:r>
          </w:p>
        </w:tc>
        <w:tc>
          <w:tcPr>
            <w:tcW w:w="668" w:type="dxa"/>
            <w:tcBorders>
              <w:top w:val="nil"/>
              <w:left w:val="nil"/>
              <w:bottom w:val="nil"/>
              <w:right w:val="nil"/>
            </w:tcBorders>
            <w:shd w:val="clear" w:color="auto" w:fill="auto"/>
            <w:noWrap/>
            <w:vAlign w:val="bottom"/>
            <w:hideMark/>
          </w:tcPr>
          <w:p w14:paraId="1795CC0E" w14:textId="4571720A" w:rsidR="00762268" w:rsidRPr="00762268" w:rsidRDefault="00762268" w:rsidP="00762268">
            <w:pPr>
              <w:pStyle w:val="BodyText"/>
              <w:spacing w:line="240" w:lineRule="auto"/>
              <w:rPr>
                <w:sz w:val="20"/>
                <w:szCs w:val="20"/>
              </w:rPr>
            </w:pPr>
            <w:r w:rsidRPr="0099742A">
              <w:rPr>
                <w:sz w:val="20"/>
                <w:szCs w:val="20"/>
              </w:rPr>
              <w:t>4.21</w:t>
            </w:r>
          </w:p>
        </w:tc>
        <w:tc>
          <w:tcPr>
            <w:tcW w:w="668" w:type="dxa"/>
            <w:tcBorders>
              <w:top w:val="nil"/>
              <w:left w:val="nil"/>
              <w:bottom w:val="nil"/>
              <w:right w:val="nil"/>
            </w:tcBorders>
            <w:shd w:val="clear" w:color="auto" w:fill="auto"/>
            <w:noWrap/>
            <w:vAlign w:val="bottom"/>
            <w:hideMark/>
          </w:tcPr>
          <w:p w14:paraId="68C1EBDB" w14:textId="6812303F" w:rsidR="00762268" w:rsidRPr="00762268" w:rsidRDefault="00762268" w:rsidP="00762268">
            <w:pPr>
              <w:pStyle w:val="BodyText"/>
              <w:spacing w:line="240" w:lineRule="auto"/>
              <w:rPr>
                <w:sz w:val="20"/>
                <w:szCs w:val="20"/>
              </w:rPr>
            </w:pPr>
            <w:r w:rsidRPr="0099742A">
              <w:rPr>
                <w:sz w:val="20"/>
                <w:szCs w:val="20"/>
              </w:rPr>
              <w:t>4.68</w:t>
            </w:r>
          </w:p>
        </w:tc>
        <w:tc>
          <w:tcPr>
            <w:tcW w:w="668" w:type="dxa"/>
            <w:tcBorders>
              <w:top w:val="nil"/>
              <w:left w:val="nil"/>
              <w:bottom w:val="nil"/>
              <w:right w:val="single" w:sz="4" w:space="0" w:color="auto"/>
            </w:tcBorders>
            <w:shd w:val="clear" w:color="auto" w:fill="auto"/>
            <w:noWrap/>
            <w:vAlign w:val="bottom"/>
            <w:hideMark/>
          </w:tcPr>
          <w:p w14:paraId="7282284B" w14:textId="35627E54" w:rsidR="00762268" w:rsidRPr="00762268" w:rsidRDefault="00762268" w:rsidP="00762268">
            <w:pPr>
              <w:pStyle w:val="BodyText"/>
              <w:spacing w:line="240" w:lineRule="auto"/>
              <w:rPr>
                <w:sz w:val="20"/>
                <w:szCs w:val="20"/>
              </w:rPr>
            </w:pPr>
            <w:r w:rsidRPr="0099742A">
              <w:rPr>
                <w:sz w:val="20"/>
                <w:szCs w:val="20"/>
              </w:rPr>
              <w:t>4.69</w:t>
            </w:r>
          </w:p>
        </w:tc>
        <w:tc>
          <w:tcPr>
            <w:tcW w:w="668" w:type="dxa"/>
            <w:tcBorders>
              <w:top w:val="nil"/>
              <w:left w:val="nil"/>
              <w:bottom w:val="nil"/>
              <w:right w:val="nil"/>
            </w:tcBorders>
            <w:shd w:val="clear" w:color="auto" w:fill="auto"/>
            <w:noWrap/>
            <w:vAlign w:val="bottom"/>
            <w:hideMark/>
          </w:tcPr>
          <w:p w14:paraId="0650A921" w14:textId="5CC918F0" w:rsidR="00762268" w:rsidRPr="00762268" w:rsidRDefault="00762268" w:rsidP="00762268">
            <w:pPr>
              <w:pStyle w:val="BodyText"/>
              <w:spacing w:line="240" w:lineRule="auto"/>
              <w:rPr>
                <w:sz w:val="20"/>
                <w:szCs w:val="20"/>
              </w:rPr>
            </w:pPr>
            <w:r w:rsidRPr="0099742A">
              <w:rPr>
                <w:color w:val="000000"/>
                <w:sz w:val="20"/>
                <w:szCs w:val="20"/>
              </w:rPr>
              <w:t>4.06</w:t>
            </w:r>
          </w:p>
        </w:tc>
        <w:tc>
          <w:tcPr>
            <w:tcW w:w="668" w:type="dxa"/>
            <w:tcBorders>
              <w:top w:val="nil"/>
              <w:left w:val="nil"/>
              <w:bottom w:val="nil"/>
              <w:right w:val="nil"/>
            </w:tcBorders>
            <w:shd w:val="clear" w:color="auto" w:fill="auto"/>
            <w:noWrap/>
            <w:vAlign w:val="bottom"/>
            <w:hideMark/>
          </w:tcPr>
          <w:p w14:paraId="5F750F68" w14:textId="744059A4" w:rsidR="00762268" w:rsidRPr="00762268" w:rsidRDefault="00762268" w:rsidP="00762268">
            <w:pPr>
              <w:pStyle w:val="BodyText"/>
              <w:spacing w:line="240" w:lineRule="auto"/>
              <w:rPr>
                <w:sz w:val="20"/>
                <w:szCs w:val="20"/>
              </w:rPr>
            </w:pPr>
            <w:r w:rsidRPr="0099742A">
              <w:rPr>
                <w:color w:val="000000"/>
                <w:sz w:val="20"/>
                <w:szCs w:val="20"/>
              </w:rPr>
              <w:t>3.82</w:t>
            </w:r>
          </w:p>
        </w:tc>
        <w:tc>
          <w:tcPr>
            <w:tcW w:w="668" w:type="dxa"/>
            <w:tcBorders>
              <w:top w:val="nil"/>
              <w:left w:val="nil"/>
              <w:bottom w:val="nil"/>
              <w:right w:val="nil"/>
            </w:tcBorders>
            <w:shd w:val="clear" w:color="auto" w:fill="auto"/>
            <w:noWrap/>
            <w:vAlign w:val="bottom"/>
            <w:hideMark/>
          </w:tcPr>
          <w:p w14:paraId="28DD005E" w14:textId="3B178FD1" w:rsidR="00762268" w:rsidRPr="00762268" w:rsidRDefault="00762268" w:rsidP="00762268">
            <w:pPr>
              <w:pStyle w:val="BodyText"/>
              <w:spacing w:line="240" w:lineRule="auto"/>
              <w:rPr>
                <w:sz w:val="20"/>
                <w:szCs w:val="20"/>
              </w:rPr>
            </w:pPr>
            <w:r w:rsidRPr="0099742A">
              <w:rPr>
                <w:color w:val="000000"/>
                <w:sz w:val="20"/>
                <w:szCs w:val="20"/>
              </w:rPr>
              <w:t>3.56</w:t>
            </w:r>
          </w:p>
        </w:tc>
        <w:tc>
          <w:tcPr>
            <w:tcW w:w="668" w:type="dxa"/>
            <w:tcBorders>
              <w:top w:val="nil"/>
              <w:left w:val="nil"/>
              <w:bottom w:val="nil"/>
              <w:right w:val="nil"/>
            </w:tcBorders>
            <w:shd w:val="clear" w:color="auto" w:fill="auto"/>
            <w:noWrap/>
            <w:vAlign w:val="bottom"/>
            <w:hideMark/>
          </w:tcPr>
          <w:p w14:paraId="4163EC17" w14:textId="03C9B575" w:rsidR="00762268" w:rsidRPr="00762268" w:rsidRDefault="00762268" w:rsidP="00762268">
            <w:pPr>
              <w:pStyle w:val="BodyText"/>
              <w:spacing w:line="240" w:lineRule="auto"/>
              <w:rPr>
                <w:sz w:val="20"/>
                <w:szCs w:val="20"/>
              </w:rPr>
            </w:pPr>
            <w:r w:rsidRPr="0099742A">
              <w:rPr>
                <w:color w:val="000000"/>
                <w:sz w:val="20"/>
                <w:szCs w:val="20"/>
              </w:rPr>
              <w:t>7.54</w:t>
            </w:r>
          </w:p>
        </w:tc>
        <w:tc>
          <w:tcPr>
            <w:tcW w:w="870" w:type="dxa"/>
            <w:tcBorders>
              <w:top w:val="nil"/>
              <w:left w:val="nil"/>
              <w:bottom w:val="nil"/>
              <w:right w:val="nil"/>
            </w:tcBorders>
            <w:shd w:val="clear" w:color="auto" w:fill="auto"/>
            <w:noWrap/>
            <w:vAlign w:val="bottom"/>
            <w:hideMark/>
          </w:tcPr>
          <w:p w14:paraId="3165154F" w14:textId="5FD367A8"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bottom w:val="nil"/>
              <w:right w:val="nil"/>
            </w:tcBorders>
            <w:shd w:val="clear" w:color="auto" w:fill="auto"/>
            <w:noWrap/>
            <w:vAlign w:val="center"/>
            <w:hideMark/>
          </w:tcPr>
          <w:p w14:paraId="0DEF4135" w14:textId="4981204D" w:rsidR="00762268" w:rsidRPr="00762268" w:rsidRDefault="00762268" w:rsidP="00762268">
            <w:pPr>
              <w:pStyle w:val="BodyText"/>
              <w:spacing w:line="240" w:lineRule="auto"/>
              <w:rPr>
                <w:sz w:val="20"/>
                <w:szCs w:val="20"/>
              </w:rPr>
            </w:pPr>
            <w:r w:rsidRPr="0099742A">
              <w:rPr>
                <w:color w:val="000000"/>
                <w:sz w:val="20"/>
                <w:szCs w:val="20"/>
              </w:rPr>
              <w:t>7%</w:t>
            </w:r>
          </w:p>
        </w:tc>
      </w:tr>
      <w:tr w:rsidR="00762268" w:rsidRPr="00D1739C" w14:paraId="35690978" w14:textId="77777777" w:rsidTr="00415310">
        <w:trPr>
          <w:trHeight w:val="315"/>
        </w:trPr>
        <w:tc>
          <w:tcPr>
            <w:tcW w:w="2160" w:type="dxa"/>
            <w:tcBorders>
              <w:top w:val="nil"/>
              <w:left w:val="nil"/>
              <w:bottom w:val="nil"/>
              <w:right w:val="nil"/>
            </w:tcBorders>
            <w:shd w:val="clear" w:color="auto" w:fill="auto"/>
            <w:noWrap/>
            <w:vAlign w:val="bottom"/>
            <w:hideMark/>
          </w:tcPr>
          <w:p w14:paraId="15EE4810" w14:textId="77777777" w:rsidR="00762268" w:rsidRPr="00373A86" w:rsidRDefault="00762268" w:rsidP="00762268">
            <w:pPr>
              <w:pStyle w:val="BodyText"/>
              <w:spacing w:line="240" w:lineRule="auto"/>
              <w:rPr>
                <w:sz w:val="20"/>
                <w:szCs w:val="20"/>
              </w:rPr>
            </w:pPr>
            <w:r w:rsidRPr="00373A86">
              <w:rPr>
                <w:sz w:val="20"/>
                <w:szCs w:val="20"/>
              </w:rPr>
              <w:t>PHEV</w:t>
            </w:r>
          </w:p>
        </w:tc>
        <w:tc>
          <w:tcPr>
            <w:tcW w:w="669" w:type="dxa"/>
            <w:tcBorders>
              <w:top w:val="nil"/>
              <w:left w:val="nil"/>
              <w:bottom w:val="nil"/>
              <w:right w:val="nil"/>
            </w:tcBorders>
            <w:shd w:val="clear" w:color="auto" w:fill="auto"/>
            <w:noWrap/>
            <w:vAlign w:val="bottom"/>
            <w:hideMark/>
          </w:tcPr>
          <w:p w14:paraId="714F5717" w14:textId="7A82EDD6" w:rsidR="00762268" w:rsidRPr="00762268" w:rsidRDefault="00762268" w:rsidP="00762268">
            <w:pPr>
              <w:pStyle w:val="BodyText"/>
              <w:spacing w:line="240" w:lineRule="auto"/>
              <w:rPr>
                <w:sz w:val="20"/>
                <w:szCs w:val="20"/>
              </w:rPr>
            </w:pPr>
            <w:r w:rsidRPr="0099742A">
              <w:rPr>
                <w:sz w:val="20"/>
                <w:szCs w:val="20"/>
              </w:rPr>
              <w:t>0.32</w:t>
            </w:r>
          </w:p>
        </w:tc>
        <w:tc>
          <w:tcPr>
            <w:tcW w:w="668" w:type="dxa"/>
            <w:tcBorders>
              <w:top w:val="nil"/>
              <w:left w:val="nil"/>
              <w:bottom w:val="nil"/>
              <w:right w:val="nil"/>
            </w:tcBorders>
            <w:shd w:val="clear" w:color="auto" w:fill="auto"/>
            <w:noWrap/>
            <w:vAlign w:val="bottom"/>
            <w:hideMark/>
          </w:tcPr>
          <w:p w14:paraId="0BCCFFED" w14:textId="5956C697" w:rsidR="00762268" w:rsidRPr="00762268" w:rsidRDefault="00762268" w:rsidP="00762268">
            <w:pPr>
              <w:pStyle w:val="BodyText"/>
              <w:spacing w:line="240" w:lineRule="auto"/>
              <w:rPr>
                <w:sz w:val="20"/>
                <w:szCs w:val="20"/>
              </w:rPr>
            </w:pPr>
            <w:r w:rsidRPr="0099742A">
              <w:rPr>
                <w:sz w:val="20"/>
                <w:szCs w:val="20"/>
              </w:rPr>
              <w:t>0.36</w:t>
            </w:r>
          </w:p>
        </w:tc>
        <w:tc>
          <w:tcPr>
            <w:tcW w:w="668" w:type="dxa"/>
            <w:tcBorders>
              <w:top w:val="nil"/>
              <w:left w:val="nil"/>
              <w:bottom w:val="nil"/>
              <w:right w:val="nil"/>
            </w:tcBorders>
            <w:shd w:val="clear" w:color="auto" w:fill="auto"/>
            <w:noWrap/>
            <w:vAlign w:val="bottom"/>
            <w:hideMark/>
          </w:tcPr>
          <w:p w14:paraId="5282D03C" w14:textId="2A67E6FC" w:rsidR="00762268" w:rsidRPr="00762268" w:rsidRDefault="00762268" w:rsidP="00762268">
            <w:pPr>
              <w:pStyle w:val="BodyText"/>
              <w:spacing w:line="240" w:lineRule="auto"/>
              <w:rPr>
                <w:sz w:val="20"/>
                <w:szCs w:val="20"/>
              </w:rPr>
            </w:pPr>
            <w:r w:rsidRPr="0099742A">
              <w:rPr>
                <w:sz w:val="20"/>
                <w:szCs w:val="20"/>
              </w:rPr>
              <w:t>0.53</w:t>
            </w:r>
          </w:p>
        </w:tc>
        <w:tc>
          <w:tcPr>
            <w:tcW w:w="668" w:type="dxa"/>
            <w:tcBorders>
              <w:top w:val="nil"/>
              <w:left w:val="nil"/>
              <w:bottom w:val="nil"/>
              <w:right w:val="single" w:sz="4" w:space="0" w:color="auto"/>
            </w:tcBorders>
            <w:shd w:val="clear" w:color="auto" w:fill="auto"/>
            <w:noWrap/>
            <w:vAlign w:val="bottom"/>
            <w:hideMark/>
          </w:tcPr>
          <w:p w14:paraId="7F7B5CEB" w14:textId="1776A5F0" w:rsidR="00762268" w:rsidRPr="00762268" w:rsidRDefault="00762268" w:rsidP="00762268">
            <w:pPr>
              <w:pStyle w:val="BodyText"/>
              <w:spacing w:line="240" w:lineRule="auto"/>
              <w:rPr>
                <w:sz w:val="20"/>
                <w:szCs w:val="20"/>
              </w:rPr>
            </w:pPr>
            <w:r w:rsidRPr="0099742A">
              <w:rPr>
                <w:sz w:val="20"/>
                <w:szCs w:val="20"/>
              </w:rPr>
              <w:t>0.64</w:t>
            </w:r>
          </w:p>
        </w:tc>
        <w:tc>
          <w:tcPr>
            <w:tcW w:w="668" w:type="dxa"/>
            <w:tcBorders>
              <w:top w:val="nil"/>
              <w:left w:val="nil"/>
              <w:bottom w:val="nil"/>
              <w:right w:val="nil"/>
            </w:tcBorders>
            <w:shd w:val="clear" w:color="auto" w:fill="auto"/>
            <w:noWrap/>
            <w:vAlign w:val="bottom"/>
            <w:hideMark/>
          </w:tcPr>
          <w:p w14:paraId="3AA89C62" w14:textId="53F19B77" w:rsidR="00762268" w:rsidRPr="00762268" w:rsidRDefault="00762268" w:rsidP="00762268">
            <w:pPr>
              <w:pStyle w:val="BodyText"/>
              <w:spacing w:line="240" w:lineRule="auto"/>
              <w:rPr>
                <w:sz w:val="20"/>
                <w:szCs w:val="20"/>
              </w:rPr>
            </w:pPr>
            <w:r w:rsidRPr="0099742A">
              <w:rPr>
                <w:color w:val="000000"/>
                <w:sz w:val="20"/>
                <w:szCs w:val="20"/>
              </w:rPr>
              <w:t>0.32</w:t>
            </w:r>
          </w:p>
        </w:tc>
        <w:tc>
          <w:tcPr>
            <w:tcW w:w="668" w:type="dxa"/>
            <w:tcBorders>
              <w:top w:val="nil"/>
              <w:left w:val="nil"/>
              <w:bottom w:val="nil"/>
              <w:right w:val="nil"/>
            </w:tcBorders>
            <w:shd w:val="clear" w:color="auto" w:fill="auto"/>
            <w:noWrap/>
            <w:vAlign w:val="bottom"/>
            <w:hideMark/>
          </w:tcPr>
          <w:p w14:paraId="71841C90" w14:textId="6F70944C" w:rsidR="00762268" w:rsidRPr="00762268" w:rsidRDefault="00762268" w:rsidP="00762268">
            <w:pPr>
              <w:pStyle w:val="BodyText"/>
              <w:spacing w:line="240" w:lineRule="auto"/>
              <w:rPr>
                <w:sz w:val="20"/>
                <w:szCs w:val="20"/>
              </w:rPr>
            </w:pPr>
            <w:r w:rsidRPr="0099742A">
              <w:rPr>
                <w:color w:val="000000"/>
                <w:sz w:val="20"/>
                <w:szCs w:val="20"/>
              </w:rPr>
              <w:t>0.30</w:t>
            </w:r>
          </w:p>
        </w:tc>
        <w:tc>
          <w:tcPr>
            <w:tcW w:w="668" w:type="dxa"/>
            <w:tcBorders>
              <w:top w:val="nil"/>
              <w:left w:val="nil"/>
              <w:bottom w:val="nil"/>
              <w:right w:val="nil"/>
            </w:tcBorders>
            <w:shd w:val="clear" w:color="auto" w:fill="auto"/>
            <w:noWrap/>
            <w:vAlign w:val="bottom"/>
            <w:hideMark/>
          </w:tcPr>
          <w:p w14:paraId="7448ACA8" w14:textId="16BED237" w:rsidR="00762268" w:rsidRPr="00762268" w:rsidRDefault="00762268" w:rsidP="00762268">
            <w:pPr>
              <w:pStyle w:val="BodyText"/>
              <w:spacing w:line="240" w:lineRule="auto"/>
              <w:rPr>
                <w:sz w:val="20"/>
                <w:szCs w:val="20"/>
              </w:rPr>
            </w:pPr>
            <w:r w:rsidRPr="0099742A">
              <w:rPr>
                <w:color w:val="000000"/>
                <w:sz w:val="20"/>
                <w:szCs w:val="20"/>
              </w:rPr>
              <w:t>0.29</w:t>
            </w:r>
          </w:p>
        </w:tc>
        <w:tc>
          <w:tcPr>
            <w:tcW w:w="668" w:type="dxa"/>
            <w:tcBorders>
              <w:top w:val="nil"/>
              <w:left w:val="nil"/>
              <w:bottom w:val="nil"/>
              <w:right w:val="nil"/>
            </w:tcBorders>
            <w:shd w:val="clear" w:color="auto" w:fill="auto"/>
            <w:noWrap/>
            <w:vAlign w:val="bottom"/>
            <w:hideMark/>
          </w:tcPr>
          <w:p w14:paraId="23149C0C" w14:textId="78376ADB" w:rsidR="00762268" w:rsidRPr="00762268" w:rsidRDefault="00762268" w:rsidP="00762268">
            <w:pPr>
              <w:pStyle w:val="BodyText"/>
              <w:spacing w:line="240" w:lineRule="auto"/>
              <w:rPr>
                <w:sz w:val="20"/>
                <w:szCs w:val="20"/>
              </w:rPr>
            </w:pPr>
            <w:r w:rsidRPr="0099742A">
              <w:rPr>
                <w:color w:val="000000"/>
                <w:sz w:val="20"/>
                <w:szCs w:val="20"/>
              </w:rPr>
              <w:t>0.27</w:t>
            </w:r>
          </w:p>
        </w:tc>
        <w:tc>
          <w:tcPr>
            <w:tcW w:w="870" w:type="dxa"/>
            <w:tcBorders>
              <w:top w:val="nil"/>
              <w:left w:val="nil"/>
              <w:bottom w:val="nil"/>
              <w:right w:val="nil"/>
            </w:tcBorders>
            <w:shd w:val="clear" w:color="auto" w:fill="auto"/>
            <w:noWrap/>
            <w:vAlign w:val="bottom"/>
            <w:hideMark/>
          </w:tcPr>
          <w:p w14:paraId="68B34B4E" w14:textId="270FBA40"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bottom w:val="nil"/>
              <w:right w:val="nil"/>
            </w:tcBorders>
            <w:shd w:val="clear" w:color="auto" w:fill="auto"/>
            <w:noWrap/>
            <w:vAlign w:val="center"/>
            <w:hideMark/>
          </w:tcPr>
          <w:p w14:paraId="415CCC19" w14:textId="53A8920A" w:rsidR="00762268" w:rsidRPr="00762268" w:rsidRDefault="00762268" w:rsidP="00762268">
            <w:pPr>
              <w:pStyle w:val="BodyText"/>
              <w:spacing w:line="240" w:lineRule="auto"/>
              <w:rPr>
                <w:sz w:val="20"/>
                <w:szCs w:val="20"/>
              </w:rPr>
            </w:pPr>
            <w:r w:rsidRPr="0099742A">
              <w:rPr>
                <w:color w:val="000000"/>
                <w:sz w:val="20"/>
                <w:szCs w:val="20"/>
              </w:rPr>
              <w:t>-30%</w:t>
            </w:r>
          </w:p>
        </w:tc>
      </w:tr>
      <w:tr w:rsidR="00762268" w:rsidRPr="00D1739C" w14:paraId="411075E7" w14:textId="77777777" w:rsidTr="00415310">
        <w:trPr>
          <w:trHeight w:val="315"/>
        </w:trPr>
        <w:tc>
          <w:tcPr>
            <w:tcW w:w="2160" w:type="dxa"/>
            <w:tcBorders>
              <w:top w:val="nil"/>
              <w:left w:val="nil"/>
              <w:right w:val="nil"/>
            </w:tcBorders>
            <w:shd w:val="clear" w:color="auto" w:fill="auto"/>
            <w:noWrap/>
            <w:vAlign w:val="bottom"/>
            <w:hideMark/>
          </w:tcPr>
          <w:p w14:paraId="6E81DBF0" w14:textId="77777777" w:rsidR="00762268" w:rsidRPr="00373A86" w:rsidRDefault="00762268" w:rsidP="00762268">
            <w:pPr>
              <w:pStyle w:val="BodyText"/>
              <w:spacing w:line="240" w:lineRule="auto"/>
              <w:rPr>
                <w:sz w:val="20"/>
                <w:szCs w:val="20"/>
              </w:rPr>
            </w:pPr>
            <w:r w:rsidRPr="00373A86">
              <w:rPr>
                <w:sz w:val="20"/>
                <w:szCs w:val="20"/>
              </w:rPr>
              <w:t>BEV</w:t>
            </w:r>
          </w:p>
        </w:tc>
        <w:tc>
          <w:tcPr>
            <w:tcW w:w="669" w:type="dxa"/>
            <w:tcBorders>
              <w:top w:val="nil"/>
              <w:left w:val="nil"/>
              <w:right w:val="nil"/>
            </w:tcBorders>
            <w:shd w:val="clear" w:color="auto" w:fill="auto"/>
            <w:noWrap/>
            <w:vAlign w:val="bottom"/>
            <w:hideMark/>
          </w:tcPr>
          <w:p w14:paraId="06DF8964" w14:textId="2149DF2F" w:rsidR="00762268" w:rsidRPr="00762268" w:rsidRDefault="00762268" w:rsidP="00762268">
            <w:pPr>
              <w:pStyle w:val="BodyText"/>
              <w:spacing w:line="240" w:lineRule="auto"/>
              <w:rPr>
                <w:sz w:val="20"/>
                <w:szCs w:val="20"/>
              </w:rPr>
            </w:pPr>
            <w:r w:rsidRPr="0099742A">
              <w:rPr>
                <w:sz w:val="20"/>
                <w:szCs w:val="20"/>
              </w:rPr>
              <w:t>0.29</w:t>
            </w:r>
          </w:p>
        </w:tc>
        <w:tc>
          <w:tcPr>
            <w:tcW w:w="668" w:type="dxa"/>
            <w:tcBorders>
              <w:top w:val="nil"/>
              <w:left w:val="nil"/>
              <w:right w:val="nil"/>
            </w:tcBorders>
            <w:shd w:val="clear" w:color="auto" w:fill="auto"/>
            <w:noWrap/>
            <w:vAlign w:val="bottom"/>
            <w:hideMark/>
          </w:tcPr>
          <w:p w14:paraId="48A676E7" w14:textId="713B60D1" w:rsidR="00762268" w:rsidRPr="00762268" w:rsidRDefault="00762268" w:rsidP="00762268">
            <w:pPr>
              <w:pStyle w:val="BodyText"/>
              <w:spacing w:line="240" w:lineRule="auto"/>
              <w:rPr>
                <w:sz w:val="20"/>
                <w:szCs w:val="20"/>
              </w:rPr>
            </w:pPr>
            <w:r w:rsidRPr="0099742A">
              <w:rPr>
                <w:sz w:val="20"/>
                <w:szCs w:val="20"/>
              </w:rPr>
              <w:t>0.37</w:t>
            </w:r>
          </w:p>
        </w:tc>
        <w:tc>
          <w:tcPr>
            <w:tcW w:w="668" w:type="dxa"/>
            <w:tcBorders>
              <w:top w:val="nil"/>
              <w:left w:val="nil"/>
              <w:right w:val="nil"/>
            </w:tcBorders>
            <w:shd w:val="clear" w:color="auto" w:fill="auto"/>
            <w:noWrap/>
            <w:vAlign w:val="bottom"/>
            <w:hideMark/>
          </w:tcPr>
          <w:p w14:paraId="352C50E3" w14:textId="6B2F353C" w:rsidR="00762268" w:rsidRPr="00762268" w:rsidRDefault="00762268" w:rsidP="00762268">
            <w:pPr>
              <w:pStyle w:val="BodyText"/>
              <w:spacing w:line="240" w:lineRule="auto"/>
              <w:rPr>
                <w:sz w:val="20"/>
                <w:szCs w:val="20"/>
              </w:rPr>
            </w:pPr>
            <w:r w:rsidRPr="0099742A">
              <w:rPr>
                <w:sz w:val="20"/>
                <w:szCs w:val="20"/>
              </w:rPr>
              <w:t>0.57</w:t>
            </w:r>
          </w:p>
        </w:tc>
        <w:tc>
          <w:tcPr>
            <w:tcW w:w="668" w:type="dxa"/>
            <w:tcBorders>
              <w:top w:val="nil"/>
              <w:left w:val="nil"/>
              <w:right w:val="single" w:sz="4" w:space="0" w:color="auto"/>
            </w:tcBorders>
            <w:shd w:val="clear" w:color="auto" w:fill="auto"/>
            <w:noWrap/>
            <w:vAlign w:val="bottom"/>
            <w:hideMark/>
          </w:tcPr>
          <w:p w14:paraId="0027ED8F" w14:textId="3F7D3C60" w:rsidR="00762268" w:rsidRPr="00762268" w:rsidRDefault="00762268" w:rsidP="00762268">
            <w:pPr>
              <w:pStyle w:val="BodyText"/>
              <w:spacing w:line="240" w:lineRule="auto"/>
              <w:rPr>
                <w:sz w:val="20"/>
                <w:szCs w:val="20"/>
              </w:rPr>
            </w:pPr>
            <w:r w:rsidRPr="0099742A">
              <w:rPr>
                <w:sz w:val="20"/>
                <w:szCs w:val="20"/>
              </w:rPr>
              <w:t>0.87</w:t>
            </w:r>
          </w:p>
        </w:tc>
        <w:tc>
          <w:tcPr>
            <w:tcW w:w="668" w:type="dxa"/>
            <w:tcBorders>
              <w:top w:val="nil"/>
              <w:left w:val="nil"/>
              <w:right w:val="nil"/>
            </w:tcBorders>
            <w:shd w:val="clear" w:color="auto" w:fill="auto"/>
            <w:noWrap/>
            <w:vAlign w:val="bottom"/>
            <w:hideMark/>
          </w:tcPr>
          <w:p w14:paraId="16D1394E" w14:textId="1164485B" w:rsidR="00762268" w:rsidRPr="00762268" w:rsidRDefault="00762268" w:rsidP="00762268">
            <w:pPr>
              <w:pStyle w:val="BodyText"/>
              <w:spacing w:line="240" w:lineRule="auto"/>
              <w:rPr>
                <w:sz w:val="20"/>
                <w:szCs w:val="20"/>
              </w:rPr>
            </w:pPr>
            <w:r w:rsidRPr="0099742A">
              <w:rPr>
                <w:color w:val="000000"/>
                <w:sz w:val="20"/>
                <w:szCs w:val="20"/>
              </w:rPr>
              <w:t>0.29</w:t>
            </w:r>
          </w:p>
        </w:tc>
        <w:tc>
          <w:tcPr>
            <w:tcW w:w="668" w:type="dxa"/>
            <w:tcBorders>
              <w:top w:val="nil"/>
              <w:left w:val="nil"/>
              <w:right w:val="nil"/>
            </w:tcBorders>
            <w:shd w:val="clear" w:color="auto" w:fill="auto"/>
            <w:noWrap/>
            <w:vAlign w:val="bottom"/>
            <w:hideMark/>
          </w:tcPr>
          <w:p w14:paraId="73901B35" w14:textId="444A0BBA" w:rsidR="00762268" w:rsidRPr="00762268" w:rsidRDefault="00762268" w:rsidP="00762268">
            <w:pPr>
              <w:pStyle w:val="BodyText"/>
              <w:spacing w:line="240" w:lineRule="auto"/>
              <w:rPr>
                <w:sz w:val="20"/>
                <w:szCs w:val="20"/>
              </w:rPr>
            </w:pPr>
            <w:r w:rsidRPr="0099742A">
              <w:rPr>
                <w:color w:val="000000"/>
                <w:sz w:val="20"/>
                <w:szCs w:val="20"/>
              </w:rPr>
              <w:t>0.28</w:t>
            </w:r>
          </w:p>
        </w:tc>
        <w:tc>
          <w:tcPr>
            <w:tcW w:w="668" w:type="dxa"/>
            <w:tcBorders>
              <w:top w:val="nil"/>
              <w:left w:val="nil"/>
              <w:right w:val="nil"/>
            </w:tcBorders>
            <w:shd w:val="clear" w:color="auto" w:fill="auto"/>
            <w:noWrap/>
            <w:vAlign w:val="bottom"/>
            <w:hideMark/>
          </w:tcPr>
          <w:p w14:paraId="7A70BF76" w14:textId="02BBF904" w:rsidR="00762268" w:rsidRPr="00762268" w:rsidRDefault="00762268" w:rsidP="00762268">
            <w:pPr>
              <w:pStyle w:val="BodyText"/>
              <w:spacing w:line="240" w:lineRule="auto"/>
              <w:rPr>
                <w:sz w:val="20"/>
                <w:szCs w:val="20"/>
              </w:rPr>
            </w:pPr>
            <w:r w:rsidRPr="0099742A">
              <w:rPr>
                <w:color w:val="000000"/>
                <w:sz w:val="20"/>
                <w:szCs w:val="20"/>
              </w:rPr>
              <w:t>1.35</w:t>
            </w:r>
          </w:p>
        </w:tc>
        <w:tc>
          <w:tcPr>
            <w:tcW w:w="668" w:type="dxa"/>
            <w:tcBorders>
              <w:top w:val="nil"/>
              <w:left w:val="nil"/>
              <w:right w:val="nil"/>
            </w:tcBorders>
            <w:shd w:val="clear" w:color="auto" w:fill="auto"/>
            <w:noWrap/>
            <w:vAlign w:val="bottom"/>
            <w:hideMark/>
          </w:tcPr>
          <w:p w14:paraId="526E03FB" w14:textId="1DC0E1BB" w:rsidR="00762268" w:rsidRPr="00762268" w:rsidRDefault="00762268" w:rsidP="00762268">
            <w:pPr>
              <w:pStyle w:val="BodyText"/>
              <w:spacing w:line="240" w:lineRule="auto"/>
              <w:rPr>
                <w:sz w:val="20"/>
                <w:szCs w:val="20"/>
              </w:rPr>
            </w:pPr>
            <w:r w:rsidRPr="0099742A">
              <w:rPr>
                <w:color w:val="000000"/>
                <w:sz w:val="20"/>
                <w:szCs w:val="20"/>
              </w:rPr>
              <w:t>1.32</w:t>
            </w:r>
          </w:p>
        </w:tc>
        <w:tc>
          <w:tcPr>
            <w:tcW w:w="870" w:type="dxa"/>
            <w:tcBorders>
              <w:top w:val="nil"/>
              <w:left w:val="nil"/>
              <w:right w:val="nil"/>
            </w:tcBorders>
            <w:shd w:val="clear" w:color="auto" w:fill="auto"/>
            <w:noWrap/>
            <w:vAlign w:val="bottom"/>
            <w:hideMark/>
          </w:tcPr>
          <w:p w14:paraId="619BA699" w14:textId="26BFEBA0"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right w:val="nil"/>
            </w:tcBorders>
            <w:shd w:val="clear" w:color="auto" w:fill="auto"/>
            <w:noWrap/>
            <w:vAlign w:val="center"/>
            <w:hideMark/>
          </w:tcPr>
          <w:p w14:paraId="2B53236F" w14:textId="5EE8385C" w:rsidR="00762268" w:rsidRPr="00762268" w:rsidRDefault="00762268" w:rsidP="00762268">
            <w:pPr>
              <w:pStyle w:val="BodyText"/>
              <w:spacing w:line="240" w:lineRule="auto"/>
              <w:rPr>
                <w:sz w:val="20"/>
                <w:szCs w:val="20"/>
              </w:rPr>
            </w:pPr>
            <w:r w:rsidRPr="0099742A">
              <w:rPr>
                <w:color w:val="000000"/>
                <w:sz w:val="20"/>
                <w:szCs w:val="20"/>
              </w:rPr>
              <w:t>41%</w:t>
            </w:r>
          </w:p>
        </w:tc>
      </w:tr>
      <w:tr w:rsidR="00762268" w:rsidRPr="00D1739C" w14:paraId="45C1AE7B" w14:textId="77777777" w:rsidTr="00415310">
        <w:trPr>
          <w:trHeight w:val="315"/>
        </w:trPr>
        <w:tc>
          <w:tcPr>
            <w:tcW w:w="2160" w:type="dxa"/>
            <w:tcBorders>
              <w:top w:val="nil"/>
              <w:left w:val="nil"/>
              <w:bottom w:val="single" w:sz="4" w:space="0" w:color="auto"/>
              <w:right w:val="nil"/>
            </w:tcBorders>
            <w:shd w:val="clear" w:color="auto" w:fill="auto"/>
            <w:noWrap/>
            <w:vAlign w:val="bottom"/>
            <w:hideMark/>
          </w:tcPr>
          <w:p w14:paraId="55E47439" w14:textId="77777777" w:rsidR="00762268" w:rsidRPr="00373A86" w:rsidRDefault="00762268" w:rsidP="00762268">
            <w:pPr>
              <w:pStyle w:val="BodyText"/>
              <w:spacing w:line="240" w:lineRule="auto"/>
              <w:rPr>
                <w:sz w:val="20"/>
                <w:szCs w:val="20"/>
              </w:rPr>
            </w:pPr>
            <w:r w:rsidRPr="00373A86">
              <w:rPr>
                <w:sz w:val="20"/>
                <w:szCs w:val="20"/>
              </w:rPr>
              <w:t xml:space="preserve">Total </w:t>
            </w:r>
          </w:p>
        </w:tc>
        <w:tc>
          <w:tcPr>
            <w:tcW w:w="669" w:type="dxa"/>
            <w:tcBorders>
              <w:top w:val="nil"/>
              <w:left w:val="nil"/>
              <w:bottom w:val="single" w:sz="4" w:space="0" w:color="auto"/>
              <w:right w:val="nil"/>
            </w:tcBorders>
            <w:shd w:val="clear" w:color="auto" w:fill="auto"/>
            <w:noWrap/>
            <w:vAlign w:val="bottom"/>
            <w:hideMark/>
          </w:tcPr>
          <w:p w14:paraId="384B9CA1" w14:textId="29C6BB4B" w:rsidR="00762268" w:rsidRPr="00762268" w:rsidRDefault="00762268" w:rsidP="00762268">
            <w:pPr>
              <w:pStyle w:val="BodyText"/>
              <w:spacing w:line="240" w:lineRule="auto"/>
              <w:rPr>
                <w:sz w:val="20"/>
                <w:szCs w:val="20"/>
              </w:rPr>
            </w:pPr>
            <w:r w:rsidRPr="0099742A">
              <w:rPr>
                <w:sz w:val="20"/>
                <w:szCs w:val="20"/>
              </w:rPr>
              <w:t>239</w:t>
            </w:r>
          </w:p>
        </w:tc>
        <w:tc>
          <w:tcPr>
            <w:tcW w:w="668" w:type="dxa"/>
            <w:tcBorders>
              <w:top w:val="nil"/>
              <w:left w:val="nil"/>
              <w:bottom w:val="single" w:sz="4" w:space="0" w:color="auto"/>
              <w:right w:val="nil"/>
            </w:tcBorders>
            <w:shd w:val="clear" w:color="auto" w:fill="auto"/>
            <w:noWrap/>
            <w:vAlign w:val="bottom"/>
            <w:hideMark/>
          </w:tcPr>
          <w:p w14:paraId="47C491DF" w14:textId="0C9516BC" w:rsidR="00762268" w:rsidRPr="00762268" w:rsidRDefault="00762268" w:rsidP="00762268">
            <w:pPr>
              <w:pStyle w:val="BodyText"/>
              <w:spacing w:line="240" w:lineRule="auto"/>
              <w:rPr>
                <w:sz w:val="20"/>
                <w:szCs w:val="20"/>
              </w:rPr>
            </w:pPr>
            <w:r w:rsidRPr="0099742A">
              <w:rPr>
                <w:sz w:val="20"/>
                <w:szCs w:val="20"/>
              </w:rPr>
              <w:t>252</w:t>
            </w:r>
          </w:p>
        </w:tc>
        <w:tc>
          <w:tcPr>
            <w:tcW w:w="668" w:type="dxa"/>
            <w:tcBorders>
              <w:top w:val="nil"/>
              <w:left w:val="nil"/>
              <w:bottom w:val="single" w:sz="4" w:space="0" w:color="auto"/>
              <w:right w:val="nil"/>
            </w:tcBorders>
            <w:shd w:val="clear" w:color="auto" w:fill="auto"/>
            <w:noWrap/>
            <w:vAlign w:val="bottom"/>
            <w:hideMark/>
          </w:tcPr>
          <w:p w14:paraId="5B1CF97E" w14:textId="65083682" w:rsidR="00762268" w:rsidRPr="00762268" w:rsidRDefault="00762268" w:rsidP="00762268">
            <w:pPr>
              <w:pStyle w:val="BodyText"/>
              <w:spacing w:line="240" w:lineRule="auto"/>
              <w:rPr>
                <w:sz w:val="20"/>
                <w:szCs w:val="20"/>
              </w:rPr>
            </w:pPr>
            <w:r w:rsidRPr="0099742A">
              <w:rPr>
                <w:sz w:val="20"/>
                <w:szCs w:val="20"/>
              </w:rPr>
              <w:t>254</w:t>
            </w:r>
          </w:p>
        </w:tc>
        <w:tc>
          <w:tcPr>
            <w:tcW w:w="668" w:type="dxa"/>
            <w:tcBorders>
              <w:top w:val="nil"/>
              <w:left w:val="nil"/>
              <w:bottom w:val="single" w:sz="4" w:space="0" w:color="auto"/>
              <w:right w:val="single" w:sz="4" w:space="0" w:color="auto"/>
            </w:tcBorders>
            <w:shd w:val="clear" w:color="auto" w:fill="auto"/>
            <w:noWrap/>
            <w:vAlign w:val="bottom"/>
            <w:hideMark/>
          </w:tcPr>
          <w:p w14:paraId="019C3CAE" w14:textId="70E4B786" w:rsidR="00762268" w:rsidRPr="00762268" w:rsidRDefault="00762268" w:rsidP="00762268">
            <w:pPr>
              <w:pStyle w:val="BodyText"/>
              <w:spacing w:line="240" w:lineRule="auto"/>
              <w:rPr>
                <w:sz w:val="20"/>
                <w:szCs w:val="20"/>
              </w:rPr>
            </w:pPr>
            <w:r w:rsidRPr="0099742A">
              <w:rPr>
                <w:sz w:val="20"/>
                <w:szCs w:val="20"/>
              </w:rPr>
              <w:t>255</w:t>
            </w:r>
          </w:p>
        </w:tc>
        <w:tc>
          <w:tcPr>
            <w:tcW w:w="668" w:type="dxa"/>
            <w:tcBorders>
              <w:top w:val="nil"/>
              <w:left w:val="nil"/>
              <w:bottom w:val="single" w:sz="4" w:space="0" w:color="auto"/>
              <w:right w:val="nil"/>
            </w:tcBorders>
            <w:shd w:val="clear" w:color="auto" w:fill="auto"/>
            <w:noWrap/>
            <w:vAlign w:val="center"/>
            <w:hideMark/>
          </w:tcPr>
          <w:p w14:paraId="61D093E2" w14:textId="666987D1" w:rsidR="00762268" w:rsidRPr="00762268" w:rsidRDefault="00762268" w:rsidP="00762268">
            <w:pPr>
              <w:pStyle w:val="BodyText"/>
              <w:spacing w:line="240" w:lineRule="auto"/>
              <w:rPr>
                <w:sz w:val="20"/>
                <w:szCs w:val="20"/>
              </w:rPr>
            </w:pPr>
            <w:r w:rsidRPr="0099742A">
              <w:rPr>
                <w:color w:val="000000"/>
                <w:sz w:val="20"/>
                <w:szCs w:val="20"/>
              </w:rPr>
              <w:t>237</w:t>
            </w:r>
          </w:p>
        </w:tc>
        <w:tc>
          <w:tcPr>
            <w:tcW w:w="668" w:type="dxa"/>
            <w:tcBorders>
              <w:top w:val="nil"/>
              <w:left w:val="nil"/>
              <w:bottom w:val="single" w:sz="4" w:space="0" w:color="auto"/>
              <w:right w:val="nil"/>
            </w:tcBorders>
            <w:shd w:val="clear" w:color="auto" w:fill="auto"/>
            <w:noWrap/>
            <w:vAlign w:val="center"/>
            <w:hideMark/>
          </w:tcPr>
          <w:p w14:paraId="19C6398B" w14:textId="1423631C" w:rsidR="00762268" w:rsidRPr="00762268" w:rsidRDefault="00762268" w:rsidP="00762268">
            <w:pPr>
              <w:pStyle w:val="BodyText"/>
              <w:spacing w:line="240" w:lineRule="auto"/>
              <w:rPr>
                <w:sz w:val="20"/>
                <w:szCs w:val="20"/>
              </w:rPr>
            </w:pPr>
            <w:r w:rsidRPr="0099742A">
              <w:rPr>
                <w:color w:val="000000"/>
                <w:sz w:val="20"/>
                <w:szCs w:val="20"/>
              </w:rPr>
              <w:t>232</w:t>
            </w:r>
          </w:p>
        </w:tc>
        <w:tc>
          <w:tcPr>
            <w:tcW w:w="668" w:type="dxa"/>
            <w:tcBorders>
              <w:top w:val="nil"/>
              <w:left w:val="nil"/>
              <w:bottom w:val="single" w:sz="4" w:space="0" w:color="auto"/>
              <w:right w:val="nil"/>
            </w:tcBorders>
            <w:shd w:val="clear" w:color="auto" w:fill="auto"/>
            <w:noWrap/>
            <w:vAlign w:val="center"/>
            <w:hideMark/>
          </w:tcPr>
          <w:p w14:paraId="649A52C6" w14:textId="4062CFC0" w:rsidR="00762268" w:rsidRPr="00762268" w:rsidRDefault="00762268" w:rsidP="00762268">
            <w:pPr>
              <w:pStyle w:val="BodyText"/>
              <w:spacing w:line="240" w:lineRule="auto"/>
              <w:rPr>
                <w:sz w:val="20"/>
                <w:szCs w:val="20"/>
              </w:rPr>
            </w:pPr>
            <w:r w:rsidRPr="0099742A">
              <w:rPr>
                <w:color w:val="000000"/>
                <w:sz w:val="20"/>
                <w:szCs w:val="20"/>
              </w:rPr>
              <w:t>239</w:t>
            </w:r>
          </w:p>
        </w:tc>
        <w:tc>
          <w:tcPr>
            <w:tcW w:w="668" w:type="dxa"/>
            <w:tcBorders>
              <w:top w:val="nil"/>
              <w:left w:val="nil"/>
              <w:bottom w:val="single" w:sz="4" w:space="0" w:color="auto"/>
              <w:right w:val="nil"/>
            </w:tcBorders>
            <w:shd w:val="clear" w:color="auto" w:fill="auto"/>
            <w:noWrap/>
            <w:vAlign w:val="center"/>
            <w:hideMark/>
          </w:tcPr>
          <w:p w14:paraId="0F666880" w14:textId="1940B126" w:rsidR="00762268" w:rsidRPr="00762268" w:rsidRDefault="00762268" w:rsidP="00762268">
            <w:pPr>
              <w:pStyle w:val="BodyText"/>
              <w:spacing w:line="240" w:lineRule="auto"/>
              <w:rPr>
                <w:sz w:val="20"/>
                <w:szCs w:val="20"/>
              </w:rPr>
            </w:pPr>
            <w:r w:rsidRPr="0099742A">
              <w:rPr>
                <w:color w:val="000000"/>
                <w:sz w:val="20"/>
                <w:szCs w:val="20"/>
              </w:rPr>
              <w:t>247</w:t>
            </w:r>
          </w:p>
        </w:tc>
        <w:tc>
          <w:tcPr>
            <w:tcW w:w="870" w:type="dxa"/>
            <w:tcBorders>
              <w:top w:val="nil"/>
              <w:left w:val="nil"/>
              <w:bottom w:val="single" w:sz="4" w:space="0" w:color="auto"/>
              <w:right w:val="nil"/>
            </w:tcBorders>
            <w:shd w:val="clear" w:color="auto" w:fill="auto"/>
            <w:noWrap/>
            <w:vAlign w:val="bottom"/>
            <w:hideMark/>
          </w:tcPr>
          <w:p w14:paraId="66C39F8F" w14:textId="544FE264" w:rsidR="00762268" w:rsidRPr="00762268" w:rsidRDefault="00762268" w:rsidP="00762268">
            <w:pPr>
              <w:pStyle w:val="BodyText"/>
              <w:spacing w:line="240" w:lineRule="auto"/>
              <w:rPr>
                <w:sz w:val="20"/>
                <w:szCs w:val="20"/>
              </w:rPr>
            </w:pPr>
            <w:r w:rsidRPr="0099742A">
              <w:rPr>
                <w:sz w:val="20"/>
                <w:szCs w:val="20"/>
              </w:rPr>
              <w:t>AEO</w:t>
            </w:r>
          </w:p>
        </w:tc>
        <w:tc>
          <w:tcPr>
            <w:tcW w:w="1201" w:type="dxa"/>
            <w:tcBorders>
              <w:top w:val="nil"/>
              <w:left w:val="nil"/>
              <w:bottom w:val="single" w:sz="4" w:space="0" w:color="auto"/>
              <w:right w:val="nil"/>
            </w:tcBorders>
            <w:shd w:val="clear" w:color="auto" w:fill="auto"/>
            <w:noWrap/>
            <w:vAlign w:val="center"/>
            <w:hideMark/>
          </w:tcPr>
          <w:p w14:paraId="79CD1F77" w14:textId="63B6CE90" w:rsidR="00762268" w:rsidRPr="00762268" w:rsidRDefault="00762268" w:rsidP="00762268">
            <w:pPr>
              <w:pStyle w:val="BodyText"/>
              <w:spacing w:line="240" w:lineRule="auto"/>
              <w:rPr>
                <w:sz w:val="20"/>
                <w:szCs w:val="20"/>
              </w:rPr>
            </w:pPr>
            <w:r w:rsidRPr="0099742A">
              <w:rPr>
                <w:color w:val="000000"/>
                <w:sz w:val="20"/>
                <w:szCs w:val="20"/>
              </w:rPr>
              <w:t>-4%</w:t>
            </w:r>
          </w:p>
        </w:tc>
      </w:tr>
      <w:tr w:rsidR="00762268" w:rsidRPr="00D1739C" w14:paraId="4AEA9E26" w14:textId="77777777" w:rsidTr="00415310">
        <w:trPr>
          <w:trHeight w:val="315"/>
        </w:trPr>
        <w:tc>
          <w:tcPr>
            <w:tcW w:w="2160" w:type="dxa"/>
            <w:tcBorders>
              <w:top w:val="single" w:sz="4" w:space="0" w:color="auto"/>
              <w:left w:val="nil"/>
              <w:bottom w:val="nil"/>
              <w:right w:val="nil"/>
            </w:tcBorders>
            <w:shd w:val="clear" w:color="auto" w:fill="auto"/>
            <w:noWrap/>
            <w:vAlign w:val="bottom"/>
          </w:tcPr>
          <w:p w14:paraId="3B695173" w14:textId="77777777" w:rsidR="00762268" w:rsidRPr="00373A86" w:rsidRDefault="00762268" w:rsidP="00373A86">
            <w:pPr>
              <w:pStyle w:val="BodyText"/>
              <w:spacing w:line="240" w:lineRule="auto"/>
              <w:rPr>
                <w:sz w:val="20"/>
                <w:szCs w:val="20"/>
              </w:rPr>
            </w:pPr>
            <w:r w:rsidRPr="00373A86">
              <w:rPr>
                <w:sz w:val="20"/>
                <w:szCs w:val="20"/>
              </w:rPr>
              <w:t>Electricity Sector</w:t>
            </w:r>
          </w:p>
        </w:tc>
        <w:tc>
          <w:tcPr>
            <w:tcW w:w="669" w:type="dxa"/>
            <w:tcBorders>
              <w:top w:val="single" w:sz="4" w:space="0" w:color="auto"/>
              <w:left w:val="nil"/>
              <w:bottom w:val="nil"/>
              <w:right w:val="nil"/>
            </w:tcBorders>
            <w:shd w:val="clear" w:color="auto" w:fill="auto"/>
            <w:noWrap/>
            <w:vAlign w:val="bottom"/>
          </w:tcPr>
          <w:p w14:paraId="52667940"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4046693C"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68400C98"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single" w:sz="4" w:space="0" w:color="auto"/>
            </w:tcBorders>
            <w:shd w:val="clear" w:color="auto" w:fill="auto"/>
            <w:noWrap/>
            <w:vAlign w:val="bottom"/>
          </w:tcPr>
          <w:p w14:paraId="7C300F56"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5AC95A90"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79A43E1F"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2CF0161C" w14:textId="77777777" w:rsidR="00762268" w:rsidRPr="00373A86" w:rsidRDefault="00762268" w:rsidP="00373A86">
            <w:pPr>
              <w:pStyle w:val="BodyText"/>
              <w:spacing w:line="240" w:lineRule="auto"/>
              <w:rPr>
                <w:sz w:val="20"/>
                <w:szCs w:val="20"/>
              </w:rPr>
            </w:pPr>
          </w:p>
        </w:tc>
        <w:tc>
          <w:tcPr>
            <w:tcW w:w="668" w:type="dxa"/>
            <w:tcBorders>
              <w:top w:val="single" w:sz="4" w:space="0" w:color="auto"/>
              <w:left w:val="nil"/>
              <w:bottom w:val="nil"/>
              <w:right w:val="nil"/>
            </w:tcBorders>
            <w:shd w:val="clear" w:color="auto" w:fill="auto"/>
            <w:noWrap/>
            <w:vAlign w:val="bottom"/>
          </w:tcPr>
          <w:p w14:paraId="118D0AEA" w14:textId="77777777" w:rsidR="00762268" w:rsidRPr="00373A86" w:rsidRDefault="00762268" w:rsidP="00373A86">
            <w:pPr>
              <w:pStyle w:val="BodyText"/>
              <w:spacing w:line="240" w:lineRule="auto"/>
              <w:rPr>
                <w:sz w:val="20"/>
                <w:szCs w:val="20"/>
              </w:rPr>
            </w:pPr>
          </w:p>
        </w:tc>
        <w:tc>
          <w:tcPr>
            <w:tcW w:w="870" w:type="dxa"/>
            <w:tcBorders>
              <w:top w:val="single" w:sz="4" w:space="0" w:color="auto"/>
              <w:left w:val="nil"/>
              <w:bottom w:val="nil"/>
              <w:right w:val="nil"/>
            </w:tcBorders>
            <w:shd w:val="clear" w:color="auto" w:fill="auto"/>
            <w:noWrap/>
            <w:vAlign w:val="bottom"/>
          </w:tcPr>
          <w:p w14:paraId="6AE86535" w14:textId="77777777" w:rsidR="00762268" w:rsidRPr="00373A86" w:rsidRDefault="00762268" w:rsidP="00373A86">
            <w:pPr>
              <w:pStyle w:val="BodyText"/>
              <w:spacing w:line="240" w:lineRule="auto"/>
              <w:rPr>
                <w:sz w:val="20"/>
                <w:szCs w:val="20"/>
              </w:rPr>
            </w:pPr>
          </w:p>
        </w:tc>
        <w:tc>
          <w:tcPr>
            <w:tcW w:w="1201" w:type="dxa"/>
            <w:tcBorders>
              <w:top w:val="single" w:sz="4" w:space="0" w:color="auto"/>
              <w:left w:val="nil"/>
              <w:bottom w:val="nil"/>
              <w:right w:val="nil"/>
            </w:tcBorders>
            <w:shd w:val="clear" w:color="auto" w:fill="auto"/>
            <w:noWrap/>
            <w:vAlign w:val="bottom"/>
          </w:tcPr>
          <w:p w14:paraId="707F96EA" w14:textId="77777777" w:rsidR="00762268" w:rsidRPr="00373A86" w:rsidRDefault="00762268" w:rsidP="00373A86">
            <w:pPr>
              <w:pStyle w:val="BodyText"/>
              <w:spacing w:line="240" w:lineRule="auto"/>
              <w:rPr>
                <w:sz w:val="20"/>
                <w:szCs w:val="20"/>
              </w:rPr>
            </w:pPr>
          </w:p>
        </w:tc>
      </w:tr>
      <w:tr w:rsidR="00762268" w:rsidRPr="00D1739C" w14:paraId="7B26BA68" w14:textId="77777777" w:rsidTr="00415310">
        <w:trPr>
          <w:trHeight w:val="315"/>
        </w:trPr>
        <w:tc>
          <w:tcPr>
            <w:tcW w:w="2160" w:type="dxa"/>
            <w:tcBorders>
              <w:top w:val="nil"/>
              <w:left w:val="nil"/>
              <w:bottom w:val="nil"/>
              <w:right w:val="nil"/>
            </w:tcBorders>
            <w:shd w:val="clear" w:color="auto" w:fill="auto"/>
            <w:noWrap/>
            <w:vAlign w:val="center"/>
          </w:tcPr>
          <w:p w14:paraId="0CEDA886" w14:textId="250B7B35" w:rsidR="00762268" w:rsidRPr="00373A86" w:rsidRDefault="00415310" w:rsidP="00762268">
            <w:pPr>
              <w:pStyle w:val="BodyText"/>
              <w:spacing w:line="240" w:lineRule="auto"/>
              <w:rPr>
                <w:sz w:val="20"/>
                <w:szCs w:val="20"/>
              </w:rPr>
            </w:pPr>
            <w:r>
              <w:rPr>
                <w:sz w:val="20"/>
                <w:szCs w:val="20"/>
              </w:rPr>
              <w:t>C</w:t>
            </w:r>
            <w:r w:rsidR="00762268" w:rsidRPr="00373A86">
              <w:rPr>
                <w:sz w:val="20"/>
                <w:szCs w:val="20"/>
              </w:rPr>
              <w:t>onsumption (</w:t>
            </w:r>
            <w:proofErr w:type="spellStart"/>
            <w:r w:rsidR="00762268" w:rsidRPr="00373A86">
              <w:rPr>
                <w:sz w:val="20"/>
                <w:szCs w:val="20"/>
              </w:rPr>
              <w:t>MmWh</w:t>
            </w:r>
            <w:proofErr w:type="spellEnd"/>
            <w:r w:rsidR="00762268" w:rsidRPr="00373A86">
              <w:rPr>
                <w:sz w:val="20"/>
                <w:szCs w:val="20"/>
              </w:rPr>
              <w:t>)</w:t>
            </w:r>
          </w:p>
        </w:tc>
        <w:tc>
          <w:tcPr>
            <w:tcW w:w="669" w:type="dxa"/>
            <w:tcBorders>
              <w:top w:val="nil"/>
              <w:left w:val="nil"/>
              <w:bottom w:val="nil"/>
              <w:right w:val="nil"/>
            </w:tcBorders>
            <w:shd w:val="clear" w:color="auto" w:fill="auto"/>
            <w:noWrap/>
            <w:vAlign w:val="center"/>
          </w:tcPr>
          <w:p w14:paraId="1466DA6C" w14:textId="492D0B1B" w:rsidR="00762268" w:rsidRPr="00762268" w:rsidRDefault="00762268" w:rsidP="00762268">
            <w:pPr>
              <w:pStyle w:val="BodyText"/>
              <w:spacing w:line="240" w:lineRule="auto"/>
              <w:rPr>
                <w:sz w:val="20"/>
                <w:szCs w:val="20"/>
              </w:rPr>
            </w:pPr>
            <w:r w:rsidRPr="0099742A">
              <w:rPr>
                <w:sz w:val="20"/>
                <w:szCs w:val="20"/>
              </w:rPr>
              <w:t>3,762</w:t>
            </w:r>
          </w:p>
        </w:tc>
        <w:tc>
          <w:tcPr>
            <w:tcW w:w="668" w:type="dxa"/>
            <w:tcBorders>
              <w:top w:val="nil"/>
              <w:left w:val="nil"/>
              <w:bottom w:val="nil"/>
              <w:right w:val="nil"/>
            </w:tcBorders>
            <w:shd w:val="clear" w:color="auto" w:fill="auto"/>
            <w:noWrap/>
            <w:vAlign w:val="center"/>
          </w:tcPr>
          <w:p w14:paraId="48D62E7C" w14:textId="5DF9F802" w:rsidR="00762268" w:rsidRPr="00762268" w:rsidRDefault="00762268" w:rsidP="00762268">
            <w:pPr>
              <w:pStyle w:val="BodyText"/>
              <w:spacing w:line="240" w:lineRule="auto"/>
              <w:rPr>
                <w:sz w:val="20"/>
                <w:szCs w:val="20"/>
              </w:rPr>
            </w:pPr>
            <w:r w:rsidRPr="0099742A">
              <w:rPr>
                <w:sz w:val="20"/>
                <w:szCs w:val="20"/>
              </w:rPr>
              <w:t>3,723</w:t>
            </w:r>
          </w:p>
        </w:tc>
        <w:tc>
          <w:tcPr>
            <w:tcW w:w="668" w:type="dxa"/>
            <w:tcBorders>
              <w:top w:val="nil"/>
              <w:left w:val="nil"/>
              <w:bottom w:val="nil"/>
              <w:right w:val="nil"/>
            </w:tcBorders>
            <w:shd w:val="clear" w:color="auto" w:fill="auto"/>
            <w:noWrap/>
            <w:vAlign w:val="center"/>
          </w:tcPr>
          <w:p w14:paraId="5BC22F4D" w14:textId="422238BE" w:rsidR="00762268" w:rsidRPr="00762268" w:rsidRDefault="00762268" w:rsidP="00762268">
            <w:pPr>
              <w:pStyle w:val="BodyText"/>
              <w:spacing w:line="240" w:lineRule="auto"/>
              <w:rPr>
                <w:sz w:val="20"/>
                <w:szCs w:val="20"/>
              </w:rPr>
            </w:pPr>
            <w:r w:rsidRPr="0099742A">
              <w:rPr>
                <w:sz w:val="20"/>
                <w:szCs w:val="20"/>
              </w:rPr>
              <w:t>3,859</w:t>
            </w:r>
          </w:p>
        </w:tc>
        <w:tc>
          <w:tcPr>
            <w:tcW w:w="668" w:type="dxa"/>
            <w:tcBorders>
              <w:top w:val="nil"/>
              <w:left w:val="nil"/>
              <w:bottom w:val="nil"/>
              <w:right w:val="single" w:sz="4" w:space="0" w:color="auto"/>
            </w:tcBorders>
            <w:shd w:val="clear" w:color="auto" w:fill="auto"/>
            <w:noWrap/>
            <w:vAlign w:val="center"/>
          </w:tcPr>
          <w:p w14:paraId="439D7829" w14:textId="11F4C495" w:rsidR="00762268" w:rsidRPr="00762268" w:rsidRDefault="00762268" w:rsidP="00762268">
            <w:pPr>
              <w:pStyle w:val="BodyText"/>
              <w:spacing w:line="240" w:lineRule="auto"/>
              <w:rPr>
                <w:sz w:val="20"/>
                <w:szCs w:val="20"/>
              </w:rPr>
            </w:pPr>
            <w:r w:rsidRPr="0099742A">
              <w:rPr>
                <w:sz w:val="20"/>
                <w:szCs w:val="20"/>
              </w:rPr>
              <w:t>3,811</w:t>
            </w:r>
          </w:p>
        </w:tc>
        <w:tc>
          <w:tcPr>
            <w:tcW w:w="668" w:type="dxa"/>
            <w:tcBorders>
              <w:top w:val="nil"/>
              <w:left w:val="nil"/>
              <w:bottom w:val="nil"/>
              <w:right w:val="nil"/>
            </w:tcBorders>
            <w:shd w:val="clear" w:color="auto" w:fill="auto"/>
            <w:noWrap/>
            <w:vAlign w:val="center"/>
          </w:tcPr>
          <w:p w14:paraId="0B1798E9" w14:textId="366A1CB8" w:rsidR="00762268" w:rsidRPr="00762268" w:rsidRDefault="00762268" w:rsidP="00762268">
            <w:pPr>
              <w:pStyle w:val="BodyText"/>
              <w:spacing w:line="240" w:lineRule="auto"/>
              <w:rPr>
                <w:sz w:val="20"/>
                <w:szCs w:val="20"/>
              </w:rPr>
            </w:pPr>
            <w:r w:rsidRPr="0099742A">
              <w:rPr>
                <w:sz w:val="20"/>
                <w:szCs w:val="20"/>
              </w:rPr>
              <w:t>3,958</w:t>
            </w:r>
          </w:p>
        </w:tc>
        <w:tc>
          <w:tcPr>
            <w:tcW w:w="668" w:type="dxa"/>
            <w:tcBorders>
              <w:top w:val="nil"/>
              <w:left w:val="nil"/>
              <w:bottom w:val="nil"/>
              <w:right w:val="nil"/>
            </w:tcBorders>
            <w:shd w:val="clear" w:color="auto" w:fill="auto"/>
            <w:noWrap/>
            <w:vAlign w:val="center"/>
          </w:tcPr>
          <w:p w14:paraId="2351D838" w14:textId="6BFFCD13" w:rsidR="00762268" w:rsidRPr="00762268" w:rsidRDefault="00762268" w:rsidP="00762268">
            <w:pPr>
              <w:pStyle w:val="BodyText"/>
              <w:spacing w:line="240" w:lineRule="auto"/>
              <w:rPr>
                <w:sz w:val="20"/>
                <w:szCs w:val="20"/>
              </w:rPr>
            </w:pPr>
            <w:r w:rsidRPr="0099742A">
              <w:rPr>
                <w:sz w:val="20"/>
                <w:szCs w:val="20"/>
              </w:rPr>
              <w:t>3,979</w:t>
            </w:r>
          </w:p>
        </w:tc>
        <w:tc>
          <w:tcPr>
            <w:tcW w:w="668" w:type="dxa"/>
            <w:tcBorders>
              <w:top w:val="nil"/>
              <w:left w:val="nil"/>
              <w:bottom w:val="nil"/>
              <w:right w:val="nil"/>
            </w:tcBorders>
            <w:shd w:val="clear" w:color="auto" w:fill="auto"/>
            <w:noWrap/>
            <w:vAlign w:val="center"/>
          </w:tcPr>
          <w:p w14:paraId="15E0B151" w14:textId="5E5A1FAE" w:rsidR="00762268" w:rsidRPr="00762268" w:rsidRDefault="00762268" w:rsidP="00762268">
            <w:pPr>
              <w:pStyle w:val="BodyText"/>
              <w:spacing w:line="240" w:lineRule="auto"/>
              <w:rPr>
                <w:sz w:val="20"/>
                <w:szCs w:val="20"/>
              </w:rPr>
            </w:pPr>
            <w:r w:rsidRPr="0099742A">
              <w:rPr>
                <w:sz w:val="20"/>
                <w:szCs w:val="20"/>
              </w:rPr>
              <w:t>4,007</w:t>
            </w:r>
          </w:p>
        </w:tc>
        <w:tc>
          <w:tcPr>
            <w:tcW w:w="668" w:type="dxa"/>
            <w:tcBorders>
              <w:top w:val="nil"/>
              <w:left w:val="nil"/>
              <w:bottom w:val="nil"/>
              <w:right w:val="nil"/>
            </w:tcBorders>
            <w:shd w:val="clear" w:color="auto" w:fill="auto"/>
            <w:noWrap/>
            <w:vAlign w:val="center"/>
          </w:tcPr>
          <w:p w14:paraId="67FF2326" w14:textId="02926006" w:rsidR="00762268" w:rsidRPr="00762268" w:rsidRDefault="00762268" w:rsidP="00762268">
            <w:pPr>
              <w:pStyle w:val="BodyText"/>
              <w:spacing w:line="240" w:lineRule="auto"/>
              <w:rPr>
                <w:sz w:val="20"/>
                <w:szCs w:val="20"/>
              </w:rPr>
            </w:pPr>
            <w:r w:rsidRPr="0099742A">
              <w:rPr>
                <w:sz w:val="20"/>
                <w:szCs w:val="20"/>
              </w:rPr>
              <w:t>4,043</w:t>
            </w:r>
          </w:p>
        </w:tc>
        <w:tc>
          <w:tcPr>
            <w:tcW w:w="870" w:type="dxa"/>
            <w:tcBorders>
              <w:top w:val="nil"/>
              <w:left w:val="nil"/>
              <w:bottom w:val="nil"/>
              <w:right w:val="nil"/>
            </w:tcBorders>
            <w:shd w:val="clear" w:color="auto" w:fill="auto"/>
            <w:noWrap/>
            <w:vAlign w:val="center"/>
          </w:tcPr>
          <w:p w14:paraId="41F467E2" w14:textId="26A035FB" w:rsidR="00762268" w:rsidRPr="00762268" w:rsidRDefault="00762268" w:rsidP="00762268">
            <w:pPr>
              <w:pStyle w:val="BodyText"/>
              <w:spacing w:line="240" w:lineRule="auto"/>
              <w:rPr>
                <w:sz w:val="20"/>
                <w:szCs w:val="20"/>
              </w:rPr>
            </w:pPr>
            <w:r w:rsidRPr="0099742A">
              <w:rPr>
                <w:sz w:val="20"/>
                <w:szCs w:val="20"/>
              </w:rPr>
              <w:t>EIA</w:t>
            </w:r>
          </w:p>
        </w:tc>
        <w:tc>
          <w:tcPr>
            <w:tcW w:w="1201" w:type="dxa"/>
            <w:tcBorders>
              <w:top w:val="nil"/>
              <w:left w:val="nil"/>
              <w:bottom w:val="nil"/>
              <w:right w:val="nil"/>
            </w:tcBorders>
            <w:shd w:val="clear" w:color="auto" w:fill="auto"/>
            <w:noWrap/>
            <w:vAlign w:val="center"/>
          </w:tcPr>
          <w:p w14:paraId="58422556" w14:textId="1A884E73" w:rsidR="00762268" w:rsidRPr="00762268" w:rsidRDefault="00762268" w:rsidP="00762268">
            <w:pPr>
              <w:pStyle w:val="BodyText"/>
              <w:spacing w:line="240" w:lineRule="auto"/>
              <w:rPr>
                <w:sz w:val="20"/>
                <w:szCs w:val="20"/>
              </w:rPr>
            </w:pPr>
            <w:r w:rsidRPr="0099742A">
              <w:rPr>
                <w:color w:val="000000"/>
                <w:sz w:val="20"/>
                <w:szCs w:val="20"/>
              </w:rPr>
              <w:t>5%</w:t>
            </w:r>
          </w:p>
        </w:tc>
      </w:tr>
      <w:tr w:rsidR="00762268" w:rsidRPr="00D1739C" w14:paraId="4B9F7677" w14:textId="77777777" w:rsidTr="00415310">
        <w:trPr>
          <w:trHeight w:val="315"/>
        </w:trPr>
        <w:tc>
          <w:tcPr>
            <w:tcW w:w="2160" w:type="dxa"/>
            <w:tcBorders>
              <w:top w:val="nil"/>
              <w:left w:val="nil"/>
              <w:bottom w:val="nil"/>
              <w:right w:val="nil"/>
            </w:tcBorders>
            <w:shd w:val="clear" w:color="auto" w:fill="auto"/>
            <w:noWrap/>
            <w:vAlign w:val="center"/>
          </w:tcPr>
          <w:p w14:paraId="052A259A" w14:textId="4796CC25" w:rsidR="00762268" w:rsidRPr="00373A86" w:rsidRDefault="00762268" w:rsidP="00762268">
            <w:pPr>
              <w:pStyle w:val="BodyText"/>
              <w:spacing w:line="240" w:lineRule="auto"/>
              <w:rPr>
                <w:sz w:val="20"/>
                <w:szCs w:val="20"/>
              </w:rPr>
            </w:pPr>
            <w:r w:rsidRPr="00373A86">
              <w:rPr>
                <w:sz w:val="20"/>
                <w:szCs w:val="20"/>
              </w:rPr>
              <w:t>Natural Gas%</w:t>
            </w:r>
          </w:p>
        </w:tc>
        <w:tc>
          <w:tcPr>
            <w:tcW w:w="669" w:type="dxa"/>
            <w:tcBorders>
              <w:top w:val="nil"/>
              <w:left w:val="nil"/>
              <w:bottom w:val="nil"/>
              <w:right w:val="nil"/>
            </w:tcBorders>
            <w:shd w:val="clear" w:color="auto" w:fill="auto"/>
            <w:noWrap/>
            <w:vAlign w:val="center"/>
          </w:tcPr>
          <w:p w14:paraId="3CF138DF" w14:textId="0EF4A153" w:rsidR="00762268" w:rsidRPr="00762268" w:rsidRDefault="00762268" w:rsidP="00762268">
            <w:pPr>
              <w:pStyle w:val="BodyText"/>
              <w:spacing w:line="240" w:lineRule="auto"/>
              <w:rPr>
                <w:sz w:val="20"/>
                <w:szCs w:val="20"/>
              </w:rPr>
            </w:pPr>
            <w:r w:rsidRPr="0099742A">
              <w:rPr>
                <w:sz w:val="20"/>
                <w:szCs w:val="20"/>
              </w:rPr>
              <w:t>34%</w:t>
            </w:r>
          </w:p>
        </w:tc>
        <w:tc>
          <w:tcPr>
            <w:tcW w:w="668" w:type="dxa"/>
            <w:tcBorders>
              <w:top w:val="nil"/>
              <w:left w:val="nil"/>
              <w:bottom w:val="nil"/>
              <w:right w:val="nil"/>
            </w:tcBorders>
            <w:shd w:val="clear" w:color="auto" w:fill="auto"/>
            <w:noWrap/>
            <w:vAlign w:val="center"/>
          </w:tcPr>
          <w:p w14:paraId="0D1F9822" w14:textId="258D9BFE" w:rsidR="00762268" w:rsidRPr="00762268" w:rsidRDefault="00762268" w:rsidP="00762268">
            <w:pPr>
              <w:pStyle w:val="BodyText"/>
              <w:spacing w:line="240" w:lineRule="auto"/>
              <w:rPr>
                <w:sz w:val="20"/>
                <w:szCs w:val="20"/>
              </w:rPr>
            </w:pPr>
            <w:r w:rsidRPr="0099742A">
              <w:rPr>
                <w:sz w:val="20"/>
                <w:szCs w:val="20"/>
              </w:rPr>
              <w:t>32%</w:t>
            </w:r>
          </w:p>
        </w:tc>
        <w:tc>
          <w:tcPr>
            <w:tcW w:w="668" w:type="dxa"/>
            <w:tcBorders>
              <w:top w:val="nil"/>
              <w:left w:val="nil"/>
              <w:bottom w:val="nil"/>
              <w:right w:val="nil"/>
            </w:tcBorders>
            <w:shd w:val="clear" w:color="auto" w:fill="auto"/>
            <w:noWrap/>
            <w:vAlign w:val="center"/>
          </w:tcPr>
          <w:p w14:paraId="101C1105" w14:textId="330A5756" w:rsidR="00762268" w:rsidRPr="00762268" w:rsidRDefault="00762268" w:rsidP="00762268">
            <w:pPr>
              <w:pStyle w:val="BodyText"/>
              <w:spacing w:line="240" w:lineRule="auto"/>
              <w:rPr>
                <w:sz w:val="20"/>
                <w:szCs w:val="20"/>
              </w:rPr>
            </w:pPr>
            <w:r w:rsidRPr="0099742A">
              <w:rPr>
                <w:sz w:val="20"/>
                <w:szCs w:val="20"/>
              </w:rPr>
              <w:t>36%</w:t>
            </w:r>
          </w:p>
        </w:tc>
        <w:tc>
          <w:tcPr>
            <w:tcW w:w="668" w:type="dxa"/>
            <w:tcBorders>
              <w:top w:val="nil"/>
              <w:left w:val="nil"/>
              <w:bottom w:val="nil"/>
              <w:right w:val="single" w:sz="4" w:space="0" w:color="auto"/>
            </w:tcBorders>
            <w:shd w:val="clear" w:color="auto" w:fill="auto"/>
            <w:noWrap/>
            <w:vAlign w:val="center"/>
          </w:tcPr>
          <w:p w14:paraId="1FC596EE" w14:textId="6192092A" w:rsidR="00762268" w:rsidRPr="00762268" w:rsidRDefault="00762268" w:rsidP="00762268">
            <w:pPr>
              <w:pStyle w:val="BodyText"/>
              <w:spacing w:line="240" w:lineRule="auto"/>
              <w:rPr>
                <w:sz w:val="20"/>
                <w:szCs w:val="20"/>
              </w:rPr>
            </w:pPr>
            <w:r w:rsidRPr="0099742A">
              <w:rPr>
                <w:sz w:val="20"/>
                <w:szCs w:val="20"/>
              </w:rPr>
              <w:t>39%</w:t>
            </w:r>
          </w:p>
        </w:tc>
        <w:tc>
          <w:tcPr>
            <w:tcW w:w="668" w:type="dxa"/>
            <w:tcBorders>
              <w:top w:val="nil"/>
              <w:left w:val="nil"/>
              <w:bottom w:val="nil"/>
              <w:right w:val="nil"/>
            </w:tcBorders>
            <w:shd w:val="clear" w:color="auto" w:fill="auto"/>
            <w:noWrap/>
            <w:vAlign w:val="center"/>
          </w:tcPr>
          <w:p w14:paraId="7A3BDF15" w14:textId="6E88B374" w:rsidR="00762268" w:rsidRPr="00762268" w:rsidRDefault="00762268" w:rsidP="00762268">
            <w:pPr>
              <w:pStyle w:val="BodyText"/>
              <w:spacing w:line="240" w:lineRule="auto"/>
              <w:rPr>
                <w:sz w:val="20"/>
                <w:szCs w:val="20"/>
              </w:rPr>
            </w:pPr>
            <w:r w:rsidRPr="0099742A">
              <w:rPr>
                <w:sz w:val="20"/>
                <w:szCs w:val="20"/>
              </w:rPr>
              <w:t>37%</w:t>
            </w:r>
          </w:p>
        </w:tc>
        <w:tc>
          <w:tcPr>
            <w:tcW w:w="668" w:type="dxa"/>
            <w:tcBorders>
              <w:top w:val="nil"/>
              <w:left w:val="nil"/>
              <w:bottom w:val="nil"/>
              <w:right w:val="nil"/>
            </w:tcBorders>
            <w:shd w:val="clear" w:color="auto" w:fill="auto"/>
            <w:noWrap/>
            <w:vAlign w:val="bottom"/>
          </w:tcPr>
          <w:p w14:paraId="65EA126D" w14:textId="3A1FA73C" w:rsidR="00762268" w:rsidRPr="00762268" w:rsidRDefault="00762268" w:rsidP="00762268">
            <w:pPr>
              <w:pStyle w:val="BodyText"/>
              <w:spacing w:line="240" w:lineRule="auto"/>
              <w:rPr>
                <w:sz w:val="20"/>
                <w:szCs w:val="20"/>
              </w:rPr>
            </w:pPr>
            <w:r w:rsidRPr="0099742A">
              <w:rPr>
                <w:sz w:val="20"/>
                <w:szCs w:val="20"/>
              </w:rPr>
              <w:t>37%</w:t>
            </w:r>
          </w:p>
        </w:tc>
        <w:tc>
          <w:tcPr>
            <w:tcW w:w="668" w:type="dxa"/>
            <w:tcBorders>
              <w:top w:val="nil"/>
              <w:left w:val="nil"/>
              <w:bottom w:val="nil"/>
              <w:right w:val="nil"/>
            </w:tcBorders>
            <w:shd w:val="clear" w:color="auto" w:fill="auto"/>
            <w:noWrap/>
            <w:vAlign w:val="bottom"/>
          </w:tcPr>
          <w:p w14:paraId="5FD1CBB8" w14:textId="47D63366" w:rsidR="00762268" w:rsidRPr="00762268" w:rsidRDefault="00762268" w:rsidP="00762268">
            <w:pPr>
              <w:pStyle w:val="BodyText"/>
              <w:spacing w:line="240" w:lineRule="auto"/>
              <w:rPr>
                <w:sz w:val="20"/>
                <w:szCs w:val="20"/>
              </w:rPr>
            </w:pPr>
            <w:r w:rsidRPr="0099742A">
              <w:rPr>
                <w:sz w:val="20"/>
                <w:szCs w:val="20"/>
              </w:rPr>
              <w:t>37%</w:t>
            </w:r>
          </w:p>
        </w:tc>
        <w:tc>
          <w:tcPr>
            <w:tcW w:w="668" w:type="dxa"/>
            <w:tcBorders>
              <w:top w:val="nil"/>
              <w:left w:val="nil"/>
              <w:bottom w:val="nil"/>
              <w:right w:val="nil"/>
            </w:tcBorders>
            <w:shd w:val="clear" w:color="auto" w:fill="auto"/>
            <w:noWrap/>
            <w:vAlign w:val="bottom"/>
          </w:tcPr>
          <w:p w14:paraId="0E812FCF" w14:textId="3959C717" w:rsidR="00762268" w:rsidRPr="00762268" w:rsidRDefault="00762268" w:rsidP="00762268">
            <w:pPr>
              <w:pStyle w:val="BodyText"/>
              <w:spacing w:line="240" w:lineRule="auto"/>
              <w:rPr>
                <w:sz w:val="20"/>
                <w:szCs w:val="20"/>
              </w:rPr>
            </w:pPr>
            <w:r w:rsidRPr="0099742A">
              <w:rPr>
                <w:sz w:val="20"/>
                <w:szCs w:val="20"/>
              </w:rPr>
              <w:t>37%</w:t>
            </w:r>
          </w:p>
        </w:tc>
        <w:tc>
          <w:tcPr>
            <w:tcW w:w="870" w:type="dxa"/>
            <w:tcBorders>
              <w:top w:val="nil"/>
              <w:left w:val="nil"/>
              <w:bottom w:val="nil"/>
              <w:right w:val="nil"/>
            </w:tcBorders>
            <w:shd w:val="clear" w:color="auto" w:fill="auto"/>
            <w:noWrap/>
            <w:vAlign w:val="center"/>
          </w:tcPr>
          <w:p w14:paraId="0D13C323" w14:textId="1FEA564B" w:rsidR="00762268" w:rsidRPr="00762268" w:rsidRDefault="00762268" w:rsidP="00762268">
            <w:pPr>
              <w:pStyle w:val="BodyText"/>
              <w:spacing w:line="240" w:lineRule="auto"/>
              <w:rPr>
                <w:sz w:val="20"/>
                <w:szCs w:val="20"/>
              </w:rPr>
            </w:pPr>
            <w:r w:rsidRPr="0099742A">
              <w:rPr>
                <w:sz w:val="20"/>
                <w:szCs w:val="20"/>
              </w:rPr>
              <w:t>EIA</w:t>
            </w:r>
          </w:p>
        </w:tc>
        <w:tc>
          <w:tcPr>
            <w:tcW w:w="1201" w:type="dxa"/>
            <w:tcBorders>
              <w:top w:val="nil"/>
              <w:left w:val="nil"/>
              <w:bottom w:val="nil"/>
              <w:right w:val="nil"/>
            </w:tcBorders>
            <w:shd w:val="clear" w:color="auto" w:fill="auto"/>
            <w:noWrap/>
            <w:vAlign w:val="center"/>
          </w:tcPr>
          <w:p w14:paraId="4A31CC43" w14:textId="3B6EFB73" w:rsidR="00762268" w:rsidRPr="00762268" w:rsidRDefault="00762268" w:rsidP="00762268">
            <w:pPr>
              <w:pStyle w:val="BodyText"/>
              <w:spacing w:line="240" w:lineRule="auto"/>
              <w:rPr>
                <w:sz w:val="20"/>
                <w:szCs w:val="20"/>
              </w:rPr>
            </w:pPr>
            <w:r w:rsidRPr="0099742A">
              <w:rPr>
                <w:color w:val="000000"/>
                <w:sz w:val="20"/>
                <w:szCs w:val="20"/>
              </w:rPr>
              <w:t>5%</w:t>
            </w:r>
          </w:p>
        </w:tc>
      </w:tr>
      <w:tr w:rsidR="00762268" w:rsidRPr="00D1739C" w14:paraId="382D3450" w14:textId="77777777" w:rsidTr="00415310">
        <w:trPr>
          <w:trHeight w:val="315"/>
        </w:trPr>
        <w:tc>
          <w:tcPr>
            <w:tcW w:w="2160" w:type="dxa"/>
            <w:tcBorders>
              <w:top w:val="nil"/>
              <w:left w:val="nil"/>
              <w:bottom w:val="nil"/>
              <w:right w:val="nil"/>
            </w:tcBorders>
            <w:shd w:val="clear" w:color="auto" w:fill="auto"/>
            <w:noWrap/>
            <w:vAlign w:val="center"/>
          </w:tcPr>
          <w:p w14:paraId="124AA6DE" w14:textId="4D2B4565" w:rsidR="00762268" w:rsidRPr="00373A86" w:rsidRDefault="00762268" w:rsidP="00762268">
            <w:pPr>
              <w:pStyle w:val="BodyText"/>
              <w:spacing w:line="240" w:lineRule="auto"/>
              <w:rPr>
                <w:sz w:val="20"/>
                <w:szCs w:val="20"/>
              </w:rPr>
            </w:pPr>
            <w:r w:rsidRPr="00373A86">
              <w:rPr>
                <w:sz w:val="20"/>
                <w:szCs w:val="20"/>
              </w:rPr>
              <w:t>Coal%</w:t>
            </w:r>
          </w:p>
        </w:tc>
        <w:tc>
          <w:tcPr>
            <w:tcW w:w="669" w:type="dxa"/>
            <w:tcBorders>
              <w:top w:val="nil"/>
              <w:left w:val="nil"/>
              <w:bottom w:val="nil"/>
              <w:right w:val="nil"/>
            </w:tcBorders>
            <w:shd w:val="clear" w:color="auto" w:fill="auto"/>
            <w:noWrap/>
            <w:vAlign w:val="center"/>
          </w:tcPr>
          <w:p w14:paraId="54F04A05" w14:textId="479FD5BB" w:rsidR="00762268" w:rsidRPr="00762268" w:rsidRDefault="00762268" w:rsidP="00762268">
            <w:pPr>
              <w:pStyle w:val="BodyText"/>
              <w:spacing w:line="240" w:lineRule="auto"/>
              <w:rPr>
                <w:sz w:val="20"/>
                <w:szCs w:val="20"/>
              </w:rPr>
            </w:pPr>
            <w:r w:rsidRPr="0099742A">
              <w:rPr>
                <w:sz w:val="20"/>
                <w:szCs w:val="20"/>
              </w:rPr>
              <w:t>30%</w:t>
            </w:r>
          </w:p>
        </w:tc>
        <w:tc>
          <w:tcPr>
            <w:tcW w:w="668" w:type="dxa"/>
            <w:tcBorders>
              <w:top w:val="nil"/>
              <w:left w:val="nil"/>
              <w:bottom w:val="nil"/>
              <w:right w:val="nil"/>
            </w:tcBorders>
            <w:shd w:val="clear" w:color="auto" w:fill="auto"/>
            <w:noWrap/>
            <w:vAlign w:val="center"/>
          </w:tcPr>
          <w:p w14:paraId="21548493" w14:textId="30950C59" w:rsidR="00762268" w:rsidRPr="00762268" w:rsidRDefault="00762268" w:rsidP="00762268">
            <w:pPr>
              <w:pStyle w:val="BodyText"/>
              <w:spacing w:line="240" w:lineRule="auto"/>
              <w:rPr>
                <w:sz w:val="20"/>
                <w:szCs w:val="20"/>
              </w:rPr>
            </w:pPr>
            <w:r w:rsidRPr="0099742A">
              <w:rPr>
                <w:sz w:val="20"/>
                <w:szCs w:val="20"/>
              </w:rPr>
              <w:t>30%</w:t>
            </w:r>
          </w:p>
        </w:tc>
        <w:tc>
          <w:tcPr>
            <w:tcW w:w="668" w:type="dxa"/>
            <w:tcBorders>
              <w:top w:val="nil"/>
              <w:left w:val="nil"/>
              <w:bottom w:val="nil"/>
              <w:right w:val="nil"/>
            </w:tcBorders>
            <w:shd w:val="clear" w:color="auto" w:fill="auto"/>
            <w:noWrap/>
            <w:vAlign w:val="center"/>
          </w:tcPr>
          <w:p w14:paraId="426EBE50" w14:textId="75327859" w:rsidR="00762268" w:rsidRPr="00762268" w:rsidRDefault="00762268" w:rsidP="00762268">
            <w:pPr>
              <w:pStyle w:val="BodyText"/>
              <w:spacing w:line="240" w:lineRule="auto"/>
              <w:rPr>
                <w:sz w:val="20"/>
                <w:szCs w:val="20"/>
              </w:rPr>
            </w:pPr>
            <w:r w:rsidRPr="0099742A">
              <w:rPr>
                <w:sz w:val="20"/>
                <w:szCs w:val="20"/>
              </w:rPr>
              <w:t>28%</w:t>
            </w:r>
          </w:p>
        </w:tc>
        <w:tc>
          <w:tcPr>
            <w:tcW w:w="668" w:type="dxa"/>
            <w:tcBorders>
              <w:top w:val="nil"/>
              <w:left w:val="nil"/>
              <w:bottom w:val="nil"/>
              <w:right w:val="single" w:sz="4" w:space="0" w:color="auto"/>
            </w:tcBorders>
            <w:shd w:val="clear" w:color="auto" w:fill="auto"/>
            <w:noWrap/>
            <w:vAlign w:val="center"/>
          </w:tcPr>
          <w:p w14:paraId="2D87E4C5" w14:textId="2C3E890D" w:rsidR="00762268" w:rsidRPr="00762268" w:rsidRDefault="00762268" w:rsidP="00762268">
            <w:pPr>
              <w:pStyle w:val="BodyText"/>
              <w:spacing w:line="240" w:lineRule="auto"/>
              <w:rPr>
                <w:sz w:val="20"/>
                <w:szCs w:val="20"/>
              </w:rPr>
            </w:pPr>
            <w:r w:rsidRPr="0099742A">
              <w:rPr>
                <w:sz w:val="20"/>
                <w:szCs w:val="20"/>
              </w:rPr>
              <w:t>23%</w:t>
            </w:r>
          </w:p>
        </w:tc>
        <w:tc>
          <w:tcPr>
            <w:tcW w:w="668" w:type="dxa"/>
            <w:tcBorders>
              <w:top w:val="nil"/>
              <w:left w:val="nil"/>
              <w:bottom w:val="nil"/>
              <w:right w:val="nil"/>
            </w:tcBorders>
            <w:shd w:val="clear" w:color="auto" w:fill="auto"/>
            <w:noWrap/>
            <w:vAlign w:val="center"/>
          </w:tcPr>
          <w:p w14:paraId="51602E03" w14:textId="3FE1004E" w:rsidR="00762268" w:rsidRPr="00762268" w:rsidRDefault="00762268" w:rsidP="00762268">
            <w:pPr>
              <w:pStyle w:val="BodyText"/>
              <w:spacing w:line="240" w:lineRule="auto"/>
              <w:rPr>
                <w:sz w:val="20"/>
                <w:szCs w:val="20"/>
              </w:rPr>
            </w:pPr>
            <w:r w:rsidRPr="0099742A">
              <w:rPr>
                <w:sz w:val="20"/>
                <w:szCs w:val="20"/>
              </w:rPr>
              <w:t>29%</w:t>
            </w:r>
          </w:p>
        </w:tc>
        <w:tc>
          <w:tcPr>
            <w:tcW w:w="668" w:type="dxa"/>
            <w:tcBorders>
              <w:top w:val="nil"/>
              <w:left w:val="nil"/>
              <w:bottom w:val="nil"/>
              <w:right w:val="nil"/>
            </w:tcBorders>
            <w:shd w:val="clear" w:color="auto" w:fill="auto"/>
            <w:noWrap/>
            <w:vAlign w:val="bottom"/>
          </w:tcPr>
          <w:p w14:paraId="71D1F7C3" w14:textId="5C732E66" w:rsidR="00762268" w:rsidRPr="00762268" w:rsidRDefault="00762268" w:rsidP="00762268">
            <w:pPr>
              <w:pStyle w:val="BodyText"/>
              <w:spacing w:line="240" w:lineRule="auto"/>
              <w:rPr>
                <w:sz w:val="20"/>
                <w:szCs w:val="20"/>
              </w:rPr>
            </w:pPr>
            <w:r w:rsidRPr="0099742A">
              <w:rPr>
                <w:sz w:val="20"/>
                <w:szCs w:val="20"/>
              </w:rPr>
              <w:t>29%</w:t>
            </w:r>
          </w:p>
        </w:tc>
        <w:tc>
          <w:tcPr>
            <w:tcW w:w="668" w:type="dxa"/>
            <w:tcBorders>
              <w:top w:val="nil"/>
              <w:left w:val="nil"/>
              <w:bottom w:val="nil"/>
              <w:right w:val="nil"/>
            </w:tcBorders>
            <w:shd w:val="clear" w:color="auto" w:fill="auto"/>
            <w:noWrap/>
            <w:vAlign w:val="bottom"/>
          </w:tcPr>
          <w:p w14:paraId="1F1AE968" w14:textId="12BBDC29" w:rsidR="00762268" w:rsidRPr="00762268" w:rsidRDefault="00762268" w:rsidP="00762268">
            <w:pPr>
              <w:pStyle w:val="BodyText"/>
              <w:spacing w:line="240" w:lineRule="auto"/>
              <w:rPr>
                <w:sz w:val="20"/>
                <w:szCs w:val="20"/>
              </w:rPr>
            </w:pPr>
            <w:r w:rsidRPr="0099742A">
              <w:rPr>
                <w:sz w:val="20"/>
                <w:szCs w:val="20"/>
              </w:rPr>
              <w:t>29%</w:t>
            </w:r>
          </w:p>
        </w:tc>
        <w:tc>
          <w:tcPr>
            <w:tcW w:w="668" w:type="dxa"/>
            <w:tcBorders>
              <w:top w:val="nil"/>
              <w:left w:val="nil"/>
              <w:bottom w:val="nil"/>
              <w:right w:val="nil"/>
            </w:tcBorders>
            <w:shd w:val="clear" w:color="auto" w:fill="auto"/>
            <w:noWrap/>
            <w:vAlign w:val="bottom"/>
          </w:tcPr>
          <w:p w14:paraId="6678EE1B" w14:textId="484B3E0C" w:rsidR="00762268" w:rsidRPr="00762268" w:rsidRDefault="00762268" w:rsidP="00762268">
            <w:pPr>
              <w:pStyle w:val="BodyText"/>
              <w:spacing w:line="240" w:lineRule="auto"/>
              <w:rPr>
                <w:sz w:val="20"/>
                <w:szCs w:val="20"/>
              </w:rPr>
            </w:pPr>
            <w:r w:rsidRPr="0099742A">
              <w:rPr>
                <w:sz w:val="20"/>
                <w:szCs w:val="20"/>
              </w:rPr>
              <w:t>29%</w:t>
            </w:r>
          </w:p>
        </w:tc>
        <w:tc>
          <w:tcPr>
            <w:tcW w:w="870" w:type="dxa"/>
            <w:tcBorders>
              <w:top w:val="nil"/>
              <w:left w:val="nil"/>
              <w:bottom w:val="nil"/>
              <w:right w:val="nil"/>
            </w:tcBorders>
            <w:shd w:val="clear" w:color="auto" w:fill="auto"/>
            <w:noWrap/>
            <w:vAlign w:val="center"/>
          </w:tcPr>
          <w:p w14:paraId="48536BE8" w14:textId="2B4F4FF2" w:rsidR="00762268" w:rsidRPr="00762268" w:rsidRDefault="00762268" w:rsidP="00762268">
            <w:pPr>
              <w:pStyle w:val="BodyText"/>
              <w:spacing w:line="240" w:lineRule="auto"/>
              <w:rPr>
                <w:sz w:val="20"/>
                <w:szCs w:val="20"/>
              </w:rPr>
            </w:pPr>
            <w:r w:rsidRPr="0099742A">
              <w:rPr>
                <w:sz w:val="20"/>
                <w:szCs w:val="20"/>
              </w:rPr>
              <w:t>EIA</w:t>
            </w:r>
          </w:p>
        </w:tc>
        <w:tc>
          <w:tcPr>
            <w:tcW w:w="1201" w:type="dxa"/>
            <w:tcBorders>
              <w:top w:val="nil"/>
              <w:left w:val="nil"/>
              <w:bottom w:val="nil"/>
              <w:right w:val="nil"/>
            </w:tcBorders>
            <w:shd w:val="clear" w:color="auto" w:fill="auto"/>
            <w:noWrap/>
            <w:vAlign w:val="center"/>
          </w:tcPr>
          <w:p w14:paraId="435F84EA" w14:textId="4426E1F6" w:rsidR="00762268" w:rsidRPr="00762268" w:rsidRDefault="00762268" w:rsidP="00762268">
            <w:pPr>
              <w:pStyle w:val="BodyText"/>
              <w:spacing w:line="240" w:lineRule="auto"/>
              <w:rPr>
                <w:sz w:val="20"/>
                <w:szCs w:val="20"/>
              </w:rPr>
            </w:pPr>
            <w:r w:rsidRPr="0099742A">
              <w:rPr>
                <w:color w:val="000000"/>
                <w:sz w:val="20"/>
                <w:szCs w:val="20"/>
              </w:rPr>
              <w:t>5%</w:t>
            </w:r>
          </w:p>
        </w:tc>
      </w:tr>
      <w:tr w:rsidR="009F08FE" w:rsidRPr="00D1739C" w14:paraId="403AE37C" w14:textId="77777777" w:rsidTr="00415310">
        <w:trPr>
          <w:trHeight w:val="315"/>
        </w:trPr>
        <w:tc>
          <w:tcPr>
            <w:tcW w:w="2160" w:type="dxa"/>
            <w:tcBorders>
              <w:top w:val="nil"/>
              <w:left w:val="nil"/>
              <w:right w:val="nil"/>
            </w:tcBorders>
            <w:shd w:val="clear" w:color="auto" w:fill="auto"/>
            <w:noWrap/>
            <w:vAlign w:val="center"/>
          </w:tcPr>
          <w:p w14:paraId="7CE9B1D7" w14:textId="53D70E7C" w:rsidR="009F08FE" w:rsidRPr="00373A86" w:rsidRDefault="009F08FE" w:rsidP="009F08FE">
            <w:pPr>
              <w:pStyle w:val="BodyText"/>
              <w:spacing w:line="240" w:lineRule="auto"/>
              <w:rPr>
                <w:sz w:val="20"/>
                <w:szCs w:val="20"/>
              </w:rPr>
            </w:pPr>
            <w:r w:rsidRPr="009F08FE">
              <w:rPr>
                <w:sz w:val="20"/>
                <w:szCs w:val="20"/>
              </w:rPr>
              <w:t>Nuclea</w:t>
            </w:r>
            <w:r w:rsidR="00415310">
              <w:rPr>
                <w:sz w:val="20"/>
                <w:szCs w:val="20"/>
              </w:rPr>
              <w:t>r</w:t>
            </w:r>
            <w:r w:rsidRPr="00666167">
              <w:rPr>
                <w:sz w:val="20"/>
                <w:szCs w:val="20"/>
              </w:rPr>
              <w:t>%</w:t>
            </w:r>
          </w:p>
        </w:tc>
        <w:tc>
          <w:tcPr>
            <w:tcW w:w="669" w:type="dxa"/>
            <w:tcBorders>
              <w:top w:val="nil"/>
              <w:left w:val="nil"/>
              <w:right w:val="nil"/>
            </w:tcBorders>
            <w:shd w:val="clear" w:color="auto" w:fill="auto"/>
            <w:noWrap/>
            <w:vAlign w:val="center"/>
          </w:tcPr>
          <w:p w14:paraId="2C587A4B" w14:textId="717C37BC" w:rsidR="009F08FE" w:rsidRPr="00762268" w:rsidRDefault="009F08FE" w:rsidP="009F08FE">
            <w:pPr>
              <w:pStyle w:val="BodyText"/>
              <w:spacing w:line="240" w:lineRule="auto"/>
              <w:rPr>
                <w:sz w:val="20"/>
                <w:szCs w:val="20"/>
              </w:rPr>
            </w:pPr>
            <w:r w:rsidRPr="0099742A">
              <w:rPr>
                <w:sz w:val="20"/>
                <w:szCs w:val="20"/>
              </w:rPr>
              <w:t>20%</w:t>
            </w:r>
          </w:p>
        </w:tc>
        <w:tc>
          <w:tcPr>
            <w:tcW w:w="668" w:type="dxa"/>
            <w:tcBorders>
              <w:top w:val="nil"/>
              <w:left w:val="nil"/>
              <w:right w:val="nil"/>
            </w:tcBorders>
            <w:shd w:val="clear" w:color="auto" w:fill="auto"/>
            <w:noWrap/>
            <w:vAlign w:val="center"/>
          </w:tcPr>
          <w:p w14:paraId="59586C61" w14:textId="6D7A2E59" w:rsidR="009F08FE" w:rsidRPr="00762268" w:rsidRDefault="009F08FE" w:rsidP="009F08FE">
            <w:pPr>
              <w:pStyle w:val="BodyText"/>
              <w:spacing w:line="240" w:lineRule="auto"/>
              <w:rPr>
                <w:sz w:val="20"/>
                <w:szCs w:val="20"/>
              </w:rPr>
            </w:pPr>
            <w:r w:rsidRPr="0099742A">
              <w:rPr>
                <w:sz w:val="20"/>
                <w:szCs w:val="20"/>
              </w:rPr>
              <w:t>20%</w:t>
            </w:r>
          </w:p>
        </w:tc>
        <w:tc>
          <w:tcPr>
            <w:tcW w:w="668" w:type="dxa"/>
            <w:tcBorders>
              <w:top w:val="nil"/>
              <w:left w:val="nil"/>
              <w:right w:val="nil"/>
            </w:tcBorders>
            <w:shd w:val="clear" w:color="auto" w:fill="auto"/>
            <w:noWrap/>
            <w:vAlign w:val="center"/>
          </w:tcPr>
          <w:p w14:paraId="3042BCFA" w14:textId="55E7E646" w:rsidR="009F08FE" w:rsidRPr="00762268" w:rsidRDefault="009F08FE" w:rsidP="009F08FE">
            <w:pPr>
              <w:pStyle w:val="BodyText"/>
              <w:spacing w:line="240" w:lineRule="auto"/>
              <w:rPr>
                <w:sz w:val="20"/>
                <w:szCs w:val="20"/>
              </w:rPr>
            </w:pPr>
            <w:r w:rsidRPr="0099742A">
              <w:rPr>
                <w:sz w:val="20"/>
                <w:szCs w:val="20"/>
              </w:rPr>
              <w:t>20%</w:t>
            </w:r>
          </w:p>
        </w:tc>
        <w:tc>
          <w:tcPr>
            <w:tcW w:w="668" w:type="dxa"/>
            <w:tcBorders>
              <w:top w:val="nil"/>
              <w:left w:val="nil"/>
              <w:right w:val="single" w:sz="4" w:space="0" w:color="auto"/>
            </w:tcBorders>
            <w:shd w:val="clear" w:color="auto" w:fill="auto"/>
            <w:noWrap/>
            <w:vAlign w:val="center"/>
          </w:tcPr>
          <w:p w14:paraId="0B588057" w14:textId="2C9102E8" w:rsidR="009F08FE" w:rsidRPr="00762268" w:rsidRDefault="009F08FE" w:rsidP="009F08FE">
            <w:pPr>
              <w:pStyle w:val="BodyText"/>
              <w:spacing w:line="240" w:lineRule="auto"/>
              <w:rPr>
                <w:sz w:val="20"/>
                <w:szCs w:val="20"/>
              </w:rPr>
            </w:pPr>
            <w:r w:rsidRPr="0099742A">
              <w:rPr>
                <w:sz w:val="20"/>
                <w:szCs w:val="20"/>
              </w:rPr>
              <w:t>20%</w:t>
            </w:r>
          </w:p>
        </w:tc>
        <w:tc>
          <w:tcPr>
            <w:tcW w:w="668" w:type="dxa"/>
            <w:tcBorders>
              <w:top w:val="nil"/>
              <w:left w:val="nil"/>
              <w:right w:val="nil"/>
            </w:tcBorders>
            <w:shd w:val="clear" w:color="auto" w:fill="auto"/>
            <w:noWrap/>
            <w:vAlign w:val="center"/>
          </w:tcPr>
          <w:p w14:paraId="5D4041F3" w14:textId="12E22015" w:rsidR="009F08FE" w:rsidRPr="00762268" w:rsidRDefault="009F08FE" w:rsidP="009F08FE">
            <w:pPr>
              <w:pStyle w:val="BodyText"/>
              <w:spacing w:line="240" w:lineRule="auto"/>
              <w:rPr>
                <w:sz w:val="20"/>
                <w:szCs w:val="20"/>
              </w:rPr>
            </w:pPr>
            <w:r w:rsidRPr="0099742A">
              <w:rPr>
                <w:sz w:val="20"/>
                <w:szCs w:val="20"/>
              </w:rPr>
              <w:t>18%</w:t>
            </w:r>
          </w:p>
        </w:tc>
        <w:tc>
          <w:tcPr>
            <w:tcW w:w="668" w:type="dxa"/>
            <w:tcBorders>
              <w:top w:val="nil"/>
              <w:left w:val="nil"/>
              <w:right w:val="nil"/>
            </w:tcBorders>
            <w:shd w:val="clear" w:color="auto" w:fill="auto"/>
            <w:noWrap/>
            <w:vAlign w:val="bottom"/>
          </w:tcPr>
          <w:p w14:paraId="052EF7E6" w14:textId="6E1A1F27" w:rsidR="009F08FE" w:rsidRPr="00762268" w:rsidRDefault="009F08FE" w:rsidP="009F08FE">
            <w:pPr>
              <w:pStyle w:val="BodyText"/>
              <w:spacing w:line="240" w:lineRule="auto"/>
              <w:rPr>
                <w:sz w:val="20"/>
                <w:szCs w:val="20"/>
              </w:rPr>
            </w:pPr>
            <w:r w:rsidRPr="0099742A">
              <w:rPr>
                <w:sz w:val="20"/>
                <w:szCs w:val="20"/>
              </w:rPr>
              <w:t>18%</w:t>
            </w:r>
          </w:p>
        </w:tc>
        <w:tc>
          <w:tcPr>
            <w:tcW w:w="668" w:type="dxa"/>
            <w:tcBorders>
              <w:top w:val="nil"/>
              <w:left w:val="nil"/>
              <w:right w:val="nil"/>
            </w:tcBorders>
            <w:shd w:val="clear" w:color="auto" w:fill="auto"/>
            <w:noWrap/>
            <w:vAlign w:val="bottom"/>
          </w:tcPr>
          <w:p w14:paraId="75E8E641" w14:textId="169FFD56" w:rsidR="009F08FE" w:rsidRPr="00762268" w:rsidRDefault="009F08FE" w:rsidP="009F08FE">
            <w:pPr>
              <w:pStyle w:val="BodyText"/>
              <w:spacing w:line="240" w:lineRule="auto"/>
              <w:rPr>
                <w:sz w:val="20"/>
                <w:szCs w:val="20"/>
              </w:rPr>
            </w:pPr>
            <w:r w:rsidRPr="0099742A">
              <w:rPr>
                <w:sz w:val="20"/>
                <w:szCs w:val="20"/>
              </w:rPr>
              <w:t>18%</w:t>
            </w:r>
          </w:p>
        </w:tc>
        <w:tc>
          <w:tcPr>
            <w:tcW w:w="668" w:type="dxa"/>
            <w:tcBorders>
              <w:top w:val="nil"/>
              <w:left w:val="nil"/>
              <w:right w:val="nil"/>
            </w:tcBorders>
            <w:shd w:val="clear" w:color="auto" w:fill="auto"/>
            <w:noWrap/>
            <w:vAlign w:val="bottom"/>
          </w:tcPr>
          <w:p w14:paraId="02D63232" w14:textId="630A93EE" w:rsidR="009F08FE" w:rsidRPr="00762268" w:rsidRDefault="009F08FE" w:rsidP="009F08FE">
            <w:pPr>
              <w:pStyle w:val="BodyText"/>
              <w:spacing w:line="240" w:lineRule="auto"/>
              <w:rPr>
                <w:sz w:val="20"/>
                <w:szCs w:val="20"/>
              </w:rPr>
            </w:pPr>
            <w:r w:rsidRPr="0099742A">
              <w:rPr>
                <w:sz w:val="20"/>
                <w:szCs w:val="20"/>
              </w:rPr>
              <w:t>18%</w:t>
            </w:r>
          </w:p>
        </w:tc>
        <w:tc>
          <w:tcPr>
            <w:tcW w:w="870" w:type="dxa"/>
            <w:tcBorders>
              <w:top w:val="nil"/>
              <w:left w:val="nil"/>
              <w:right w:val="nil"/>
            </w:tcBorders>
            <w:shd w:val="clear" w:color="auto" w:fill="auto"/>
            <w:noWrap/>
            <w:vAlign w:val="center"/>
          </w:tcPr>
          <w:p w14:paraId="6E504EE6" w14:textId="6FDF66BA" w:rsidR="009F08FE" w:rsidRPr="00762268" w:rsidRDefault="009F08FE" w:rsidP="009F08FE">
            <w:pPr>
              <w:pStyle w:val="BodyText"/>
              <w:spacing w:line="240" w:lineRule="auto"/>
              <w:rPr>
                <w:sz w:val="20"/>
                <w:szCs w:val="20"/>
              </w:rPr>
            </w:pPr>
            <w:r w:rsidRPr="0099742A">
              <w:rPr>
                <w:sz w:val="20"/>
                <w:szCs w:val="20"/>
              </w:rPr>
              <w:t>EIA</w:t>
            </w:r>
          </w:p>
        </w:tc>
        <w:tc>
          <w:tcPr>
            <w:tcW w:w="1201" w:type="dxa"/>
            <w:tcBorders>
              <w:top w:val="nil"/>
              <w:left w:val="nil"/>
              <w:right w:val="nil"/>
            </w:tcBorders>
            <w:shd w:val="clear" w:color="auto" w:fill="auto"/>
            <w:noWrap/>
            <w:vAlign w:val="center"/>
          </w:tcPr>
          <w:p w14:paraId="19EFCA3E" w14:textId="65A23B67" w:rsidR="009F08FE" w:rsidRPr="00762268" w:rsidRDefault="009F08FE" w:rsidP="009F08FE">
            <w:pPr>
              <w:pStyle w:val="BodyText"/>
              <w:spacing w:line="240" w:lineRule="auto"/>
              <w:rPr>
                <w:sz w:val="20"/>
                <w:szCs w:val="20"/>
              </w:rPr>
            </w:pPr>
            <w:r w:rsidRPr="0099742A">
              <w:rPr>
                <w:color w:val="000000"/>
                <w:sz w:val="20"/>
                <w:szCs w:val="20"/>
              </w:rPr>
              <w:t>-8%</w:t>
            </w:r>
          </w:p>
        </w:tc>
      </w:tr>
      <w:tr w:rsidR="009F08FE" w:rsidRPr="000B73E2" w14:paraId="00E100F3" w14:textId="77777777" w:rsidTr="00415310">
        <w:trPr>
          <w:trHeight w:val="315"/>
        </w:trPr>
        <w:tc>
          <w:tcPr>
            <w:tcW w:w="2160" w:type="dxa"/>
            <w:tcBorders>
              <w:top w:val="nil"/>
              <w:left w:val="nil"/>
            </w:tcBorders>
            <w:shd w:val="clear" w:color="auto" w:fill="auto"/>
            <w:noWrap/>
            <w:vAlign w:val="center"/>
          </w:tcPr>
          <w:p w14:paraId="504B3B80" w14:textId="7C539A3D" w:rsidR="009F08FE" w:rsidRPr="00373A86" w:rsidRDefault="009F08FE" w:rsidP="009F08FE">
            <w:pPr>
              <w:pStyle w:val="BodyText"/>
              <w:spacing w:line="240" w:lineRule="auto"/>
              <w:rPr>
                <w:sz w:val="20"/>
                <w:szCs w:val="20"/>
              </w:rPr>
            </w:pPr>
            <w:r w:rsidRPr="00666167">
              <w:rPr>
                <w:color w:val="000000"/>
                <w:sz w:val="20"/>
                <w:szCs w:val="20"/>
              </w:rPr>
              <w:t>Hydroelect</w:t>
            </w:r>
            <w:r>
              <w:rPr>
                <w:color w:val="000000"/>
                <w:sz w:val="20"/>
                <w:szCs w:val="20"/>
              </w:rPr>
              <w:t>ricit</w:t>
            </w:r>
            <w:r w:rsidR="00415310">
              <w:rPr>
                <w:color w:val="000000"/>
                <w:sz w:val="20"/>
                <w:szCs w:val="20"/>
              </w:rPr>
              <w:t>y</w:t>
            </w:r>
            <w:r w:rsidRPr="00666167">
              <w:rPr>
                <w:color w:val="000000"/>
                <w:sz w:val="20"/>
                <w:szCs w:val="20"/>
              </w:rPr>
              <w:t>%</w:t>
            </w:r>
          </w:p>
        </w:tc>
        <w:tc>
          <w:tcPr>
            <w:tcW w:w="669" w:type="dxa"/>
            <w:tcBorders>
              <w:top w:val="nil"/>
            </w:tcBorders>
            <w:shd w:val="clear" w:color="auto" w:fill="auto"/>
            <w:noWrap/>
            <w:vAlign w:val="center"/>
          </w:tcPr>
          <w:p w14:paraId="71367D2E" w14:textId="420800C6" w:rsidR="009F08FE" w:rsidRPr="00762268" w:rsidRDefault="009F08FE" w:rsidP="009F08FE">
            <w:pPr>
              <w:pStyle w:val="BodyText"/>
              <w:spacing w:line="240" w:lineRule="auto"/>
              <w:rPr>
                <w:sz w:val="20"/>
                <w:szCs w:val="20"/>
              </w:rPr>
            </w:pPr>
            <w:r w:rsidRPr="0099742A">
              <w:rPr>
                <w:color w:val="000000"/>
                <w:sz w:val="20"/>
                <w:szCs w:val="20"/>
              </w:rPr>
              <w:t>7%</w:t>
            </w:r>
          </w:p>
        </w:tc>
        <w:tc>
          <w:tcPr>
            <w:tcW w:w="668" w:type="dxa"/>
            <w:tcBorders>
              <w:top w:val="nil"/>
            </w:tcBorders>
            <w:shd w:val="clear" w:color="auto" w:fill="auto"/>
            <w:noWrap/>
            <w:vAlign w:val="center"/>
          </w:tcPr>
          <w:p w14:paraId="526D4C30" w14:textId="07FC1B41" w:rsidR="009F08FE" w:rsidRPr="00762268" w:rsidRDefault="009F08FE" w:rsidP="009F08FE">
            <w:pPr>
              <w:pStyle w:val="BodyText"/>
              <w:spacing w:line="240" w:lineRule="auto"/>
              <w:rPr>
                <w:sz w:val="20"/>
                <w:szCs w:val="20"/>
              </w:rPr>
            </w:pPr>
            <w:r w:rsidRPr="0099742A">
              <w:rPr>
                <w:color w:val="000000"/>
                <w:sz w:val="20"/>
                <w:szCs w:val="20"/>
              </w:rPr>
              <w:t>7%</w:t>
            </w:r>
          </w:p>
        </w:tc>
        <w:tc>
          <w:tcPr>
            <w:tcW w:w="668" w:type="dxa"/>
            <w:tcBorders>
              <w:top w:val="nil"/>
            </w:tcBorders>
            <w:shd w:val="clear" w:color="auto" w:fill="auto"/>
            <w:noWrap/>
            <w:vAlign w:val="center"/>
          </w:tcPr>
          <w:p w14:paraId="4610BEA7" w14:textId="4F98B2A4" w:rsidR="009F08FE" w:rsidRPr="00762268" w:rsidRDefault="009F08FE" w:rsidP="009F08FE">
            <w:pPr>
              <w:pStyle w:val="BodyText"/>
              <w:spacing w:line="240" w:lineRule="auto"/>
              <w:rPr>
                <w:sz w:val="20"/>
                <w:szCs w:val="20"/>
              </w:rPr>
            </w:pPr>
            <w:r w:rsidRPr="0099742A">
              <w:rPr>
                <w:color w:val="000000"/>
                <w:sz w:val="20"/>
                <w:szCs w:val="20"/>
              </w:rPr>
              <w:t>7%</w:t>
            </w:r>
          </w:p>
        </w:tc>
        <w:tc>
          <w:tcPr>
            <w:tcW w:w="668" w:type="dxa"/>
            <w:tcBorders>
              <w:top w:val="nil"/>
            </w:tcBorders>
            <w:shd w:val="clear" w:color="auto" w:fill="auto"/>
            <w:noWrap/>
            <w:vAlign w:val="center"/>
          </w:tcPr>
          <w:p w14:paraId="0B6EF81E" w14:textId="0EEEED03" w:rsidR="009F08FE" w:rsidRPr="00762268" w:rsidRDefault="009F08FE" w:rsidP="009F08FE">
            <w:pPr>
              <w:pStyle w:val="BodyText"/>
              <w:spacing w:line="240" w:lineRule="auto"/>
              <w:rPr>
                <w:sz w:val="20"/>
                <w:szCs w:val="20"/>
              </w:rPr>
            </w:pPr>
            <w:r w:rsidRPr="0099742A">
              <w:rPr>
                <w:color w:val="000000"/>
                <w:sz w:val="20"/>
                <w:szCs w:val="20"/>
              </w:rPr>
              <w:t>7%</w:t>
            </w:r>
          </w:p>
        </w:tc>
        <w:tc>
          <w:tcPr>
            <w:tcW w:w="668" w:type="dxa"/>
            <w:tcBorders>
              <w:top w:val="nil"/>
            </w:tcBorders>
            <w:shd w:val="clear" w:color="auto" w:fill="auto"/>
            <w:noWrap/>
            <w:vAlign w:val="center"/>
          </w:tcPr>
          <w:p w14:paraId="3B315C82" w14:textId="5388F612" w:rsidR="009F08FE" w:rsidRPr="00762268" w:rsidRDefault="009F08FE" w:rsidP="009F08FE">
            <w:pPr>
              <w:pStyle w:val="BodyText"/>
              <w:spacing w:line="240" w:lineRule="auto"/>
              <w:rPr>
                <w:sz w:val="20"/>
                <w:szCs w:val="20"/>
              </w:rPr>
            </w:pPr>
            <w:r w:rsidRPr="0099742A">
              <w:rPr>
                <w:color w:val="000000"/>
                <w:sz w:val="20"/>
                <w:szCs w:val="20"/>
              </w:rPr>
              <w:t>6%</w:t>
            </w:r>
          </w:p>
        </w:tc>
        <w:tc>
          <w:tcPr>
            <w:tcW w:w="668" w:type="dxa"/>
            <w:tcBorders>
              <w:top w:val="nil"/>
            </w:tcBorders>
            <w:shd w:val="clear" w:color="auto" w:fill="auto"/>
            <w:noWrap/>
            <w:vAlign w:val="center"/>
          </w:tcPr>
          <w:p w14:paraId="6FB6B73F" w14:textId="000336A2" w:rsidR="009F08FE" w:rsidRPr="00762268" w:rsidRDefault="009F08FE" w:rsidP="009F08FE">
            <w:pPr>
              <w:pStyle w:val="BodyText"/>
              <w:spacing w:line="240" w:lineRule="auto"/>
              <w:rPr>
                <w:sz w:val="20"/>
                <w:szCs w:val="20"/>
              </w:rPr>
            </w:pPr>
            <w:r w:rsidRPr="0099742A">
              <w:rPr>
                <w:color w:val="000000"/>
                <w:sz w:val="20"/>
                <w:szCs w:val="20"/>
              </w:rPr>
              <w:t>6%</w:t>
            </w:r>
          </w:p>
        </w:tc>
        <w:tc>
          <w:tcPr>
            <w:tcW w:w="668" w:type="dxa"/>
            <w:tcBorders>
              <w:top w:val="nil"/>
            </w:tcBorders>
            <w:shd w:val="clear" w:color="auto" w:fill="auto"/>
            <w:noWrap/>
            <w:vAlign w:val="center"/>
          </w:tcPr>
          <w:p w14:paraId="4FA0EBCA" w14:textId="21215384" w:rsidR="009F08FE" w:rsidRPr="00762268" w:rsidRDefault="009F08FE" w:rsidP="009F08FE">
            <w:pPr>
              <w:pStyle w:val="BodyText"/>
              <w:spacing w:line="240" w:lineRule="auto"/>
              <w:rPr>
                <w:sz w:val="20"/>
                <w:szCs w:val="20"/>
              </w:rPr>
            </w:pPr>
            <w:r w:rsidRPr="0099742A">
              <w:rPr>
                <w:color w:val="000000"/>
                <w:sz w:val="20"/>
                <w:szCs w:val="20"/>
              </w:rPr>
              <w:t>6%</w:t>
            </w:r>
          </w:p>
        </w:tc>
        <w:tc>
          <w:tcPr>
            <w:tcW w:w="668" w:type="dxa"/>
            <w:tcBorders>
              <w:top w:val="nil"/>
            </w:tcBorders>
            <w:shd w:val="clear" w:color="auto" w:fill="auto"/>
            <w:noWrap/>
            <w:vAlign w:val="center"/>
          </w:tcPr>
          <w:p w14:paraId="6B82809E" w14:textId="5755E140" w:rsidR="009F08FE" w:rsidRPr="00762268" w:rsidRDefault="009F08FE" w:rsidP="009F08FE">
            <w:pPr>
              <w:pStyle w:val="BodyText"/>
              <w:spacing w:line="240" w:lineRule="auto"/>
              <w:rPr>
                <w:sz w:val="20"/>
                <w:szCs w:val="20"/>
              </w:rPr>
            </w:pPr>
            <w:r w:rsidRPr="0099742A">
              <w:rPr>
                <w:color w:val="000000"/>
                <w:sz w:val="20"/>
                <w:szCs w:val="20"/>
              </w:rPr>
              <w:t>7%</w:t>
            </w:r>
          </w:p>
        </w:tc>
        <w:tc>
          <w:tcPr>
            <w:tcW w:w="870" w:type="dxa"/>
            <w:tcBorders>
              <w:top w:val="nil"/>
            </w:tcBorders>
            <w:shd w:val="clear" w:color="auto" w:fill="auto"/>
            <w:noWrap/>
            <w:vAlign w:val="center"/>
          </w:tcPr>
          <w:p w14:paraId="088D1E3F" w14:textId="215B14FA" w:rsidR="009F08FE" w:rsidRPr="00762268" w:rsidRDefault="009F08FE" w:rsidP="009F08FE">
            <w:pPr>
              <w:pStyle w:val="BodyText"/>
              <w:spacing w:line="240" w:lineRule="auto"/>
              <w:rPr>
                <w:sz w:val="20"/>
                <w:szCs w:val="20"/>
              </w:rPr>
            </w:pPr>
            <w:r w:rsidRPr="0099742A">
              <w:rPr>
                <w:color w:val="000000"/>
                <w:sz w:val="20"/>
                <w:szCs w:val="20"/>
              </w:rPr>
              <w:t>EIA</w:t>
            </w:r>
          </w:p>
        </w:tc>
        <w:tc>
          <w:tcPr>
            <w:tcW w:w="1201" w:type="dxa"/>
            <w:tcBorders>
              <w:top w:val="nil"/>
              <w:right w:val="nil"/>
            </w:tcBorders>
            <w:shd w:val="clear" w:color="auto" w:fill="auto"/>
            <w:noWrap/>
            <w:vAlign w:val="center"/>
          </w:tcPr>
          <w:p w14:paraId="28CDF948" w14:textId="4B5DCE0E" w:rsidR="009F08FE" w:rsidRPr="00762268" w:rsidRDefault="009F08FE" w:rsidP="009F08FE">
            <w:pPr>
              <w:pStyle w:val="BodyText"/>
              <w:spacing w:line="240" w:lineRule="auto"/>
              <w:rPr>
                <w:sz w:val="20"/>
                <w:szCs w:val="20"/>
              </w:rPr>
            </w:pPr>
            <w:r w:rsidRPr="0099742A">
              <w:rPr>
                <w:color w:val="000000"/>
                <w:sz w:val="20"/>
                <w:szCs w:val="20"/>
              </w:rPr>
              <w:t>-5%</w:t>
            </w:r>
          </w:p>
        </w:tc>
      </w:tr>
      <w:tr w:rsidR="009F08FE" w:rsidRPr="000B73E2" w14:paraId="4C977976" w14:textId="77777777" w:rsidTr="00415310">
        <w:trPr>
          <w:trHeight w:val="315"/>
        </w:trPr>
        <w:tc>
          <w:tcPr>
            <w:tcW w:w="2160" w:type="dxa"/>
            <w:tcBorders>
              <w:top w:val="nil"/>
              <w:left w:val="nil"/>
            </w:tcBorders>
            <w:shd w:val="clear" w:color="auto" w:fill="auto"/>
            <w:noWrap/>
            <w:vAlign w:val="center"/>
          </w:tcPr>
          <w:p w14:paraId="52EE09D2" w14:textId="1EA161DE" w:rsidR="009F08FE" w:rsidRPr="000B73E2" w:rsidRDefault="009F08FE" w:rsidP="009F08FE">
            <w:pPr>
              <w:pStyle w:val="BodyText"/>
              <w:spacing w:line="240" w:lineRule="auto"/>
              <w:rPr>
                <w:color w:val="000000"/>
                <w:sz w:val="20"/>
                <w:szCs w:val="20"/>
              </w:rPr>
            </w:pPr>
            <w:r w:rsidRPr="00373A86">
              <w:rPr>
                <w:color w:val="000000"/>
                <w:sz w:val="20"/>
                <w:szCs w:val="20"/>
              </w:rPr>
              <w:t xml:space="preserve">Wind </w:t>
            </w:r>
            <w:r w:rsidRPr="00666167">
              <w:rPr>
                <w:color w:val="000000"/>
                <w:sz w:val="20"/>
                <w:szCs w:val="20"/>
              </w:rPr>
              <w:t>elec</w:t>
            </w:r>
            <w:r>
              <w:rPr>
                <w:color w:val="000000"/>
                <w:sz w:val="20"/>
                <w:szCs w:val="20"/>
              </w:rPr>
              <w:t>tricit</w:t>
            </w:r>
            <w:r w:rsidR="00415310">
              <w:rPr>
                <w:color w:val="000000"/>
                <w:sz w:val="20"/>
                <w:szCs w:val="20"/>
              </w:rPr>
              <w:t>y</w:t>
            </w:r>
            <w:r w:rsidRPr="00373A86">
              <w:rPr>
                <w:color w:val="000000"/>
                <w:sz w:val="20"/>
                <w:szCs w:val="20"/>
              </w:rPr>
              <w:t>%</w:t>
            </w:r>
          </w:p>
        </w:tc>
        <w:tc>
          <w:tcPr>
            <w:tcW w:w="669" w:type="dxa"/>
            <w:tcBorders>
              <w:top w:val="nil"/>
            </w:tcBorders>
            <w:shd w:val="clear" w:color="auto" w:fill="auto"/>
            <w:noWrap/>
            <w:vAlign w:val="center"/>
          </w:tcPr>
          <w:p w14:paraId="10FBA931" w14:textId="459D90E9" w:rsidR="009F08FE" w:rsidRPr="00762268" w:rsidRDefault="009F08FE" w:rsidP="009F08FE">
            <w:pPr>
              <w:pStyle w:val="BodyText"/>
              <w:spacing w:line="240" w:lineRule="auto"/>
              <w:rPr>
                <w:color w:val="000000"/>
                <w:sz w:val="20"/>
                <w:szCs w:val="20"/>
              </w:rPr>
            </w:pPr>
            <w:r w:rsidRPr="0099742A">
              <w:rPr>
                <w:color w:val="000000"/>
                <w:sz w:val="20"/>
                <w:szCs w:val="20"/>
              </w:rPr>
              <w:t>6%</w:t>
            </w:r>
          </w:p>
        </w:tc>
        <w:tc>
          <w:tcPr>
            <w:tcW w:w="668" w:type="dxa"/>
            <w:tcBorders>
              <w:top w:val="nil"/>
            </w:tcBorders>
            <w:shd w:val="clear" w:color="auto" w:fill="auto"/>
            <w:noWrap/>
            <w:vAlign w:val="center"/>
          </w:tcPr>
          <w:p w14:paraId="21966AF5" w14:textId="7DF0F237" w:rsidR="009F08FE" w:rsidRPr="00762268" w:rsidRDefault="009F08FE" w:rsidP="009F08FE">
            <w:pPr>
              <w:pStyle w:val="BodyText"/>
              <w:spacing w:line="240" w:lineRule="auto"/>
              <w:rPr>
                <w:color w:val="000000"/>
                <w:sz w:val="20"/>
                <w:szCs w:val="20"/>
              </w:rPr>
            </w:pPr>
            <w:r w:rsidRPr="0099742A">
              <w:rPr>
                <w:color w:val="000000"/>
                <w:sz w:val="20"/>
                <w:szCs w:val="20"/>
              </w:rPr>
              <w:t>6%</w:t>
            </w:r>
          </w:p>
        </w:tc>
        <w:tc>
          <w:tcPr>
            <w:tcW w:w="668" w:type="dxa"/>
            <w:tcBorders>
              <w:top w:val="nil"/>
            </w:tcBorders>
            <w:shd w:val="clear" w:color="auto" w:fill="auto"/>
            <w:noWrap/>
            <w:vAlign w:val="center"/>
          </w:tcPr>
          <w:p w14:paraId="22920EA6" w14:textId="6D195656"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668" w:type="dxa"/>
            <w:tcBorders>
              <w:top w:val="nil"/>
            </w:tcBorders>
            <w:shd w:val="clear" w:color="auto" w:fill="auto"/>
            <w:noWrap/>
            <w:vAlign w:val="center"/>
          </w:tcPr>
          <w:p w14:paraId="5848C162" w14:textId="4DA63D45"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668" w:type="dxa"/>
            <w:tcBorders>
              <w:top w:val="nil"/>
            </w:tcBorders>
            <w:shd w:val="clear" w:color="auto" w:fill="auto"/>
            <w:noWrap/>
            <w:vAlign w:val="center"/>
          </w:tcPr>
          <w:p w14:paraId="7A2FA696" w14:textId="17B5AAD4"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668" w:type="dxa"/>
            <w:tcBorders>
              <w:top w:val="nil"/>
            </w:tcBorders>
            <w:shd w:val="clear" w:color="auto" w:fill="auto"/>
            <w:noWrap/>
            <w:vAlign w:val="center"/>
          </w:tcPr>
          <w:p w14:paraId="1116CE78" w14:textId="275B3884"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668" w:type="dxa"/>
            <w:tcBorders>
              <w:top w:val="nil"/>
            </w:tcBorders>
            <w:shd w:val="clear" w:color="auto" w:fill="auto"/>
            <w:noWrap/>
            <w:vAlign w:val="center"/>
          </w:tcPr>
          <w:p w14:paraId="32FB7C61" w14:textId="508D2456"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668" w:type="dxa"/>
            <w:tcBorders>
              <w:top w:val="nil"/>
            </w:tcBorders>
            <w:shd w:val="clear" w:color="auto" w:fill="auto"/>
            <w:noWrap/>
            <w:vAlign w:val="center"/>
          </w:tcPr>
          <w:p w14:paraId="74DF6436" w14:textId="1677C64D" w:rsidR="009F08FE" w:rsidRPr="00762268" w:rsidRDefault="009F08FE" w:rsidP="009F08FE">
            <w:pPr>
              <w:pStyle w:val="BodyText"/>
              <w:spacing w:line="240" w:lineRule="auto"/>
              <w:rPr>
                <w:color w:val="000000"/>
                <w:sz w:val="20"/>
                <w:szCs w:val="20"/>
              </w:rPr>
            </w:pPr>
            <w:r w:rsidRPr="0099742A">
              <w:rPr>
                <w:color w:val="000000"/>
                <w:sz w:val="20"/>
                <w:szCs w:val="20"/>
              </w:rPr>
              <w:t>7%</w:t>
            </w:r>
          </w:p>
        </w:tc>
        <w:tc>
          <w:tcPr>
            <w:tcW w:w="870" w:type="dxa"/>
            <w:tcBorders>
              <w:top w:val="nil"/>
            </w:tcBorders>
            <w:shd w:val="clear" w:color="auto" w:fill="auto"/>
            <w:noWrap/>
            <w:vAlign w:val="center"/>
          </w:tcPr>
          <w:p w14:paraId="391456B1" w14:textId="5794680D" w:rsidR="009F08FE" w:rsidRPr="00762268" w:rsidRDefault="009F08FE" w:rsidP="009F08FE">
            <w:pPr>
              <w:pStyle w:val="BodyText"/>
              <w:spacing w:line="240" w:lineRule="auto"/>
              <w:rPr>
                <w:color w:val="000000"/>
                <w:sz w:val="20"/>
                <w:szCs w:val="20"/>
              </w:rPr>
            </w:pPr>
            <w:r w:rsidRPr="0099742A">
              <w:rPr>
                <w:color w:val="000000"/>
                <w:sz w:val="20"/>
                <w:szCs w:val="20"/>
              </w:rPr>
              <w:t>EIA</w:t>
            </w:r>
          </w:p>
        </w:tc>
        <w:tc>
          <w:tcPr>
            <w:tcW w:w="1201" w:type="dxa"/>
            <w:tcBorders>
              <w:top w:val="nil"/>
              <w:right w:val="nil"/>
            </w:tcBorders>
            <w:shd w:val="clear" w:color="auto" w:fill="auto"/>
            <w:noWrap/>
            <w:vAlign w:val="center"/>
          </w:tcPr>
          <w:p w14:paraId="5C4E8D81" w14:textId="100693BE" w:rsidR="009F08FE" w:rsidRPr="00762268" w:rsidRDefault="009F08FE" w:rsidP="009F08FE">
            <w:pPr>
              <w:pStyle w:val="BodyText"/>
              <w:spacing w:line="240" w:lineRule="auto"/>
              <w:rPr>
                <w:color w:val="000000"/>
                <w:sz w:val="20"/>
                <w:szCs w:val="20"/>
              </w:rPr>
            </w:pPr>
            <w:r w:rsidRPr="0099742A">
              <w:rPr>
                <w:color w:val="000000"/>
                <w:sz w:val="20"/>
                <w:szCs w:val="20"/>
              </w:rPr>
              <w:t>13%</w:t>
            </w:r>
          </w:p>
        </w:tc>
      </w:tr>
      <w:tr w:rsidR="009F08FE" w:rsidRPr="000B73E2" w14:paraId="3BB7262D" w14:textId="77777777" w:rsidTr="00415310">
        <w:trPr>
          <w:trHeight w:val="315"/>
        </w:trPr>
        <w:tc>
          <w:tcPr>
            <w:tcW w:w="2160" w:type="dxa"/>
            <w:tcBorders>
              <w:top w:val="nil"/>
              <w:left w:val="nil"/>
            </w:tcBorders>
            <w:shd w:val="clear" w:color="auto" w:fill="auto"/>
            <w:noWrap/>
            <w:vAlign w:val="center"/>
          </w:tcPr>
          <w:p w14:paraId="6A1B7769" w14:textId="7114FF80" w:rsidR="009F08FE" w:rsidRPr="000B73E2" w:rsidRDefault="009F08FE" w:rsidP="009F08FE">
            <w:pPr>
              <w:pStyle w:val="BodyText"/>
              <w:spacing w:line="240" w:lineRule="auto"/>
              <w:rPr>
                <w:color w:val="000000"/>
                <w:sz w:val="20"/>
                <w:szCs w:val="20"/>
              </w:rPr>
            </w:pPr>
            <w:r w:rsidRPr="00373A86">
              <w:rPr>
                <w:color w:val="000000"/>
                <w:sz w:val="20"/>
                <w:szCs w:val="20"/>
              </w:rPr>
              <w:t xml:space="preserve">Solar </w:t>
            </w:r>
            <w:r w:rsidRPr="00666167">
              <w:rPr>
                <w:color w:val="000000"/>
                <w:sz w:val="20"/>
                <w:szCs w:val="20"/>
              </w:rPr>
              <w:t>elec</w:t>
            </w:r>
            <w:r>
              <w:rPr>
                <w:color w:val="000000"/>
                <w:sz w:val="20"/>
                <w:szCs w:val="20"/>
              </w:rPr>
              <w:t>tricity</w:t>
            </w:r>
            <w:r w:rsidRPr="00373A86">
              <w:rPr>
                <w:color w:val="000000"/>
                <w:sz w:val="20"/>
                <w:szCs w:val="20"/>
              </w:rPr>
              <w:t>%</w:t>
            </w:r>
          </w:p>
        </w:tc>
        <w:tc>
          <w:tcPr>
            <w:tcW w:w="669" w:type="dxa"/>
            <w:tcBorders>
              <w:top w:val="nil"/>
            </w:tcBorders>
            <w:shd w:val="clear" w:color="auto" w:fill="auto"/>
            <w:noWrap/>
            <w:vAlign w:val="center"/>
          </w:tcPr>
          <w:p w14:paraId="3AC0E54A" w14:textId="35444508" w:rsidR="009F08FE" w:rsidRPr="00762268" w:rsidRDefault="009F08FE" w:rsidP="009F08FE">
            <w:pPr>
              <w:pStyle w:val="BodyText"/>
              <w:spacing w:line="240" w:lineRule="auto"/>
              <w:rPr>
                <w:color w:val="000000"/>
                <w:sz w:val="20"/>
                <w:szCs w:val="20"/>
              </w:rPr>
            </w:pPr>
            <w:r w:rsidRPr="0099742A">
              <w:rPr>
                <w:color w:val="000000"/>
                <w:sz w:val="20"/>
                <w:szCs w:val="20"/>
              </w:rPr>
              <w:t>0.9%</w:t>
            </w:r>
          </w:p>
        </w:tc>
        <w:tc>
          <w:tcPr>
            <w:tcW w:w="668" w:type="dxa"/>
            <w:tcBorders>
              <w:top w:val="nil"/>
            </w:tcBorders>
            <w:shd w:val="clear" w:color="auto" w:fill="auto"/>
            <w:noWrap/>
            <w:vAlign w:val="center"/>
          </w:tcPr>
          <w:p w14:paraId="1529222D" w14:textId="3774D2A2" w:rsidR="009F08FE" w:rsidRPr="00762268" w:rsidRDefault="009F08FE" w:rsidP="009F08FE">
            <w:pPr>
              <w:pStyle w:val="BodyText"/>
              <w:spacing w:line="240" w:lineRule="auto"/>
              <w:rPr>
                <w:color w:val="000000"/>
                <w:sz w:val="20"/>
                <w:szCs w:val="20"/>
              </w:rPr>
            </w:pPr>
            <w:r w:rsidRPr="0099742A">
              <w:rPr>
                <w:color w:val="000000"/>
                <w:sz w:val="20"/>
                <w:szCs w:val="20"/>
              </w:rPr>
              <w:t>1.3%</w:t>
            </w:r>
          </w:p>
        </w:tc>
        <w:tc>
          <w:tcPr>
            <w:tcW w:w="668" w:type="dxa"/>
            <w:tcBorders>
              <w:top w:val="nil"/>
            </w:tcBorders>
            <w:shd w:val="clear" w:color="auto" w:fill="auto"/>
            <w:noWrap/>
            <w:vAlign w:val="center"/>
          </w:tcPr>
          <w:p w14:paraId="6610C71A" w14:textId="6EB181CD" w:rsidR="009F08FE" w:rsidRPr="00762268" w:rsidRDefault="009F08FE" w:rsidP="009F08FE">
            <w:pPr>
              <w:pStyle w:val="BodyText"/>
              <w:spacing w:line="240" w:lineRule="auto"/>
              <w:rPr>
                <w:color w:val="000000"/>
                <w:sz w:val="20"/>
                <w:szCs w:val="20"/>
              </w:rPr>
            </w:pPr>
            <w:r w:rsidRPr="0099742A">
              <w:rPr>
                <w:color w:val="000000"/>
                <w:sz w:val="20"/>
                <w:szCs w:val="20"/>
              </w:rPr>
              <w:t>1.5%</w:t>
            </w:r>
          </w:p>
        </w:tc>
        <w:tc>
          <w:tcPr>
            <w:tcW w:w="668" w:type="dxa"/>
            <w:tcBorders>
              <w:top w:val="nil"/>
            </w:tcBorders>
            <w:shd w:val="clear" w:color="auto" w:fill="auto"/>
            <w:noWrap/>
            <w:vAlign w:val="center"/>
          </w:tcPr>
          <w:p w14:paraId="2CB31779" w14:textId="2C611AAE" w:rsidR="009F08FE" w:rsidRPr="00762268" w:rsidRDefault="009F08FE" w:rsidP="009F08FE">
            <w:pPr>
              <w:pStyle w:val="BodyText"/>
              <w:spacing w:line="240" w:lineRule="auto"/>
              <w:rPr>
                <w:color w:val="000000"/>
                <w:sz w:val="20"/>
                <w:szCs w:val="20"/>
              </w:rPr>
            </w:pPr>
            <w:r w:rsidRPr="0099742A">
              <w:rPr>
                <w:color w:val="000000"/>
                <w:sz w:val="20"/>
                <w:szCs w:val="20"/>
              </w:rPr>
              <w:t>1.7%</w:t>
            </w:r>
          </w:p>
        </w:tc>
        <w:tc>
          <w:tcPr>
            <w:tcW w:w="668" w:type="dxa"/>
            <w:tcBorders>
              <w:top w:val="nil"/>
            </w:tcBorders>
            <w:shd w:val="clear" w:color="auto" w:fill="auto"/>
            <w:noWrap/>
            <w:vAlign w:val="center"/>
          </w:tcPr>
          <w:p w14:paraId="6D984D6D" w14:textId="2E51A194" w:rsidR="009F08FE" w:rsidRPr="00762268" w:rsidRDefault="009F08FE" w:rsidP="009F08FE">
            <w:pPr>
              <w:pStyle w:val="BodyText"/>
              <w:spacing w:line="240" w:lineRule="auto"/>
              <w:rPr>
                <w:color w:val="000000"/>
                <w:sz w:val="20"/>
                <w:szCs w:val="20"/>
              </w:rPr>
            </w:pPr>
            <w:r w:rsidRPr="0099742A">
              <w:rPr>
                <w:color w:val="000000"/>
                <w:sz w:val="20"/>
                <w:szCs w:val="20"/>
              </w:rPr>
              <w:t>0.6%</w:t>
            </w:r>
          </w:p>
        </w:tc>
        <w:tc>
          <w:tcPr>
            <w:tcW w:w="668" w:type="dxa"/>
            <w:tcBorders>
              <w:top w:val="nil"/>
            </w:tcBorders>
            <w:shd w:val="clear" w:color="auto" w:fill="auto"/>
            <w:noWrap/>
            <w:vAlign w:val="center"/>
          </w:tcPr>
          <w:p w14:paraId="06DF51F3" w14:textId="65FF57FA" w:rsidR="009F08FE" w:rsidRPr="00762268" w:rsidRDefault="009F08FE" w:rsidP="009F08FE">
            <w:pPr>
              <w:pStyle w:val="BodyText"/>
              <w:spacing w:line="240" w:lineRule="auto"/>
              <w:rPr>
                <w:color w:val="000000"/>
                <w:sz w:val="20"/>
                <w:szCs w:val="20"/>
              </w:rPr>
            </w:pPr>
            <w:r w:rsidRPr="0099742A">
              <w:rPr>
                <w:color w:val="000000"/>
                <w:sz w:val="20"/>
                <w:szCs w:val="20"/>
              </w:rPr>
              <w:t>1.0%</w:t>
            </w:r>
          </w:p>
        </w:tc>
        <w:tc>
          <w:tcPr>
            <w:tcW w:w="668" w:type="dxa"/>
            <w:tcBorders>
              <w:top w:val="nil"/>
            </w:tcBorders>
            <w:shd w:val="clear" w:color="auto" w:fill="auto"/>
            <w:noWrap/>
            <w:vAlign w:val="center"/>
          </w:tcPr>
          <w:p w14:paraId="40579ACA" w14:textId="78E642D4" w:rsidR="009F08FE" w:rsidRPr="00762268" w:rsidRDefault="009F08FE" w:rsidP="009F08FE">
            <w:pPr>
              <w:pStyle w:val="BodyText"/>
              <w:spacing w:line="240" w:lineRule="auto"/>
              <w:rPr>
                <w:color w:val="000000"/>
                <w:sz w:val="20"/>
                <w:szCs w:val="20"/>
              </w:rPr>
            </w:pPr>
            <w:r w:rsidRPr="0099742A">
              <w:rPr>
                <w:color w:val="000000"/>
                <w:sz w:val="20"/>
                <w:szCs w:val="20"/>
              </w:rPr>
              <w:t>1.5%</w:t>
            </w:r>
          </w:p>
        </w:tc>
        <w:tc>
          <w:tcPr>
            <w:tcW w:w="668" w:type="dxa"/>
            <w:tcBorders>
              <w:top w:val="nil"/>
            </w:tcBorders>
            <w:shd w:val="clear" w:color="auto" w:fill="auto"/>
            <w:noWrap/>
            <w:vAlign w:val="center"/>
          </w:tcPr>
          <w:p w14:paraId="7BDA041B" w14:textId="458B6229" w:rsidR="009F08FE" w:rsidRPr="00762268" w:rsidRDefault="009F08FE" w:rsidP="009F08FE">
            <w:pPr>
              <w:pStyle w:val="BodyText"/>
              <w:spacing w:line="240" w:lineRule="auto"/>
              <w:rPr>
                <w:color w:val="000000"/>
                <w:sz w:val="20"/>
                <w:szCs w:val="20"/>
              </w:rPr>
            </w:pPr>
            <w:r w:rsidRPr="0099742A">
              <w:rPr>
                <w:color w:val="000000"/>
                <w:sz w:val="20"/>
                <w:szCs w:val="20"/>
              </w:rPr>
              <w:t>1.9%</w:t>
            </w:r>
          </w:p>
        </w:tc>
        <w:tc>
          <w:tcPr>
            <w:tcW w:w="870" w:type="dxa"/>
            <w:tcBorders>
              <w:top w:val="nil"/>
            </w:tcBorders>
            <w:shd w:val="clear" w:color="auto" w:fill="auto"/>
            <w:noWrap/>
            <w:vAlign w:val="center"/>
          </w:tcPr>
          <w:p w14:paraId="75DC8002" w14:textId="64E03B32" w:rsidR="009F08FE" w:rsidRPr="00762268" w:rsidRDefault="009F08FE" w:rsidP="009F08FE">
            <w:pPr>
              <w:pStyle w:val="BodyText"/>
              <w:spacing w:line="240" w:lineRule="auto"/>
              <w:rPr>
                <w:color w:val="000000"/>
                <w:sz w:val="20"/>
                <w:szCs w:val="20"/>
              </w:rPr>
            </w:pPr>
            <w:r w:rsidRPr="0099742A">
              <w:rPr>
                <w:color w:val="000000"/>
                <w:sz w:val="20"/>
                <w:szCs w:val="20"/>
              </w:rPr>
              <w:t>EIA</w:t>
            </w:r>
          </w:p>
        </w:tc>
        <w:tc>
          <w:tcPr>
            <w:tcW w:w="1201" w:type="dxa"/>
            <w:tcBorders>
              <w:top w:val="nil"/>
              <w:right w:val="nil"/>
            </w:tcBorders>
            <w:shd w:val="clear" w:color="auto" w:fill="auto"/>
            <w:noWrap/>
            <w:vAlign w:val="center"/>
          </w:tcPr>
          <w:p w14:paraId="2727C4D7" w14:textId="3F70F13F" w:rsidR="009F08FE" w:rsidRPr="00762268" w:rsidRDefault="009F08FE" w:rsidP="009F08FE">
            <w:pPr>
              <w:pStyle w:val="BodyText"/>
              <w:spacing w:line="240" w:lineRule="auto"/>
              <w:rPr>
                <w:color w:val="000000"/>
                <w:sz w:val="20"/>
                <w:szCs w:val="20"/>
              </w:rPr>
            </w:pPr>
            <w:r w:rsidRPr="0099742A">
              <w:rPr>
                <w:color w:val="000000"/>
                <w:sz w:val="20"/>
                <w:szCs w:val="20"/>
              </w:rPr>
              <w:t>-7%</w:t>
            </w:r>
          </w:p>
        </w:tc>
      </w:tr>
      <w:tr w:rsidR="00762268" w:rsidRPr="000B73E2" w14:paraId="15F48AA5" w14:textId="77777777" w:rsidTr="00415310">
        <w:trPr>
          <w:trHeight w:val="315"/>
        </w:trPr>
        <w:tc>
          <w:tcPr>
            <w:tcW w:w="2160" w:type="dxa"/>
            <w:tcBorders>
              <w:top w:val="nil"/>
              <w:left w:val="nil"/>
            </w:tcBorders>
            <w:shd w:val="clear" w:color="auto" w:fill="auto"/>
            <w:noWrap/>
            <w:vAlign w:val="center"/>
          </w:tcPr>
          <w:p w14:paraId="7C405D6B" w14:textId="54775AE8" w:rsidR="00762268" w:rsidRPr="000B73E2" w:rsidRDefault="00762268" w:rsidP="00762268">
            <w:pPr>
              <w:pStyle w:val="BodyText"/>
              <w:spacing w:line="240" w:lineRule="auto"/>
              <w:rPr>
                <w:color w:val="000000"/>
                <w:sz w:val="20"/>
                <w:szCs w:val="20"/>
              </w:rPr>
            </w:pPr>
            <w:r w:rsidRPr="00373A86">
              <w:rPr>
                <w:color w:val="000000"/>
                <w:sz w:val="20"/>
                <w:szCs w:val="20"/>
              </w:rPr>
              <w:t>Total renewabl</w:t>
            </w:r>
            <w:r w:rsidR="000652C3">
              <w:rPr>
                <w:color w:val="000000"/>
                <w:sz w:val="20"/>
                <w:szCs w:val="20"/>
              </w:rPr>
              <w:t>e</w:t>
            </w:r>
            <w:r w:rsidRPr="00373A86">
              <w:rPr>
                <w:color w:val="000000"/>
                <w:sz w:val="20"/>
                <w:szCs w:val="20"/>
              </w:rPr>
              <w:t>%</w:t>
            </w:r>
          </w:p>
        </w:tc>
        <w:tc>
          <w:tcPr>
            <w:tcW w:w="669" w:type="dxa"/>
            <w:tcBorders>
              <w:top w:val="nil"/>
            </w:tcBorders>
            <w:shd w:val="clear" w:color="auto" w:fill="auto"/>
            <w:noWrap/>
            <w:vAlign w:val="center"/>
          </w:tcPr>
          <w:p w14:paraId="4C4CC03D" w14:textId="3FB884AF" w:rsidR="00762268" w:rsidRPr="00762268" w:rsidRDefault="00762268" w:rsidP="00762268">
            <w:pPr>
              <w:pStyle w:val="BodyText"/>
              <w:spacing w:line="240" w:lineRule="auto"/>
              <w:rPr>
                <w:color w:val="000000"/>
                <w:sz w:val="20"/>
                <w:szCs w:val="20"/>
              </w:rPr>
            </w:pPr>
            <w:r w:rsidRPr="0099742A">
              <w:rPr>
                <w:color w:val="000000"/>
                <w:sz w:val="20"/>
                <w:szCs w:val="20"/>
              </w:rPr>
              <w:t>15%</w:t>
            </w:r>
          </w:p>
        </w:tc>
        <w:tc>
          <w:tcPr>
            <w:tcW w:w="668" w:type="dxa"/>
            <w:tcBorders>
              <w:top w:val="nil"/>
            </w:tcBorders>
            <w:shd w:val="clear" w:color="auto" w:fill="auto"/>
            <w:noWrap/>
            <w:vAlign w:val="center"/>
          </w:tcPr>
          <w:p w14:paraId="3777D36E" w14:textId="04236BC9" w:rsidR="00762268" w:rsidRPr="00762268" w:rsidRDefault="00762268" w:rsidP="00762268">
            <w:pPr>
              <w:pStyle w:val="BodyText"/>
              <w:spacing w:line="240" w:lineRule="auto"/>
              <w:rPr>
                <w:color w:val="000000"/>
                <w:sz w:val="20"/>
                <w:szCs w:val="20"/>
              </w:rPr>
            </w:pPr>
            <w:r w:rsidRPr="0099742A">
              <w:rPr>
                <w:color w:val="000000"/>
                <w:sz w:val="20"/>
                <w:szCs w:val="20"/>
              </w:rPr>
              <w:t>17%</w:t>
            </w:r>
          </w:p>
        </w:tc>
        <w:tc>
          <w:tcPr>
            <w:tcW w:w="668" w:type="dxa"/>
            <w:tcBorders>
              <w:top w:val="nil"/>
            </w:tcBorders>
            <w:shd w:val="clear" w:color="auto" w:fill="auto"/>
            <w:noWrap/>
            <w:vAlign w:val="center"/>
          </w:tcPr>
          <w:p w14:paraId="0AF6F2B0" w14:textId="0EF02F17" w:rsidR="00762268" w:rsidRPr="00762268" w:rsidRDefault="00762268" w:rsidP="00762268">
            <w:pPr>
              <w:pStyle w:val="BodyText"/>
              <w:spacing w:line="240" w:lineRule="auto"/>
              <w:rPr>
                <w:color w:val="000000"/>
                <w:sz w:val="20"/>
                <w:szCs w:val="20"/>
              </w:rPr>
            </w:pPr>
            <w:r w:rsidRPr="0099742A">
              <w:rPr>
                <w:color w:val="000000"/>
                <w:sz w:val="20"/>
                <w:szCs w:val="20"/>
              </w:rPr>
              <w:t>17%</w:t>
            </w:r>
          </w:p>
        </w:tc>
        <w:tc>
          <w:tcPr>
            <w:tcW w:w="668" w:type="dxa"/>
            <w:tcBorders>
              <w:top w:val="nil"/>
            </w:tcBorders>
            <w:shd w:val="clear" w:color="auto" w:fill="auto"/>
            <w:noWrap/>
            <w:vAlign w:val="center"/>
          </w:tcPr>
          <w:p w14:paraId="3EC9079B" w14:textId="7306DE1A" w:rsidR="00762268" w:rsidRPr="00762268" w:rsidRDefault="00762268" w:rsidP="00762268">
            <w:pPr>
              <w:pStyle w:val="BodyText"/>
              <w:spacing w:line="240" w:lineRule="auto"/>
              <w:rPr>
                <w:color w:val="000000"/>
                <w:sz w:val="20"/>
                <w:szCs w:val="20"/>
              </w:rPr>
            </w:pPr>
            <w:r w:rsidRPr="0099742A">
              <w:rPr>
                <w:color w:val="000000"/>
                <w:sz w:val="20"/>
                <w:szCs w:val="20"/>
              </w:rPr>
              <w:t>18%</w:t>
            </w:r>
          </w:p>
        </w:tc>
        <w:tc>
          <w:tcPr>
            <w:tcW w:w="668" w:type="dxa"/>
            <w:tcBorders>
              <w:top w:val="nil"/>
            </w:tcBorders>
            <w:shd w:val="clear" w:color="auto" w:fill="auto"/>
            <w:noWrap/>
            <w:vAlign w:val="center"/>
          </w:tcPr>
          <w:p w14:paraId="41358B97" w14:textId="73BCD1A4" w:rsidR="00762268" w:rsidRPr="00762268" w:rsidRDefault="00762268" w:rsidP="00762268">
            <w:pPr>
              <w:pStyle w:val="BodyText"/>
              <w:spacing w:line="240" w:lineRule="auto"/>
              <w:rPr>
                <w:color w:val="000000"/>
                <w:sz w:val="20"/>
                <w:szCs w:val="20"/>
              </w:rPr>
            </w:pPr>
            <w:r w:rsidRPr="0099742A">
              <w:rPr>
                <w:color w:val="000000"/>
                <w:sz w:val="20"/>
                <w:szCs w:val="20"/>
              </w:rPr>
              <w:t>15%</w:t>
            </w:r>
          </w:p>
        </w:tc>
        <w:tc>
          <w:tcPr>
            <w:tcW w:w="668" w:type="dxa"/>
            <w:tcBorders>
              <w:top w:val="nil"/>
            </w:tcBorders>
            <w:shd w:val="clear" w:color="auto" w:fill="auto"/>
            <w:noWrap/>
            <w:vAlign w:val="center"/>
          </w:tcPr>
          <w:p w14:paraId="3E39083B" w14:textId="3BD21CC9" w:rsidR="00762268" w:rsidRPr="00762268" w:rsidRDefault="00762268" w:rsidP="00762268">
            <w:pPr>
              <w:pStyle w:val="BodyText"/>
              <w:spacing w:line="240" w:lineRule="auto"/>
              <w:rPr>
                <w:color w:val="000000"/>
                <w:sz w:val="20"/>
                <w:szCs w:val="20"/>
              </w:rPr>
            </w:pPr>
            <w:r w:rsidRPr="0099742A">
              <w:rPr>
                <w:color w:val="000000"/>
                <w:sz w:val="20"/>
                <w:szCs w:val="20"/>
              </w:rPr>
              <w:t>15%</w:t>
            </w:r>
          </w:p>
        </w:tc>
        <w:tc>
          <w:tcPr>
            <w:tcW w:w="668" w:type="dxa"/>
            <w:tcBorders>
              <w:top w:val="nil"/>
            </w:tcBorders>
            <w:shd w:val="clear" w:color="auto" w:fill="auto"/>
            <w:noWrap/>
            <w:vAlign w:val="center"/>
          </w:tcPr>
          <w:p w14:paraId="2CFD9A40" w14:textId="5609F469" w:rsidR="00762268" w:rsidRPr="00762268" w:rsidRDefault="00762268" w:rsidP="00762268">
            <w:pPr>
              <w:pStyle w:val="BodyText"/>
              <w:spacing w:line="240" w:lineRule="auto"/>
              <w:rPr>
                <w:color w:val="000000"/>
                <w:sz w:val="20"/>
                <w:szCs w:val="20"/>
              </w:rPr>
            </w:pPr>
            <w:r w:rsidRPr="0099742A">
              <w:rPr>
                <w:color w:val="000000"/>
                <w:sz w:val="20"/>
                <w:szCs w:val="20"/>
              </w:rPr>
              <w:t>16%</w:t>
            </w:r>
          </w:p>
        </w:tc>
        <w:tc>
          <w:tcPr>
            <w:tcW w:w="668" w:type="dxa"/>
            <w:tcBorders>
              <w:top w:val="nil"/>
            </w:tcBorders>
            <w:shd w:val="clear" w:color="auto" w:fill="auto"/>
            <w:noWrap/>
            <w:vAlign w:val="center"/>
          </w:tcPr>
          <w:p w14:paraId="1813426C" w14:textId="27BB124C" w:rsidR="00762268" w:rsidRPr="00762268" w:rsidRDefault="00762268" w:rsidP="00762268">
            <w:pPr>
              <w:pStyle w:val="BodyText"/>
              <w:spacing w:line="240" w:lineRule="auto"/>
              <w:rPr>
                <w:color w:val="000000"/>
                <w:sz w:val="20"/>
                <w:szCs w:val="20"/>
              </w:rPr>
            </w:pPr>
            <w:r w:rsidRPr="0099742A">
              <w:rPr>
                <w:color w:val="000000"/>
                <w:sz w:val="20"/>
                <w:szCs w:val="20"/>
              </w:rPr>
              <w:t>17%</w:t>
            </w:r>
          </w:p>
        </w:tc>
        <w:tc>
          <w:tcPr>
            <w:tcW w:w="870" w:type="dxa"/>
            <w:tcBorders>
              <w:top w:val="nil"/>
            </w:tcBorders>
            <w:shd w:val="clear" w:color="auto" w:fill="auto"/>
            <w:noWrap/>
            <w:vAlign w:val="center"/>
          </w:tcPr>
          <w:p w14:paraId="35E7F36A" w14:textId="430F3309" w:rsidR="00762268" w:rsidRPr="00762268" w:rsidRDefault="00762268" w:rsidP="00762268">
            <w:pPr>
              <w:pStyle w:val="BodyText"/>
              <w:spacing w:line="240" w:lineRule="auto"/>
              <w:rPr>
                <w:color w:val="000000"/>
                <w:sz w:val="20"/>
                <w:szCs w:val="20"/>
              </w:rPr>
            </w:pPr>
            <w:r w:rsidRPr="0099742A">
              <w:rPr>
                <w:color w:val="000000"/>
                <w:sz w:val="20"/>
                <w:szCs w:val="20"/>
              </w:rPr>
              <w:t>EIA</w:t>
            </w:r>
          </w:p>
        </w:tc>
        <w:tc>
          <w:tcPr>
            <w:tcW w:w="1201" w:type="dxa"/>
            <w:tcBorders>
              <w:top w:val="nil"/>
              <w:right w:val="nil"/>
            </w:tcBorders>
            <w:shd w:val="clear" w:color="auto" w:fill="auto"/>
            <w:noWrap/>
            <w:vAlign w:val="center"/>
          </w:tcPr>
          <w:p w14:paraId="1E71FC9B" w14:textId="755F0CFD" w:rsidR="00762268" w:rsidRPr="00762268" w:rsidRDefault="00762268" w:rsidP="00762268">
            <w:pPr>
              <w:pStyle w:val="BodyText"/>
              <w:spacing w:line="240" w:lineRule="auto"/>
              <w:rPr>
                <w:color w:val="000000"/>
                <w:sz w:val="20"/>
                <w:szCs w:val="20"/>
              </w:rPr>
            </w:pPr>
            <w:r w:rsidRPr="0099742A">
              <w:rPr>
                <w:color w:val="000000"/>
                <w:sz w:val="20"/>
                <w:szCs w:val="20"/>
              </w:rPr>
              <w:t>-5%</w:t>
            </w:r>
          </w:p>
        </w:tc>
      </w:tr>
      <w:tr w:rsidR="00415310" w:rsidRPr="00D1739C" w14:paraId="6C8D2494" w14:textId="77777777" w:rsidTr="001E0108">
        <w:trPr>
          <w:trHeight w:val="315"/>
        </w:trPr>
        <w:tc>
          <w:tcPr>
            <w:tcW w:w="9576" w:type="dxa"/>
            <w:gridSpan w:val="11"/>
            <w:tcBorders>
              <w:top w:val="single" w:sz="4" w:space="0" w:color="auto"/>
              <w:left w:val="nil"/>
              <w:bottom w:val="nil"/>
              <w:right w:val="nil"/>
            </w:tcBorders>
            <w:shd w:val="clear" w:color="auto" w:fill="auto"/>
            <w:noWrap/>
            <w:vAlign w:val="bottom"/>
          </w:tcPr>
          <w:p w14:paraId="6BBC80C9" w14:textId="3C7C9DB8" w:rsidR="00415310" w:rsidRPr="00415310" w:rsidRDefault="00415310" w:rsidP="00762268">
            <w:pPr>
              <w:pStyle w:val="BodyText"/>
              <w:spacing w:line="240" w:lineRule="auto"/>
              <w:rPr>
                <w:color w:val="000000"/>
                <w:sz w:val="20"/>
                <w:szCs w:val="20"/>
              </w:rPr>
            </w:pPr>
            <w:r>
              <w:rPr>
                <w:sz w:val="20"/>
                <w:szCs w:val="20"/>
              </w:rPr>
              <w:t xml:space="preserve">GHG Emissions </w:t>
            </w:r>
            <w:r w:rsidRPr="00373A86">
              <w:rPr>
                <w:sz w:val="20"/>
                <w:szCs w:val="20"/>
              </w:rPr>
              <w:t>(million metric tons of CO</w:t>
            </w:r>
            <w:r w:rsidRPr="00373A86">
              <w:rPr>
                <w:sz w:val="20"/>
                <w:szCs w:val="20"/>
                <w:vertAlign w:val="subscript"/>
              </w:rPr>
              <w:t>2</w:t>
            </w:r>
            <w:r w:rsidRPr="00373A86">
              <w:rPr>
                <w:sz w:val="20"/>
                <w:szCs w:val="20"/>
              </w:rPr>
              <w:t>)</w:t>
            </w:r>
          </w:p>
        </w:tc>
      </w:tr>
      <w:tr w:rsidR="00C54377" w:rsidRPr="00D1739C" w14:paraId="429320E6" w14:textId="77777777" w:rsidTr="00C54377">
        <w:trPr>
          <w:trHeight w:val="315"/>
        </w:trPr>
        <w:tc>
          <w:tcPr>
            <w:tcW w:w="2160" w:type="dxa"/>
            <w:tcBorders>
              <w:top w:val="single" w:sz="4" w:space="0" w:color="auto"/>
              <w:left w:val="nil"/>
              <w:bottom w:val="nil"/>
              <w:right w:val="nil"/>
            </w:tcBorders>
            <w:shd w:val="clear" w:color="auto" w:fill="auto"/>
            <w:noWrap/>
            <w:vAlign w:val="bottom"/>
          </w:tcPr>
          <w:p w14:paraId="4C35D4E3" w14:textId="067504FA" w:rsidR="00C54377" w:rsidRPr="00373A86" w:rsidRDefault="00C54377" w:rsidP="00C54377">
            <w:pPr>
              <w:pStyle w:val="BodyText"/>
              <w:spacing w:line="240" w:lineRule="auto"/>
              <w:rPr>
                <w:sz w:val="20"/>
                <w:szCs w:val="20"/>
              </w:rPr>
            </w:pPr>
            <w:r>
              <w:rPr>
                <w:sz w:val="20"/>
                <w:szCs w:val="20"/>
              </w:rPr>
              <w:t>T</w:t>
            </w:r>
            <w:r w:rsidRPr="00373A86">
              <w:rPr>
                <w:rFonts w:hint="eastAsia"/>
                <w:sz w:val="20"/>
                <w:szCs w:val="20"/>
              </w:rPr>
              <w:t>r</w:t>
            </w:r>
            <w:r w:rsidRPr="00373A86">
              <w:rPr>
                <w:sz w:val="20"/>
                <w:szCs w:val="20"/>
              </w:rPr>
              <w:t xml:space="preserve">ansportation </w:t>
            </w:r>
          </w:p>
        </w:tc>
        <w:tc>
          <w:tcPr>
            <w:tcW w:w="669" w:type="dxa"/>
            <w:tcBorders>
              <w:top w:val="single" w:sz="4" w:space="0" w:color="auto"/>
              <w:left w:val="nil"/>
              <w:bottom w:val="nil"/>
              <w:right w:val="nil"/>
            </w:tcBorders>
            <w:shd w:val="clear" w:color="auto" w:fill="auto"/>
            <w:noWrap/>
            <w:vAlign w:val="bottom"/>
          </w:tcPr>
          <w:p w14:paraId="4834D81D" w14:textId="2BAF7E74" w:rsidR="00C54377" w:rsidRPr="0099742A" w:rsidRDefault="00C54377" w:rsidP="00C54377">
            <w:pPr>
              <w:pStyle w:val="BodyText"/>
              <w:spacing w:line="240" w:lineRule="auto"/>
              <w:rPr>
                <w:sz w:val="20"/>
                <w:szCs w:val="20"/>
              </w:rPr>
            </w:pPr>
            <w:r w:rsidRPr="0099742A">
              <w:rPr>
                <w:sz w:val="20"/>
                <w:szCs w:val="20"/>
              </w:rPr>
              <w:t>1,869</w:t>
            </w:r>
          </w:p>
        </w:tc>
        <w:tc>
          <w:tcPr>
            <w:tcW w:w="668" w:type="dxa"/>
            <w:tcBorders>
              <w:top w:val="single" w:sz="4" w:space="0" w:color="auto"/>
              <w:left w:val="nil"/>
              <w:bottom w:val="nil"/>
              <w:right w:val="nil"/>
            </w:tcBorders>
            <w:shd w:val="clear" w:color="auto" w:fill="auto"/>
            <w:noWrap/>
            <w:vAlign w:val="bottom"/>
          </w:tcPr>
          <w:p w14:paraId="2E53AD99" w14:textId="0692FFA9" w:rsidR="00C54377" w:rsidRPr="0099742A" w:rsidRDefault="00C54377" w:rsidP="00C54377">
            <w:pPr>
              <w:pStyle w:val="BodyText"/>
              <w:spacing w:line="240" w:lineRule="auto"/>
              <w:rPr>
                <w:sz w:val="20"/>
                <w:szCs w:val="20"/>
              </w:rPr>
            </w:pPr>
            <w:r w:rsidRPr="0099742A">
              <w:rPr>
                <w:sz w:val="20"/>
                <w:szCs w:val="20"/>
              </w:rPr>
              <w:t>1,887</w:t>
            </w:r>
          </w:p>
        </w:tc>
        <w:tc>
          <w:tcPr>
            <w:tcW w:w="668" w:type="dxa"/>
            <w:tcBorders>
              <w:top w:val="single" w:sz="4" w:space="0" w:color="auto"/>
              <w:left w:val="nil"/>
              <w:bottom w:val="nil"/>
              <w:right w:val="nil"/>
            </w:tcBorders>
            <w:shd w:val="clear" w:color="auto" w:fill="auto"/>
            <w:noWrap/>
            <w:vAlign w:val="bottom"/>
          </w:tcPr>
          <w:p w14:paraId="5B3790FC" w14:textId="5066AFDD" w:rsidR="00C54377" w:rsidRPr="0099742A" w:rsidRDefault="00C54377" w:rsidP="00C54377">
            <w:pPr>
              <w:pStyle w:val="BodyText"/>
              <w:spacing w:line="240" w:lineRule="auto"/>
              <w:rPr>
                <w:sz w:val="20"/>
                <w:szCs w:val="20"/>
              </w:rPr>
            </w:pPr>
            <w:r w:rsidRPr="0099742A">
              <w:rPr>
                <w:sz w:val="20"/>
                <w:szCs w:val="20"/>
              </w:rPr>
              <w:t>1,918</w:t>
            </w:r>
          </w:p>
        </w:tc>
        <w:tc>
          <w:tcPr>
            <w:tcW w:w="668" w:type="dxa"/>
            <w:tcBorders>
              <w:top w:val="single" w:sz="4" w:space="0" w:color="auto"/>
              <w:left w:val="nil"/>
              <w:bottom w:val="nil"/>
              <w:right w:val="single" w:sz="4" w:space="0" w:color="auto"/>
            </w:tcBorders>
            <w:shd w:val="clear" w:color="auto" w:fill="auto"/>
            <w:noWrap/>
            <w:vAlign w:val="bottom"/>
          </w:tcPr>
          <w:p w14:paraId="7DC1FB8B" w14:textId="0E759757" w:rsidR="00C54377" w:rsidRPr="0099742A" w:rsidRDefault="00C54377" w:rsidP="00C54377">
            <w:pPr>
              <w:pStyle w:val="BodyText"/>
              <w:spacing w:line="240" w:lineRule="auto"/>
              <w:rPr>
                <w:sz w:val="20"/>
                <w:szCs w:val="20"/>
              </w:rPr>
            </w:pPr>
            <w:r w:rsidRPr="0099742A">
              <w:rPr>
                <w:sz w:val="20"/>
                <w:szCs w:val="20"/>
              </w:rPr>
              <w:t>1,924</w:t>
            </w:r>
          </w:p>
        </w:tc>
        <w:tc>
          <w:tcPr>
            <w:tcW w:w="668" w:type="dxa"/>
            <w:tcBorders>
              <w:top w:val="single" w:sz="4" w:space="0" w:color="auto"/>
              <w:left w:val="nil"/>
              <w:bottom w:val="nil"/>
              <w:right w:val="nil"/>
            </w:tcBorders>
            <w:shd w:val="clear" w:color="auto" w:fill="auto"/>
            <w:noWrap/>
            <w:vAlign w:val="bottom"/>
          </w:tcPr>
          <w:p w14:paraId="15DC0832" w14:textId="31421A9B" w:rsidR="00C54377" w:rsidRPr="00C54377" w:rsidRDefault="00C54377" w:rsidP="00C54377">
            <w:pPr>
              <w:pStyle w:val="BodyText"/>
              <w:spacing w:line="240" w:lineRule="auto"/>
              <w:rPr>
                <w:sz w:val="20"/>
                <w:szCs w:val="20"/>
              </w:rPr>
            </w:pPr>
            <w:r w:rsidRPr="00C54377">
              <w:rPr>
                <w:color w:val="000000"/>
                <w:sz w:val="20"/>
                <w:szCs w:val="20"/>
              </w:rPr>
              <w:t xml:space="preserve">2,278 </w:t>
            </w:r>
          </w:p>
        </w:tc>
        <w:tc>
          <w:tcPr>
            <w:tcW w:w="668" w:type="dxa"/>
            <w:tcBorders>
              <w:top w:val="single" w:sz="4" w:space="0" w:color="auto"/>
              <w:left w:val="nil"/>
              <w:bottom w:val="nil"/>
              <w:right w:val="nil"/>
            </w:tcBorders>
            <w:shd w:val="clear" w:color="auto" w:fill="auto"/>
            <w:noWrap/>
            <w:vAlign w:val="bottom"/>
          </w:tcPr>
          <w:p w14:paraId="35333404" w14:textId="143632CE" w:rsidR="00C54377" w:rsidRPr="00C54377" w:rsidRDefault="00C54377" w:rsidP="00C54377">
            <w:pPr>
              <w:pStyle w:val="BodyText"/>
              <w:spacing w:line="240" w:lineRule="auto"/>
              <w:rPr>
                <w:sz w:val="20"/>
                <w:szCs w:val="20"/>
              </w:rPr>
            </w:pPr>
            <w:r w:rsidRPr="00C54377">
              <w:rPr>
                <w:color w:val="000000"/>
                <w:sz w:val="20"/>
                <w:szCs w:val="20"/>
              </w:rPr>
              <w:t xml:space="preserve">2,278 </w:t>
            </w:r>
          </w:p>
        </w:tc>
        <w:tc>
          <w:tcPr>
            <w:tcW w:w="668" w:type="dxa"/>
            <w:tcBorders>
              <w:top w:val="single" w:sz="4" w:space="0" w:color="auto"/>
              <w:left w:val="nil"/>
              <w:bottom w:val="nil"/>
              <w:right w:val="nil"/>
            </w:tcBorders>
            <w:shd w:val="clear" w:color="auto" w:fill="auto"/>
            <w:noWrap/>
            <w:vAlign w:val="bottom"/>
          </w:tcPr>
          <w:p w14:paraId="085F4CBB" w14:textId="016F97C2" w:rsidR="00C54377" w:rsidRPr="00C54377" w:rsidRDefault="00C54377" w:rsidP="00C54377">
            <w:pPr>
              <w:pStyle w:val="BodyText"/>
              <w:spacing w:line="240" w:lineRule="auto"/>
              <w:rPr>
                <w:sz w:val="20"/>
                <w:szCs w:val="20"/>
              </w:rPr>
            </w:pPr>
            <w:r w:rsidRPr="00C54377">
              <w:rPr>
                <w:color w:val="000000"/>
                <w:sz w:val="20"/>
                <w:szCs w:val="20"/>
              </w:rPr>
              <w:t xml:space="preserve">2,265 </w:t>
            </w:r>
          </w:p>
        </w:tc>
        <w:tc>
          <w:tcPr>
            <w:tcW w:w="668" w:type="dxa"/>
            <w:tcBorders>
              <w:top w:val="single" w:sz="4" w:space="0" w:color="auto"/>
              <w:left w:val="nil"/>
              <w:bottom w:val="nil"/>
              <w:right w:val="nil"/>
            </w:tcBorders>
            <w:shd w:val="clear" w:color="auto" w:fill="auto"/>
            <w:noWrap/>
            <w:vAlign w:val="bottom"/>
          </w:tcPr>
          <w:p w14:paraId="4B0F5C27" w14:textId="4E6884CC" w:rsidR="00C54377" w:rsidRPr="00C54377" w:rsidRDefault="00C54377" w:rsidP="00C54377">
            <w:pPr>
              <w:pStyle w:val="BodyText"/>
              <w:spacing w:line="240" w:lineRule="auto"/>
              <w:rPr>
                <w:sz w:val="20"/>
                <w:szCs w:val="20"/>
              </w:rPr>
            </w:pPr>
            <w:r w:rsidRPr="00C54377">
              <w:rPr>
                <w:color w:val="000000"/>
                <w:sz w:val="20"/>
                <w:szCs w:val="20"/>
              </w:rPr>
              <w:t xml:space="preserve">2,257 </w:t>
            </w:r>
          </w:p>
        </w:tc>
        <w:tc>
          <w:tcPr>
            <w:tcW w:w="870" w:type="dxa"/>
            <w:tcBorders>
              <w:top w:val="single" w:sz="4" w:space="0" w:color="auto"/>
              <w:left w:val="nil"/>
              <w:bottom w:val="nil"/>
              <w:right w:val="nil"/>
            </w:tcBorders>
            <w:shd w:val="clear" w:color="auto" w:fill="auto"/>
            <w:noWrap/>
            <w:vAlign w:val="bottom"/>
          </w:tcPr>
          <w:p w14:paraId="274F232E" w14:textId="5B35DB61" w:rsidR="00C54377" w:rsidRPr="0099742A" w:rsidRDefault="00C54377" w:rsidP="00C54377">
            <w:pPr>
              <w:pStyle w:val="BodyText"/>
              <w:spacing w:line="240" w:lineRule="auto"/>
              <w:rPr>
                <w:sz w:val="20"/>
                <w:szCs w:val="20"/>
              </w:rPr>
            </w:pPr>
            <w:r w:rsidRPr="0099742A">
              <w:rPr>
                <w:sz w:val="20"/>
                <w:szCs w:val="20"/>
              </w:rPr>
              <w:t>EIA</w:t>
            </w:r>
          </w:p>
        </w:tc>
        <w:tc>
          <w:tcPr>
            <w:tcW w:w="1201" w:type="dxa"/>
            <w:tcBorders>
              <w:top w:val="single" w:sz="4" w:space="0" w:color="auto"/>
              <w:left w:val="nil"/>
              <w:bottom w:val="nil"/>
              <w:right w:val="nil"/>
            </w:tcBorders>
            <w:shd w:val="clear" w:color="auto" w:fill="auto"/>
            <w:noWrap/>
            <w:vAlign w:val="bottom"/>
          </w:tcPr>
          <w:p w14:paraId="22055B7A" w14:textId="5AE9E0BA" w:rsidR="00C54377" w:rsidRPr="00C54377" w:rsidRDefault="00C54377" w:rsidP="00C54377">
            <w:pPr>
              <w:pStyle w:val="BodyText"/>
              <w:spacing w:line="240" w:lineRule="auto"/>
              <w:rPr>
                <w:color w:val="000000"/>
                <w:sz w:val="20"/>
                <w:szCs w:val="20"/>
              </w:rPr>
            </w:pPr>
            <w:r w:rsidRPr="00C54377">
              <w:rPr>
                <w:color w:val="000000"/>
                <w:sz w:val="20"/>
                <w:szCs w:val="20"/>
              </w:rPr>
              <w:t>20%</w:t>
            </w:r>
          </w:p>
        </w:tc>
      </w:tr>
      <w:tr w:rsidR="00C54377" w:rsidRPr="00D1739C" w14:paraId="754693FE" w14:textId="77777777" w:rsidTr="00C54377">
        <w:trPr>
          <w:trHeight w:val="315"/>
        </w:trPr>
        <w:tc>
          <w:tcPr>
            <w:tcW w:w="2160" w:type="dxa"/>
            <w:tcBorders>
              <w:top w:val="nil"/>
              <w:left w:val="nil"/>
              <w:bottom w:val="single" w:sz="4" w:space="0" w:color="auto"/>
              <w:right w:val="nil"/>
            </w:tcBorders>
            <w:shd w:val="clear" w:color="auto" w:fill="auto"/>
            <w:noWrap/>
          </w:tcPr>
          <w:p w14:paraId="1E95A504" w14:textId="1EEA18EC" w:rsidR="00C54377" w:rsidRPr="00373A86" w:rsidRDefault="00C54377" w:rsidP="00C54377">
            <w:pPr>
              <w:pStyle w:val="BodyText"/>
              <w:spacing w:line="240" w:lineRule="auto"/>
              <w:rPr>
                <w:sz w:val="20"/>
                <w:szCs w:val="20"/>
              </w:rPr>
            </w:pPr>
            <w:r>
              <w:rPr>
                <w:sz w:val="20"/>
                <w:szCs w:val="20"/>
              </w:rPr>
              <w:t>E</w:t>
            </w:r>
            <w:r w:rsidRPr="00373A86">
              <w:rPr>
                <w:sz w:val="20"/>
                <w:szCs w:val="20"/>
              </w:rPr>
              <w:t xml:space="preserve">lectricity </w:t>
            </w:r>
          </w:p>
        </w:tc>
        <w:tc>
          <w:tcPr>
            <w:tcW w:w="669" w:type="dxa"/>
            <w:tcBorders>
              <w:top w:val="nil"/>
              <w:left w:val="nil"/>
              <w:bottom w:val="single" w:sz="4" w:space="0" w:color="auto"/>
              <w:right w:val="nil"/>
            </w:tcBorders>
            <w:shd w:val="clear" w:color="auto" w:fill="auto"/>
            <w:noWrap/>
            <w:vAlign w:val="bottom"/>
          </w:tcPr>
          <w:p w14:paraId="6DE84771" w14:textId="463CD176" w:rsidR="00C54377" w:rsidRPr="00C54377" w:rsidRDefault="00C54377" w:rsidP="00C54377">
            <w:pPr>
              <w:pStyle w:val="BodyText"/>
              <w:spacing w:line="240" w:lineRule="auto"/>
              <w:rPr>
                <w:sz w:val="20"/>
                <w:szCs w:val="20"/>
              </w:rPr>
            </w:pPr>
            <w:r w:rsidRPr="00C54377">
              <w:rPr>
                <w:color w:val="000000"/>
                <w:sz w:val="20"/>
                <w:szCs w:val="20"/>
              </w:rPr>
              <w:t xml:space="preserve">2,845 </w:t>
            </w:r>
          </w:p>
        </w:tc>
        <w:tc>
          <w:tcPr>
            <w:tcW w:w="668" w:type="dxa"/>
            <w:tcBorders>
              <w:top w:val="nil"/>
              <w:left w:val="nil"/>
              <w:bottom w:val="single" w:sz="4" w:space="0" w:color="auto"/>
              <w:right w:val="nil"/>
            </w:tcBorders>
            <w:shd w:val="clear" w:color="auto" w:fill="auto"/>
            <w:noWrap/>
            <w:vAlign w:val="bottom"/>
          </w:tcPr>
          <w:p w14:paraId="0309B4B6" w14:textId="4EF3336C" w:rsidR="00C54377" w:rsidRPr="00C54377" w:rsidRDefault="00C54377" w:rsidP="00C54377">
            <w:pPr>
              <w:pStyle w:val="BodyText"/>
              <w:spacing w:line="240" w:lineRule="auto"/>
              <w:rPr>
                <w:sz w:val="20"/>
                <w:szCs w:val="20"/>
              </w:rPr>
            </w:pPr>
            <w:r w:rsidRPr="00C54377">
              <w:rPr>
                <w:color w:val="000000"/>
                <w:sz w:val="20"/>
                <w:szCs w:val="20"/>
              </w:rPr>
              <w:t xml:space="preserve">2,789 </w:t>
            </w:r>
          </w:p>
        </w:tc>
        <w:tc>
          <w:tcPr>
            <w:tcW w:w="668" w:type="dxa"/>
            <w:tcBorders>
              <w:top w:val="nil"/>
              <w:left w:val="nil"/>
              <w:bottom w:val="single" w:sz="4" w:space="0" w:color="auto"/>
              <w:right w:val="nil"/>
            </w:tcBorders>
            <w:shd w:val="clear" w:color="auto" w:fill="auto"/>
            <w:noWrap/>
            <w:vAlign w:val="bottom"/>
          </w:tcPr>
          <w:p w14:paraId="26666AEF" w14:textId="4EA7E9DE" w:rsidR="00C54377" w:rsidRPr="00C54377" w:rsidRDefault="00C54377" w:rsidP="00C54377">
            <w:pPr>
              <w:pStyle w:val="BodyText"/>
              <w:spacing w:line="240" w:lineRule="auto"/>
              <w:rPr>
                <w:sz w:val="20"/>
                <w:szCs w:val="20"/>
              </w:rPr>
            </w:pPr>
            <w:r w:rsidRPr="00C54377">
              <w:rPr>
                <w:color w:val="000000"/>
                <w:sz w:val="20"/>
                <w:szCs w:val="20"/>
              </w:rPr>
              <w:t xml:space="preserve">2,890 </w:t>
            </w:r>
          </w:p>
        </w:tc>
        <w:tc>
          <w:tcPr>
            <w:tcW w:w="668" w:type="dxa"/>
            <w:tcBorders>
              <w:top w:val="nil"/>
              <w:left w:val="nil"/>
              <w:bottom w:val="single" w:sz="4" w:space="0" w:color="auto"/>
              <w:right w:val="single" w:sz="4" w:space="0" w:color="auto"/>
            </w:tcBorders>
            <w:shd w:val="clear" w:color="auto" w:fill="auto"/>
            <w:noWrap/>
            <w:vAlign w:val="bottom"/>
          </w:tcPr>
          <w:p w14:paraId="42210AE0" w14:textId="4CA5B57A" w:rsidR="00C54377" w:rsidRPr="00C54377" w:rsidRDefault="00C54377" w:rsidP="00C54377">
            <w:pPr>
              <w:pStyle w:val="BodyText"/>
              <w:spacing w:line="240" w:lineRule="auto"/>
              <w:rPr>
                <w:sz w:val="20"/>
                <w:szCs w:val="20"/>
              </w:rPr>
            </w:pPr>
            <w:r w:rsidRPr="00C54377">
              <w:rPr>
                <w:color w:val="000000"/>
                <w:sz w:val="20"/>
                <w:szCs w:val="20"/>
              </w:rPr>
              <w:t xml:space="preserve">2,763 </w:t>
            </w:r>
          </w:p>
        </w:tc>
        <w:tc>
          <w:tcPr>
            <w:tcW w:w="668" w:type="dxa"/>
            <w:tcBorders>
              <w:top w:val="nil"/>
              <w:left w:val="nil"/>
              <w:bottom w:val="single" w:sz="4" w:space="0" w:color="auto"/>
              <w:right w:val="nil"/>
            </w:tcBorders>
            <w:shd w:val="clear" w:color="auto" w:fill="auto"/>
            <w:noWrap/>
            <w:vAlign w:val="bottom"/>
          </w:tcPr>
          <w:p w14:paraId="08AAF8C3" w14:textId="65853F94" w:rsidR="00C54377" w:rsidRPr="00C54377" w:rsidRDefault="00C54377" w:rsidP="00C54377">
            <w:pPr>
              <w:pStyle w:val="BodyText"/>
              <w:spacing w:line="240" w:lineRule="auto"/>
              <w:rPr>
                <w:sz w:val="20"/>
                <w:szCs w:val="20"/>
              </w:rPr>
            </w:pPr>
            <w:r w:rsidRPr="00C54377">
              <w:rPr>
                <w:color w:val="000000"/>
                <w:sz w:val="20"/>
                <w:szCs w:val="20"/>
              </w:rPr>
              <w:t xml:space="preserve">2,178 </w:t>
            </w:r>
          </w:p>
        </w:tc>
        <w:tc>
          <w:tcPr>
            <w:tcW w:w="668" w:type="dxa"/>
            <w:tcBorders>
              <w:top w:val="nil"/>
              <w:left w:val="nil"/>
              <w:bottom w:val="single" w:sz="4" w:space="0" w:color="auto"/>
              <w:right w:val="nil"/>
            </w:tcBorders>
            <w:shd w:val="clear" w:color="auto" w:fill="auto"/>
            <w:noWrap/>
            <w:vAlign w:val="bottom"/>
          </w:tcPr>
          <w:p w14:paraId="22160BF6" w14:textId="4D8670CC" w:rsidR="00C54377" w:rsidRPr="00C54377" w:rsidRDefault="00C54377" w:rsidP="00C54377">
            <w:pPr>
              <w:pStyle w:val="BodyText"/>
              <w:spacing w:line="240" w:lineRule="auto"/>
              <w:rPr>
                <w:sz w:val="20"/>
                <w:szCs w:val="20"/>
              </w:rPr>
            </w:pPr>
            <w:r w:rsidRPr="00C54377">
              <w:rPr>
                <w:color w:val="000000"/>
                <w:sz w:val="20"/>
                <w:szCs w:val="20"/>
              </w:rPr>
              <w:t xml:space="preserve">2,166 </w:t>
            </w:r>
          </w:p>
        </w:tc>
        <w:tc>
          <w:tcPr>
            <w:tcW w:w="668" w:type="dxa"/>
            <w:tcBorders>
              <w:top w:val="nil"/>
              <w:left w:val="nil"/>
              <w:bottom w:val="single" w:sz="4" w:space="0" w:color="auto"/>
              <w:right w:val="nil"/>
            </w:tcBorders>
            <w:shd w:val="clear" w:color="auto" w:fill="auto"/>
            <w:noWrap/>
            <w:vAlign w:val="bottom"/>
          </w:tcPr>
          <w:p w14:paraId="42D59BE8" w14:textId="17E65038" w:rsidR="00C54377" w:rsidRPr="00C54377" w:rsidRDefault="00C54377" w:rsidP="00C54377">
            <w:pPr>
              <w:pStyle w:val="BodyText"/>
              <w:spacing w:line="240" w:lineRule="auto"/>
              <w:rPr>
                <w:sz w:val="20"/>
                <w:szCs w:val="20"/>
              </w:rPr>
            </w:pPr>
            <w:r w:rsidRPr="00C54377">
              <w:rPr>
                <w:color w:val="000000"/>
                <w:sz w:val="20"/>
                <w:szCs w:val="20"/>
              </w:rPr>
              <w:t xml:space="preserve">2,157 </w:t>
            </w:r>
          </w:p>
        </w:tc>
        <w:tc>
          <w:tcPr>
            <w:tcW w:w="668" w:type="dxa"/>
            <w:tcBorders>
              <w:top w:val="nil"/>
              <w:left w:val="nil"/>
              <w:bottom w:val="single" w:sz="4" w:space="0" w:color="auto"/>
              <w:right w:val="nil"/>
            </w:tcBorders>
            <w:shd w:val="clear" w:color="auto" w:fill="auto"/>
            <w:noWrap/>
            <w:vAlign w:val="bottom"/>
          </w:tcPr>
          <w:p w14:paraId="17CAEE52" w14:textId="18687590" w:rsidR="00C54377" w:rsidRPr="00C54377" w:rsidRDefault="00C54377" w:rsidP="00C54377">
            <w:pPr>
              <w:pStyle w:val="BodyText"/>
              <w:spacing w:line="240" w:lineRule="auto"/>
              <w:rPr>
                <w:sz w:val="20"/>
                <w:szCs w:val="20"/>
              </w:rPr>
            </w:pPr>
            <w:r w:rsidRPr="00C54377">
              <w:rPr>
                <w:color w:val="000000"/>
                <w:sz w:val="20"/>
                <w:szCs w:val="20"/>
              </w:rPr>
              <w:t xml:space="preserve">2,153 </w:t>
            </w:r>
          </w:p>
        </w:tc>
        <w:tc>
          <w:tcPr>
            <w:tcW w:w="870" w:type="dxa"/>
            <w:tcBorders>
              <w:top w:val="nil"/>
              <w:left w:val="nil"/>
              <w:bottom w:val="single" w:sz="4" w:space="0" w:color="auto"/>
              <w:right w:val="nil"/>
            </w:tcBorders>
            <w:shd w:val="clear" w:color="auto" w:fill="auto"/>
            <w:noWrap/>
            <w:vAlign w:val="bottom"/>
          </w:tcPr>
          <w:p w14:paraId="5F258DDD" w14:textId="41CFC53B" w:rsidR="00C54377" w:rsidRPr="00762268" w:rsidRDefault="00C54377" w:rsidP="00C54377">
            <w:pPr>
              <w:pStyle w:val="BodyText"/>
              <w:spacing w:line="240" w:lineRule="auto"/>
              <w:rPr>
                <w:sz w:val="20"/>
                <w:szCs w:val="20"/>
              </w:rPr>
            </w:pPr>
            <w:r w:rsidRPr="0099742A">
              <w:rPr>
                <w:sz w:val="20"/>
                <w:szCs w:val="20"/>
              </w:rPr>
              <w:t>EIA</w:t>
            </w:r>
          </w:p>
        </w:tc>
        <w:tc>
          <w:tcPr>
            <w:tcW w:w="1201" w:type="dxa"/>
            <w:tcBorders>
              <w:top w:val="nil"/>
              <w:left w:val="nil"/>
              <w:bottom w:val="single" w:sz="4" w:space="0" w:color="auto"/>
              <w:right w:val="nil"/>
            </w:tcBorders>
            <w:shd w:val="clear" w:color="auto" w:fill="auto"/>
            <w:noWrap/>
            <w:vAlign w:val="bottom"/>
          </w:tcPr>
          <w:p w14:paraId="3EC03B77" w14:textId="306FE20B" w:rsidR="00C54377" w:rsidRPr="00C54377" w:rsidRDefault="00C54377" w:rsidP="00C54377">
            <w:pPr>
              <w:pStyle w:val="BodyText"/>
              <w:spacing w:line="240" w:lineRule="auto"/>
              <w:rPr>
                <w:sz w:val="20"/>
                <w:szCs w:val="20"/>
              </w:rPr>
            </w:pPr>
            <w:r w:rsidRPr="00C54377">
              <w:rPr>
                <w:color w:val="000000"/>
                <w:sz w:val="20"/>
                <w:szCs w:val="20"/>
              </w:rPr>
              <w:t>-23%</w:t>
            </w:r>
          </w:p>
        </w:tc>
      </w:tr>
    </w:tbl>
    <w:p w14:paraId="402D1600" w14:textId="1CB1C39C" w:rsidR="00144194" w:rsidRDefault="00144194" w:rsidP="00144194">
      <w:pPr>
        <w:spacing w:line="240" w:lineRule="auto"/>
        <w:ind w:firstLine="0"/>
      </w:pPr>
    </w:p>
    <w:p w14:paraId="6AAA07B1" w14:textId="2399F82D" w:rsidR="00144194" w:rsidRDefault="00144194" w:rsidP="0099742A">
      <w:pPr>
        <w:pStyle w:val="AppendixA1"/>
      </w:pPr>
      <w:r>
        <w:lastRenderedPageBreak/>
        <w:t xml:space="preserve">A.5 Electricity </w:t>
      </w:r>
      <w:r w:rsidR="003A0987">
        <w:t xml:space="preserve">Sector </w:t>
      </w:r>
      <w:r w:rsidR="00065AC6">
        <w:t>O</w:t>
      </w:r>
      <w:r>
        <w:t>utcome</w:t>
      </w:r>
      <w:r w:rsidR="003A0987">
        <w:t>s</w:t>
      </w:r>
    </w:p>
    <w:p w14:paraId="3676EF14" w14:textId="3E1F973B" w:rsidR="002B2C2C" w:rsidRDefault="002B2C2C" w:rsidP="0099742A">
      <w:pPr>
        <w:spacing w:line="240" w:lineRule="auto"/>
        <w:rPr>
          <w:lang w:eastAsia="en-US"/>
        </w:rPr>
      </w:pPr>
      <w:r>
        <w:rPr>
          <w:lang w:eastAsia="en-US"/>
        </w:rPr>
        <w:t>The total electricity generation increase</w:t>
      </w:r>
      <w:r w:rsidR="00CF771E">
        <w:rPr>
          <w:lang w:eastAsia="en-US"/>
        </w:rPr>
        <w:t>d</w:t>
      </w:r>
      <w:r>
        <w:rPr>
          <w:lang w:eastAsia="en-US"/>
        </w:rPr>
        <w:t xml:space="preserve"> under </w:t>
      </w:r>
      <w:r w:rsidR="000F327A">
        <w:rPr>
          <w:lang w:eastAsia="en-US"/>
        </w:rPr>
        <w:t xml:space="preserve">three </w:t>
      </w:r>
      <w:r>
        <w:rPr>
          <w:lang w:eastAsia="en-US"/>
        </w:rPr>
        <w:t>policy scenario</w:t>
      </w:r>
      <w:r w:rsidR="000F327A">
        <w:rPr>
          <w:lang w:eastAsia="en-US"/>
        </w:rPr>
        <w:t>s</w:t>
      </w:r>
      <w:r>
        <w:rPr>
          <w:lang w:eastAsia="en-US"/>
        </w:rPr>
        <w:t xml:space="preserve"> with greater BEV adoption which causes the cumulative GHG emission </w:t>
      </w:r>
      <w:r w:rsidR="000F327A">
        <w:rPr>
          <w:lang w:eastAsia="en-US"/>
        </w:rPr>
        <w:t xml:space="preserve">from electricity sector </w:t>
      </w:r>
      <w:proofErr w:type="gramStart"/>
      <w:r>
        <w:rPr>
          <w:lang w:eastAsia="en-US"/>
        </w:rPr>
        <w:t>going</w:t>
      </w:r>
      <w:proofErr w:type="gramEnd"/>
      <w:r>
        <w:rPr>
          <w:lang w:eastAsia="en-US"/>
        </w:rPr>
        <w:t xml:space="preserve"> up. The </w:t>
      </w:r>
      <w:r w:rsidR="00CF771E">
        <w:rPr>
          <w:lang w:eastAsia="en-US"/>
        </w:rPr>
        <w:t xml:space="preserve">fuel </w:t>
      </w:r>
      <w:r>
        <w:rPr>
          <w:lang w:eastAsia="en-US"/>
        </w:rPr>
        <w:t xml:space="preserve">sources of the electricity </w:t>
      </w:r>
      <w:r w:rsidR="00CF771E">
        <w:rPr>
          <w:lang w:eastAsia="en-US"/>
        </w:rPr>
        <w:t xml:space="preserve">generated </w:t>
      </w:r>
      <w:r>
        <w:rPr>
          <w:lang w:eastAsia="en-US"/>
        </w:rPr>
        <w:t>remain relatively constant with</w:t>
      </w:r>
      <w:r w:rsidR="00BE354F">
        <w:rPr>
          <w:lang w:eastAsia="en-US"/>
        </w:rPr>
        <w:t xml:space="preserve"> slightly more</w:t>
      </w:r>
      <w:r>
        <w:rPr>
          <w:lang w:eastAsia="en-US"/>
        </w:rPr>
        <w:t xml:space="preserve"> renewable and natural gas</w:t>
      </w:r>
      <w:r w:rsidR="00BE354F">
        <w:rPr>
          <w:lang w:eastAsia="en-US"/>
        </w:rPr>
        <w:t xml:space="preserve">, but less coal and nuclear. Overall intensity </w:t>
      </w:r>
      <w:r w:rsidR="00B00824">
        <w:rPr>
          <w:lang w:eastAsia="en-US"/>
        </w:rPr>
        <w:t>remains</w:t>
      </w:r>
      <w:r w:rsidR="00BE354F">
        <w:rPr>
          <w:lang w:eastAsia="en-US"/>
        </w:rPr>
        <w:t xml:space="preserve"> relatively the same.</w:t>
      </w:r>
      <w:r>
        <w:rPr>
          <w:lang w:eastAsia="en-US"/>
        </w:rPr>
        <w:t xml:space="preserve"> </w:t>
      </w:r>
    </w:p>
    <w:p w14:paraId="26F729C3" w14:textId="3DC1147C" w:rsidR="00D634BC" w:rsidRDefault="00D634BC" w:rsidP="0099742A">
      <w:pPr>
        <w:spacing w:line="240" w:lineRule="auto"/>
        <w:rPr>
          <w:lang w:eastAsia="en-US"/>
        </w:rPr>
      </w:pPr>
      <w:r w:rsidRPr="00E56A39">
        <w:rPr>
          <w:b/>
          <w:bCs/>
        </w:rPr>
        <w:t>Table A</w:t>
      </w:r>
      <w:r>
        <w:rPr>
          <w:b/>
          <w:bCs/>
        </w:rPr>
        <w:t>5</w:t>
      </w:r>
      <w:r w:rsidRPr="00E56A39">
        <w:rPr>
          <w:b/>
          <w:bCs/>
        </w:rPr>
        <w:t xml:space="preserve"> </w:t>
      </w:r>
      <w:r w:rsidRPr="00E56A39">
        <w:rPr>
          <w:b/>
          <w:bCs/>
          <w:lang w:eastAsia="en-US"/>
        </w:rPr>
        <w:t xml:space="preserve">Electricity Generation </w:t>
      </w:r>
      <w:r>
        <w:rPr>
          <w:b/>
          <w:bCs/>
          <w:lang w:eastAsia="en-US"/>
        </w:rPr>
        <w:t>b</w:t>
      </w:r>
      <w:r w:rsidRPr="00E56A39">
        <w:rPr>
          <w:b/>
          <w:bCs/>
          <w:lang w:eastAsia="en-US"/>
        </w:rPr>
        <w:t xml:space="preserve">y Sources </w:t>
      </w:r>
      <w:r>
        <w:rPr>
          <w:b/>
          <w:bCs/>
          <w:lang w:eastAsia="en-US"/>
        </w:rPr>
        <w:t>o</w:t>
      </w:r>
      <w:r w:rsidRPr="00E56A39">
        <w:rPr>
          <w:b/>
          <w:bCs/>
          <w:lang w:eastAsia="en-US"/>
        </w:rPr>
        <w:t xml:space="preserve">f Each Policy Scenarios </w:t>
      </w:r>
      <w:r>
        <w:rPr>
          <w:b/>
          <w:bCs/>
          <w:lang w:eastAsia="en-US"/>
        </w:rPr>
        <w:t>i</w:t>
      </w:r>
      <w:r w:rsidRPr="00E56A39">
        <w:rPr>
          <w:b/>
          <w:bCs/>
          <w:lang w:eastAsia="en-US"/>
        </w:rPr>
        <w:t xml:space="preserve">n </w:t>
      </w:r>
      <w:r>
        <w:rPr>
          <w:b/>
          <w:bCs/>
          <w:lang w:eastAsia="en-US"/>
        </w:rPr>
        <w:t>2030</w:t>
      </w:r>
    </w:p>
    <w:tbl>
      <w:tblPr>
        <w:tblW w:w="9630" w:type="dxa"/>
        <w:tblLayout w:type="fixed"/>
        <w:tblLook w:val="04A0" w:firstRow="1" w:lastRow="0" w:firstColumn="1" w:lastColumn="0" w:noHBand="0" w:noVBand="1"/>
      </w:tblPr>
      <w:tblGrid>
        <w:gridCol w:w="3150"/>
        <w:gridCol w:w="1080"/>
        <w:gridCol w:w="1710"/>
        <w:gridCol w:w="1620"/>
        <w:gridCol w:w="2070"/>
      </w:tblGrid>
      <w:tr w:rsidR="00D634BC" w:rsidRPr="00144194" w14:paraId="5C448974" w14:textId="77777777" w:rsidTr="0030721A">
        <w:trPr>
          <w:trHeight w:val="1295"/>
        </w:trPr>
        <w:tc>
          <w:tcPr>
            <w:tcW w:w="3150" w:type="dxa"/>
            <w:tcBorders>
              <w:top w:val="single" w:sz="4" w:space="0" w:color="auto"/>
              <w:left w:val="nil"/>
              <w:bottom w:val="single" w:sz="4" w:space="0" w:color="auto"/>
              <w:right w:val="nil"/>
            </w:tcBorders>
            <w:shd w:val="clear" w:color="auto" w:fill="auto"/>
            <w:noWrap/>
            <w:vAlign w:val="bottom"/>
            <w:hideMark/>
          </w:tcPr>
          <w:p w14:paraId="392568E7"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 </w:t>
            </w:r>
          </w:p>
        </w:tc>
        <w:tc>
          <w:tcPr>
            <w:tcW w:w="1080" w:type="dxa"/>
            <w:tcBorders>
              <w:top w:val="single" w:sz="4" w:space="0" w:color="auto"/>
              <w:left w:val="nil"/>
              <w:bottom w:val="single" w:sz="4" w:space="0" w:color="auto"/>
              <w:right w:val="nil"/>
            </w:tcBorders>
            <w:shd w:val="clear" w:color="auto" w:fill="auto"/>
            <w:vAlign w:val="center"/>
            <w:hideMark/>
          </w:tcPr>
          <w:p w14:paraId="6B362574" w14:textId="77777777" w:rsidR="00D634BC" w:rsidRPr="00144194" w:rsidRDefault="00D634BC" w:rsidP="0030721A">
            <w:pPr>
              <w:spacing w:after="0" w:line="240" w:lineRule="auto"/>
              <w:ind w:firstLine="0"/>
              <w:jc w:val="center"/>
              <w:rPr>
                <w:rFonts w:eastAsia="Times New Roman"/>
                <w:color w:val="000000"/>
              </w:rPr>
            </w:pPr>
            <w:r w:rsidRPr="00144194">
              <w:rPr>
                <w:rFonts w:eastAsia="Times New Roman"/>
                <w:color w:val="000000"/>
              </w:rPr>
              <w:t>Baseline Scenario</w:t>
            </w:r>
          </w:p>
        </w:tc>
        <w:tc>
          <w:tcPr>
            <w:tcW w:w="1710" w:type="dxa"/>
            <w:tcBorders>
              <w:top w:val="single" w:sz="4" w:space="0" w:color="auto"/>
              <w:left w:val="nil"/>
              <w:bottom w:val="single" w:sz="4" w:space="0" w:color="auto"/>
              <w:right w:val="nil"/>
            </w:tcBorders>
            <w:shd w:val="clear" w:color="auto" w:fill="auto"/>
            <w:vAlign w:val="center"/>
            <w:hideMark/>
          </w:tcPr>
          <w:p w14:paraId="1747D48B" w14:textId="77777777" w:rsidR="00D634BC" w:rsidRPr="00144194" w:rsidRDefault="00D634BC" w:rsidP="0030721A">
            <w:pPr>
              <w:spacing w:after="0" w:line="240" w:lineRule="auto"/>
              <w:ind w:firstLine="0"/>
              <w:jc w:val="center"/>
              <w:rPr>
                <w:rFonts w:eastAsia="Times New Roman"/>
                <w:color w:val="000000"/>
              </w:rPr>
            </w:pPr>
            <w:r w:rsidRPr="00144194">
              <w:rPr>
                <w:rFonts w:eastAsia="Times New Roman"/>
                <w:color w:val="000000"/>
              </w:rPr>
              <w:t xml:space="preserve">Scenario 1: Increased Public Charging </w:t>
            </w:r>
          </w:p>
        </w:tc>
        <w:tc>
          <w:tcPr>
            <w:tcW w:w="1620" w:type="dxa"/>
            <w:tcBorders>
              <w:top w:val="single" w:sz="4" w:space="0" w:color="auto"/>
              <w:left w:val="nil"/>
              <w:bottom w:val="single" w:sz="4" w:space="0" w:color="auto"/>
              <w:right w:val="nil"/>
            </w:tcBorders>
            <w:shd w:val="clear" w:color="auto" w:fill="auto"/>
            <w:vAlign w:val="center"/>
            <w:hideMark/>
          </w:tcPr>
          <w:p w14:paraId="39B1A6A6" w14:textId="77777777" w:rsidR="00D634BC" w:rsidRPr="00144194" w:rsidRDefault="00D634BC" w:rsidP="0030721A">
            <w:pPr>
              <w:spacing w:after="0" w:line="240" w:lineRule="auto"/>
              <w:ind w:firstLine="0"/>
              <w:jc w:val="center"/>
              <w:rPr>
                <w:rFonts w:eastAsia="Times New Roman"/>
                <w:color w:val="000000"/>
              </w:rPr>
            </w:pPr>
            <w:r w:rsidRPr="00144194">
              <w:rPr>
                <w:rFonts w:eastAsia="Times New Roman"/>
                <w:color w:val="000000"/>
              </w:rPr>
              <w:t xml:space="preserve">Scenario 2: </w:t>
            </w:r>
            <w:r w:rsidRPr="002A5B60">
              <w:rPr>
                <w:rFonts w:eastAsia="Times New Roman"/>
                <w:color w:val="000000"/>
              </w:rPr>
              <w:t>Clean Vehicle (</w:t>
            </w:r>
            <w:proofErr w:type="gramStart"/>
            <w:r w:rsidRPr="002A5B60">
              <w:rPr>
                <w:rFonts w:eastAsia="Times New Roman"/>
                <w:color w:val="000000"/>
              </w:rPr>
              <w:t>EV)  Tax</w:t>
            </w:r>
            <w:proofErr w:type="gramEnd"/>
            <w:r w:rsidRPr="002A5B60">
              <w:rPr>
                <w:rFonts w:eastAsia="Times New Roman"/>
                <w:color w:val="000000"/>
              </w:rPr>
              <w:t xml:space="preserve"> Credit</w:t>
            </w:r>
          </w:p>
        </w:tc>
        <w:tc>
          <w:tcPr>
            <w:tcW w:w="2070" w:type="dxa"/>
            <w:tcBorders>
              <w:top w:val="single" w:sz="4" w:space="0" w:color="auto"/>
              <w:left w:val="nil"/>
              <w:bottom w:val="single" w:sz="4" w:space="0" w:color="auto"/>
              <w:right w:val="nil"/>
            </w:tcBorders>
            <w:shd w:val="clear" w:color="auto" w:fill="auto"/>
            <w:vAlign w:val="center"/>
            <w:hideMark/>
          </w:tcPr>
          <w:p w14:paraId="6F52F316" w14:textId="77777777" w:rsidR="00D634BC" w:rsidRPr="00144194" w:rsidRDefault="00D634BC" w:rsidP="0030721A">
            <w:pPr>
              <w:spacing w:after="0" w:line="240" w:lineRule="auto"/>
              <w:ind w:firstLine="0"/>
              <w:jc w:val="center"/>
              <w:rPr>
                <w:rFonts w:eastAsia="Times New Roman"/>
                <w:color w:val="000000"/>
              </w:rPr>
            </w:pPr>
            <w:r w:rsidRPr="00144194">
              <w:rPr>
                <w:rFonts w:eastAsia="Times New Roman"/>
                <w:color w:val="000000"/>
              </w:rPr>
              <w:t xml:space="preserve">Scenario 3: </w:t>
            </w:r>
            <w:r w:rsidRPr="002A5B60">
              <w:rPr>
                <w:rFonts w:eastAsia="Times New Roman"/>
                <w:color w:val="000000"/>
              </w:rPr>
              <w:t>Clean Vehicle (EV) Tax Credit</w:t>
            </w:r>
            <w:r>
              <w:rPr>
                <w:rFonts w:eastAsia="Times New Roman"/>
                <w:color w:val="000000"/>
              </w:rPr>
              <w:t xml:space="preserve"> </w:t>
            </w:r>
            <w:r w:rsidRPr="00144194">
              <w:rPr>
                <w:rFonts w:eastAsia="Times New Roman"/>
                <w:color w:val="000000"/>
              </w:rPr>
              <w:t xml:space="preserve">&amp; Increased Charging </w:t>
            </w:r>
          </w:p>
        </w:tc>
      </w:tr>
      <w:tr w:rsidR="00D634BC" w:rsidRPr="00A9655A" w14:paraId="7EF4B6F4" w14:textId="77777777" w:rsidTr="0030721A">
        <w:trPr>
          <w:trHeight w:val="300"/>
        </w:trPr>
        <w:tc>
          <w:tcPr>
            <w:tcW w:w="3150" w:type="dxa"/>
            <w:tcBorders>
              <w:top w:val="nil"/>
              <w:left w:val="nil"/>
              <w:bottom w:val="nil"/>
              <w:right w:val="nil"/>
            </w:tcBorders>
            <w:shd w:val="clear" w:color="auto" w:fill="auto"/>
            <w:noWrap/>
            <w:vAlign w:val="bottom"/>
            <w:hideMark/>
          </w:tcPr>
          <w:p w14:paraId="4C5A07B9" w14:textId="77777777" w:rsidR="00D634BC" w:rsidRPr="00144194" w:rsidRDefault="00D634BC" w:rsidP="0030721A">
            <w:pPr>
              <w:spacing w:after="0" w:line="240" w:lineRule="auto"/>
              <w:ind w:firstLine="0"/>
              <w:rPr>
                <w:rFonts w:eastAsia="Times New Roman"/>
                <w:color w:val="000000"/>
              </w:rPr>
            </w:pPr>
            <w:r>
              <w:rPr>
                <w:rFonts w:eastAsia="Times New Roman"/>
                <w:color w:val="000000"/>
              </w:rPr>
              <w:t>T</w:t>
            </w:r>
            <w:r w:rsidRPr="00144194">
              <w:rPr>
                <w:rFonts w:eastAsia="Times New Roman"/>
                <w:color w:val="000000"/>
              </w:rPr>
              <w:t xml:space="preserve">otal power </w:t>
            </w:r>
            <w:r w:rsidRPr="00A9655A">
              <w:rPr>
                <w:rFonts w:eastAsia="Times New Roman" w:hint="eastAsia"/>
                <w:color w:val="000000"/>
              </w:rPr>
              <w:t>(</w:t>
            </w:r>
            <w:r w:rsidRPr="00144194">
              <w:rPr>
                <w:rFonts w:eastAsia="Times New Roman"/>
                <w:color w:val="000000"/>
              </w:rPr>
              <w:t>M</w:t>
            </w:r>
            <w:r>
              <w:rPr>
                <w:rFonts w:eastAsia="Times New Roman"/>
                <w:color w:val="000000"/>
              </w:rPr>
              <w:t xml:space="preserve"> </w:t>
            </w:r>
            <w:proofErr w:type="spellStart"/>
            <w:r w:rsidRPr="00144194">
              <w:rPr>
                <w:rFonts w:eastAsia="Times New Roman"/>
                <w:color w:val="000000"/>
              </w:rPr>
              <w:t>mWh</w:t>
            </w:r>
            <w:proofErr w:type="spellEnd"/>
            <w:r>
              <w:rPr>
                <w:rFonts w:eastAsia="Times New Roman"/>
                <w:color w:val="000000"/>
              </w:rPr>
              <w:t>)</w:t>
            </w:r>
          </w:p>
        </w:tc>
        <w:tc>
          <w:tcPr>
            <w:tcW w:w="1080" w:type="dxa"/>
            <w:tcBorders>
              <w:top w:val="nil"/>
              <w:left w:val="nil"/>
              <w:bottom w:val="nil"/>
              <w:right w:val="nil"/>
            </w:tcBorders>
            <w:shd w:val="clear" w:color="auto" w:fill="auto"/>
            <w:noWrap/>
            <w:vAlign w:val="bottom"/>
            <w:hideMark/>
          </w:tcPr>
          <w:p w14:paraId="34E72338"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4,221 </w:t>
            </w:r>
          </w:p>
        </w:tc>
        <w:tc>
          <w:tcPr>
            <w:tcW w:w="1710" w:type="dxa"/>
            <w:tcBorders>
              <w:top w:val="nil"/>
              <w:left w:val="nil"/>
              <w:bottom w:val="nil"/>
              <w:right w:val="nil"/>
            </w:tcBorders>
            <w:shd w:val="clear" w:color="auto" w:fill="auto"/>
            <w:noWrap/>
            <w:vAlign w:val="bottom"/>
            <w:hideMark/>
          </w:tcPr>
          <w:p w14:paraId="223EDB1C"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4,240 </w:t>
            </w:r>
          </w:p>
        </w:tc>
        <w:tc>
          <w:tcPr>
            <w:tcW w:w="1620" w:type="dxa"/>
            <w:tcBorders>
              <w:top w:val="nil"/>
              <w:left w:val="nil"/>
              <w:bottom w:val="nil"/>
              <w:right w:val="nil"/>
            </w:tcBorders>
            <w:shd w:val="clear" w:color="auto" w:fill="auto"/>
            <w:noWrap/>
            <w:vAlign w:val="bottom"/>
            <w:hideMark/>
          </w:tcPr>
          <w:p w14:paraId="60688AC0"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4,343 </w:t>
            </w:r>
          </w:p>
        </w:tc>
        <w:tc>
          <w:tcPr>
            <w:tcW w:w="2070" w:type="dxa"/>
            <w:tcBorders>
              <w:top w:val="nil"/>
              <w:left w:val="nil"/>
              <w:bottom w:val="nil"/>
              <w:right w:val="nil"/>
            </w:tcBorders>
            <w:shd w:val="clear" w:color="auto" w:fill="auto"/>
            <w:noWrap/>
            <w:vAlign w:val="bottom"/>
            <w:hideMark/>
          </w:tcPr>
          <w:p w14:paraId="259FCFD4"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4,361 </w:t>
            </w:r>
          </w:p>
        </w:tc>
      </w:tr>
      <w:tr w:rsidR="00D634BC" w:rsidRPr="00A9655A" w14:paraId="5018AA55" w14:textId="77777777" w:rsidTr="0030721A">
        <w:trPr>
          <w:trHeight w:val="300"/>
        </w:trPr>
        <w:tc>
          <w:tcPr>
            <w:tcW w:w="3150" w:type="dxa"/>
            <w:tcBorders>
              <w:top w:val="nil"/>
              <w:left w:val="nil"/>
              <w:bottom w:val="nil"/>
              <w:right w:val="nil"/>
            </w:tcBorders>
            <w:shd w:val="clear" w:color="auto" w:fill="auto"/>
            <w:noWrap/>
            <w:vAlign w:val="bottom"/>
            <w:hideMark/>
          </w:tcPr>
          <w:p w14:paraId="0D1B9EA9"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Coal %</w:t>
            </w:r>
          </w:p>
        </w:tc>
        <w:tc>
          <w:tcPr>
            <w:tcW w:w="1080" w:type="dxa"/>
            <w:tcBorders>
              <w:top w:val="nil"/>
              <w:left w:val="nil"/>
              <w:bottom w:val="nil"/>
              <w:right w:val="nil"/>
            </w:tcBorders>
            <w:shd w:val="clear" w:color="auto" w:fill="auto"/>
            <w:noWrap/>
            <w:vAlign w:val="bottom"/>
            <w:hideMark/>
          </w:tcPr>
          <w:p w14:paraId="77A28226"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26%</w:t>
            </w:r>
          </w:p>
        </w:tc>
        <w:tc>
          <w:tcPr>
            <w:tcW w:w="1710" w:type="dxa"/>
            <w:tcBorders>
              <w:top w:val="nil"/>
              <w:left w:val="nil"/>
              <w:bottom w:val="nil"/>
              <w:right w:val="nil"/>
            </w:tcBorders>
            <w:shd w:val="clear" w:color="auto" w:fill="auto"/>
            <w:noWrap/>
            <w:vAlign w:val="bottom"/>
            <w:hideMark/>
          </w:tcPr>
          <w:p w14:paraId="3067D3F5"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26%</w:t>
            </w:r>
          </w:p>
        </w:tc>
        <w:tc>
          <w:tcPr>
            <w:tcW w:w="1620" w:type="dxa"/>
            <w:tcBorders>
              <w:top w:val="nil"/>
              <w:left w:val="nil"/>
              <w:bottom w:val="nil"/>
              <w:right w:val="nil"/>
            </w:tcBorders>
            <w:shd w:val="clear" w:color="auto" w:fill="auto"/>
            <w:noWrap/>
            <w:vAlign w:val="bottom"/>
            <w:hideMark/>
          </w:tcPr>
          <w:p w14:paraId="1A3B2411"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26%</w:t>
            </w:r>
          </w:p>
        </w:tc>
        <w:tc>
          <w:tcPr>
            <w:tcW w:w="2070" w:type="dxa"/>
            <w:tcBorders>
              <w:top w:val="nil"/>
              <w:left w:val="nil"/>
              <w:bottom w:val="nil"/>
              <w:right w:val="nil"/>
            </w:tcBorders>
            <w:shd w:val="clear" w:color="auto" w:fill="auto"/>
            <w:noWrap/>
            <w:vAlign w:val="bottom"/>
            <w:hideMark/>
          </w:tcPr>
          <w:p w14:paraId="69E34D48"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26%</w:t>
            </w:r>
          </w:p>
        </w:tc>
      </w:tr>
      <w:tr w:rsidR="00D634BC" w:rsidRPr="00A9655A" w14:paraId="56B228A4" w14:textId="77777777" w:rsidTr="0030721A">
        <w:trPr>
          <w:trHeight w:val="300"/>
        </w:trPr>
        <w:tc>
          <w:tcPr>
            <w:tcW w:w="3150" w:type="dxa"/>
            <w:tcBorders>
              <w:top w:val="nil"/>
              <w:left w:val="nil"/>
              <w:bottom w:val="nil"/>
              <w:right w:val="nil"/>
            </w:tcBorders>
            <w:shd w:val="clear" w:color="auto" w:fill="auto"/>
            <w:noWrap/>
            <w:vAlign w:val="bottom"/>
            <w:hideMark/>
          </w:tcPr>
          <w:p w14:paraId="5D4B5D49"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Natural Gas %</w:t>
            </w:r>
          </w:p>
        </w:tc>
        <w:tc>
          <w:tcPr>
            <w:tcW w:w="1080" w:type="dxa"/>
            <w:tcBorders>
              <w:top w:val="nil"/>
              <w:left w:val="nil"/>
              <w:bottom w:val="nil"/>
              <w:right w:val="nil"/>
            </w:tcBorders>
            <w:shd w:val="clear" w:color="auto" w:fill="auto"/>
            <w:noWrap/>
            <w:vAlign w:val="bottom"/>
            <w:hideMark/>
          </w:tcPr>
          <w:p w14:paraId="2F46B4A1"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31%</w:t>
            </w:r>
          </w:p>
        </w:tc>
        <w:tc>
          <w:tcPr>
            <w:tcW w:w="1710" w:type="dxa"/>
            <w:tcBorders>
              <w:top w:val="nil"/>
              <w:left w:val="nil"/>
              <w:bottom w:val="nil"/>
              <w:right w:val="nil"/>
            </w:tcBorders>
            <w:shd w:val="clear" w:color="auto" w:fill="auto"/>
            <w:noWrap/>
            <w:vAlign w:val="bottom"/>
            <w:hideMark/>
          </w:tcPr>
          <w:p w14:paraId="468C48AC"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32%</w:t>
            </w:r>
          </w:p>
        </w:tc>
        <w:tc>
          <w:tcPr>
            <w:tcW w:w="1620" w:type="dxa"/>
            <w:tcBorders>
              <w:top w:val="nil"/>
              <w:left w:val="nil"/>
              <w:bottom w:val="nil"/>
              <w:right w:val="nil"/>
            </w:tcBorders>
            <w:shd w:val="clear" w:color="auto" w:fill="auto"/>
            <w:noWrap/>
            <w:vAlign w:val="bottom"/>
            <w:hideMark/>
          </w:tcPr>
          <w:p w14:paraId="0ECCD391"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33%</w:t>
            </w:r>
          </w:p>
        </w:tc>
        <w:tc>
          <w:tcPr>
            <w:tcW w:w="2070" w:type="dxa"/>
            <w:tcBorders>
              <w:top w:val="nil"/>
              <w:left w:val="nil"/>
              <w:bottom w:val="nil"/>
              <w:right w:val="nil"/>
            </w:tcBorders>
            <w:shd w:val="clear" w:color="auto" w:fill="auto"/>
            <w:noWrap/>
            <w:vAlign w:val="bottom"/>
            <w:hideMark/>
          </w:tcPr>
          <w:p w14:paraId="62DD166C"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33%</w:t>
            </w:r>
          </w:p>
        </w:tc>
      </w:tr>
      <w:tr w:rsidR="00D634BC" w:rsidRPr="00A9655A" w14:paraId="7E246E4B" w14:textId="77777777" w:rsidTr="0030721A">
        <w:trPr>
          <w:trHeight w:val="300"/>
        </w:trPr>
        <w:tc>
          <w:tcPr>
            <w:tcW w:w="3150" w:type="dxa"/>
            <w:tcBorders>
              <w:top w:val="nil"/>
              <w:left w:val="nil"/>
              <w:bottom w:val="nil"/>
              <w:right w:val="nil"/>
            </w:tcBorders>
            <w:shd w:val="clear" w:color="auto" w:fill="auto"/>
            <w:noWrap/>
            <w:vAlign w:val="bottom"/>
            <w:hideMark/>
          </w:tcPr>
          <w:p w14:paraId="0BCDFBA4"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Nuclear %</w:t>
            </w:r>
          </w:p>
        </w:tc>
        <w:tc>
          <w:tcPr>
            <w:tcW w:w="1080" w:type="dxa"/>
            <w:tcBorders>
              <w:top w:val="nil"/>
              <w:left w:val="nil"/>
              <w:bottom w:val="nil"/>
              <w:right w:val="nil"/>
            </w:tcBorders>
            <w:shd w:val="clear" w:color="auto" w:fill="auto"/>
            <w:noWrap/>
            <w:vAlign w:val="bottom"/>
            <w:hideMark/>
          </w:tcPr>
          <w:p w14:paraId="783B70CE"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18%</w:t>
            </w:r>
          </w:p>
        </w:tc>
        <w:tc>
          <w:tcPr>
            <w:tcW w:w="1710" w:type="dxa"/>
            <w:tcBorders>
              <w:top w:val="nil"/>
              <w:left w:val="nil"/>
              <w:bottom w:val="nil"/>
              <w:right w:val="nil"/>
            </w:tcBorders>
            <w:shd w:val="clear" w:color="auto" w:fill="auto"/>
            <w:noWrap/>
            <w:vAlign w:val="bottom"/>
            <w:hideMark/>
          </w:tcPr>
          <w:p w14:paraId="1B6391D0"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18%</w:t>
            </w:r>
          </w:p>
        </w:tc>
        <w:tc>
          <w:tcPr>
            <w:tcW w:w="1620" w:type="dxa"/>
            <w:tcBorders>
              <w:top w:val="nil"/>
              <w:left w:val="nil"/>
              <w:bottom w:val="nil"/>
              <w:right w:val="nil"/>
            </w:tcBorders>
            <w:shd w:val="clear" w:color="auto" w:fill="auto"/>
            <w:noWrap/>
            <w:vAlign w:val="bottom"/>
            <w:hideMark/>
          </w:tcPr>
          <w:p w14:paraId="55DD9F85"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18%</w:t>
            </w:r>
          </w:p>
        </w:tc>
        <w:tc>
          <w:tcPr>
            <w:tcW w:w="2070" w:type="dxa"/>
            <w:tcBorders>
              <w:top w:val="nil"/>
              <w:left w:val="nil"/>
              <w:bottom w:val="nil"/>
              <w:right w:val="nil"/>
            </w:tcBorders>
            <w:shd w:val="clear" w:color="auto" w:fill="auto"/>
            <w:noWrap/>
            <w:vAlign w:val="bottom"/>
            <w:hideMark/>
          </w:tcPr>
          <w:p w14:paraId="323D8BAE"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17%</w:t>
            </w:r>
          </w:p>
        </w:tc>
      </w:tr>
      <w:tr w:rsidR="00D634BC" w:rsidRPr="00A9655A" w14:paraId="005BAA27" w14:textId="77777777" w:rsidTr="0030721A">
        <w:trPr>
          <w:trHeight w:val="300"/>
        </w:trPr>
        <w:tc>
          <w:tcPr>
            <w:tcW w:w="3150" w:type="dxa"/>
            <w:tcBorders>
              <w:top w:val="nil"/>
              <w:left w:val="nil"/>
              <w:bottom w:val="nil"/>
              <w:right w:val="nil"/>
            </w:tcBorders>
            <w:shd w:val="clear" w:color="auto" w:fill="auto"/>
            <w:noWrap/>
            <w:vAlign w:val="bottom"/>
            <w:hideMark/>
          </w:tcPr>
          <w:p w14:paraId="56A83C83"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Renewable %</w:t>
            </w:r>
          </w:p>
        </w:tc>
        <w:tc>
          <w:tcPr>
            <w:tcW w:w="1080" w:type="dxa"/>
            <w:tcBorders>
              <w:top w:val="nil"/>
              <w:left w:val="nil"/>
              <w:bottom w:val="nil"/>
              <w:right w:val="nil"/>
            </w:tcBorders>
            <w:shd w:val="clear" w:color="auto" w:fill="auto"/>
            <w:noWrap/>
            <w:vAlign w:val="bottom"/>
            <w:hideMark/>
          </w:tcPr>
          <w:p w14:paraId="0F2664CE"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24%</w:t>
            </w:r>
          </w:p>
        </w:tc>
        <w:tc>
          <w:tcPr>
            <w:tcW w:w="1710" w:type="dxa"/>
            <w:tcBorders>
              <w:top w:val="nil"/>
              <w:left w:val="nil"/>
              <w:bottom w:val="nil"/>
              <w:right w:val="nil"/>
            </w:tcBorders>
            <w:shd w:val="clear" w:color="auto" w:fill="auto"/>
            <w:noWrap/>
            <w:vAlign w:val="bottom"/>
            <w:hideMark/>
          </w:tcPr>
          <w:p w14:paraId="4EF5E5F0"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24%</w:t>
            </w:r>
          </w:p>
        </w:tc>
        <w:tc>
          <w:tcPr>
            <w:tcW w:w="1620" w:type="dxa"/>
            <w:tcBorders>
              <w:top w:val="nil"/>
              <w:left w:val="nil"/>
              <w:bottom w:val="nil"/>
              <w:right w:val="nil"/>
            </w:tcBorders>
            <w:shd w:val="clear" w:color="auto" w:fill="auto"/>
            <w:noWrap/>
            <w:vAlign w:val="bottom"/>
            <w:hideMark/>
          </w:tcPr>
          <w:p w14:paraId="4A82FD61"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24%</w:t>
            </w:r>
          </w:p>
        </w:tc>
        <w:tc>
          <w:tcPr>
            <w:tcW w:w="2070" w:type="dxa"/>
            <w:tcBorders>
              <w:top w:val="nil"/>
              <w:left w:val="nil"/>
              <w:bottom w:val="nil"/>
              <w:right w:val="nil"/>
            </w:tcBorders>
            <w:shd w:val="clear" w:color="auto" w:fill="auto"/>
            <w:noWrap/>
            <w:vAlign w:val="bottom"/>
            <w:hideMark/>
          </w:tcPr>
          <w:p w14:paraId="1E3F603C"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24%</w:t>
            </w:r>
          </w:p>
        </w:tc>
      </w:tr>
      <w:tr w:rsidR="00D634BC" w:rsidRPr="00A9655A" w14:paraId="7450724A" w14:textId="77777777" w:rsidTr="0030721A">
        <w:trPr>
          <w:trHeight w:val="300"/>
        </w:trPr>
        <w:tc>
          <w:tcPr>
            <w:tcW w:w="3150" w:type="dxa"/>
            <w:tcBorders>
              <w:top w:val="nil"/>
              <w:left w:val="nil"/>
              <w:right w:val="nil"/>
            </w:tcBorders>
            <w:shd w:val="clear" w:color="auto" w:fill="auto"/>
            <w:noWrap/>
            <w:vAlign w:val="bottom"/>
            <w:hideMark/>
          </w:tcPr>
          <w:p w14:paraId="579B512A" w14:textId="77777777" w:rsidR="00D634BC" w:rsidRPr="00144194" w:rsidRDefault="00D634BC" w:rsidP="0030721A">
            <w:pPr>
              <w:spacing w:after="0" w:line="240" w:lineRule="auto"/>
              <w:ind w:firstLine="0"/>
              <w:rPr>
                <w:rFonts w:eastAsia="Times New Roman"/>
                <w:color w:val="000000"/>
              </w:rPr>
            </w:pPr>
            <w:r w:rsidRPr="00144194">
              <w:rPr>
                <w:rFonts w:eastAsia="Times New Roman"/>
                <w:color w:val="000000"/>
              </w:rPr>
              <w:t>Average electricity price ($/</w:t>
            </w:r>
            <w:proofErr w:type="spellStart"/>
            <w:r>
              <w:rPr>
                <w:rFonts w:eastAsia="Times New Roman"/>
                <w:color w:val="000000"/>
              </w:rPr>
              <w:t>mWh</w:t>
            </w:r>
            <w:proofErr w:type="spellEnd"/>
            <w:r w:rsidRPr="00144194">
              <w:rPr>
                <w:rFonts w:eastAsia="Times New Roman"/>
                <w:color w:val="000000"/>
              </w:rPr>
              <w:t>)</w:t>
            </w:r>
          </w:p>
        </w:tc>
        <w:tc>
          <w:tcPr>
            <w:tcW w:w="1080" w:type="dxa"/>
            <w:tcBorders>
              <w:top w:val="nil"/>
              <w:left w:val="nil"/>
              <w:right w:val="nil"/>
            </w:tcBorders>
            <w:shd w:val="clear" w:color="auto" w:fill="auto"/>
            <w:noWrap/>
            <w:vAlign w:val="bottom"/>
            <w:hideMark/>
          </w:tcPr>
          <w:p w14:paraId="7C859E88"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106 </w:t>
            </w:r>
          </w:p>
        </w:tc>
        <w:tc>
          <w:tcPr>
            <w:tcW w:w="1710" w:type="dxa"/>
            <w:tcBorders>
              <w:top w:val="nil"/>
              <w:left w:val="nil"/>
              <w:right w:val="nil"/>
            </w:tcBorders>
            <w:shd w:val="clear" w:color="auto" w:fill="auto"/>
            <w:noWrap/>
            <w:vAlign w:val="bottom"/>
            <w:hideMark/>
          </w:tcPr>
          <w:p w14:paraId="2D1FD3AC"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107 </w:t>
            </w:r>
          </w:p>
        </w:tc>
        <w:tc>
          <w:tcPr>
            <w:tcW w:w="1620" w:type="dxa"/>
            <w:tcBorders>
              <w:top w:val="nil"/>
              <w:left w:val="nil"/>
              <w:right w:val="nil"/>
            </w:tcBorders>
            <w:shd w:val="clear" w:color="auto" w:fill="auto"/>
            <w:noWrap/>
            <w:vAlign w:val="bottom"/>
            <w:hideMark/>
          </w:tcPr>
          <w:p w14:paraId="39084886"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110 </w:t>
            </w:r>
          </w:p>
        </w:tc>
        <w:tc>
          <w:tcPr>
            <w:tcW w:w="2070" w:type="dxa"/>
            <w:tcBorders>
              <w:top w:val="nil"/>
              <w:left w:val="nil"/>
              <w:right w:val="nil"/>
            </w:tcBorders>
            <w:shd w:val="clear" w:color="auto" w:fill="auto"/>
            <w:noWrap/>
            <w:vAlign w:val="bottom"/>
            <w:hideMark/>
          </w:tcPr>
          <w:p w14:paraId="0DD30AC2" w14:textId="77777777" w:rsidR="00D634BC" w:rsidRPr="00CD00ED"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110 </w:t>
            </w:r>
          </w:p>
        </w:tc>
      </w:tr>
      <w:tr w:rsidR="00D634BC" w:rsidRPr="00A9655A" w14:paraId="27170464" w14:textId="77777777" w:rsidTr="0030721A">
        <w:trPr>
          <w:trHeight w:val="300"/>
        </w:trPr>
        <w:tc>
          <w:tcPr>
            <w:tcW w:w="3150" w:type="dxa"/>
            <w:tcBorders>
              <w:top w:val="nil"/>
              <w:left w:val="nil"/>
              <w:bottom w:val="single" w:sz="4" w:space="0" w:color="auto"/>
              <w:right w:val="nil"/>
            </w:tcBorders>
            <w:shd w:val="clear" w:color="auto" w:fill="auto"/>
            <w:noWrap/>
            <w:vAlign w:val="bottom"/>
            <w:hideMark/>
          </w:tcPr>
          <w:p w14:paraId="4D3D7B77" w14:textId="77777777" w:rsidR="00D634BC" w:rsidRPr="00144194" w:rsidRDefault="00D634BC" w:rsidP="0030721A">
            <w:pPr>
              <w:spacing w:after="0" w:line="240" w:lineRule="auto"/>
              <w:ind w:firstLine="0"/>
              <w:rPr>
                <w:rFonts w:eastAsia="Times New Roman"/>
                <w:color w:val="000000"/>
              </w:rPr>
            </w:pPr>
            <w:r>
              <w:rPr>
                <w:rFonts w:eastAsia="Times New Roman"/>
                <w:color w:val="000000"/>
              </w:rPr>
              <w:t xml:space="preserve">Cumulative </w:t>
            </w:r>
            <w:r w:rsidRPr="00144194">
              <w:rPr>
                <w:rFonts w:eastAsia="Times New Roman"/>
                <w:color w:val="000000"/>
              </w:rPr>
              <w:t>GHG emission from electricity sector (B</w:t>
            </w:r>
            <w:r>
              <w:rPr>
                <w:rFonts w:eastAsia="Times New Roman"/>
                <w:color w:val="000000"/>
              </w:rPr>
              <w:t xml:space="preserve"> </w:t>
            </w:r>
            <w:r w:rsidRPr="00144194">
              <w:rPr>
                <w:rFonts w:eastAsia="Times New Roman"/>
                <w:color w:val="000000"/>
              </w:rPr>
              <w:t>M</w:t>
            </w:r>
            <w:r>
              <w:rPr>
                <w:rFonts w:eastAsia="Times New Roman"/>
                <w:color w:val="000000"/>
              </w:rPr>
              <w:t>g</w:t>
            </w:r>
            <w:r w:rsidRPr="00144194">
              <w:rPr>
                <w:rFonts w:eastAsia="Times New Roman"/>
                <w:color w:val="000000"/>
              </w:rPr>
              <w:t xml:space="preserve"> CO</w:t>
            </w:r>
            <w:r w:rsidRPr="0050618F">
              <w:rPr>
                <w:rFonts w:eastAsia="Times New Roman"/>
                <w:color w:val="000000"/>
                <w:vertAlign w:val="subscript"/>
              </w:rPr>
              <w:t>2</w:t>
            </w:r>
            <w:r w:rsidRPr="00144194">
              <w:rPr>
                <w:rFonts w:eastAsia="Times New Roman"/>
                <w:color w:val="000000"/>
              </w:rPr>
              <w:t>)</w:t>
            </w:r>
          </w:p>
        </w:tc>
        <w:tc>
          <w:tcPr>
            <w:tcW w:w="1080" w:type="dxa"/>
            <w:tcBorders>
              <w:top w:val="nil"/>
              <w:left w:val="nil"/>
              <w:bottom w:val="single" w:sz="4" w:space="0" w:color="auto"/>
              <w:right w:val="nil"/>
            </w:tcBorders>
            <w:shd w:val="clear" w:color="auto" w:fill="auto"/>
            <w:noWrap/>
            <w:vAlign w:val="bottom"/>
            <w:hideMark/>
          </w:tcPr>
          <w:p w14:paraId="4AB6645D" w14:textId="77777777" w:rsidR="00D634BC" w:rsidRPr="00144194"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18.5 </w:t>
            </w:r>
          </w:p>
        </w:tc>
        <w:tc>
          <w:tcPr>
            <w:tcW w:w="1710" w:type="dxa"/>
            <w:tcBorders>
              <w:top w:val="nil"/>
              <w:left w:val="nil"/>
              <w:bottom w:val="single" w:sz="4" w:space="0" w:color="auto"/>
              <w:right w:val="nil"/>
            </w:tcBorders>
            <w:shd w:val="clear" w:color="auto" w:fill="auto"/>
            <w:noWrap/>
            <w:vAlign w:val="bottom"/>
            <w:hideMark/>
          </w:tcPr>
          <w:p w14:paraId="52351F59" w14:textId="77777777" w:rsidR="00D634BC" w:rsidRPr="00144194"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18.7 </w:t>
            </w:r>
          </w:p>
        </w:tc>
        <w:tc>
          <w:tcPr>
            <w:tcW w:w="1620" w:type="dxa"/>
            <w:tcBorders>
              <w:top w:val="nil"/>
              <w:left w:val="nil"/>
              <w:bottom w:val="single" w:sz="4" w:space="0" w:color="auto"/>
              <w:right w:val="nil"/>
            </w:tcBorders>
            <w:shd w:val="clear" w:color="auto" w:fill="auto"/>
            <w:noWrap/>
            <w:vAlign w:val="bottom"/>
            <w:hideMark/>
          </w:tcPr>
          <w:p w14:paraId="5B0071D2" w14:textId="77777777" w:rsidR="00D634BC" w:rsidRPr="00144194"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18.8 </w:t>
            </w:r>
          </w:p>
        </w:tc>
        <w:tc>
          <w:tcPr>
            <w:tcW w:w="2070" w:type="dxa"/>
            <w:tcBorders>
              <w:top w:val="nil"/>
              <w:left w:val="nil"/>
              <w:bottom w:val="single" w:sz="4" w:space="0" w:color="auto"/>
              <w:right w:val="nil"/>
            </w:tcBorders>
            <w:shd w:val="clear" w:color="auto" w:fill="auto"/>
            <w:noWrap/>
            <w:vAlign w:val="bottom"/>
            <w:hideMark/>
          </w:tcPr>
          <w:p w14:paraId="3B1B72FC" w14:textId="77777777" w:rsidR="00D634BC" w:rsidRPr="00144194" w:rsidRDefault="00D634BC" w:rsidP="0030721A">
            <w:pPr>
              <w:spacing w:after="0" w:line="240" w:lineRule="auto"/>
              <w:ind w:firstLine="0"/>
              <w:jc w:val="right"/>
              <w:rPr>
                <w:rFonts w:eastAsia="Times New Roman"/>
                <w:color w:val="000000"/>
              </w:rPr>
            </w:pPr>
            <w:r w:rsidRPr="00A9655A">
              <w:rPr>
                <w:rFonts w:eastAsia="Times New Roman"/>
                <w:color w:val="000000"/>
              </w:rPr>
              <w:t xml:space="preserve">                          19.1 </w:t>
            </w:r>
          </w:p>
        </w:tc>
      </w:tr>
    </w:tbl>
    <w:p w14:paraId="306BF868" w14:textId="77777777" w:rsidR="00D634BC" w:rsidRDefault="00D634BC" w:rsidP="0099742A">
      <w:pPr>
        <w:spacing w:line="240" w:lineRule="auto"/>
        <w:rPr>
          <w:lang w:eastAsia="en-US"/>
        </w:rPr>
      </w:pPr>
    </w:p>
    <w:p w14:paraId="248281FA" w14:textId="0E6E844F" w:rsidR="005B7A40" w:rsidRDefault="00E90A83" w:rsidP="0099742A">
      <w:pPr>
        <w:spacing w:line="240" w:lineRule="auto"/>
        <w:rPr>
          <w:lang w:eastAsia="en-US"/>
        </w:rPr>
      </w:pPr>
      <w:r>
        <w:rPr>
          <w:lang w:eastAsia="en-US"/>
        </w:rPr>
        <w:t>W</w:t>
      </w:r>
      <w:r w:rsidR="00CD203E">
        <w:rPr>
          <w:lang w:eastAsia="en-US"/>
        </w:rPr>
        <w:t xml:space="preserve">e tested the sensitivity of </w:t>
      </w:r>
      <w:r>
        <w:rPr>
          <w:lang w:eastAsia="en-US"/>
        </w:rPr>
        <w:t>an aggre</w:t>
      </w:r>
      <w:r w:rsidR="004C327C">
        <w:rPr>
          <w:lang w:eastAsia="en-US"/>
        </w:rPr>
        <w:t>s</w:t>
      </w:r>
      <w:r>
        <w:rPr>
          <w:lang w:eastAsia="en-US"/>
        </w:rPr>
        <w:t>sive</w:t>
      </w:r>
      <w:r w:rsidR="00CD203E">
        <w:rPr>
          <w:lang w:eastAsia="en-US"/>
        </w:rPr>
        <w:t xml:space="preserve"> Renewable Portfolio Standard policy and cheaper solar and wind energy on the results of the paper</w:t>
      </w:r>
      <w:r>
        <w:rPr>
          <w:lang w:eastAsia="en-US"/>
        </w:rPr>
        <w:t xml:space="preserve"> by targeting at 40% of renewable energy in 2030 projected by AEO</w:t>
      </w:r>
      <w:r w:rsidR="00CD203E">
        <w:rPr>
          <w:lang w:eastAsia="en-US"/>
        </w:rPr>
        <w:t>.</w:t>
      </w:r>
      <w:r w:rsidR="00973E1B">
        <w:rPr>
          <w:lang w:eastAsia="en-US"/>
        </w:rPr>
        <w:t xml:space="preserve"> </w:t>
      </w:r>
      <w:r w:rsidR="00F40C0C">
        <w:rPr>
          <w:lang w:eastAsia="en-US"/>
        </w:rPr>
        <w:t xml:space="preserve">The total mix of solar and wind mix of benchmark scenario discussed in the main paper and the aggressive RPS scenario falls in the range from 21% to 37% that are observed or reported in EIA or AEO (Table A6). </w:t>
      </w:r>
      <w:r w:rsidR="00973E1B">
        <w:rPr>
          <w:lang w:eastAsia="en-US"/>
        </w:rPr>
        <w:t xml:space="preserve">The forecasted levelized cost of electricity of solar and wind are </w:t>
      </w:r>
      <w:r w:rsidR="0025327E">
        <w:rPr>
          <w:lang w:eastAsia="en-US"/>
        </w:rPr>
        <w:t xml:space="preserve">calibrated to align the projections </w:t>
      </w:r>
      <w:r w:rsidR="004C327C">
        <w:rPr>
          <w:lang w:eastAsia="en-US"/>
        </w:rPr>
        <w:t xml:space="preserve">of solar and wind energy </w:t>
      </w:r>
      <w:r w:rsidR="00973E1B">
        <w:rPr>
          <w:lang w:eastAsia="en-US"/>
        </w:rPr>
        <w:t xml:space="preserve">from EIA </w:t>
      </w:r>
      <w:r w:rsidR="004C327C">
        <w:rPr>
          <w:lang w:eastAsia="en-US"/>
        </w:rPr>
        <w:t xml:space="preserve">till 2030 </w:t>
      </w:r>
      <w:r w:rsidR="00973E1B">
        <w:rPr>
          <w:lang w:eastAsia="en-US"/>
        </w:rPr>
        <w:fldChar w:fldCharType="begin" w:fldLock="1"/>
      </w:r>
      <w:r w:rsidR="00973E1B">
        <w:rPr>
          <w:lang w:eastAsia="en-US"/>
        </w:rPr>
        <w:instrText>ADDIN CSL_CITATION {"citationItems":[{"id":"ITEM-1","itemData":{"author":[{"dropping-particle":"","family":"US Energy Information Administration","given":"","non-dropping-particle":"","parse-names":false,"suffix":""}],"id":"ITEM-1","issued":{"date-parts":[["2022"]]},"title":"Levelized Costs of New Generation Resources in the Annual Energy Outlook 2022","type":"report"},"uris":["http://www.mendeley.com/documents/?uuid=88132379-1333-4e16-be7f-03a7293411d9"]}],"mendeley":{"formattedCitation":"(US Energy Information Administration 2022)","plainTextFormattedCitation":"(US Energy Information Administration 2022)"},"properties":{"noteIndex":0},"schema":"https://github.com/citation-style-language/schema/raw/master/csl-citation.json"}</w:instrText>
      </w:r>
      <w:r w:rsidR="00973E1B">
        <w:rPr>
          <w:lang w:eastAsia="en-US"/>
        </w:rPr>
        <w:fldChar w:fldCharType="separate"/>
      </w:r>
      <w:r w:rsidR="00973E1B" w:rsidRPr="00973E1B">
        <w:rPr>
          <w:noProof/>
          <w:lang w:eastAsia="en-US"/>
        </w:rPr>
        <w:t>(US Energy Information Administration 2022)</w:t>
      </w:r>
      <w:r w:rsidR="00973E1B">
        <w:rPr>
          <w:lang w:eastAsia="en-US"/>
        </w:rPr>
        <w:fldChar w:fldCharType="end"/>
      </w:r>
      <w:r w:rsidR="00973E1B">
        <w:rPr>
          <w:lang w:eastAsia="en-US"/>
        </w:rPr>
        <w:t>.</w:t>
      </w:r>
      <w:r w:rsidR="004C327C">
        <w:rPr>
          <w:lang w:eastAsia="en-US"/>
        </w:rPr>
        <w:t xml:space="preserve"> </w:t>
      </w:r>
      <w:r w:rsidR="00F40C0C">
        <w:rPr>
          <w:lang w:eastAsia="en-US"/>
        </w:rPr>
        <w:t xml:space="preserve">In 2030, the total share of renewable energy is forecasted to be 39% close to the AEO projections. </w:t>
      </w:r>
    </w:p>
    <w:p w14:paraId="0240A50F" w14:textId="77777777" w:rsidR="00930D98" w:rsidRDefault="00930D98">
      <w:pPr>
        <w:spacing w:line="259" w:lineRule="auto"/>
        <w:ind w:firstLine="0"/>
        <w:rPr>
          <w:b/>
          <w:bCs/>
        </w:rPr>
      </w:pPr>
      <w:r>
        <w:rPr>
          <w:b/>
          <w:bCs/>
        </w:rPr>
        <w:br w:type="page"/>
      </w:r>
    </w:p>
    <w:p w14:paraId="1CCD21DE" w14:textId="6FA8633F" w:rsidR="009738F4" w:rsidRDefault="009738F4" w:rsidP="00A4360A">
      <w:pPr>
        <w:spacing w:after="0" w:line="240" w:lineRule="auto"/>
        <w:ind w:firstLine="0"/>
        <w:rPr>
          <w:b/>
          <w:bCs/>
          <w:lang w:eastAsia="en-US"/>
        </w:rPr>
      </w:pPr>
      <w:r w:rsidRPr="00E56A39">
        <w:rPr>
          <w:b/>
          <w:bCs/>
        </w:rPr>
        <w:lastRenderedPageBreak/>
        <w:t xml:space="preserve">Table </w:t>
      </w:r>
      <w:r w:rsidR="00D837E6" w:rsidRPr="00E56A39">
        <w:rPr>
          <w:b/>
          <w:bCs/>
        </w:rPr>
        <w:t>A</w:t>
      </w:r>
      <w:r w:rsidR="00D634BC">
        <w:rPr>
          <w:b/>
          <w:bCs/>
        </w:rPr>
        <w:t>6</w:t>
      </w:r>
      <w:r w:rsidR="00D837E6" w:rsidRPr="00E56A39">
        <w:rPr>
          <w:b/>
          <w:bCs/>
        </w:rPr>
        <w:t xml:space="preserve"> </w:t>
      </w:r>
      <w:r w:rsidR="00E56A39" w:rsidRPr="00E56A39">
        <w:rPr>
          <w:b/>
          <w:bCs/>
          <w:lang w:eastAsia="en-US"/>
        </w:rPr>
        <w:t xml:space="preserve">Electricity Generation </w:t>
      </w:r>
      <w:r w:rsidR="00E56A39">
        <w:rPr>
          <w:b/>
          <w:bCs/>
          <w:lang w:eastAsia="en-US"/>
        </w:rPr>
        <w:t>b</w:t>
      </w:r>
      <w:r w:rsidR="00E56A39" w:rsidRPr="00E56A39">
        <w:rPr>
          <w:b/>
          <w:bCs/>
          <w:lang w:eastAsia="en-US"/>
        </w:rPr>
        <w:t>y Source</w:t>
      </w:r>
      <w:r w:rsidR="00A4360A">
        <w:rPr>
          <w:b/>
          <w:bCs/>
          <w:lang w:eastAsia="en-US"/>
        </w:rPr>
        <w:t xml:space="preserve"> in</w:t>
      </w:r>
      <w:r w:rsidR="002F4051">
        <w:rPr>
          <w:b/>
          <w:bCs/>
          <w:lang w:eastAsia="en-US"/>
        </w:rPr>
        <w:t xml:space="preserve"> 2030</w:t>
      </w:r>
      <w:r w:rsidR="00D634BC">
        <w:rPr>
          <w:b/>
          <w:bCs/>
          <w:lang w:eastAsia="en-US"/>
        </w:rPr>
        <w:t xml:space="preserve"> under </w:t>
      </w:r>
      <w:r w:rsidR="00A4360A">
        <w:rPr>
          <w:b/>
          <w:bCs/>
          <w:lang w:eastAsia="en-US"/>
        </w:rPr>
        <w:t xml:space="preserve">Benchmark and </w:t>
      </w:r>
      <w:r w:rsidR="00E90A83">
        <w:rPr>
          <w:b/>
          <w:bCs/>
          <w:lang w:eastAsia="en-US"/>
        </w:rPr>
        <w:t>A</w:t>
      </w:r>
      <w:r w:rsidR="005B7A40">
        <w:rPr>
          <w:b/>
          <w:bCs/>
          <w:lang w:eastAsia="en-US"/>
        </w:rPr>
        <w:t xml:space="preserve">ggressive RPS </w:t>
      </w:r>
      <w:r w:rsidR="00AD4923">
        <w:rPr>
          <w:b/>
          <w:bCs/>
          <w:lang w:eastAsia="en-US"/>
        </w:rPr>
        <w:t>S</w:t>
      </w:r>
      <w:r w:rsidR="005B7A40">
        <w:rPr>
          <w:b/>
          <w:bCs/>
          <w:lang w:eastAsia="en-US"/>
        </w:rPr>
        <w:t>cenario</w:t>
      </w:r>
      <w:r w:rsidR="00E90A83">
        <w:rPr>
          <w:b/>
          <w:bCs/>
          <w:lang w:eastAsia="en-US"/>
        </w:rPr>
        <w:t xml:space="preserve"> </w:t>
      </w:r>
    </w:p>
    <w:tbl>
      <w:tblPr>
        <w:tblW w:w="11464" w:type="dxa"/>
        <w:tblLook w:val="04A0" w:firstRow="1" w:lastRow="0" w:firstColumn="1" w:lastColumn="0" w:noHBand="0" w:noVBand="1"/>
      </w:tblPr>
      <w:tblGrid>
        <w:gridCol w:w="2160"/>
        <w:gridCol w:w="1231"/>
        <w:gridCol w:w="1539"/>
        <w:gridCol w:w="73"/>
        <w:gridCol w:w="1387"/>
        <w:gridCol w:w="193"/>
        <w:gridCol w:w="1067"/>
        <w:gridCol w:w="545"/>
        <w:gridCol w:w="715"/>
        <w:gridCol w:w="275"/>
        <w:gridCol w:w="1260"/>
        <w:gridCol w:w="1019"/>
      </w:tblGrid>
      <w:tr w:rsidR="00F736B6" w:rsidRPr="006E5B21" w14:paraId="6AB1B451" w14:textId="2D08DB79" w:rsidTr="00F736B6">
        <w:trPr>
          <w:gridAfter w:val="3"/>
          <w:wAfter w:w="2554" w:type="dxa"/>
          <w:trHeight w:val="1304"/>
        </w:trPr>
        <w:tc>
          <w:tcPr>
            <w:tcW w:w="2160" w:type="dxa"/>
            <w:tcBorders>
              <w:top w:val="nil"/>
              <w:left w:val="nil"/>
              <w:bottom w:val="single" w:sz="4" w:space="0" w:color="auto"/>
              <w:right w:val="nil"/>
            </w:tcBorders>
            <w:shd w:val="clear" w:color="auto" w:fill="auto"/>
            <w:noWrap/>
            <w:vAlign w:val="center"/>
            <w:hideMark/>
          </w:tcPr>
          <w:p w14:paraId="0B4617EF" w14:textId="7F2A57C0" w:rsidR="00F736B6" w:rsidRPr="006E5B21" w:rsidRDefault="00F736B6" w:rsidP="00A4360A">
            <w:pPr>
              <w:spacing w:after="0" w:line="240" w:lineRule="auto"/>
              <w:ind w:firstLine="0"/>
              <w:rPr>
                <w:rFonts w:eastAsia="Times New Roman"/>
                <w:color w:val="000000"/>
                <w:sz w:val="22"/>
                <w:szCs w:val="22"/>
              </w:rPr>
            </w:pPr>
          </w:p>
        </w:tc>
        <w:tc>
          <w:tcPr>
            <w:tcW w:w="1231" w:type="dxa"/>
            <w:tcBorders>
              <w:top w:val="nil"/>
              <w:left w:val="nil"/>
              <w:bottom w:val="single" w:sz="4" w:space="0" w:color="auto"/>
              <w:right w:val="nil"/>
            </w:tcBorders>
            <w:shd w:val="clear" w:color="auto" w:fill="auto"/>
            <w:vAlign w:val="center"/>
            <w:hideMark/>
          </w:tcPr>
          <w:p w14:paraId="1B10E8BE" w14:textId="3368B0BE" w:rsidR="00F736B6" w:rsidRPr="006E5B21" w:rsidRDefault="00F736B6" w:rsidP="00F736B6">
            <w:pPr>
              <w:spacing w:after="0" w:line="240" w:lineRule="auto"/>
              <w:ind w:firstLine="0"/>
              <w:jc w:val="center"/>
              <w:rPr>
                <w:rFonts w:eastAsia="Times New Roman"/>
                <w:color w:val="000000"/>
                <w:sz w:val="22"/>
                <w:szCs w:val="22"/>
              </w:rPr>
            </w:pPr>
            <w:r>
              <w:rPr>
                <w:rFonts w:eastAsia="Times New Roman"/>
                <w:color w:val="000000"/>
                <w:sz w:val="22"/>
                <w:szCs w:val="22"/>
              </w:rPr>
              <w:t>Benchmark</w:t>
            </w:r>
          </w:p>
        </w:tc>
        <w:tc>
          <w:tcPr>
            <w:tcW w:w="1612" w:type="dxa"/>
            <w:gridSpan w:val="2"/>
            <w:tcBorders>
              <w:top w:val="nil"/>
              <w:left w:val="nil"/>
              <w:bottom w:val="single" w:sz="4" w:space="0" w:color="auto"/>
              <w:right w:val="nil"/>
            </w:tcBorders>
            <w:shd w:val="clear" w:color="auto" w:fill="auto"/>
            <w:vAlign w:val="center"/>
            <w:hideMark/>
          </w:tcPr>
          <w:p w14:paraId="53FC39BA" w14:textId="0E03FD90" w:rsidR="00F736B6" w:rsidRPr="006E5B21" w:rsidRDefault="00F736B6" w:rsidP="00F736B6">
            <w:pPr>
              <w:spacing w:after="0" w:line="240" w:lineRule="auto"/>
              <w:ind w:firstLine="0"/>
              <w:jc w:val="center"/>
              <w:rPr>
                <w:rFonts w:eastAsia="Times New Roman"/>
                <w:color w:val="000000"/>
                <w:sz w:val="22"/>
                <w:szCs w:val="22"/>
              </w:rPr>
            </w:pPr>
            <w:r>
              <w:rPr>
                <w:rFonts w:eastAsia="Times New Roman"/>
                <w:color w:val="000000"/>
                <w:sz w:val="22"/>
                <w:szCs w:val="22"/>
              </w:rPr>
              <w:t>Aggressive RPS</w:t>
            </w:r>
          </w:p>
        </w:tc>
        <w:tc>
          <w:tcPr>
            <w:tcW w:w="1387" w:type="dxa"/>
            <w:tcBorders>
              <w:top w:val="nil"/>
              <w:left w:val="nil"/>
              <w:bottom w:val="single" w:sz="4" w:space="0" w:color="auto"/>
              <w:right w:val="nil"/>
            </w:tcBorders>
            <w:shd w:val="clear" w:color="auto" w:fill="auto"/>
            <w:vAlign w:val="center"/>
            <w:hideMark/>
          </w:tcPr>
          <w:p w14:paraId="0E3F7801" w14:textId="7BE196C0" w:rsidR="00F736B6" w:rsidRPr="006E5B21" w:rsidRDefault="00F736B6" w:rsidP="00F736B6">
            <w:pPr>
              <w:spacing w:after="0" w:line="240" w:lineRule="auto"/>
              <w:ind w:firstLine="0"/>
              <w:jc w:val="center"/>
              <w:rPr>
                <w:rFonts w:eastAsia="Times New Roman"/>
                <w:color w:val="000000"/>
                <w:sz w:val="22"/>
                <w:szCs w:val="22"/>
              </w:rPr>
            </w:pPr>
            <w:r w:rsidRPr="006E5B21">
              <w:rPr>
                <w:rFonts w:eastAsia="Times New Roman"/>
                <w:color w:val="000000"/>
                <w:sz w:val="22"/>
                <w:szCs w:val="22"/>
              </w:rPr>
              <w:t>AEO 2023 database for year 2030</w:t>
            </w:r>
            <w:r w:rsidR="00A4360A">
              <w:rPr>
                <w:rFonts w:eastAsia="Times New Roman"/>
                <w:color w:val="000000"/>
                <w:sz w:val="22"/>
                <w:szCs w:val="22"/>
                <w:vertAlign w:val="superscript"/>
              </w:rPr>
              <w:t>a</w:t>
            </w:r>
            <w:r>
              <w:rPr>
                <w:rFonts w:eastAsia="Times New Roman"/>
                <w:color w:val="000000"/>
                <w:sz w:val="22"/>
                <w:szCs w:val="22"/>
              </w:rPr>
              <w:t xml:space="preserve"> </w:t>
            </w:r>
          </w:p>
        </w:tc>
        <w:tc>
          <w:tcPr>
            <w:tcW w:w="1260" w:type="dxa"/>
            <w:gridSpan w:val="2"/>
            <w:tcBorders>
              <w:top w:val="nil"/>
              <w:left w:val="nil"/>
              <w:bottom w:val="nil"/>
              <w:right w:val="nil"/>
            </w:tcBorders>
            <w:shd w:val="clear" w:color="auto" w:fill="auto"/>
            <w:noWrap/>
            <w:vAlign w:val="bottom"/>
            <w:hideMark/>
          </w:tcPr>
          <w:p w14:paraId="33EB7344" w14:textId="50C3A018" w:rsidR="00F736B6" w:rsidRPr="006E5B21" w:rsidRDefault="00F736B6" w:rsidP="00A4360A">
            <w:pPr>
              <w:spacing w:after="0" w:line="240" w:lineRule="auto"/>
              <w:ind w:firstLine="0"/>
              <w:rPr>
                <w:rFonts w:eastAsia="Times New Roman"/>
                <w:color w:val="000000"/>
                <w:sz w:val="22"/>
                <w:szCs w:val="22"/>
              </w:rPr>
            </w:pPr>
          </w:p>
        </w:tc>
        <w:tc>
          <w:tcPr>
            <w:tcW w:w="1260" w:type="dxa"/>
            <w:gridSpan w:val="2"/>
            <w:tcBorders>
              <w:top w:val="nil"/>
              <w:left w:val="nil"/>
              <w:bottom w:val="nil"/>
              <w:right w:val="nil"/>
            </w:tcBorders>
          </w:tcPr>
          <w:p w14:paraId="47D87045" w14:textId="77777777" w:rsidR="00F736B6" w:rsidRPr="006E5B21" w:rsidRDefault="00F736B6" w:rsidP="00F736B6">
            <w:pPr>
              <w:spacing w:after="0" w:line="240" w:lineRule="auto"/>
              <w:ind w:firstLine="0"/>
              <w:jc w:val="center"/>
              <w:rPr>
                <w:rFonts w:eastAsia="Times New Roman"/>
                <w:color w:val="000000"/>
                <w:sz w:val="22"/>
                <w:szCs w:val="22"/>
              </w:rPr>
            </w:pPr>
          </w:p>
        </w:tc>
      </w:tr>
      <w:tr w:rsidR="00F736B6" w:rsidRPr="006E5B21" w14:paraId="2EBB6E6E" w14:textId="5557F390"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3E5F859B"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Coal %</w:t>
            </w:r>
          </w:p>
        </w:tc>
        <w:tc>
          <w:tcPr>
            <w:tcW w:w="1231" w:type="dxa"/>
            <w:tcBorders>
              <w:top w:val="nil"/>
              <w:left w:val="nil"/>
              <w:bottom w:val="nil"/>
              <w:right w:val="nil"/>
            </w:tcBorders>
            <w:shd w:val="clear" w:color="auto" w:fill="auto"/>
            <w:noWrap/>
            <w:vAlign w:val="bottom"/>
          </w:tcPr>
          <w:p w14:paraId="719560A6" w14:textId="6CBD57E6"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2</w:t>
            </w:r>
            <w:r w:rsidR="002F02A2">
              <w:rPr>
                <w:rFonts w:eastAsia="Times New Roman"/>
                <w:color w:val="000000"/>
                <w:sz w:val="22"/>
                <w:szCs w:val="22"/>
              </w:rPr>
              <w:t>6</w:t>
            </w:r>
            <w:r>
              <w:rPr>
                <w:rFonts w:eastAsia="Times New Roman"/>
                <w:color w:val="000000"/>
                <w:sz w:val="22"/>
                <w:szCs w:val="22"/>
              </w:rPr>
              <w:t>%</w:t>
            </w:r>
          </w:p>
        </w:tc>
        <w:tc>
          <w:tcPr>
            <w:tcW w:w="1612" w:type="dxa"/>
            <w:gridSpan w:val="2"/>
            <w:tcBorders>
              <w:top w:val="nil"/>
              <w:left w:val="nil"/>
              <w:bottom w:val="nil"/>
              <w:right w:val="nil"/>
            </w:tcBorders>
            <w:shd w:val="clear" w:color="auto" w:fill="auto"/>
            <w:noWrap/>
            <w:vAlign w:val="bottom"/>
            <w:hideMark/>
          </w:tcPr>
          <w:p w14:paraId="2592D8EB"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22%</w:t>
            </w:r>
          </w:p>
        </w:tc>
        <w:tc>
          <w:tcPr>
            <w:tcW w:w="1387" w:type="dxa"/>
            <w:tcBorders>
              <w:top w:val="nil"/>
              <w:left w:val="nil"/>
              <w:bottom w:val="nil"/>
              <w:right w:val="nil"/>
            </w:tcBorders>
            <w:shd w:val="clear" w:color="auto" w:fill="auto"/>
            <w:noWrap/>
            <w:vAlign w:val="bottom"/>
            <w:hideMark/>
          </w:tcPr>
          <w:p w14:paraId="0D98865E"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9%</w:t>
            </w:r>
          </w:p>
        </w:tc>
        <w:tc>
          <w:tcPr>
            <w:tcW w:w="1260" w:type="dxa"/>
            <w:gridSpan w:val="2"/>
            <w:tcBorders>
              <w:top w:val="nil"/>
              <w:left w:val="nil"/>
              <w:bottom w:val="nil"/>
              <w:right w:val="nil"/>
            </w:tcBorders>
            <w:shd w:val="clear" w:color="auto" w:fill="auto"/>
            <w:noWrap/>
            <w:vAlign w:val="bottom"/>
            <w:hideMark/>
          </w:tcPr>
          <w:p w14:paraId="2F677334"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2A27B5C1"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576F7188" w14:textId="507469CE"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678831F3"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Natural Gas %</w:t>
            </w:r>
          </w:p>
        </w:tc>
        <w:tc>
          <w:tcPr>
            <w:tcW w:w="1231" w:type="dxa"/>
            <w:tcBorders>
              <w:top w:val="nil"/>
              <w:left w:val="nil"/>
              <w:bottom w:val="nil"/>
              <w:right w:val="nil"/>
            </w:tcBorders>
            <w:shd w:val="clear" w:color="auto" w:fill="auto"/>
            <w:noWrap/>
            <w:vAlign w:val="bottom"/>
          </w:tcPr>
          <w:p w14:paraId="6EF115C2" w14:textId="184FE129"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3</w:t>
            </w:r>
            <w:r w:rsidR="002F02A2">
              <w:rPr>
                <w:rFonts w:eastAsia="Times New Roman"/>
                <w:color w:val="000000"/>
                <w:sz w:val="22"/>
                <w:szCs w:val="22"/>
              </w:rPr>
              <w:t>3</w:t>
            </w:r>
            <w:r>
              <w:rPr>
                <w:rFonts w:eastAsia="Times New Roman"/>
                <w:color w:val="000000"/>
                <w:sz w:val="22"/>
                <w:szCs w:val="22"/>
              </w:rPr>
              <w:t>%</w:t>
            </w:r>
          </w:p>
        </w:tc>
        <w:tc>
          <w:tcPr>
            <w:tcW w:w="1612" w:type="dxa"/>
            <w:gridSpan w:val="2"/>
            <w:tcBorders>
              <w:top w:val="nil"/>
              <w:left w:val="nil"/>
              <w:bottom w:val="nil"/>
              <w:right w:val="nil"/>
            </w:tcBorders>
            <w:shd w:val="clear" w:color="auto" w:fill="auto"/>
            <w:noWrap/>
            <w:vAlign w:val="bottom"/>
            <w:hideMark/>
          </w:tcPr>
          <w:p w14:paraId="26776DC2"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24%</w:t>
            </w:r>
          </w:p>
        </w:tc>
        <w:tc>
          <w:tcPr>
            <w:tcW w:w="1387" w:type="dxa"/>
            <w:tcBorders>
              <w:top w:val="nil"/>
              <w:left w:val="nil"/>
              <w:bottom w:val="nil"/>
              <w:right w:val="nil"/>
            </w:tcBorders>
            <w:shd w:val="clear" w:color="auto" w:fill="auto"/>
            <w:noWrap/>
            <w:vAlign w:val="bottom"/>
            <w:hideMark/>
          </w:tcPr>
          <w:p w14:paraId="4EBA8338"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43%</w:t>
            </w:r>
          </w:p>
        </w:tc>
        <w:tc>
          <w:tcPr>
            <w:tcW w:w="1260" w:type="dxa"/>
            <w:gridSpan w:val="2"/>
            <w:tcBorders>
              <w:top w:val="nil"/>
              <w:left w:val="nil"/>
              <w:bottom w:val="nil"/>
              <w:right w:val="nil"/>
            </w:tcBorders>
            <w:shd w:val="clear" w:color="auto" w:fill="auto"/>
            <w:noWrap/>
            <w:vAlign w:val="bottom"/>
            <w:hideMark/>
          </w:tcPr>
          <w:p w14:paraId="6448C9B8"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1D0BE29F"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7C767016" w14:textId="6C01BEFB"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69635881"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Nuclear %</w:t>
            </w:r>
          </w:p>
        </w:tc>
        <w:tc>
          <w:tcPr>
            <w:tcW w:w="1231" w:type="dxa"/>
            <w:tcBorders>
              <w:top w:val="nil"/>
              <w:left w:val="nil"/>
              <w:bottom w:val="nil"/>
              <w:right w:val="nil"/>
            </w:tcBorders>
            <w:shd w:val="clear" w:color="auto" w:fill="auto"/>
            <w:noWrap/>
            <w:vAlign w:val="bottom"/>
          </w:tcPr>
          <w:p w14:paraId="23472E7F" w14:textId="30531B95"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1</w:t>
            </w:r>
            <w:r w:rsidR="002F02A2">
              <w:rPr>
                <w:rFonts w:eastAsia="Times New Roman"/>
                <w:color w:val="000000"/>
                <w:sz w:val="22"/>
                <w:szCs w:val="22"/>
              </w:rPr>
              <w:t>7</w:t>
            </w:r>
            <w:r>
              <w:rPr>
                <w:rFonts w:eastAsia="Times New Roman"/>
                <w:color w:val="000000"/>
                <w:sz w:val="22"/>
                <w:szCs w:val="22"/>
              </w:rPr>
              <w:t>%</w:t>
            </w:r>
          </w:p>
        </w:tc>
        <w:tc>
          <w:tcPr>
            <w:tcW w:w="1612" w:type="dxa"/>
            <w:gridSpan w:val="2"/>
            <w:tcBorders>
              <w:top w:val="nil"/>
              <w:left w:val="nil"/>
              <w:bottom w:val="nil"/>
              <w:right w:val="nil"/>
            </w:tcBorders>
            <w:shd w:val="clear" w:color="auto" w:fill="auto"/>
            <w:noWrap/>
            <w:vAlign w:val="bottom"/>
            <w:hideMark/>
          </w:tcPr>
          <w:p w14:paraId="4A2A3247"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16%</w:t>
            </w:r>
          </w:p>
        </w:tc>
        <w:tc>
          <w:tcPr>
            <w:tcW w:w="1387" w:type="dxa"/>
            <w:tcBorders>
              <w:top w:val="nil"/>
              <w:left w:val="nil"/>
              <w:bottom w:val="nil"/>
              <w:right w:val="nil"/>
            </w:tcBorders>
            <w:shd w:val="clear" w:color="auto" w:fill="auto"/>
            <w:noWrap/>
            <w:vAlign w:val="bottom"/>
            <w:hideMark/>
          </w:tcPr>
          <w:p w14:paraId="4FD7B1E6"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6%</w:t>
            </w:r>
          </w:p>
        </w:tc>
        <w:tc>
          <w:tcPr>
            <w:tcW w:w="1260" w:type="dxa"/>
            <w:gridSpan w:val="2"/>
            <w:tcBorders>
              <w:top w:val="nil"/>
              <w:left w:val="nil"/>
              <w:bottom w:val="nil"/>
              <w:right w:val="nil"/>
            </w:tcBorders>
            <w:shd w:val="clear" w:color="auto" w:fill="auto"/>
            <w:noWrap/>
            <w:vAlign w:val="bottom"/>
            <w:hideMark/>
          </w:tcPr>
          <w:p w14:paraId="20D091CF"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1A089F7E"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1F41847C" w14:textId="57DB656F"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66B6FD8B"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Solar %</w:t>
            </w:r>
          </w:p>
        </w:tc>
        <w:tc>
          <w:tcPr>
            <w:tcW w:w="1231" w:type="dxa"/>
            <w:tcBorders>
              <w:top w:val="nil"/>
              <w:left w:val="nil"/>
              <w:bottom w:val="nil"/>
              <w:right w:val="nil"/>
            </w:tcBorders>
            <w:shd w:val="clear" w:color="auto" w:fill="auto"/>
            <w:noWrap/>
            <w:vAlign w:val="bottom"/>
          </w:tcPr>
          <w:p w14:paraId="15299996" w14:textId="68E6F006"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8%</w:t>
            </w:r>
          </w:p>
        </w:tc>
        <w:tc>
          <w:tcPr>
            <w:tcW w:w="1612" w:type="dxa"/>
            <w:gridSpan w:val="2"/>
            <w:tcBorders>
              <w:top w:val="nil"/>
              <w:left w:val="nil"/>
              <w:bottom w:val="nil"/>
              <w:right w:val="nil"/>
            </w:tcBorders>
            <w:shd w:val="clear" w:color="auto" w:fill="auto"/>
            <w:noWrap/>
            <w:vAlign w:val="bottom"/>
            <w:hideMark/>
          </w:tcPr>
          <w:p w14:paraId="650BC670"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17%</w:t>
            </w:r>
          </w:p>
        </w:tc>
        <w:tc>
          <w:tcPr>
            <w:tcW w:w="1387" w:type="dxa"/>
            <w:tcBorders>
              <w:top w:val="nil"/>
              <w:left w:val="nil"/>
              <w:bottom w:val="nil"/>
              <w:right w:val="nil"/>
            </w:tcBorders>
            <w:shd w:val="clear" w:color="auto" w:fill="auto"/>
            <w:noWrap/>
            <w:vAlign w:val="bottom"/>
            <w:hideMark/>
          </w:tcPr>
          <w:p w14:paraId="0FC892DA"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22%</w:t>
            </w:r>
          </w:p>
        </w:tc>
        <w:tc>
          <w:tcPr>
            <w:tcW w:w="1260" w:type="dxa"/>
            <w:gridSpan w:val="2"/>
            <w:tcBorders>
              <w:top w:val="nil"/>
              <w:left w:val="nil"/>
              <w:bottom w:val="nil"/>
              <w:right w:val="nil"/>
            </w:tcBorders>
            <w:shd w:val="clear" w:color="auto" w:fill="auto"/>
            <w:noWrap/>
            <w:vAlign w:val="bottom"/>
            <w:hideMark/>
          </w:tcPr>
          <w:p w14:paraId="1CB678B5"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16CF4A2A"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4E1755C4" w14:textId="295CE3E2"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2F843C86"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Wind %</w:t>
            </w:r>
          </w:p>
        </w:tc>
        <w:tc>
          <w:tcPr>
            <w:tcW w:w="1231" w:type="dxa"/>
            <w:tcBorders>
              <w:top w:val="nil"/>
              <w:left w:val="nil"/>
              <w:bottom w:val="nil"/>
              <w:right w:val="nil"/>
            </w:tcBorders>
            <w:shd w:val="clear" w:color="auto" w:fill="auto"/>
            <w:noWrap/>
            <w:vAlign w:val="bottom"/>
          </w:tcPr>
          <w:p w14:paraId="7F12B259" w14:textId="68A3E3BE"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8%</w:t>
            </w:r>
          </w:p>
        </w:tc>
        <w:tc>
          <w:tcPr>
            <w:tcW w:w="1612" w:type="dxa"/>
            <w:gridSpan w:val="2"/>
            <w:tcBorders>
              <w:top w:val="nil"/>
              <w:left w:val="nil"/>
              <w:bottom w:val="nil"/>
              <w:right w:val="nil"/>
            </w:tcBorders>
            <w:shd w:val="clear" w:color="auto" w:fill="auto"/>
            <w:noWrap/>
            <w:vAlign w:val="bottom"/>
            <w:hideMark/>
          </w:tcPr>
          <w:p w14:paraId="036681F9"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13%</w:t>
            </w:r>
          </w:p>
        </w:tc>
        <w:tc>
          <w:tcPr>
            <w:tcW w:w="1387" w:type="dxa"/>
            <w:tcBorders>
              <w:top w:val="nil"/>
              <w:left w:val="nil"/>
              <w:bottom w:val="nil"/>
              <w:right w:val="nil"/>
            </w:tcBorders>
            <w:shd w:val="clear" w:color="auto" w:fill="auto"/>
            <w:noWrap/>
            <w:vAlign w:val="bottom"/>
            <w:hideMark/>
          </w:tcPr>
          <w:p w14:paraId="0E94CEF4"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19%</w:t>
            </w:r>
          </w:p>
        </w:tc>
        <w:tc>
          <w:tcPr>
            <w:tcW w:w="1260" w:type="dxa"/>
            <w:gridSpan w:val="2"/>
            <w:tcBorders>
              <w:top w:val="nil"/>
              <w:left w:val="nil"/>
              <w:bottom w:val="nil"/>
              <w:right w:val="nil"/>
            </w:tcBorders>
            <w:shd w:val="clear" w:color="auto" w:fill="auto"/>
            <w:noWrap/>
            <w:vAlign w:val="bottom"/>
            <w:hideMark/>
          </w:tcPr>
          <w:p w14:paraId="7DD42188"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6B9F1889"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09510F35" w14:textId="517D2BE4"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704227AD"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Other Renewable %</w:t>
            </w:r>
          </w:p>
        </w:tc>
        <w:tc>
          <w:tcPr>
            <w:tcW w:w="1231" w:type="dxa"/>
            <w:tcBorders>
              <w:top w:val="nil"/>
              <w:left w:val="nil"/>
              <w:bottom w:val="nil"/>
              <w:right w:val="nil"/>
            </w:tcBorders>
            <w:shd w:val="clear" w:color="auto" w:fill="auto"/>
            <w:noWrap/>
            <w:vAlign w:val="bottom"/>
          </w:tcPr>
          <w:p w14:paraId="34F91222" w14:textId="213EE256"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8%</w:t>
            </w:r>
          </w:p>
        </w:tc>
        <w:tc>
          <w:tcPr>
            <w:tcW w:w="1612" w:type="dxa"/>
            <w:gridSpan w:val="2"/>
            <w:tcBorders>
              <w:top w:val="nil"/>
              <w:left w:val="nil"/>
              <w:bottom w:val="nil"/>
              <w:right w:val="nil"/>
            </w:tcBorders>
            <w:shd w:val="clear" w:color="auto" w:fill="auto"/>
            <w:noWrap/>
            <w:vAlign w:val="bottom"/>
            <w:hideMark/>
          </w:tcPr>
          <w:p w14:paraId="63FF1BD5"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9%</w:t>
            </w:r>
          </w:p>
        </w:tc>
        <w:tc>
          <w:tcPr>
            <w:tcW w:w="1387" w:type="dxa"/>
            <w:tcBorders>
              <w:top w:val="nil"/>
              <w:left w:val="nil"/>
              <w:bottom w:val="nil"/>
              <w:right w:val="nil"/>
            </w:tcBorders>
            <w:shd w:val="clear" w:color="auto" w:fill="auto"/>
            <w:noWrap/>
            <w:vAlign w:val="bottom"/>
            <w:hideMark/>
          </w:tcPr>
          <w:p w14:paraId="4CDBB63C"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0%</w:t>
            </w:r>
          </w:p>
        </w:tc>
        <w:tc>
          <w:tcPr>
            <w:tcW w:w="1260" w:type="dxa"/>
            <w:gridSpan w:val="2"/>
            <w:tcBorders>
              <w:top w:val="nil"/>
              <w:left w:val="nil"/>
              <w:bottom w:val="nil"/>
              <w:right w:val="nil"/>
            </w:tcBorders>
            <w:shd w:val="clear" w:color="auto" w:fill="auto"/>
            <w:noWrap/>
            <w:vAlign w:val="bottom"/>
            <w:hideMark/>
          </w:tcPr>
          <w:p w14:paraId="23EAFF4E"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4A09A7DD"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70D37838" w14:textId="77777777" w:rsidTr="00F736B6">
        <w:trPr>
          <w:gridAfter w:val="3"/>
          <w:wAfter w:w="2554" w:type="dxa"/>
          <w:trHeight w:val="300"/>
        </w:trPr>
        <w:tc>
          <w:tcPr>
            <w:tcW w:w="2160" w:type="dxa"/>
            <w:tcBorders>
              <w:top w:val="nil"/>
              <w:left w:val="nil"/>
              <w:bottom w:val="nil"/>
              <w:right w:val="nil"/>
            </w:tcBorders>
            <w:shd w:val="clear" w:color="auto" w:fill="auto"/>
            <w:noWrap/>
            <w:vAlign w:val="bottom"/>
          </w:tcPr>
          <w:p w14:paraId="7DEC4D30" w14:textId="2BA608AA" w:rsidR="00F736B6" w:rsidRPr="006E5B21" w:rsidRDefault="00F736B6" w:rsidP="0030721A">
            <w:pPr>
              <w:spacing w:after="0" w:line="240" w:lineRule="auto"/>
              <w:ind w:firstLine="0"/>
              <w:rPr>
                <w:rFonts w:eastAsia="Times New Roman"/>
                <w:color w:val="000000"/>
                <w:sz w:val="22"/>
                <w:szCs w:val="22"/>
              </w:rPr>
            </w:pPr>
            <w:r>
              <w:rPr>
                <w:rFonts w:eastAsia="Times New Roman"/>
                <w:color w:val="000000"/>
                <w:sz w:val="22"/>
                <w:szCs w:val="22"/>
              </w:rPr>
              <w:t>Total Renewable %</w:t>
            </w:r>
          </w:p>
        </w:tc>
        <w:tc>
          <w:tcPr>
            <w:tcW w:w="1231" w:type="dxa"/>
            <w:tcBorders>
              <w:top w:val="nil"/>
              <w:left w:val="nil"/>
              <w:bottom w:val="nil"/>
              <w:right w:val="nil"/>
            </w:tcBorders>
            <w:shd w:val="clear" w:color="auto" w:fill="auto"/>
            <w:noWrap/>
            <w:vAlign w:val="bottom"/>
          </w:tcPr>
          <w:p w14:paraId="6D5A2312" w14:textId="459A7CF8" w:rsidR="00F736B6"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24%</w:t>
            </w:r>
          </w:p>
        </w:tc>
        <w:tc>
          <w:tcPr>
            <w:tcW w:w="1612" w:type="dxa"/>
            <w:gridSpan w:val="2"/>
            <w:tcBorders>
              <w:top w:val="nil"/>
              <w:left w:val="nil"/>
              <w:bottom w:val="nil"/>
              <w:right w:val="nil"/>
            </w:tcBorders>
            <w:shd w:val="clear" w:color="auto" w:fill="auto"/>
            <w:noWrap/>
            <w:vAlign w:val="bottom"/>
          </w:tcPr>
          <w:p w14:paraId="36005476" w14:textId="6C6FD2D2"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39%</w:t>
            </w:r>
          </w:p>
        </w:tc>
        <w:tc>
          <w:tcPr>
            <w:tcW w:w="1387" w:type="dxa"/>
            <w:tcBorders>
              <w:top w:val="nil"/>
              <w:left w:val="nil"/>
              <w:bottom w:val="nil"/>
              <w:right w:val="nil"/>
            </w:tcBorders>
            <w:shd w:val="clear" w:color="auto" w:fill="auto"/>
            <w:noWrap/>
            <w:vAlign w:val="bottom"/>
          </w:tcPr>
          <w:p w14:paraId="45B51480" w14:textId="6D749C19"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41%</w:t>
            </w:r>
          </w:p>
        </w:tc>
        <w:tc>
          <w:tcPr>
            <w:tcW w:w="1260" w:type="dxa"/>
            <w:gridSpan w:val="2"/>
            <w:tcBorders>
              <w:top w:val="nil"/>
              <w:left w:val="nil"/>
              <w:bottom w:val="nil"/>
              <w:right w:val="nil"/>
            </w:tcBorders>
            <w:shd w:val="clear" w:color="auto" w:fill="auto"/>
            <w:noWrap/>
            <w:vAlign w:val="bottom"/>
          </w:tcPr>
          <w:p w14:paraId="4EE03FFA"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tcPr>
          <w:p w14:paraId="0C032C9F" w14:textId="77777777" w:rsidR="00F736B6" w:rsidRPr="006E5B21" w:rsidRDefault="00F736B6" w:rsidP="0030721A">
            <w:pPr>
              <w:spacing w:after="0" w:line="240" w:lineRule="auto"/>
              <w:ind w:firstLine="0"/>
              <w:jc w:val="right"/>
              <w:rPr>
                <w:rFonts w:eastAsia="Times New Roman"/>
                <w:color w:val="000000"/>
                <w:sz w:val="22"/>
                <w:szCs w:val="22"/>
              </w:rPr>
            </w:pPr>
          </w:p>
        </w:tc>
      </w:tr>
      <w:tr w:rsidR="00F736B6" w:rsidRPr="006E5B21" w14:paraId="3B40EA60" w14:textId="6F79A18C" w:rsidTr="00F736B6">
        <w:trPr>
          <w:gridAfter w:val="3"/>
          <w:wAfter w:w="2554" w:type="dxa"/>
          <w:trHeight w:val="300"/>
        </w:trPr>
        <w:tc>
          <w:tcPr>
            <w:tcW w:w="2160" w:type="dxa"/>
            <w:tcBorders>
              <w:top w:val="nil"/>
              <w:left w:val="nil"/>
              <w:bottom w:val="nil"/>
              <w:right w:val="nil"/>
            </w:tcBorders>
            <w:shd w:val="clear" w:color="auto" w:fill="auto"/>
            <w:noWrap/>
            <w:vAlign w:val="bottom"/>
            <w:hideMark/>
          </w:tcPr>
          <w:p w14:paraId="05C11CC1" w14:textId="77777777" w:rsidR="00F736B6" w:rsidRPr="006E5B21" w:rsidRDefault="00F736B6" w:rsidP="0030721A">
            <w:pPr>
              <w:spacing w:after="0" w:line="240" w:lineRule="auto"/>
              <w:ind w:firstLine="0"/>
              <w:rPr>
                <w:rFonts w:eastAsia="Times New Roman"/>
                <w:color w:val="000000"/>
                <w:sz w:val="22"/>
                <w:szCs w:val="22"/>
              </w:rPr>
            </w:pPr>
            <w:r w:rsidRPr="006E5B21">
              <w:rPr>
                <w:rFonts w:eastAsia="Times New Roman"/>
                <w:color w:val="000000"/>
                <w:sz w:val="22"/>
                <w:szCs w:val="22"/>
              </w:rPr>
              <w:t xml:space="preserve">Total Power </w:t>
            </w:r>
            <w:proofErr w:type="spellStart"/>
            <w:r w:rsidRPr="006E5B21">
              <w:rPr>
                <w:rFonts w:eastAsia="Times New Roman"/>
                <w:color w:val="000000"/>
                <w:sz w:val="22"/>
                <w:szCs w:val="22"/>
              </w:rPr>
              <w:t>MmWh</w:t>
            </w:r>
            <w:proofErr w:type="spellEnd"/>
          </w:p>
        </w:tc>
        <w:tc>
          <w:tcPr>
            <w:tcW w:w="1231" w:type="dxa"/>
            <w:tcBorders>
              <w:top w:val="nil"/>
              <w:left w:val="nil"/>
              <w:bottom w:val="nil"/>
              <w:right w:val="nil"/>
            </w:tcBorders>
            <w:shd w:val="clear" w:color="auto" w:fill="auto"/>
            <w:noWrap/>
            <w:vAlign w:val="bottom"/>
          </w:tcPr>
          <w:p w14:paraId="5C78C9F0" w14:textId="369BA24A" w:rsidR="00F736B6"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4,361</w:t>
            </w:r>
          </w:p>
        </w:tc>
        <w:tc>
          <w:tcPr>
            <w:tcW w:w="1612" w:type="dxa"/>
            <w:gridSpan w:val="2"/>
            <w:tcBorders>
              <w:top w:val="nil"/>
              <w:left w:val="nil"/>
              <w:bottom w:val="nil"/>
              <w:right w:val="nil"/>
            </w:tcBorders>
            <w:shd w:val="clear" w:color="auto" w:fill="auto"/>
            <w:noWrap/>
            <w:vAlign w:val="bottom"/>
            <w:hideMark/>
          </w:tcPr>
          <w:p w14:paraId="1C7D4917" w14:textId="77777777" w:rsidR="00F736B6" w:rsidRPr="006E5B21" w:rsidRDefault="00F736B6"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 xml:space="preserve">4,636 </w:t>
            </w:r>
          </w:p>
        </w:tc>
        <w:tc>
          <w:tcPr>
            <w:tcW w:w="1387" w:type="dxa"/>
            <w:tcBorders>
              <w:top w:val="nil"/>
              <w:left w:val="nil"/>
              <w:bottom w:val="nil"/>
              <w:right w:val="nil"/>
            </w:tcBorders>
            <w:shd w:val="clear" w:color="auto" w:fill="auto"/>
            <w:noWrap/>
            <w:vAlign w:val="bottom"/>
            <w:hideMark/>
          </w:tcPr>
          <w:p w14:paraId="0D69C403" w14:textId="77777777" w:rsidR="00F736B6" w:rsidRPr="006E5B21" w:rsidRDefault="00F736B6" w:rsidP="0030721A">
            <w:pPr>
              <w:spacing w:after="0" w:line="240" w:lineRule="auto"/>
              <w:ind w:firstLine="0"/>
              <w:jc w:val="right"/>
              <w:rPr>
                <w:rFonts w:eastAsia="Times New Roman"/>
                <w:color w:val="000000"/>
                <w:sz w:val="22"/>
                <w:szCs w:val="22"/>
              </w:rPr>
            </w:pPr>
          </w:p>
        </w:tc>
        <w:tc>
          <w:tcPr>
            <w:tcW w:w="1260" w:type="dxa"/>
            <w:gridSpan w:val="2"/>
            <w:tcBorders>
              <w:top w:val="nil"/>
              <w:left w:val="nil"/>
              <w:bottom w:val="nil"/>
              <w:right w:val="nil"/>
            </w:tcBorders>
            <w:shd w:val="clear" w:color="auto" w:fill="auto"/>
            <w:noWrap/>
            <w:vAlign w:val="bottom"/>
            <w:hideMark/>
          </w:tcPr>
          <w:p w14:paraId="2D915399" w14:textId="77777777" w:rsidR="00F736B6" w:rsidRPr="006E5B21" w:rsidRDefault="00F736B6" w:rsidP="0030721A">
            <w:pPr>
              <w:spacing w:after="0" w:line="240" w:lineRule="auto"/>
              <w:ind w:firstLine="0"/>
              <w:jc w:val="right"/>
              <w:rPr>
                <w:rFonts w:eastAsia="Times New Roman"/>
                <w:sz w:val="20"/>
                <w:szCs w:val="20"/>
              </w:rPr>
            </w:pPr>
          </w:p>
        </w:tc>
        <w:tc>
          <w:tcPr>
            <w:tcW w:w="1260" w:type="dxa"/>
            <w:gridSpan w:val="2"/>
            <w:tcBorders>
              <w:top w:val="nil"/>
              <w:left w:val="nil"/>
              <w:bottom w:val="nil"/>
              <w:right w:val="nil"/>
            </w:tcBorders>
          </w:tcPr>
          <w:p w14:paraId="28377704" w14:textId="77777777" w:rsidR="00F736B6" w:rsidRPr="006E5B21" w:rsidRDefault="00F736B6" w:rsidP="0030721A">
            <w:pPr>
              <w:spacing w:after="0" w:line="240" w:lineRule="auto"/>
              <w:ind w:firstLine="0"/>
              <w:jc w:val="right"/>
              <w:rPr>
                <w:rFonts w:eastAsia="Times New Roman"/>
                <w:sz w:val="20"/>
                <w:szCs w:val="20"/>
              </w:rPr>
            </w:pPr>
          </w:p>
        </w:tc>
      </w:tr>
      <w:tr w:rsidR="002F4051" w:rsidRPr="006E5B21" w14:paraId="4EFF5D43" w14:textId="72DD915E" w:rsidTr="00A9610B">
        <w:trPr>
          <w:trHeight w:val="465"/>
        </w:trPr>
        <w:tc>
          <w:tcPr>
            <w:tcW w:w="2160" w:type="dxa"/>
            <w:tcBorders>
              <w:top w:val="nil"/>
              <w:left w:val="nil"/>
              <w:bottom w:val="single" w:sz="4" w:space="0" w:color="auto"/>
              <w:right w:val="nil"/>
            </w:tcBorders>
            <w:shd w:val="clear" w:color="auto" w:fill="auto"/>
            <w:noWrap/>
            <w:vAlign w:val="bottom"/>
            <w:hideMark/>
          </w:tcPr>
          <w:p w14:paraId="446C3DE4" w14:textId="77777777" w:rsidR="002F4051" w:rsidRPr="006E5B21" w:rsidRDefault="002F4051" w:rsidP="0030721A">
            <w:pPr>
              <w:spacing w:after="0" w:line="240" w:lineRule="auto"/>
              <w:ind w:firstLine="0"/>
              <w:rPr>
                <w:rFonts w:eastAsia="Times New Roman"/>
                <w:color w:val="000000"/>
                <w:sz w:val="22"/>
                <w:szCs w:val="22"/>
              </w:rPr>
            </w:pPr>
            <w:r w:rsidRPr="006E5B21">
              <w:rPr>
                <w:rFonts w:eastAsia="Times New Roman"/>
                <w:color w:val="000000"/>
                <w:sz w:val="22"/>
                <w:szCs w:val="22"/>
              </w:rPr>
              <w:t>Average electricity price ($/</w:t>
            </w:r>
            <w:proofErr w:type="spellStart"/>
            <w:r w:rsidRPr="006E5B21">
              <w:rPr>
                <w:rFonts w:eastAsia="Times New Roman"/>
                <w:color w:val="000000"/>
                <w:sz w:val="22"/>
                <w:szCs w:val="22"/>
              </w:rPr>
              <w:t>Mwh</w:t>
            </w:r>
            <w:proofErr w:type="spellEnd"/>
            <w:r w:rsidRPr="006E5B21">
              <w:rPr>
                <w:rFonts w:eastAsia="Times New Roman"/>
                <w:color w:val="000000"/>
                <w:sz w:val="22"/>
                <w:szCs w:val="22"/>
              </w:rPr>
              <w:t>)</w:t>
            </w:r>
          </w:p>
        </w:tc>
        <w:tc>
          <w:tcPr>
            <w:tcW w:w="1231" w:type="dxa"/>
            <w:tcBorders>
              <w:top w:val="nil"/>
              <w:left w:val="nil"/>
              <w:bottom w:val="single" w:sz="4" w:space="0" w:color="auto"/>
              <w:right w:val="nil"/>
            </w:tcBorders>
            <w:shd w:val="clear" w:color="auto" w:fill="auto"/>
            <w:noWrap/>
            <w:vAlign w:val="bottom"/>
            <w:hideMark/>
          </w:tcPr>
          <w:p w14:paraId="078F2594" w14:textId="4C80941C" w:rsidR="002F4051" w:rsidRPr="006E5B21" w:rsidRDefault="00F736B6" w:rsidP="0030721A">
            <w:pPr>
              <w:spacing w:after="0" w:line="240" w:lineRule="auto"/>
              <w:ind w:firstLine="0"/>
              <w:jc w:val="right"/>
              <w:rPr>
                <w:rFonts w:eastAsia="Times New Roman"/>
                <w:color w:val="000000"/>
                <w:sz w:val="22"/>
                <w:szCs w:val="22"/>
              </w:rPr>
            </w:pPr>
            <w:r>
              <w:rPr>
                <w:rFonts w:eastAsia="Times New Roman"/>
                <w:color w:val="000000"/>
                <w:sz w:val="22"/>
                <w:szCs w:val="22"/>
              </w:rPr>
              <w:t>110</w:t>
            </w:r>
          </w:p>
        </w:tc>
        <w:tc>
          <w:tcPr>
            <w:tcW w:w="1539" w:type="dxa"/>
            <w:tcBorders>
              <w:top w:val="nil"/>
              <w:left w:val="nil"/>
              <w:bottom w:val="single" w:sz="4" w:space="0" w:color="auto"/>
              <w:right w:val="nil"/>
            </w:tcBorders>
            <w:shd w:val="clear" w:color="auto" w:fill="auto"/>
            <w:noWrap/>
            <w:vAlign w:val="bottom"/>
            <w:hideMark/>
          </w:tcPr>
          <w:p w14:paraId="19A158C3" w14:textId="77777777" w:rsidR="002F4051" w:rsidRPr="006E5B21" w:rsidRDefault="002F4051"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 xml:space="preserve">90 </w:t>
            </w:r>
          </w:p>
        </w:tc>
        <w:tc>
          <w:tcPr>
            <w:tcW w:w="1653" w:type="dxa"/>
            <w:gridSpan w:val="3"/>
            <w:tcBorders>
              <w:top w:val="nil"/>
              <w:left w:val="nil"/>
              <w:bottom w:val="single" w:sz="4" w:space="0" w:color="auto"/>
              <w:right w:val="nil"/>
            </w:tcBorders>
            <w:shd w:val="clear" w:color="auto" w:fill="auto"/>
            <w:noWrap/>
            <w:vAlign w:val="bottom"/>
            <w:hideMark/>
          </w:tcPr>
          <w:p w14:paraId="5DD6FAF1" w14:textId="66602C1A" w:rsidR="002F4051" w:rsidRPr="006E5B21" w:rsidRDefault="002F4051" w:rsidP="0030721A">
            <w:pPr>
              <w:spacing w:after="0" w:line="240" w:lineRule="auto"/>
              <w:ind w:firstLine="0"/>
              <w:jc w:val="right"/>
              <w:rPr>
                <w:rFonts w:eastAsia="Times New Roman"/>
                <w:color w:val="000000"/>
                <w:sz w:val="22"/>
                <w:szCs w:val="22"/>
              </w:rPr>
            </w:pPr>
          </w:p>
        </w:tc>
        <w:tc>
          <w:tcPr>
            <w:tcW w:w="1612" w:type="dxa"/>
            <w:gridSpan w:val="2"/>
            <w:tcBorders>
              <w:top w:val="nil"/>
              <w:left w:val="nil"/>
              <w:right w:val="nil"/>
            </w:tcBorders>
            <w:shd w:val="clear" w:color="auto" w:fill="auto"/>
            <w:noWrap/>
            <w:vAlign w:val="bottom"/>
            <w:hideMark/>
          </w:tcPr>
          <w:p w14:paraId="1B65E20B" w14:textId="407C1F9F" w:rsidR="002F4051" w:rsidRPr="006E5B21" w:rsidRDefault="002F4051" w:rsidP="0030721A">
            <w:pPr>
              <w:spacing w:after="0" w:line="240" w:lineRule="auto"/>
              <w:ind w:firstLine="0"/>
              <w:jc w:val="right"/>
              <w:rPr>
                <w:rFonts w:eastAsia="Times New Roman"/>
                <w:color w:val="000000"/>
                <w:sz w:val="22"/>
                <w:szCs w:val="22"/>
              </w:rPr>
            </w:pPr>
          </w:p>
        </w:tc>
        <w:tc>
          <w:tcPr>
            <w:tcW w:w="990" w:type="dxa"/>
            <w:gridSpan w:val="2"/>
            <w:tcBorders>
              <w:top w:val="nil"/>
              <w:left w:val="nil"/>
              <w:right w:val="nil"/>
            </w:tcBorders>
            <w:shd w:val="clear" w:color="auto" w:fill="auto"/>
            <w:noWrap/>
            <w:vAlign w:val="bottom"/>
            <w:hideMark/>
          </w:tcPr>
          <w:p w14:paraId="2E9D8874" w14:textId="77777777" w:rsidR="002F4051" w:rsidRPr="006E5B21" w:rsidRDefault="002F4051" w:rsidP="0030721A">
            <w:pPr>
              <w:spacing w:after="0" w:line="240" w:lineRule="auto"/>
              <w:ind w:firstLine="0"/>
              <w:jc w:val="right"/>
              <w:rPr>
                <w:rFonts w:eastAsia="Times New Roman"/>
                <w:color w:val="000000"/>
                <w:sz w:val="22"/>
                <w:szCs w:val="22"/>
              </w:rPr>
            </w:pPr>
            <w:r w:rsidRPr="006E5B21">
              <w:rPr>
                <w:rFonts w:eastAsia="Times New Roman"/>
                <w:color w:val="000000"/>
                <w:sz w:val="22"/>
                <w:szCs w:val="22"/>
              </w:rPr>
              <w:t> </w:t>
            </w:r>
          </w:p>
        </w:tc>
        <w:tc>
          <w:tcPr>
            <w:tcW w:w="1260" w:type="dxa"/>
            <w:tcBorders>
              <w:top w:val="nil"/>
              <w:left w:val="nil"/>
              <w:bottom w:val="nil"/>
              <w:right w:val="nil"/>
            </w:tcBorders>
            <w:shd w:val="clear" w:color="auto" w:fill="auto"/>
            <w:noWrap/>
            <w:vAlign w:val="bottom"/>
            <w:hideMark/>
          </w:tcPr>
          <w:p w14:paraId="6C88966A" w14:textId="77777777" w:rsidR="002F4051" w:rsidRPr="006E5B21" w:rsidRDefault="002F4051" w:rsidP="0030721A">
            <w:pPr>
              <w:spacing w:after="0" w:line="240" w:lineRule="auto"/>
              <w:ind w:firstLine="0"/>
              <w:jc w:val="right"/>
              <w:rPr>
                <w:rFonts w:eastAsia="Times New Roman"/>
                <w:color w:val="000000"/>
                <w:sz w:val="22"/>
                <w:szCs w:val="22"/>
              </w:rPr>
            </w:pPr>
          </w:p>
        </w:tc>
        <w:tc>
          <w:tcPr>
            <w:tcW w:w="1019" w:type="dxa"/>
            <w:tcBorders>
              <w:top w:val="nil"/>
              <w:left w:val="nil"/>
              <w:bottom w:val="nil"/>
              <w:right w:val="nil"/>
            </w:tcBorders>
          </w:tcPr>
          <w:p w14:paraId="391EB6D7" w14:textId="77777777" w:rsidR="002F4051" w:rsidRPr="006E5B21" w:rsidRDefault="002F4051" w:rsidP="0030721A">
            <w:pPr>
              <w:spacing w:after="0" w:line="240" w:lineRule="auto"/>
              <w:ind w:firstLine="0"/>
              <w:jc w:val="right"/>
              <w:rPr>
                <w:rFonts w:eastAsia="Times New Roman"/>
                <w:color w:val="000000"/>
                <w:sz w:val="22"/>
                <w:szCs w:val="22"/>
              </w:rPr>
            </w:pPr>
          </w:p>
        </w:tc>
      </w:tr>
    </w:tbl>
    <w:p w14:paraId="0E55F15B" w14:textId="1E053F9A" w:rsidR="002F4051" w:rsidRPr="008F7B3D" w:rsidRDefault="00A4360A" w:rsidP="002F4051">
      <w:pPr>
        <w:spacing w:after="0" w:line="240" w:lineRule="auto"/>
        <w:ind w:firstLine="0"/>
        <w:rPr>
          <w:sz w:val="22"/>
          <w:szCs w:val="22"/>
        </w:rPr>
      </w:pPr>
      <w:proofErr w:type="spellStart"/>
      <w:r>
        <w:rPr>
          <w:sz w:val="22"/>
          <w:szCs w:val="22"/>
          <w:vertAlign w:val="superscript"/>
        </w:rPr>
        <w:t>a</w:t>
      </w:r>
      <w:proofErr w:type="spellEnd"/>
      <w:r w:rsidR="002F4051" w:rsidRPr="008F7B3D">
        <w:rPr>
          <w:sz w:val="22"/>
          <w:szCs w:val="22"/>
        </w:rPr>
        <w:t xml:space="preserve"> </w:t>
      </w:r>
      <w:hyperlink r:id="rId31" w:history="1">
        <w:r w:rsidR="002F4051" w:rsidRPr="008F7B3D">
          <w:rPr>
            <w:rStyle w:val="Hyperlink"/>
            <w:sz w:val="22"/>
            <w:szCs w:val="22"/>
          </w:rPr>
          <w:t>Annual Energy Outlook 2023 - U.S. Energy Information Administration (EIA)</w:t>
        </w:r>
      </w:hyperlink>
    </w:p>
    <w:p w14:paraId="622B15EE" w14:textId="77777777" w:rsidR="002F4051" w:rsidRDefault="002F4051" w:rsidP="002F4051">
      <w:pPr>
        <w:spacing w:after="0" w:line="240" w:lineRule="auto"/>
        <w:ind w:firstLine="0"/>
        <w:rPr>
          <w:rFonts w:eastAsia="Times New Roman"/>
          <w:color w:val="000000"/>
        </w:rPr>
      </w:pPr>
    </w:p>
    <w:p w14:paraId="17123BDC" w14:textId="77777777" w:rsidR="008F7B3D" w:rsidRPr="00A9655A" w:rsidRDefault="008F7B3D" w:rsidP="002F4051">
      <w:pPr>
        <w:spacing w:after="0" w:line="240" w:lineRule="auto"/>
        <w:ind w:firstLine="0"/>
        <w:rPr>
          <w:rFonts w:eastAsia="Times New Roman"/>
          <w:color w:val="000000"/>
        </w:rPr>
      </w:pPr>
    </w:p>
    <w:p w14:paraId="6D0B6526" w14:textId="77777777" w:rsidR="00930D98" w:rsidRDefault="00930D98" w:rsidP="007B6D75">
      <w:pPr>
        <w:pStyle w:val="AppendixA1"/>
      </w:pPr>
    </w:p>
    <w:p w14:paraId="1A0C125F" w14:textId="77777777" w:rsidR="00930D98" w:rsidRDefault="00930D98" w:rsidP="007B6D75">
      <w:pPr>
        <w:pStyle w:val="AppendixA1"/>
      </w:pPr>
    </w:p>
    <w:p w14:paraId="41A0A965" w14:textId="77777777" w:rsidR="00930D98" w:rsidRDefault="00930D98" w:rsidP="007B6D75">
      <w:pPr>
        <w:pStyle w:val="AppendixA1"/>
      </w:pPr>
    </w:p>
    <w:p w14:paraId="592432FB" w14:textId="77777777" w:rsidR="00930D98" w:rsidRDefault="00930D98" w:rsidP="007B6D75">
      <w:pPr>
        <w:pStyle w:val="AppendixA1"/>
      </w:pPr>
    </w:p>
    <w:p w14:paraId="7D56E0E0" w14:textId="77777777" w:rsidR="00930D98" w:rsidRDefault="00930D98" w:rsidP="007B6D75">
      <w:pPr>
        <w:pStyle w:val="AppendixA1"/>
      </w:pPr>
    </w:p>
    <w:p w14:paraId="1109EDDD" w14:textId="77777777" w:rsidR="00930D98" w:rsidRDefault="00930D98" w:rsidP="007B6D75">
      <w:pPr>
        <w:pStyle w:val="AppendixA1"/>
      </w:pPr>
    </w:p>
    <w:p w14:paraId="39C63D37" w14:textId="77777777" w:rsidR="00A4360A" w:rsidRDefault="00A4360A" w:rsidP="00A4360A">
      <w:pPr>
        <w:rPr>
          <w:lang w:eastAsia="en-US"/>
        </w:rPr>
      </w:pPr>
    </w:p>
    <w:p w14:paraId="4F6FB8A1" w14:textId="77777777" w:rsidR="00A4360A" w:rsidRDefault="00A4360A" w:rsidP="00A4360A">
      <w:pPr>
        <w:rPr>
          <w:lang w:eastAsia="en-US"/>
        </w:rPr>
      </w:pPr>
    </w:p>
    <w:p w14:paraId="199D8AE0" w14:textId="77777777" w:rsidR="00A4360A" w:rsidRDefault="00A4360A" w:rsidP="00A4360A">
      <w:pPr>
        <w:rPr>
          <w:lang w:eastAsia="en-US"/>
        </w:rPr>
      </w:pPr>
    </w:p>
    <w:p w14:paraId="3C9034E2" w14:textId="77777777" w:rsidR="00A4360A" w:rsidRDefault="00A4360A" w:rsidP="00A4360A">
      <w:pPr>
        <w:rPr>
          <w:lang w:eastAsia="en-US"/>
        </w:rPr>
      </w:pPr>
    </w:p>
    <w:p w14:paraId="385DD054" w14:textId="77777777" w:rsidR="00A4360A" w:rsidRDefault="00A4360A" w:rsidP="00A4360A">
      <w:pPr>
        <w:rPr>
          <w:lang w:eastAsia="en-US"/>
        </w:rPr>
      </w:pPr>
    </w:p>
    <w:p w14:paraId="6E58C9EC" w14:textId="77777777" w:rsidR="00A4360A" w:rsidRDefault="00A4360A" w:rsidP="00A4360A">
      <w:pPr>
        <w:rPr>
          <w:lang w:eastAsia="en-US"/>
        </w:rPr>
      </w:pPr>
    </w:p>
    <w:p w14:paraId="4C58CBBA" w14:textId="77777777" w:rsidR="00A4360A" w:rsidRDefault="00A4360A" w:rsidP="00A4360A">
      <w:pPr>
        <w:rPr>
          <w:lang w:eastAsia="en-US"/>
        </w:rPr>
      </w:pPr>
    </w:p>
    <w:p w14:paraId="7F3C6CDC" w14:textId="5F5869EA" w:rsidR="00806E67" w:rsidRDefault="00FE26A4" w:rsidP="00806E67">
      <w:pPr>
        <w:spacing w:line="240" w:lineRule="auto"/>
        <w:ind w:left="450" w:hanging="18"/>
      </w:pPr>
      <w:r>
        <w:rPr>
          <w:noProof/>
        </w:rPr>
        <w:lastRenderedPageBreak/>
        <w:drawing>
          <wp:inline distT="0" distB="0" distL="0" distR="0" wp14:anchorId="5DE42FC4" wp14:editId="783B06B6">
            <wp:extent cx="5943600" cy="3554095"/>
            <wp:effectExtent l="0" t="0" r="0" b="8255"/>
            <wp:docPr id="7" name="Chart 7">
              <a:extLst xmlns:a="http://schemas.openxmlformats.org/drawingml/2006/main">
                <a:ext uri="{FF2B5EF4-FFF2-40B4-BE49-F238E27FC236}">
                  <a16:creationId xmlns:a16="http://schemas.microsoft.com/office/drawing/2014/main"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C2941C3" w14:textId="1D772875" w:rsidR="00806E67" w:rsidRPr="009443FB" w:rsidRDefault="00806E67" w:rsidP="00806E67">
      <w:pPr>
        <w:spacing w:line="240" w:lineRule="auto"/>
        <w:ind w:left="450" w:hanging="18"/>
        <w:rPr>
          <w:b/>
          <w:bCs/>
        </w:rPr>
      </w:pPr>
      <w:r w:rsidRPr="009443FB">
        <w:rPr>
          <w:b/>
          <w:bCs/>
        </w:rPr>
        <w:t>Figure A1</w:t>
      </w:r>
      <w:r w:rsidR="00D837E6" w:rsidRPr="009443FB">
        <w:rPr>
          <w:b/>
          <w:bCs/>
        </w:rPr>
        <w:t>4</w:t>
      </w:r>
      <w:r w:rsidRPr="009443FB">
        <w:rPr>
          <w:b/>
          <w:bCs/>
        </w:rPr>
        <w:t xml:space="preserve"> Effect of Behavioral Preferences on Share of Alternative Vehicles in New Sales under Various Policy Scenarios</w:t>
      </w:r>
    </w:p>
    <w:p w14:paraId="65CCA9D5" w14:textId="674A7286" w:rsidR="00806E67" w:rsidRPr="00605703" w:rsidRDefault="00FE26A4" w:rsidP="00806E67">
      <w:pPr>
        <w:spacing w:line="240" w:lineRule="auto"/>
        <w:ind w:left="450" w:hanging="18"/>
      </w:pPr>
      <w:r>
        <w:rPr>
          <w:noProof/>
        </w:rPr>
        <w:drawing>
          <wp:inline distT="0" distB="0" distL="0" distR="0" wp14:anchorId="2E185A3E" wp14:editId="32760E17">
            <wp:extent cx="5878195" cy="3657600"/>
            <wp:effectExtent l="0" t="0" r="8255" b="0"/>
            <wp:docPr id="8" name="Chart 8">
              <a:extLst xmlns:a="http://schemas.openxmlformats.org/drawingml/2006/main">
                <a:ext uri="{FF2B5EF4-FFF2-40B4-BE49-F238E27FC236}">
                  <a16:creationId xmlns:a16="http://schemas.microsoft.com/office/drawing/2014/main"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79C41F8" w14:textId="7F57CC25" w:rsidR="00806E67" w:rsidRPr="009443FB" w:rsidRDefault="00806E67" w:rsidP="00806E67">
      <w:pPr>
        <w:spacing w:line="240" w:lineRule="auto"/>
        <w:ind w:left="450" w:hanging="18"/>
        <w:rPr>
          <w:b/>
          <w:bCs/>
        </w:rPr>
      </w:pPr>
      <w:r w:rsidRPr="009443FB">
        <w:rPr>
          <w:b/>
          <w:bCs/>
        </w:rPr>
        <w:t>Figure A1</w:t>
      </w:r>
      <w:r w:rsidR="00D837E6" w:rsidRPr="009443FB">
        <w:rPr>
          <w:b/>
          <w:bCs/>
        </w:rPr>
        <w:t>5</w:t>
      </w:r>
      <w:r w:rsidRPr="009443FB">
        <w:rPr>
          <w:b/>
          <w:bCs/>
        </w:rPr>
        <w:t xml:space="preserve"> Effect of Behavioral Preferences on Share of Alternative Vehicles in Vehicle Stock under Various Policy Scenarios</w:t>
      </w:r>
    </w:p>
    <w:p w14:paraId="47F7B02A" w14:textId="77777777" w:rsidR="003A162E" w:rsidRPr="009443FB" w:rsidRDefault="003A162E" w:rsidP="00806E67">
      <w:pPr>
        <w:spacing w:line="240" w:lineRule="auto"/>
        <w:ind w:left="450" w:hanging="18"/>
        <w:rPr>
          <w:b/>
          <w:bCs/>
        </w:rPr>
        <w:sectPr w:rsidR="003A162E" w:rsidRPr="009443FB" w:rsidSect="00806E67">
          <w:pgSz w:w="12240" w:h="15840"/>
          <w:pgMar w:top="1440" w:right="1440" w:bottom="1440" w:left="1440" w:header="720" w:footer="720" w:gutter="0"/>
          <w:cols w:space="720"/>
          <w:docGrid w:linePitch="360"/>
        </w:sectPr>
      </w:pPr>
    </w:p>
    <w:p w14:paraId="5F1E6540" w14:textId="266CB60B" w:rsidR="00144194" w:rsidRPr="009443FB" w:rsidRDefault="00221893" w:rsidP="00344906">
      <w:pPr>
        <w:pStyle w:val="Caption"/>
        <w:spacing w:after="0"/>
        <w:ind w:firstLine="0"/>
        <w:rPr>
          <w:b/>
          <w:bCs/>
        </w:rPr>
      </w:pPr>
      <w:r w:rsidRPr="009443FB">
        <w:rPr>
          <w:b/>
          <w:bCs/>
        </w:rPr>
        <w:lastRenderedPageBreak/>
        <w:t>Table A</w:t>
      </w:r>
      <w:r w:rsidR="002F02A2">
        <w:rPr>
          <w:b/>
          <w:bCs/>
        </w:rPr>
        <w:t>7</w:t>
      </w:r>
      <w:r w:rsidRPr="009443FB">
        <w:rPr>
          <w:b/>
          <w:bCs/>
        </w:rPr>
        <w:t xml:space="preserve"> Social Welfare Effects of Alternative Policy Scenarios over 2022-2030 ($ billion)</w:t>
      </w:r>
    </w:p>
    <w:tbl>
      <w:tblPr>
        <w:tblW w:w="13336" w:type="dxa"/>
        <w:tblLook w:val="04A0" w:firstRow="1" w:lastRow="0" w:firstColumn="1" w:lastColumn="0" w:noHBand="0" w:noVBand="1"/>
      </w:tblPr>
      <w:tblGrid>
        <w:gridCol w:w="2430"/>
        <w:gridCol w:w="1145"/>
        <w:gridCol w:w="1285"/>
        <w:gridCol w:w="1350"/>
        <w:gridCol w:w="1710"/>
        <w:gridCol w:w="1126"/>
        <w:gridCol w:w="1260"/>
        <w:gridCol w:w="1394"/>
        <w:gridCol w:w="1636"/>
      </w:tblGrid>
      <w:tr w:rsidR="003A162E" w:rsidRPr="00344906" w14:paraId="557C2486" w14:textId="77777777" w:rsidTr="00344906">
        <w:trPr>
          <w:trHeight w:val="315"/>
        </w:trPr>
        <w:tc>
          <w:tcPr>
            <w:tcW w:w="2430" w:type="dxa"/>
            <w:tcBorders>
              <w:top w:val="single" w:sz="4" w:space="0" w:color="auto"/>
              <w:left w:val="nil"/>
              <w:right w:val="nil"/>
            </w:tcBorders>
            <w:shd w:val="clear" w:color="000000" w:fill="FFFFFF"/>
            <w:noWrap/>
            <w:vAlign w:val="bottom"/>
          </w:tcPr>
          <w:p w14:paraId="43F711D0" w14:textId="77777777" w:rsidR="003A162E" w:rsidRPr="00344906" w:rsidRDefault="003A162E" w:rsidP="003A162E">
            <w:pPr>
              <w:spacing w:after="0" w:line="240" w:lineRule="auto"/>
              <w:ind w:firstLine="0"/>
              <w:rPr>
                <w:rFonts w:eastAsia="Times New Roman"/>
                <w:b/>
                <w:bCs/>
                <w:i/>
                <w:iCs/>
                <w:color w:val="000000"/>
                <w:sz w:val="20"/>
                <w:szCs w:val="20"/>
              </w:rPr>
            </w:pPr>
          </w:p>
        </w:tc>
        <w:tc>
          <w:tcPr>
            <w:tcW w:w="5490" w:type="dxa"/>
            <w:gridSpan w:val="4"/>
            <w:tcBorders>
              <w:top w:val="single" w:sz="4" w:space="0" w:color="auto"/>
              <w:left w:val="nil"/>
              <w:right w:val="single" w:sz="4" w:space="0" w:color="auto"/>
            </w:tcBorders>
            <w:shd w:val="clear" w:color="auto" w:fill="auto"/>
            <w:noWrap/>
          </w:tcPr>
          <w:p w14:paraId="16B6F893" w14:textId="3E5D7559" w:rsidR="003A162E" w:rsidRPr="00344906" w:rsidRDefault="003A162E" w:rsidP="003A162E">
            <w:pPr>
              <w:spacing w:after="0" w:line="240" w:lineRule="auto"/>
              <w:ind w:firstLine="0"/>
              <w:rPr>
                <w:color w:val="000000"/>
                <w:sz w:val="20"/>
                <w:szCs w:val="20"/>
              </w:rPr>
            </w:pPr>
            <w:r w:rsidRPr="00344906">
              <w:rPr>
                <w:sz w:val="20"/>
                <w:szCs w:val="20"/>
              </w:rPr>
              <w:t xml:space="preserve">Including Intangible and </w:t>
            </w:r>
            <w:r w:rsidR="00A42FF4" w:rsidRPr="00344906">
              <w:rPr>
                <w:sz w:val="20"/>
                <w:szCs w:val="20"/>
              </w:rPr>
              <w:t xml:space="preserve">behavioral </w:t>
            </w:r>
            <w:r w:rsidRPr="00344906">
              <w:rPr>
                <w:sz w:val="20"/>
                <w:szCs w:val="20"/>
              </w:rPr>
              <w:t>preference</w:t>
            </w:r>
            <w:r w:rsidR="00A42FF4" w:rsidRPr="00344906">
              <w:rPr>
                <w:sz w:val="20"/>
                <w:szCs w:val="20"/>
              </w:rPr>
              <w:t>s</w:t>
            </w:r>
          </w:p>
        </w:tc>
        <w:tc>
          <w:tcPr>
            <w:tcW w:w="5412" w:type="dxa"/>
            <w:gridSpan w:val="4"/>
            <w:tcBorders>
              <w:top w:val="single" w:sz="4" w:space="0" w:color="auto"/>
              <w:left w:val="single" w:sz="4" w:space="0" w:color="auto"/>
              <w:right w:val="nil"/>
            </w:tcBorders>
            <w:shd w:val="clear" w:color="auto" w:fill="auto"/>
            <w:noWrap/>
          </w:tcPr>
          <w:p w14:paraId="17633F32" w14:textId="30ADD21B" w:rsidR="003A162E" w:rsidRPr="00344906" w:rsidRDefault="00A42FF4" w:rsidP="003A162E">
            <w:pPr>
              <w:spacing w:after="0" w:line="240" w:lineRule="auto"/>
              <w:ind w:firstLine="0"/>
              <w:rPr>
                <w:rFonts w:eastAsia="Times New Roman"/>
                <w:b/>
                <w:bCs/>
                <w:sz w:val="20"/>
                <w:szCs w:val="20"/>
              </w:rPr>
            </w:pPr>
            <w:r w:rsidRPr="00344906">
              <w:rPr>
                <w:sz w:val="20"/>
                <w:szCs w:val="20"/>
              </w:rPr>
              <w:t>Including tangible costs only</w:t>
            </w:r>
          </w:p>
        </w:tc>
      </w:tr>
      <w:tr w:rsidR="003A162E" w:rsidRPr="00344906" w14:paraId="2B2CA14A" w14:textId="77777777" w:rsidTr="00344906">
        <w:trPr>
          <w:trHeight w:val="315"/>
        </w:trPr>
        <w:tc>
          <w:tcPr>
            <w:tcW w:w="2430" w:type="dxa"/>
            <w:tcBorders>
              <w:top w:val="nil"/>
              <w:left w:val="nil"/>
              <w:bottom w:val="single" w:sz="4" w:space="0" w:color="auto"/>
              <w:right w:val="nil"/>
            </w:tcBorders>
            <w:shd w:val="clear" w:color="000000" w:fill="FFFFFF"/>
            <w:noWrap/>
            <w:vAlign w:val="bottom"/>
          </w:tcPr>
          <w:p w14:paraId="17F5B68D" w14:textId="77777777" w:rsidR="003A162E" w:rsidRPr="00344906" w:rsidRDefault="003A162E" w:rsidP="003A162E">
            <w:pPr>
              <w:spacing w:after="0" w:line="240" w:lineRule="auto"/>
              <w:ind w:firstLine="0"/>
              <w:rPr>
                <w:rFonts w:eastAsia="Times New Roman"/>
                <w:b/>
                <w:bCs/>
                <w:i/>
                <w:iCs/>
                <w:color w:val="000000"/>
                <w:sz w:val="20"/>
                <w:szCs w:val="20"/>
              </w:rPr>
            </w:pPr>
          </w:p>
        </w:tc>
        <w:tc>
          <w:tcPr>
            <w:tcW w:w="1145" w:type="dxa"/>
            <w:tcBorders>
              <w:top w:val="nil"/>
              <w:left w:val="nil"/>
              <w:bottom w:val="single" w:sz="4" w:space="0" w:color="auto"/>
              <w:right w:val="nil"/>
            </w:tcBorders>
            <w:shd w:val="clear" w:color="auto" w:fill="auto"/>
            <w:noWrap/>
          </w:tcPr>
          <w:p w14:paraId="4868EFA0" w14:textId="5FF4C249" w:rsidR="003A162E" w:rsidRPr="00344906" w:rsidRDefault="003A162E" w:rsidP="003A162E">
            <w:pPr>
              <w:spacing w:after="0" w:line="240" w:lineRule="auto"/>
              <w:ind w:firstLine="0"/>
              <w:rPr>
                <w:rFonts w:eastAsia="Times New Roman"/>
                <w:b/>
                <w:bCs/>
                <w:sz w:val="20"/>
                <w:szCs w:val="20"/>
              </w:rPr>
            </w:pPr>
            <w:r w:rsidRPr="00344906">
              <w:rPr>
                <w:sz w:val="20"/>
                <w:szCs w:val="20"/>
              </w:rPr>
              <w:t>Baseline Scenario</w:t>
            </w:r>
          </w:p>
        </w:tc>
        <w:tc>
          <w:tcPr>
            <w:tcW w:w="1285" w:type="dxa"/>
            <w:tcBorders>
              <w:top w:val="nil"/>
              <w:left w:val="nil"/>
              <w:bottom w:val="single" w:sz="4" w:space="0" w:color="auto"/>
              <w:right w:val="nil"/>
            </w:tcBorders>
            <w:shd w:val="clear" w:color="000000" w:fill="FFFFFF"/>
            <w:noWrap/>
          </w:tcPr>
          <w:p w14:paraId="7CBDB400" w14:textId="31B21821"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Scenario 1: Increased Public Charging</w:t>
            </w:r>
          </w:p>
        </w:tc>
        <w:tc>
          <w:tcPr>
            <w:tcW w:w="1350" w:type="dxa"/>
            <w:tcBorders>
              <w:top w:val="nil"/>
              <w:left w:val="nil"/>
              <w:bottom w:val="single" w:sz="4" w:space="0" w:color="auto"/>
              <w:right w:val="nil"/>
            </w:tcBorders>
            <w:shd w:val="clear" w:color="000000" w:fill="FFFFFF"/>
            <w:noWrap/>
          </w:tcPr>
          <w:p w14:paraId="14AF4CE7" w14:textId="5B92B3ED"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 xml:space="preserve">Scenario 2: </w:t>
            </w:r>
            <w:r w:rsidRPr="00344906">
              <w:rPr>
                <w:sz w:val="20"/>
                <w:szCs w:val="20"/>
              </w:rPr>
              <w:t xml:space="preserve">Clean Vehicle (EV) </w:t>
            </w:r>
            <w:r w:rsidRPr="00344906">
              <w:rPr>
                <w:color w:val="000000"/>
                <w:sz w:val="20"/>
                <w:szCs w:val="20"/>
              </w:rPr>
              <w:t xml:space="preserve">Tax Credit </w:t>
            </w:r>
          </w:p>
        </w:tc>
        <w:tc>
          <w:tcPr>
            <w:tcW w:w="1710" w:type="dxa"/>
            <w:tcBorders>
              <w:left w:val="nil"/>
              <w:bottom w:val="single" w:sz="4" w:space="0" w:color="auto"/>
              <w:right w:val="single" w:sz="4" w:space="0" w:color="auto"/>
            </w:tcBorders>
            <w:shd w:val="clear" w:color="000000" w:fill="FFFFFF"/>
            <w:noWrap/>
          </w:tcPr>
          <w:p w14:paraId="2425F8C9" w14:textId="260D738D"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 xml:space="preserve">Scenario 3 </w:t>
            </w:r>
            <w:r w:rsidRPr="00344906">
              <w:rPr>
                <w:sz w:val="20"/>
                <w:szCs w:val="20"/>
              </w:rPr>
              <w:t>Clean Vehicle (EV)</w:t>
            </w:r>
            <w:r w:rsidRPr="00344906">
              <w:rPr>
                <w:color w:val="000000"/>
                <w:sz w:val="20"/>
                <w:szCs w:val="20"/>
              </w:rPr>
              <w:t xml:space="preserve"> Tax Credit</w:t>
            </w:r>
            <w:r w:rsidRPr="00344906">
              <w:rPr>
                <w:sz w:val="20"/>
                <w:szCs w:val="20"/>
              </w:rPr>
              <w:t xml:space="preserve"> </w:t>
            </w:r>
            <w:r w:rsidRPr="00344906">
              <w:rPr>
                <w:rFonts w:eastAsia="Times New Roman"/>
                <w:color w:val="000000"/>
                <w:sz w:val="20"/>
                <w:szCs w:val="20"/>
              </w:rPr>
              <w:t xml:space="preserve">&amp; Better Charging </w:t>
            </w:r>
          </w:p>
        </w:tc>
        <w:tc>
          <w:tcPr>
            <w:tcW w:w="1126" w:type="dxa"/>
            <w:tcBorders>
              <w:top w:val="nil"/>
              <w:left w:val="single" w:sz="4" w:space="0" w:color="auto"/>
              <w:bottom w:val="single" w:sz="4" w:space="0" w:color="auto"/>
              <w:right w:val="nil"/>
            </w:tcBorders>
            <w:shd w:val="clear" w:color="auto" w:fill="auto"/>
            <w:noWrap/>
          </w:tcPr>
          <w:p w14:paraId="5FC5F9B4" w14:textId="68192A58" w:rsidR="003A162E" w:rsidRPr="00344906" w:rsidRDefault="003A162E" w:rsidP="003A162E">
            <w:pPr>
              <w:spacing w:after="0" w:line="240" w:lineRule="auto"/>
              <w:ind w:firstLine="0"/>
              <w:rPr>
                <w:rFonts w:eastAsia="Times New Roman"/>
                <w:b/>
                <w:bCs/>
                <w:sz w:val="20"/>
                <w:szCs w:val="20"/>
              </w:rPr>
            </w:pPr>
            <w:r w:rsidRPr="00344906">
              <w:rPr>
                <w:sz w:val="20"/>
                <w:szCs w:val="20"/>
              </w:rPr>
              <w:t>Baseline Scenario</w:t>
            </w:r>
          </w:p>
        </w:tc>
        <w:tc>
          <w:tcPr>
            <w:tcW w:w="1260" w:type="dxa"/>
            <w:tcBorders>
              <w:top w:val="nil"/>
              <w:left w:val="nil"/>
              <w:bottom w:val="single" w:sz="4" w:space="0" w:color="auto"/>
              <w:right w:val="nil"/>
            </w:tcBorders>
            <w:shd w:val="clear" w:color="000000" w:fill="FFFFFF"/>
            <w:noWrap/>
          </w:tcPr>
          <w:p w14:paraId="4909618E" w14:textId="287A4DE8"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Scenario 1:  Increased Public Charging</w:t>
            </w:r>
          </w:p>
        </w:tc>
        <w:tc>
          <w:tcPr>
            <w:tcW w:w="1394" w:type="dxa"/>
            <w:tcBorders>
              <w:top w:val="nil"/>
              <w:left w:val="nil"/>
              <w:bottom w:val="single" w:sz="4" w:space="0" w:color="auto"/>
              <w:right w:val="nil"/>
            </w:tcBorders>
            <w:shd w:val="clear" w:color="000000" w:fill="FFFFFF"/>
            <w:noWrap/>
          </w:tcPr>
          <w:p w14:paraId="07F06566" w14:textId="770B923F"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 xml:space="preserve">Scenario 2: </w:t>
            </w:r>
            <w:r w:rsidRPr="00344906">
              <w:rPr>
                <w:sz w:val="20"/>
                <w:szCs w:val="20"/>
              </w:rPr>
              <w:t xml:space="preserve">Clean Vehicle (EV) </w:t>
            </w:r>
            <w:r w:rsidRPr="00344906">
              <w:rPr>
                <w:color w:val="000000"/>
                <w:sz w:val="20"/>
                <w:szCs w:val="20"/>
              </w:rPr>
              <w:t xml:space="preserve">Tax Credit </w:t>
            </w:r>
          </w:p>
        </w:tc>
        <w:tc>
          <w:tcPr>
            <w:tcW w:w="1636" w:type="dxa"/>
            <w:tcBorders>
              <w:top w:val="nil"/>
              <w:left w:val="nil"/>
              <w:bottom w:val="single" w:sz="4" w:space="0" w:color="auto"/>
              <w:right w:val="nil"/>
            </w:tcBorders>
            <w:shd w:val="clear" w:color="000000" w:fill="FFFFFF"/>
            <w:noWrap/>
          </w:tcPr>
          <w:p w14:paraId="2C6EA13E" w14:textId="11F67A58" w:rsidR="003A162E" w:rsidRPr="00344906" w:rsidRDefault="003A162E" w:rsidP="003A162E">
            <w:pPr>
              <w:spacing w:after="0" w:line="240" w:lineRule="auto"/>
              <w:ind w:firstLine="0"/>
              <w:rPr>
                <w:rFonts w:eastAsia="Times New Roman"/>
                <w:b/>
                <w:bCs/>
                <w:sz w:val="20"/>
                <w:szCs w:val="20"/>
              </w:rPr>
            </w:pPr>
            <w:r w:rsidRPr="00344906">
              <w:rPr>
                <w:color w:val="000000"/>
                <w:sz w:val="20"/>
                <w:szCs w:val="20"/>
              </w:rPr>
              <w:t xml:space="preserve">Scenario 3 </w:t>
            </w:r>
            <w:r w:rsidRPr="00344906">
              <w:rPr>
                <w:sz w:val="20"/>
                <w:szCs w:val="20"/>
              </w:rPr>
              <w:t>Clean Vehicle (EV)</w:t>
            </w:r>
            <w:r w:rsidRPr="00344906">
              <w:rPr>
                <w:color w:val="000000"/>
                <w:sz w:val="20"/>
                <w:szCs w:val="20"/>
              </w:rPr>
              <w:t xml:space="preserve"> Tax Credit</w:t>
            </w:r>
            <w:r w:rsidRPr="00344906">
              <w:rPr>
                <w:sz w:val="20"/>
                <w:szCs w:val="20"/>
              </w:rPr>
              <w:t xml:space="preserve"> </w:t>
            </w:r>
            <w:r w:rsidRPr="00344906">
              <w:rPr>
                <w:rFonts w:eastAsia="Times New Roman"/>
                <w:color w:val="000000"/>
                <w:sz w:val="20"/>
                <w:szCs w:val="20"/>
              </w:rPr>
              <w:t xml:space="preserve">&amp; Better Charging </w:t>
            </w:r>
          </w:p>
        </w:tc>
      </w:tr>
      <w:tr w:rsidR="00A9094B" w:rsidRPr="00344906" w14:paraId="01BB93E3" w14:textId="77777777" w:rsidTr="00CF771E">
        <w:trPr>
          <w:trHeight w:val="315"/>
        </w:trPr>
        <w:tc>
          <w:tcPr>
            <w:tcW w:w="2430" w:type="dxa"/>
            <w:tcBorders>
              <w:top w:val="single" w:sz="4" w:space="0" w:color="auto"/>
              <w:left w:val="nil"/>
              <w:bottom w:val="nil"/>
            </w:tcBorders>
            <w:shd w:val="clear" w:color="000000" w:fill="FFFFFF"/>
            <w:noWrap/>
            <w:vAlign w:val="bottom"/>
            <w:hideMark/>
          </w:tcPr>
          <w:p w14:paraId="2591C10E" w14:textId="4B3C361B" w:rsidR="00A9094B" w:rsidRPr="00344906" w:rsidRDefault="00A9094B" w:rsidP="00A9094B">
            <w:pPr>
              <w:spacing w:after="0" w:line="240" w:lineRule="auto"/>
              <w:ind w:firstLine="0"/>
              <w:rPr>
                <w:rFonts w:eastAsia="Times New Roman"/>
                <w:b/>
                <w:bCs/>
                <w:color w:val="000000"/>
                <w:sz w:val="20"/>
                <w:szCs w:val="20"/>
              </w:rPr>
            </w:pPr>
            <w:r w:rsidRPr="00344906">
              <w:rPr>
                <w:rFonts w:eastAsia="Times New Roman"/>
                <w:b/>
                <w:bCs/>
                <w:color w:val="000000"/>
                <w:sz w:val="20"/>
                <w:szCs w:val="20"/>
              </w:rPr>
              <w:t>Transportation sector</w:t>
            </w:r>
          </w:p>
        </w:tc>
        <w:tc>
          <w:tcPr>
            <w:tcW w:w="1145" w:type="dxa"/>
            <w:tcBorders>
              <w:top w:val="single" w:sz="4" w:space="0" w:color="auto"/>
              <w:bottom w:val="nil"/>
            </w:tcBorders>
            <w:shd w:val="clear" w:color="auto" w:fill="auto"/>
            <w:noWrap/>
            <w:vAlign w:val="bottom"/>
            <w:hideMark/>
          </w:tcPr>
          <w:p w14:paraId="63A808BB" w14:textId="626D9871"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74,401</w:t>
            </w:r>
          </w:p>
        </w:tc>
        <w:tc>
          <w:tcPr>
            <w:tcW w:w="1285" w:type="dxa"/>
            <w:tcBorders>
              <w:top w:val="single" w:sz="4" w:space="0" w:color="auto"/>
              <w:bottom w:val="nil"/>
            </w:tcBorders>
            <w:shd w:val="clear" w:color="000000" w:fill="FFFFFF"/>
            <w:noWrap/>
            <w:vAlign w:val="bottom"/>
            <w:hideMark/>
          </w:tcPr>
          <w:p w14:paraId="4063D52F" w14:textId="7D089910"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-57</w:t>
            </w:r>
          </w:p>
        </w:tc>
        <w:tc>
          <w:tcPr>
            <w:tcW w:w="1350" w:type="dxa"/>
            <w:tcBorders>
              <w:top w:val="single" w:sz="4" w:space="0" w:color="auto"/>
              <w:bottom w:val="nil"/>
            </w:tcBorders>
            <w:shd w:val="clear" w:color="000000" w:fill="FFFFFF"/>
            <w:noWrap/>
            <w:vAlign w:val="bottom"/>
            <w:hideMark/>
          </w:tcPr>
          <w:p w14:paraId="50F65174" w14:textId="61EF37AF"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-143</w:t>
            </w:r>
          </w:p>
        </w:tc>
        <w:tc>
          <w:tcPr>
            <w:tcW w:w="1710" w:type="dxa"/>
            <w:tcBorders>
              <w:top w:val="single" w:sz="4" w:space="0" w:color="auto"/>
              <w:bottom w:val="nil"/>
              <w:right w:val="single" w:sz="4" w:space="0" w:color="auto"/>
            </w:tcBorders>
            <w:shd w:val="clear" w:color="000000" w:fill="FFFFFF"/>
            <w:noWrap/>
            <w:vAlign w:val="bottom"/>
            <w:hideMark/>
          </w:tcPr>
          <w:p w14:paraId="149F9FC4" w14:textId="525C3E56"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-166</w:t>
            </w:r>
          </w:p>
        </w:tc>
        <w:tc>
          <w:tcPr>
            <w:tcW w:w="1126" w:type="dxa"/>
            <w:tcBorders>
              <w:top w:val="single" w:sz="4" w:space="0" w:color="auto"/>
              <w:left w:val="single" w:sz="4" w:space="0" w:color="auto"/>
              <w:bottom w:val="nil"/>
            </w:tcBorders>
            <w:shd w:val="clear" w:color="auto" w:fill="auto"/>
            <w:noWrap/>
            <w:vAlign w:val="bottom"/>
            <w:hideMark/>
          </w:tcPr>
          <w:p w14:paraId="4AC0E6C3" w14:textId="4EF48868"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73,623</w:t>
            </w:r>
          </w:p>
        </w:tc>
        <w:tc>
          <w:tcPr>
            <w:tcW w:w="1260" w:type="dxa"/>
            <w:tcBorders>
              <w:top w:val="single" w:sz="4" w:space="0" w:color="auto"/>
              <w:bottom w:val="nil"/>
            </w:tcBorders>
            <w:shd w:val="clear" w:color="000000" w:fill="FFFFFF"/>
            <w:noWrap/>
            <w:vAlign w:val="bottom"/>
            <w:hideMark/>
          </w:tcPr>
          <w:p w14:paraId="6561A865" w14:textId="2E4DBE6C"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-108</w:t>
            </w:r>
          </w:p>
        </w:tc>
        <w:tc>
          <w:tcPr>
            <w:tcW w:w="1394" w:type="dxa"/>
            <w:tcBorders>
              <w:top w:val="single" w:sz="4" w:space="0" w:color="auto"/>
              <w:bottom w:val="nil"/>
            </w:tcBorders>
            <w:shd w:val="clear" w:color="000000" w:fill="FFFFFF"/>
            <w:noWrap/>
            <w:vAlign w:val="bottom"/>
            <w:hideMark/>
          </w:tcPr>
          <w:p w14:paraId="6E86178F" w14:textId="44BE0F09"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-329</w:t>
            </w:r>
          </w:p>
        </w:tc>
        <w:tc>
          <w:tcPr>
            <w:tcW w:w="1636" w:type="dxa"/>
            <w:tcBorders>
              <w:top w:val="single" w:sz="4" w:space="0" w:color="auto"/>
              <w:bottom w:val="nil"/>
              <w:right w:val="nil"/>
            </w:tcBorders>
            <w:shd w:val="clear" w:color="000000" w:fill="FFFFFF"/>
            <w:noWrap/>
            <w:vAlign w:val="bottom"/>
            <w:hideMark/>
          </w:tcPr>
          <w:p w14:paraId="2942C63B" w14:textId="032CF379"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-281</w:t>
            </w:r>
          </w:p>
        </w:tc>
      </w:tr>
      <w:tr w:rsidR="00A9094B" w:rsidRPr="00344906" w14:paraId="37279CE9" w14:textId="77777777" w:rsidTr="00CF771E">
        <w:trPr>
          <w:trHeight w:val="315"/>
        </w:trPr>
        <w:tc>
          <w:tcPr>
            <w:tcW w:w="2430" w:type="dxa"/>
            <w:tcBorders>
              <w:left w:val="nil"/>
              <w:bottom w:val="nil"/>
            </w:tcBorders>
            <w:shd w:val="clear" w:color="000000" w:fill="FFFFFF"/>
            <w:noWrap/>
            <w:vAlign w:val="bottom"/>
          </w:tcPr>
          <w:p w14:paraId="6BD5D9B5" w14:textId="0B5F0796" w:rsidR="00A9094B" w:rsidRPr="00344906" w:rsidRDefault="00A9094B" w:rsidP="00A9094B">
            <w:pPr>
              <w:spacing w:after="0" w:line="240" w:lineRule="auto"/>
              <w:ind w:firstLine="0"/>
              <w:rPr>
                <w:rFonts w:eastAsia="Times New Roman"/>
                <w:color w:val="000000"/>
                <w:sz w:val="20"/>
                <w:szCs w:val="20"/>
              </w:rPr>
            </w:pPr>
            <w:proofErr w:type="gramStart"/>
            <w:r w:rsidRPr="00344906">
              <w:rPr>
                <w:color w:val="000000"/>
                <w:sz w:val="20"/>
                <w:szCs w:val="20"/>
              </w:rPr>
              <w:t>VKT  consumers</w:t>
            </w:r>
            <w:proofErr w:type="gramEnd"/>
          </w:p>
        </w:tc>
        <w:tc>
          <w:tcPr>
            <w:tcW w:w="1145" w:type="dxa"/>
            <w:tcBorders>
              <w:bottom w:val="nil"/>
            </w:tcBorders>
            <w:shd w:val="clear" w:color="auto" w:fill="auto"/>
            <w:noWrap/>
            <w:vAlign w:val="bottom"/>
          </w:tcPr>
          <w:p w14:paraId="060DDACF" w14:textId="7DFFB149" w:rsidR="00A9094B" w:rsidRPr="00344906" w:rsidRDefault="00A9094B" w:rsidP="00A9094B">
            <w:pPr>
              <w:spacing w:after="0" w:line="240" w:lineRule="auto"/>
              <w:ind w:firstLine="0"/>
              <w:jc w:val="right"/>
              <w:rPr>
                <w:rFonts w:eastAsia="Times New Roman"/>
                <w:sz w:val="20"/>
                <w:szCs w:val="20"/>
              </w:rPr>
            </w:pPr>
            <w:r w:rsidRPr="00344906">
              <w:rPr>
                <w:sz w:val="20"/>
                <w:szCs w:val="20"/>
              </w:rPr>
              <w:t>67,857</w:t>
            </w:r>
          </w:p>
        </w:tc>
        <w:tc>
          <w:tcPr>
            <w:tcW w:w="1285" w:type="dxa"/>
            <w:tcBorders>
              <w:bottom w:val="nil"/>
            </w:tcBorders>
            <w:shd w:val="clear" w:color="000000" w:fill="FFFFFF"/>
            <w:noWrap/>
            <w:vAlign w:val="bottom"/>
          </w:tcPr>
          <w:p w14:paraId="5C8FF9F5" w14:textId="55413388" w:rsidR="00A9094B" w:rsidRPr="00344906" w:rsidRDefault="00A9094B" w:rsidP="00A9094B">
            <w:pPr>
              <w:spacing w:after="0" w:line="240" w:lineRule="auto"/>
              <w:ind w:firstLine="0"/>
              <w:jc w:val="right"/>
              <w:rPr>
                <w:rFonts w:eastAsia="Times New Roman"/>
                <w:sz w:val="20"/>
                <w:szCs w:val="20"/>
              </w:rPr>
            </w:pPr>
            <w:r w:rsidRPr="00344906">
              <w:rPr>
                <w:sz w:val="20"/>
                <w:szCs w:val="20"/>
              </w:rPr>
              <w:t>-7</w:t>
            </w:r>
          </w:p>
        </w:tc>
        <w:tc>
          <w:tcPr>
            <w:tcW w:w="1350" w:type="dxa"/>
            <w:tcBorders>
              <w:bottom w:val="nil"/>
            </w:tcBorders>
            <w:shd w:val="clear" w:color="000000" w:fill="FFFFFF"/>
            <w:noWrap/>
            <w:vAlign w:val="bottom"/>
          </w:tcPr>
          <w:p w14:paraId="1A752624" w14:textId="4162C58B" w:rsidR="00A9094B" w:rsidRPr="00344906" w:rsidRDefault="00A9094B" w:rsidP="00A9094B">
            <w:pPr>
              <w:spacing w:after="0" w:line="240" w:lineRule="auto"/>
              <w:ind w:firstLine="0"/>
              <w:jc w:val="right"/>
              <w:rPr>
                <w:rFonts w:eastAsia="Times New Roman"/>
                <w:sz w:val="20"/>
                <w:szCs w:val="20"/>
              </w:rPr>
            </w:pPr>
            <w:r w:rsidRPr="00344906">
              <w:rPr>
                <w:sz w:val="20"/>
                <w:szCs w:val="20"/>
              </w:rPr>
              <w:t>-125</w:t>
            </w:r>
          </w:p>
        </w:tc>
        <w:tc>
          <w:tcPr>
            <w:tcW w:w="1710" w:type="dxa"/>
            <w:tcBorders>
              <w:bottom w:val="nil"/>
              <w:right w:val="single" w:sz="4" w:space="0" w:color="auto"/>
            </w:tcBorders>
            <w:shd w:val="clear" w:color="000000" w:fill="FFFFFF"/>
            <w:noWrap/>
            <w:vAlign w:val="bottom"/>
          </w:tcPr>
          <w:p w14:paraId="1B44E967" w14:textId="054136DF" w:rsidR="00A9094B" w:rsidRPr="00344906" w:rsidRDefault="00A9094B" w:rsidP="00A9094B">
            <w:pPr>
              <w:spacing w:after="0" w:line="240" w:lineRule="auto"/>
              <w:ind w:firstLine="0"/>
              <w:jc w:val="right"/>
              <w:rPr>
                <w:rFonts w:eastAsia="Times New Roman"/>
                <w:sz w:val="20"/>
                <w:szCs w:val="20"/>
              </w:rPr>
            </w:pPr>
            <w:r w:rsidRPr="00344906">
              <w:rPr>
                <w:sz w:val="20"/>
                <w:szCs w:val="20"/>
              </w:rPr>
              <w:t>-127</w:t>
            </w:r>
          </w:p>
        </w:tc>
        <w:tc>
          <w:tcPr>
            <w:tcW w:w="1126" w:type="dxa"/>
            <w:tcBorders>
              <w:left w:val="single" w:sz="4" w:space="0" w:color="auto"/>
              <w:bottom w:val="nil"/>
            </w:tcBorders>
            <w:shd w:val="clear" w:color="auto" w:fill="auto"/>
            <w:noWrap/>
            <w:vAlign w:val="bottom"/>
          </w:tcPr>
          <w:p w14:paraId="3DBAE258" w14:textId="31E2C687" w:rsidR="00A9094B" w:rsidRPr="00344906" w:rsidRDefault="00A9094B" w:rsidP="00A9094B">
            <w:pPr>
              <w:spacing w:after="0" w:line="240" w:lineRule="auto"/>
              <w:ind w:firstLine="0"/>
              <w:jc w:val="right"/>
              <w:rPr>
                <w:rFonts w:eastAsia="Times New Roman"/>
                <w:sz w:val="20"/>
                <w:szCs w:val="20"/>
              </w:rPr>
            </w:pPr>
            <w:r w:rsidRPr="00344906">
              <w:rPr>
                <w:sz w:val="20"/>
                <w:szCs w:val="20"/>
              </w:rPr>
              <w:t>67,045</w:t>
            </w:r>
          </w:p>
        </w:tc>
        <w:tc>
          <w:tcPr>
            <w:tcW w:w="1260" w:type="dxa"/>
            <w:tcBorders>
              <w:bottom w:val="nil"/>
            </w:tcBorders>
            <w:shd w:val="clear" w:color="000000" w:fill="FFFFFF"/>
            <w:noWrap/>
            <w:vAlign w:val="bottom"/>
          </w:tcPr>
          <w:p w14:paraId="458A2036" w14:textId="63E707C0" w:rsidR="00A9094B" w:rsidRPr="00344906" w:rsidRDefault="00A9094B" w:rsidP="00A9094B">
            <w:pPr>
              <w:spacing w:after="0" w:line="240" w:lineRule="auto"/>
              <w:ind w:firstLine="0"/>
              <w:jc w:val="right"/>
              <w:rPr>
                <w:rFonts w:eastAsia="Times New Roman"/>
                <w:sz w:val="20"/>
                <w:szCs w:val="20"/>
              </w:rPr>
            </w:pPr>
            <w:r w:rsidRPr="00344906">
              <w:rPr>
                <w:sz w:val="20"/>
                <w:szCs w:val="20"/>
              </w:rPr>
              <w:t>-22</w:t>
            </w:r>
          </w:p>
        </w:tc>
        <w:tc>
          <w:tcPr>
            <w:tcW w:w="1394" w:type="dxa"/>
            <w:tcBorders>
              <w:bottom w:val="nil"/>
            </w:tcBorders>
            <w:shd w:val="clear" w:color="000000" w:fill="FFFFFF"/>
            <w:noWrap/>
            <w:vAlign w:val="bottom"/>
          </w:tcPr>
          <w:p w14:paraId="5F029414" w14:textId="3121415E" w:rsidR="00A9094B" w:rsidRPr="00344906" w:rsidRDefault="00A9094B" w:rsidP="00A9094B">
            <w:pPr>
              <w:spacing w:after="0" w:line="240" w:lineRule="auto"/>
              <w:ind w:firstLine="0"/>
              <w:jc w:val="right"/>
              <w:rPr>
                <w:rFonts w:eastAsia="Times New Roman"/>
                <w:sz w:val="20"/>
                <w:szCs w:val="20"/>
              </w:rPr>
            </w:pPr>
            <w:r w:rsidRPr="00344906">
              <w:rPr>
                <w:sz w:val="20"/>
                <w:szCs w:val="20"/>
              </w:rPr>
              <w:t>-177</w:t>
            </w:r>
          </w:p>
        </w:tc>
        <w:tc>
          <w:tcPr>
            <w:tcW w:w="1636" w:type="dxa"/>
            <w:tcBorders>
              <w:bottom w:val="nil"/>
              <w:right w:val="nil"/>
            </w:tcBorders>
            <w:shd w:val="clear" w:color="000000" w:fill="FFFFFF"/>
            <w:noWrap/>
            <w:vAlign w:val="bottom"/>
          </w:tcPr>
          <w:p w14:paraId="00F7A2A7" w14:textId="63D58D36" w:rsidR="00A9094B" w:rsidRPr="00344906" w:rsidRDefault="00A9094B" w:rsidP="00A9094B">
            <w:pPr>
              <w:spacing w:after="0" w:line="240" w:lineRule="auto"/>
              <w:ind w:firstLine="0"/>
              <w:jc w:val="right"/>
              <w:rPr>
                <w:rFonts w:eastAsia="Times New Roman"/>
                <w:sz w:val="20"/>
                <w:szCs w:val="20"/>
              </w:rPr>
            </w:pPr>
            <w:r w:rsidRPr="00344906">
              <w:rPr>
                <w:sz w:val="20"/>
                <w:szCs w:val="20"/>
              </w:rPr>
              <w:t>-178</w:t>
            </w:r>
          </w:p>
        </w:tc>
      </w:tr>
      <w:tr w:rsidR="00A9094B" w:rsidRPr="00344906" w14:paraId="7351F99E" w14:textId="77777777" w:rsidTr="00CF771E">
        <w:trPr>
          <w:trHeight w:val="315"/>
        </w:trPr>
        <w:tc>
          <w:tcPr>
            <w:tcW w:w="2430" w:type="dxa"/>
            <w:tcBorders>
              <w:left w:val="nil"/>
              <w:bottom w:val="nil"/>
            </w:tcBorders>
            <w:shd w:val="clear" w:color="000000" w:fill="FFFFFF"/>
            <w:noWrap/>
            <w:vAlign w:val="bottom"/>
          </w:tcPr>
          <w:p w14:paraId="43156E13" w14:textId="12973732" w:rsidR="00A9094B" w:rsidRPr="00344906" w:rsidRDefault="00A9094B" w:rsidP="00A9094B">
            <w:pPr>
              <w:spacing w:after="0" w:line="240" w:lineRule="auto"/>
              <w:ind w:firstLine="248"/>
              <w:rPr>
                <w:rFonts w:eastAsia="Times New Roman"/>
                <w:i/>
                <w:iCs/>
                <w:color w:val="000000"/>
                <w:sz w:val="20"/>
                <w:szCs w:val="20"/>
              </w:rPr>
            </w:pPr>
            <w:r w:rsidRPr="00344906">
              <w:rPr>
                <w:i/>
                <w:iCs/>
                <w:color w:val="000000"/>
                <w:sz w:val="20"/>
                <w:szCs w:val="20"/>
              </w:rPr>
              <w:t>CV</w:t>
            </w:r>
          </w:p>
        </w:tc>
        <w:tc>
          <w:tcPr>
            <w:tcW w:w="1145" w:type="dxa"/>
            <w:tcBorders>
              <w:bottom w:val="nil"/>
            </w:tcBorders>
            <w:shd w:val="clear" w:color="auto" w:fill="auto"/>
            <w:noWrap/>
            <w:vAlign w:val="bottom"/>
          </w:tcPr>
          <w:p w14:paraId="282CB9FA" w14:textId="4E2D4631" w:rsidR="00A9094B" w:rsidRPr="00344906" w:rsidRDefault="00A9094B" w:rsidP="00A9094B">
            <w:pPr>
              <w:spacing w:after="0" w:line="240" w:lineRule="auto"/>
              <w:ind w:firstLine="0"/>
              <w:jc w:val="right"/>
              <w:rPr>
                <w:rFonts w:eastAsia="Times New Roman"/>
                <w:sz w:val="20"/>
                <w:szCs w:val="20"/>
              </w:rPr>
            </w:pPr>
            <w:r w:rsidRPr="00344906">
              <w:rPr>
                <w:sz w:val="20"/>
                <w:szCs w:val="20"/>
              </w:rPr>
              <w:t>55,361</w:t>
            </w:r>
          </w:p>
        </w:tc>
        <w:tc>
          <w:tcPr>
            <w:tcW w:w="1285" w:type="dxa"/>
            <w:tcBorders>
              <w:bottom w:val="nil"/>
            </w:tcBorders>
            <w:shd w:val="clear" w:color="000000" w:fill="FFFFFF"/>
            <w:noWrap/>
            <w:vAlign w:val="bottom"/>
          </w:tcPr>
          <w:p w14:paraId="56E774F3" w14:textId="39EA9527" w:rsidR="00A9094B" w:rsidRPr="00344906" w:rsidRDefault="00A9094B" w:rsidP="00A9094B">
            <w:pPr>
              <w:spacing w:after="0" w:line="240" w:lineRule="auto"/>
              <w:ind w:firstLine="0"/>
              <w:jc w:val="right"/>
              <w:rPr>
                <w:rFonts w:eastAsia="Times New Roman"/>
                <w:sz w:val="20"/>
                <w:szCs w:val="20"/>
              </w:rPr>
            </w:pPr>
            <w:r w:rsidRPr="00344906">
              <w:rPr>
                <w:sz w:val="20"/>
                <w:szCs w:val="20"/>
              </w:rPr>
              <w:t>-1,095</w:t>
            </w:r>
          </w:p>
        </w:tc>
        <w:tc>
          <w:tcPr>
            <w:tcW w:w="1350" w:type="dxa"/>
            <w:tcBorders>
              <w:bottom w:val="nil"/>
            </w:tcBorders>
            <w:shd w:val="clear" w:color="000000" w:fill="FFFFFF"/>
            <w:noWrap/>
            <w:vAlign w:val="bottom"/>
          </w:tcPr>
          <w:p w14:paraId="087E72E9" w14:textId="7768BA5A" w:rsidR="00A9094B" w:rsidRPr="00344906" w:rsidRDefault="00A9094B" w:rsidP="00A9094B">
            <w:pPr>
              <w:spacing w:after="0" w:line="240" w:lineRule="auto"/>
              <w:ind w:firstLine="0"/>
              <w:jc w:val="right"/>
              <w:rPr>
                <w:rFonts w:eastAsia="Times New Roman"/>
                <w:sz w:val="20"/>
                <w:szCs w:val="20"/>
              </w:rPr>
            </w:pPr>
            <w:r w:rsidRPr="00344906">
              <w:rPr>
                <w:sz w:val="20"/>
                <w:szCs w:val="20"/>
              </w:rPr>
              <w:t>-5,713</w:t>
            </w:r>
          </w:p>
        </w:tc>
        <w:tc>
          <w:tcPr>
            <w:tcW w:w="1710" w:type="dxa"/>
            <w:tcBorders>
              <w:bottom w:val="nil"/>
              <w:right w:val="single" w:sz="4" w:space="0" w:color="auto"/>
            </w:tcBorders>
            <w:shd w:val="clear" w:color="000000" w:fill="FFFFFF"/>
            <w:noWrap/>
            <w:vAlign w:val="bottom"/>
          </w:tcPr>
          <w:p w14:paraId="760B05F2" w14:textId="07C20FF3" w:rsidR="00A9094B" w:rsidRPr="00344906" w:rsidRDefault="00A9094B" w:rsidP="00A9094B">
            <w:pPr>
              <w:spacing w:after="0" w:line="240" w:lineRule="auto"/>
              <w:ind w:firstLine="0"/>
              <w:jc w:val="right"/>
              <w:rPr>
                <w:rFonts w:eastAsia="Times New Roman"/>
                <w:sz w:val="20"/>
                <w:szCs w:val="20"/>
              </w:rPr>
            </w:pPr>
            <w:r w:rsidRPr="00344906">
              <w:rPr>
                <w:sz w:val="20"/>
                <w:szCs w:val="20"/>
              </w:rPr>
              <w:t>-6,745</w:t>
            </w:r>
          </w:p>
        </w:tc>
        <w:tc>
          <w:tcPr>
            <w:tcW w:w="1126" w:type="dxa"/>
            <w:tcBorders>
              <w:left w:val="single" w:sz="4" w:space="0" w:color="auto"/>
              <w:bottom w:val="nil"/>
            </w:tcBorders>
            <w:shd w:val="clear" w:color="auto" w:fill="auto"/>
            <w:noWrap/>
            <w:vAlign w:val="bottom"/>
          </w:tcPr>
          <w:p w14:paraId="1FF002B0" w14:textId="3AEA9D7E" w:rsidR="00A9094B" w:rsidRPr="00344906" w:rsidRDefault="00A9094B" w:rsidP="00A9094B">
            <w:pPr>
              <w:spacing w:after="0" w:line="240" w:lineRule="auto"/>
              <w:ind w:firstLine="0"/>
              <w:jc w:val="right"/>
              <w:rPr>
                <w:rFonts w:eastAsia="Times New Roman"/>
                <w:sz w:val="20"/>
                <w:szCs w:val="20"/>
              </w:rPr>
            </w:pPr>
            <w:r w:rsidRPr="00344906">
              <w:rPr>
                <w:sz w:val="20"/>
                <w:szCs w:val="20"/>
              </w:rPr>
              <w:t>40,093</w:t>
            </w:r>
          </w:p>
        </w:tc>
        <w:tc>
          <w:tcPr>
            <w:tcW w:w="1260" w:type="dxa"/>
            <w:tcBorders>
              <w:bottom w:val="nil"/>
            </w:tcBorders>
            <w:shd w:val="clear" w:color="000000" w:fill="FFFFFF"/>
            <w:noWrap/>
            <w:vAlign w:val="bottom"/>
          </w:tcPr>
          <w:p w14:paraId="55A3D175" w14:textId="55A8B7CC" w:rsidR="00A9094B" w:rsidRPr="00344906" w:rsidRDefault="00A9094B" w:rsidP="00A9094B">
            <w:pPr>
              <w:spacing w:after="0" w:line="240" w:lineRule="auto"/>
              <w:ind w:firstLine="0"/>
              <w:jc w:val="right"/>
              <w:rPr>
                <w:rFonts w:eastAsia="Times New Roman"/>
                <w:sz w:val="20"/>
                <w:szCs w:val="20"/>
              </w:rPr>
            </w:pPr>
            <w:r w:rsidRPr="00344906">
              <w:rPr>
                <w:sz w:val="20"/>
                <w:szCs w:val="20"/>
              </w:rPr>
              <w:t>-957</w:t>
            </w:r>
          </w:p>
        </w:tc>
        <w:tc>
          <w:tcPr>
            <w:tcW w:w="1394" w:type="dxa"/>
            <w:tcBorders>
              <w:bottom w:val="nil"/>
            </w:tcBorders>
            <w:shd w:val="clear" w:color="000000" w:fill="FFFFFF"/>
            <w:noWrap/>
            <w:vAlign w:val="bottom"/>
          </w:tcPr>
          <w:p w14:paraId="08A76633" w14:textId="44A002D2" w:rsidR="00A9094B" w:rsidRPr="00344906" w:rsidRDefault="00A9094B" w:rsidP="00A9094B">
            <w:pPr>
              <w:spacing w:after="0" w:line="240" w:lineRule="auto"/>
              <w:ind w:firstLine="0"/>
              <w:jc w:val="right"/>
              <w:rPr>
                <w:rFonts w:eastAsia="Times New Roman"/>
                <w:sz w:val="20"/>
                <w:szCs w:val="20"/>
              </w:rPr>
            </w:pPr>
            <w:r w:rsidRPr="00344906">
              <w:rPr>
                <w:sz w:val="20"/>
                <w:szCs w:val="20"/>
              </w:rPr>
              <w:t>-7,792</w:t>
            </w:r>
          </w:p>
        </w:tc>
        <w:tc>
          <w:tcPr>
            <w:tcW w:w="1636" w:type="dxa"/>
            <w:tcBorders>
              <w:bottom w:val="nil"/>
              <w:right w:val="nil"/>
            </w:tcBorders>
            <w:shd w:val="clear" w:color="000000" w:fill="FFFFFF"/>
            <w:noWrap/>
            <w:vAlign w:val="bottom"/>
          </w:tcPr>
          <w:p w14:paraId="19086D33" w14:textId="499919D7" w:rsidR="00A9094B" w:rsidRPr="00344906" w:rsidRDefault="00A9094B" w:rsidP="00A9094B">
            <w:pPr>
              <w:spacing w:after="0" w:line="240" w:lineRule="auto"/>
              <w:ind w:firstLine="0"/>
              <w:jc w:val="right"/>
              <w:rPr>
                <w:rFonts w:eastAsia="Times New Roman"/>
                <w:sz w:val="20"/>
                <w:szCs w:val="20"/>
              </w:rPr>
            </w:pPr>
            <w:r w:rsidRPr="00344906">
              <w:rPr>
                <w:sz w:val="20"/>
                <w:szCs w:val="20"/>
              </w:rPr>
              <w:t>-8,214</w:t>
            </w:r>
          </w:p>
        </w:tc>
      </w:tr>
      <w:tr w:rsidR="00A9094B" w:rsidRPr="00344906" w14:paraId="2E5DCD80" w14:textId="77777777" w:rsidTr="00CF771E">
        <w:trPr>
          <w:trHeight w:val="315"/>
        </w:trPr>
        <w:tc>
          <w:tcPr>
            <w:tcW w:w="2430" w:type="dxa"/>
            <w:tcBorders>
              <w:left w:val="nil"/>
              <w:bottom w:val="nil"/>
            </w:tcBorders>
            <w:shd w:val="clear" w:color="000000" w:fill="FFFFFF"/>
            <w:noWrap/>
            <w:vAlign w:val="bottom"/>
          </w:tcPr>
          <w:p w14:paraId="69580D1B" w14:textId="118127FF" w:rsidR="00A9094B" w:rsidRPr="00344906" w:rsidRDefault="00A9094B" w:rsidP="00A9094B">
            <w:pPr>
              <w:spacing w:after="0" w:line="240" w:lineRule="auto"/>
              <w:ind w:firstLine="248"/>
              <w:rPr>
                <w:rFonts w:eastAsia="Times New Roman"/>
                <w:i/>
                <w:iCs/>
                <w:color w:val="000000"/>
                <w:sz w:val="20"/>
                <w:szCs w:val="20"/>
              </w:rPr>
            </w:pPr>
            <w:r w:rsidRPr="00344906">
              <w:rPr>
                <w:i/>
                <w:iCs/>
                <w:color w:val="000000"/>
                <w:sz w:val="20"/>
                <w:szCs w:val="20"/>
              </w:rPr>
              <w:t>FFV</w:t>
            </w:r>
          </w:p>
        </w:tc>
        <w:tc>
          <w:tcPr>
            <w:tcW w:w="1145" w:type="dxa"/>
            <w:tcBorders>
              <w:bottom w:val="nil"/>
            </w:tcBorders>
            <w:shd w:val="clear" w:color="auto" w:fill="auto"/>
            <w:noWrap/>
            <w:vAlign w:val="bottom"/>
          </w:tcPr>
          <w:p w14:paraId="71FBBB6B" w14:textId="22E821C7" w:rsidR="00A9094B" w:rsidRPr="00344906" w:rsidRDefault="00A9094B" w:rsidP="00A9094B">
            <w:pPr>
              <w:spacing w:after="0" w:line="240" w:lineRule="auto"/>
              <w:ind w:firstLine="0"/>
              <w:jc w:val="right"/>
              <w:rPr>
                <w:rFonts w:eastAsia="Times New Roman"/>
                <w:sz w:val="20"/>
                <w:szCs w:val="20"/>
              </w:rPr>
            </w:pPr>
            <w:r w:rsidRPr="00344906">
              <w:rPr>
                <w:sz w:val="20"/>
                <w:szCs w:val="20"/>
              </w:rPr>
              <w:t>4,977</w:t>
            </w:r>
          </w:p>
        </w:tc>
        <w:tc>
          <w:tcPr>
            <w:tcW w:w="1285" w:type="dxa"/>
            <w:tcBorders>
              <w:bottom w:val="nil"/>
            </w:tcBorders>
            <w:shd w:val="clear" w:color="000000" w:fill="FFFFFF"/>
            <w:noWrap/>
            <w:vAlign w:val="bottom"/>
          </w:tcPr>
          <w:p w14:paraId="6151E650" w14:textId="3E64955A" w:rsidR="00A9094B" w:rsidRPr="00344906" w:rsidRDefault="00A9094B" w:rsidP="00A9094B">
            <w:pPr>
              <w:spacing w:after="0" w:line="240" w:lineRule="auto"/>
              <w:ind w:firstLine="0"/>
              <w:jc w:val="right"/>
              <w:rPr>
                <w:rFonts w:eastAsia="Times New Roman"/>
                <w:sz w:val="20"/>
                <w:szCs w:val="20"/>
              </w:rPr>
            </w:pPr>
            <w:r w:rsidRPr="00344906">
              <w:rPr>
                <w:sz w:val="20"/>
                <w:szCs w:val="20"/>
              </w:rPr>
              <w:t>81</w:t>
            </w:r>
          </w:p>
        </w:tc>
        <w:tc>
          <w:tcPr>
            <w:tcW w:w="1350" w:type="dxa"/>
            <w:tcBorders>
              <w:bottom w:val="nil"/>
            </w:tcBorders>
            <w:shd w:val="clear" w:color="000000" w:fill="FFFFFF"/>
            <w:noWrap/>
            <w:vAlign w:val="bottom"/>
          </w:tcPr>
          <w:p w14:paraId="1DFD8160" w14:textId="33C2712B" w:rsidR="00A9094B" w:rsidRPr="00344906" w:rsidRDefault="00A9094B" w:rsidP="00A9094B">
            <w:pPr>
              <w:spacing w:after="0" w:line="240" w:lineRule="auto"/>
              <w:ind w:firstLine="0"/>
              <w:jc w:val="right"/>
              <w:rPr>
                <w:rFonts w:eastAsia="Times New Roman"/>
                <w:sz w:val="20"/>
                <w:szCs w:val="20"/>
              </w:rPr>
            </w:pPr>
            <w:r w:rsidRPr="00344906">
              <w:rPr>
                <w:sz w:val="20"/>
                <w:szCs w:val="20"/>
              </w:rPr>
              <w:t>1,079</w:t>
            </w:r>
          </w:p>
        </w:tc>
        <w:tc>
          <w:tcPr>
            <w:tcW w:w="1710" w:type="dxa"/>
            <w:tcBorders>
              <w:bottom w:val="nil"/>
              <w:right w:val="single" w:sz="4" w:space="0" w:color="auto"/>
            </w:tcBorders>
            <w:shd w:val="clear" w:color="000000" w:fill="FFFFFF"/>
            <w:noWrap/>
            <w:vAlign w:val="bottom"/>
          </w:tcPr>
          <w:p w14:paraId="21591273" w14:textId="457C3F6F" w:rsidR="00A9094B" w:rsidRPr="00344906" w:rsidRDefault="00A9094B" w:rsidP="00A9094B">
            <w:pPr>
              <w:spacing w:after="0" w:line="240" w:lineRule="auto"/>
              <w:ind w:firstLine="0"/>
              <w:jc w:val="right"/>
              <w:rPr>
                <w:rFonts w:eastAsia="Times New Roman"/>
                <w:sz w:val="20"/>
                <w:szCs w:val="20"/>
              </w:rPr>
            </w:pPr>
            <w:r w:rsidRPr="00344906">
              <w:rPr>
                <w:sz w:val="20"/>
                <w:szCs w:val="20"/>
              </w:rPr>
              <w:t>1,055</w:t>
            </w:r>
          </w:p>
        </w:tc>
        <w:tc>
          <w:tcPr>
            <w:tcW w:w="1126" w:type="dxa"/>
            <w:tcBorders>
              <w:left w:val="single" w:sz="4" w:space="0" w:color="auto"/>
              <w:bottom w:val="nil"/>
            </w:tcBorders>
            <w:shd w:val="clear" w:color="auto" w:fill="auto"/>
            <w:noWrap/>
            <w:vAlign w:val="bottom"/>
          </w:tcPr>
          <w:p w14:paraId="71257FB2" w14:textId="4A9A63BC" w:rsidR="00A9094B" w:rsidRPr="00344906" w:rsidRDefault="00A9094B" w:rsidP="00A9094B">
            <w:pPr>
              <w:spacing w:after="0" w:line="240" w:lineRule="auto"/>
              <w:ind w:firstLine="0"/>
              <w:jc w:val="right"/>
              <w:rPr>
                <w:rFonts w:eastAsia="Times New Roman"/>
                <w:sz w:val="20"/>
                <w:szCs w:val="20"/>
              </w:rPr>
            </w:pPr>
            <w:r w:rsidRPr="00344906">
              <w:rPr>
                <w:sz w:val="20"/>
                <w:szCs w:val="20"/>
              </w:rPr>
              <w:t>12,092</w:t>
            </w:r>
          </w:p>
        </w:tc>
        <w:tc>
          <w:tcPr>
            <w:tcW w:w="1260" w:type="dxa"/>
            <w:tcBorders>
              <w:bottom w:val="nil"/>
            </w:tcBorders>
            <w:shd w:val="clear" w:color="000000" w:fill="FFFFFF"/>
            <w:noWrap/>
            <w:vAlign w:val="bottom"/>
          </w:tcPr>
          <w:p w14:paraId="46A0B92A" w14:textId="1FF0F80B" w:rsidR="00A9094B" w:rsidRPr="00344906" w:rsidRDefault="00A9094B" w:rsidP="00A9094B">
            <w:pPr>
              <w:spacing w:after="0" w:line="240" w:lineRule="auto"/>
              <w:ind w:firstLine="0"/>
              <w:jc w:val="right"/>
              <w:rPr>
                <w:rFonts w:eastAsia="Times New Roman"/>
                <w:sz w:val="20"/>
                <w:szCs w:val="20"/>
              </w:rPr>
            </w:pPr>
            <w:r w:rsidRPr="00344906">
              <w:rPr>
                <w:sz w:val="20"/>
                <w:szCs w:val="20"/>
              </w:rPr>
              <w:t>1,032</w:t>
            </w:r>
          </w:p>
        </w:tc>
        <w:tc>
          <w:tcPr>
            <w:tcW w:w="1394" w:type="dxa"/>
            <w:tcBorders>
              <w:bottom w:val="nil"/>
            </w:tcBorders>
            <w:shd w:val="clear" w:color="000000" w:fill="FFFFFF"/>
            <w:noWrap/>
            <w:vAlign w:val="bottom"/>
          </w:tcPr>
          <w:p w14:paraId="1EEC5082" w14:textId="7A68822D" w:rsidR="00A9094B" w:rsidRPr="00344906" w:rsidRDefault="00A9094B" w:rsidP="00A9094B">
            <w:pPr>
              <w:spacing w:after="0" w:line="240" w:lineRule="auto"/>
              <w:ind w:firstLine="0"/>
              <w:jc w:val="right"/>
              <w:rPr>
                <w:rFonts w:eastAsia="Times New Roman"/>
                <w:sz w:val="20"/>
                <w:szCs w:val="20"/>
              </w:rPr>
            </w:pPr>
            <w:r w:rsidRPr="00344906">
              <w:rPr>
                <w:sz w:val="20"/>
                <w:szCs w:val="20"/>
              </w:rPr>
              <w:t>872</w:t>
            </w:r>
          </w:p>
        </w:tc>
        <w:tc>
          <w:tcPr>
            <w:tcW w:w="1636" w:type="dxa"/>
            <w:tcBorders>
              <w:bottom w:val="nil"/>
              <w:right w:val="nil"/>
            </w:tcBorders>
            <w:shd w:val="clear" w:color="000000" w:fill="FFFFFF"/>
            <w:noWrap/>
            <w:vAlign w:val="bottom"/>
          </w:tcPr>
          <w:p w14:paraId="6AD9534E" w14:textId="165703CB" w:rsidR="00A9094B" w:rsidRPr="00344906" w:rsidRDefault="00A9094B" w:rsidP="00A9094B">
            <w:pPr>
              <w:spacing w:after="0" w:line="240" w:lineRule="auto"/>
              <w:ind w:firstLine="0"/>
              <w:jc w:val="right"/>
              <w:rPr>
                <w:rFonts w:eastAsia="Times New Roman"/>
                <w:sz w:val="20"/>
                <w:szCs w:val="20"/>
              </w:rPr>
            </w:pPr>
            <w:r w:rsidRPr="00344906">
              <w:rPr>
                <w:sz w:val="20"/>
                <w:szCs w:val="20"/>
              </w:rPr>
              <w:t>639</w:t>
            </w:r>
          </w:p>
        </w:tc>
      </w:tr>
      <w:tr w:rsidR="00A9094B" w:rsidRPr="00344906" w14:paraId="3A325004" w14:textId="77777777" w:rsidTr="00CF771E">
        <w:trPr>
          <w:trHeight w:val="315"/>
        </w:trPr>
        <w:tc>
          <w:tcPr>
            <w:tcW w:w="2430" w:type="dxa"/>
            <w:tcBorders>
              <w:left w:val="nil"/>
              <w:bottom w:val="nil"/>
            </w:tcBorders>
            <w:shd w:val="clear" w:color="000000" w:fill="FFFFFF"/>
            <w:noWrap/>
            <w:vAlign w:val="bottom"/>
          </w:tcPr>
          <w:p w14:paraId="3A44BD76" w14:textId="23393793" w:rsidR="00A9094B" w:rsidRPr="00344906" w:rsidRDefault="00A9094B" w:rsidP="00A9094B">
            <w:pPr>
              <w:spacing w:after="0" w:line="240" w:lineRule="auto"/>
              <w:ind w:firstLine="248"/>
              <w:rPr>
                <w:rFonts w:eastAsia="Times New Roman"/>
                <w:i/>
                <w:iCs/>
                <w:color w:val="000000"/>
                <w:sz w:val="20"/>
                <w:szCs w:val="20"/>
              </w:rPr>
            </w:pPr>
            <w:r w:rsidRPr="00344906">
              <w:rPr>
                <w:i/>
                <w:iCs/>
                <w:color w:val="000000"/>
                <w:sz w:val="20"/>
                <w:szCs w:val="20"/>
              </w:rPr>
              <w:t>HBV</w:t>
            </w:r>
          </w:p>
        </w:tc>
        <w:tc>
          <w:tcPr>
            <w:tcW w:w="1145" w:type="dxa"/>
            <w:tcBorders>
              <w:bottom w:val="nil"/>
            </w:tcBorders>
            <w:shd w:val="clear" w:color="auto" w:fill="auto"/>
            <w:noWrap/>
            <w:vAlign w:val="bottom"/>
          </w:tcPr>
          <w:p w14:paraId="7A2523B1" w14:textId="6515B80D" w:rsidR="00A9094B" w:rsidRPr="00344906" w:rsidRDefault="00A9094B" w:rsidP="00A9094B">
            <w:pPr>
              <w:spacing w:after="0" w:line="240" w:lineRule="auto"/>
              <w:ind w:firstLine="0"/>
              <w:jc w:val="right"/>
              <w:rPr>
                <w:rFonts w:eastAsia="Times New Roman"/>
                <w:sz w:val="20"/>
                <w:szCs w:val="20"/>
              </w:rPr>
            </w:pPr>
            <w:r w:rsidRPr="00344906">
              <w:rPr>
                <w:sz w:val="20"/>
                <w:szCs w:val="20"/>
              </w:rPr>
              <w:t>2,643</w:t>
            </w:r>
          </w:p>
        </w:tc>
        <w:tc>
          <w:tcPr>
            <w:tcW w:w="1285" w:type="dxa"/>
            <w:tcBorders>
              <w:bottom w:val="nil"/>
            </w:tcBorders>
            <w:shd w:val="clear" w:color="000000" w:fill="FFFFFF"/>
            <w:noWrap/>
            <w:vAlign w:val="bottom"/>
          </w:tcPr>
          <w:p w14:paraId="7DD7369B" w14:textId="0D42A6AA" w:rsidR="00A9094B" w:rsidRPr="00344906" w:rsidRDefault="00A9094B" w:rsidP="00A9094B">
            <w:pPr>
              <w:spacing w:after="0" w:line="240" w:lineRule="auto"/>
              <w:ind w:firstLine="0"/>
              <w:jc w:val="right"/>
              <w:rPr>
                <w:rFonts w:eastAsia="Times New Roman"/>
                <w:sz w:val="20"/>
                <w:szCs w:val="20"/>
              </w:rPr>
            </w:pPr>
            <w:r w:rsidRPr="00344906">
              <w:rPr>
                <w:sz w:val="20"/>
                <w:szCs w:val="20"/>
              </w:rPr>
              <w:t>-157</w:t>
            </w:r>
          </w:p>
        </w:tc>
        <w:tc>
          <w:tcPr>
            <w:tcW w:w="1350" w:type="dxa"/>
            <w:tcBorders>
              <w:bottom w:val="nil"/>
            </w:tcBorders>
            <w:shd w:val="clear" w:color="000000" w:fill="FFFFFF"/>
            <w:noWrap/>
            <w:vAlign w:val="bottom"/>
          </w:tcPr>
          <w:p w14:paraId="4456DB82" w14:textId="5100765D" w:rsidR="00A9094B" w:rsidRPr="00344906" w:rsidRDefault="00A9094B" w:rsidP="00A9094B">
            <w:pPr>
              <w:spacing w:after="0" w:line="240" w:lineRule="auto"/>
              <w:ind w:firstLine="0"/>
              <w:jc w:val="right"/>
              <w:rPr>
                <w:rFonts w:eastAsia="Times New Roman"/>
                <w:sz w:val="20"/>
                <w:szCs w:val="20"/>
              </w:rPr>
            </w:pPr>
            <w:r w:rsidRPr="00344906">
              <w:rPr>
                <w:sz w:val="20"/>
                <w:szCs w:val="20"/>
              </w:rPr>
              <w:t>-511</w:t>
            </w:r>
          </w:p>
        </w:tc>
        <w:tc>
          <w:tcPr>
            <w:tcW w:w="1710" w:type="dxa"/>
            <w:tcBorders>
              <w:bottom w:val="nil"/>
              <w:right w:val="single" w:sz="4" w:space="0" w:color="auto"/>
            </w:tcBorders>
            <w:shd w:val="clear" w:color="000000" w:fill="FFFFFF"/>
            <w:noWrap/>
            <w:vAlign w:val="bottom"/>
          </w:tcPr>
          <w:p w14:paraId="532FE62A" w14:textId="19C9A6E1" w:rsidR="00A9094B" w:rsidRPr="00344906" w:rsidRDefault="00A9094B" w:rsidP="00A9094B">
            <w:pPr>
              <w:spacing w:after="0" w:line="240" w:lineRule="auto"/>
              <w:ind w:firstLine="0"/>
              <w:jc w:val="right"/>
              <w:rPr>
                <w:rFonts w:eastAsia="Times New Roman"/>
                <w:sz w:val="20"/>
                <w:szCs w:val="20"/>
              </w:rPr>
            </w:pPr>
            <w:r w:rsidRPr="00344906">
              <w:rPr>
                <w:sz w:val="20"/>
                <w:szCs w:val="20"/>
              </w:rPr>
              <w:t>-600</w:t>
            </w:r>
          </w:p>
        </w:tc>
        <w:tc>
          <w:tcPr>
            <w:tcW w:w="1126" w:type="dxa"/>
            <w:tcBorders>
              <w:left w:val="single" w:sz="4" w:space="0" w:color="auto"/>
              <w:bottom w:val="nil"/>
            </w:tcBorders>
            <w:shd w:val="clear" w:color="auto" w:fill="auto"/>
            <w:noWrap/>
            <w:vAlign w:val="bottom"/>
          </w:tcPr>
          <w:p w14:paraId="6F9DAE39" w14:textId="6813B817" w:rsidR="00A9094B" w:rsidRPr="00344906" w:rsidRDefault="00A9094B" w:rsidP="00A9094B">
            <w:pPr>
              <w:spacing w:after="0" w:line="240" w:lineRule="auto"/>
              <w:ind w:firstLine="0"/>
              <w:jc w:val="right"/>
              <w:rPr>
                <w:rFonts w:eastAsia="Times New Roman"/>
                <w:sz w:val="20"/>
                <w:szCs w:val="20"/>
              </w:rPr>
            </w:pPr>
            <w:r w:rsidRPr="00344906">
              <w:rPr>
                <w:sz w:val="20"/>
                <w:szCs w:val="20"/>
              </w:rPr>
              <w:t>10,424</w:t>
            </w:r>
          </w:p>
        </w:tc>
        <w:tc>
          <w:tcPr>
            <w:tcW w:w="1260" w:type="dxa"/>
            <w:tcBorders>
              <w:bottom w:val="nil"/>
            </w:tcBorders>
            <w:shd w:val="clear" w:color="000000" w:fill="FFFFFF"/>
            <w:noWrap/>
            <w:vAlign w:val="bottom"/>
          </w:tcPr>
          <w:p w14:paraId="0F31C02A" w14:textId="578A2697" w:rsidR="00A9094B" w:rsidRPr="00344906" w:rsidRDefault="00A9094B" w:rsidP="00A9094B">
            <w:pPr>
              <w:spacing w:after="0" w:line="240" w:lineRule="auto"/>
              <w:ind w:firstLine="0"/>
              <w:jc w:val="right"/>
              <w:rPr>
                <w:rFonts w:eastAsia="Times New Roman"/>
                <w:sz w:val="20"/>
                <w:szCs w:val="20"/>
              </w:rPr>
            </w:pPr>
            <w:r w:rsidRPr="00344906">
              <w:rPr>
                <w:sz w:val="20"/>
                <w:szCs w:val="20"/>
              </w:rPr>
              <w:t>-5,762</w:t>
            </w:r>
          </w:p>
        </w:tc>
        <w:tc>
          <w:tcPr>
            <w:tcW w:w="1394" w:type="dxa"/>
            <w:tcBorders>
              <w:bottom w:val="nil"/>
            </w:tcBorders>
            <w:shd w:val="clear" w:color="000000" w:fill="FFFFFF"/>
            <w:noWrap/>
            <w:vAlign w:val="bottom"/>
          </w:tcPr>
          <w:p w14:paraId="02A5BDB0" w14:textId="69F75FB2" w:rsidR="00A9094B" w:rsidRPr="00344906" w:rsidRDefault="00A9094B" w:rsidP="00A9094B">
            <w:pPr>
              <w:spacing w:after="0" w:line="240" w:lineRule="auto"/>
              <w:ind w:firstLine="0"/>
              <w:jc w:val="right"/>
              <w:rPr>
                <w:rFonts w:eastAsia="Times New Roman"/>
                <w:sz w:val="20"/>
                <w:szCs w:val="20"/>
              </w:rPr>
            </w:pPr>
            <w:r w:rsidRPr="00344906">
              <w:rPr>
                <w:sz w:val="20"/>
                <w:szCs w:val="20"/>
              </w:rPr>
              <w:t>-6,316</w:t>
            </w:r>
          </w:p>
        </w:tc>
        <w:tc>
          <w:tcPr>
            <w:tcW w:w="1636" w:type="dxa"/>
            <w:tcBorders>
              <w:bottom w:val="nil"/>
              <w:right w:val="nil"/>
            </w:tcBorders>
            <w:shd w:val="clear" w:color="000000" w:fill="FFFFFF"/>
            <w:noWrap/>
            <w:vAlign w:val="bottom"/>
          </w:tcPr>
          <w:p w14:paraId="2B6AC5C8" w14:textId="521F1EA2" w:rsidR="00A9094B" w:rsidRPr="00344906" w:rsidRDefault="00A9094B" w:rsidP="00A9094B">
            <w:pPr>
              <w:spacing w:after="0" w:line="240" w:lineRule="auto"/>
              <w:ind w:firstLine="0"/>
              <w:jc w:val="right"/>
              <w:rPr>
                <w:rFonts w:eastAsia="Times New Roman"/>
                <w:sz w:val="20"/>
                <w:szCs w:val="20"/>
              </w:rPr>
            </w:pPr>
            <w:r w:rsidRPr="00344906">
              <w:rPr>
                <w:sz w:val="20"/>
                <w:szCs w:val="20"/>
              </w:rPr>
              <w:t>-6,587</w:t>
            </w:r>
          </w:p>
        </w:tc>
      </w:tr>
      <w:tr w:rsidR="00A9094B" w:rsidRPr="00344906" w14:paraId="24D43670" w14:textId="77777777" w:rsidTr="00CF771E">
        <w:trPr>
          <w:trHeight w:val="315"/>
        </w:trPr>
        <w:tc>
          <w:tcPr>
            <w:tcW w:w="2430" w:type="dxa"/>
            <w:tcBorders>
              <w:left w:val="nil"/>
              <w:bottom w:val="nil"/>
            </w:tcBorders>
            <w:shd w:val="clear" w:color="000000" w:fill="FFFFFF"/>
            <w:noWrap/>
            <w:vAlign w:val="bottom"/>
          </w:tcPr>
          <w:p w14:paraId="17AC3770" w14:textId="0EE70712" w:rsidR="00A9094B" w:rsidRPr="00344906" w:rsidRDefault="00A9094B" w:rsidP="00A9094B">
            <w:pPr>
              <w:spacing w:after="0" w:line="240" w:lineRule="auto"/>
              <w:ind w:firstLine="248"/>
              <w:rPr>
                <w:rFonts w:eastAsia="Times New Roman"/>
                <w:i/>
                <w:iCs/>
                <w:color w:val="000000"/>
                <w:sz w:val="20"/>
                <w:szCs w:val="20"/>
              </w:rPr>
            </w:pPr>
            <w:r w:rsidRPr="00344906">
              <w:rPr>
                <w:i/>
                <w:iCs/>
                <w:color w:val="000000"/>
                <w:sz w:val="20"/>
                <w:szCs w:val="20"/>
              </w:rPr>
              <w:t>PHEV</w:t>
            </w:r>
          </w:p>
        </w:tc>
        <w:tc>
          <w:tcPr>
            <w:tcW w:w="1145" w:type="dxa"/>
            <w:tcBorders>
              <w:bottom w:val="nil"/>
            </w:tcBorders>
            <w:shd w:val="clear" w:color="auto" w:fill="auto"/>
            <w:noWrap/>
            <w:vAlign w:val="bottom"/>
          </w:tcPr>
          <w:p w14:paraId="44D78506" w14:textId="5006E553" w:rsidR="00A9094B" w:rsidRPr="00344906" w:rsidRDefault="00A9094B" w:rsidP="00A9094B">
            <w:pPr>
              <w:spacing w:after="0" w:line="240" w:lineRule="auto"/>
              <w:ind w:firstLine="0"/>
              <w:jc w:val="right"/>
              <w:rPr>
                <w:rFonts w:eastAsia="Times New Roman"/>
                <w:sz w:val="20"/>
                <w:szCs w:val="20"/>
              </w:rPr>
            </w:pPr>
            <w:r w:rsidRPr="00344906">
              <w:rPr>
                <w:sz w:val="20"/>
                <w:szCs w:val="20"/>
              </w:rPr>
              <w:t>1,277</w:t>
            </w:r>
          </w:p>
        </w:tc>
        <w:tc>
          <w:tcPr>
            <w:tcW w:w="1285" w:type="dxa"/>
            <w:tcBorders>
              <w:bottom w:val="nil"/>
            </w:tcBorders>
            <w:shd w:val="clear" w:color="000000" w:fill="FFFFFF"/>
            <w:noWrap/>
            <w:vAlign w:val="bottom"/>
          </w:tcPr>
          <w:p w14:paraId="1B172002" w14:textId="33988C4D" w:rsidR="00A9094B" w:rsidRPr="00344906" w:rsidRDefault="00A9094B" w:rsidP="00A9094B">
            <w:pPr>
              <w:spacing w:after="0" w:line="240" w:lineRule="auto"/>
              <w:ind w:firstLine="0"/>
              <w:jc w:val="right"/>
              <w:rPr>
                <w:rFonts w:eastAsia="Times New Roman"/>
                <w:sz w:val="20"/>
                <w:szCs w:val="20"/>
              </w:rPr>
            </w:pPr>
            <w:r w:rsidRPr="00344906">
              <w:rPr>
                <w:sz w:val="20"/>
                <w:szCs w:val="20"/>
              </w:rPr>
              <w:t>-33</w:t>
            </w:r>
          </w:p>
        </w:tc>
        <w:tc>
          <w:tcPr>
            <w:tcW w:w="1350" w:type="dxa"/>
            <w:tcBorders>
              <w:bottom w:val="nil"/>
            </w:tcBorders>
            <w:shd w:val="clear" w:color="000000" w:fill="FFFFFF"/>
            <w:noWrap/>
            <w:vAlign w:val="bottom"/>
          </w:tcPr>
          <w:p w14:paraId="6133A49F" w14:textId="7E4B3611" w:rsidR="00A9094B" w:rsidRPr="00344906" w:rsidRDefault="00A9094B" w:rsidP="00A9094B">
            <w:pPr>
              <w:spacing w:after="0" w:line="240" w:lineRule="auto"/>
              <w:ind w:firstLine="0"/>
              <w:jc w:val="right"/>
              <w:rPr>
                <w:rFonts w:eastAsia="Times New Roman"/>
                <w:sz w:val="20"/>
                <w:szCs w:val="20"/>
              </w:rPr>
            </w:pPr>
            <w:r w:rsidRPr="00344906">
              <w:rPr>
                <w:sz w:val="20"/>
                <w:szCs w:val="20"/>
              </w:rPr>
              <w:t>2</w:t>
            </w:r>
          </w:p>
        </w:tc>
        <w:tc>
          <w:tcPr>
            <w:tcW w:w="1710" w:type="dxa"/>
            <w:tcBorders>
              <w:bottom w:val="nil"/>
              <w:right w:val="single" w:sz="4" w:space="0" w:color="auto"/>
            </w:tcBorders>
            <w:shd w:val="clear" w:color="000000" w:fill="FFFFFF"/>
            <w:noWrap/>
            <w:vAlign w:val="bottom"/>
          </w:tcPr>
          <w:p w14:paraId="153F54EF" w14:textId="2666310C" w:rsidR="00A9094B" w:rsidRPr="00344906" w:rsidRDefault="00A9094B" w:rsidP="00A9094B">
            <w:pPr>
              <w:spacing w:after="0" w:line="240" w:lineRule="auto"/>
              <w:ind w:firstLine="0"/>
              <w:jc w:val="right"/>
              <w:rPr>
                <w:rFonts w:eastAsia="Times New Roman"/>
                <w:sz w:val="20"/>
                <w:szCs w:val="20"/>
              </w:rPr>
            </w:pPr>
            <w:r w:rsidRPr="00344906">
              <w:rPr>
                <w:sz w:val="20"/>
                <w:szCs w:val="20"/>
              </w:rPr>
              <w:t>-55</w:t>
            </w:r>
          </w:p>
        </w:tc>
        <w:tc>
          <w:tcPr>
            <w:tcW w:w="1126" w:type="dxa"/>
            <w:tcBorders>
              <w:left w:val="single" w:sz="4" w:space="0" w:color="auto"/>
              <w:bottom w:val="nil"/>
            </w:tcBorders>
            <w:shd w:val="clear" w:color="auto" w:fill="auto"/>
            <w:noWrap/>
            <w:vAlign w:val="bottom"/>
          </w:tcPr>
          <w:p w14:paraId="39AA2140" w14:textId="39747167" w:rsidR="00A9094B" w:rsidRPr="00344906" w:rsidRDefault="00A9094B" w:rsidP="00A9094B">
            <w:pPr>
              <w:spacing w:after="0" w:line="240" w:lineRule="auto"/>
              <w:ind w:firstLine="0"/>
              <w:jc w:val="right"/>
              <w:rPr>
                <w:rFonts w:eastAsia="Times New Roman"/>
                <w:sz w:val="20"/>
                <w:szCs w:val="20"/>
              </w:rPr>
            </w:pPr>
            <w:r w:rsidRPr="00344906">
              <w:rPr>
                <w:sz w:val="20"/>
                <w:szCs w:val="20"/>
              </w:rPr>
              <w:t>238</w:t>
            </w:r>
          </w:p>
        </w:tc>
        <w:tc>
          <w:tcPr>
            <w:tcW w:w="1260" w:type="dxa"/>
            <w:tcBorders>
              <w:bottom w:val="nil"/>
            </w:tcBorders>
            <w:shd w:val="clear" w:color="000000" w:fill="FFFFFF"/>
            <w:noWrap/>
            <w:vAlign w:val="bottom"/>
          </w:tcPr>
          <w:p w14:paraId="4ECA7894" w14:textId="432F404E" w:rsidR="00A9094B" w:rsidRPr="00344906" w:rsidRDefault="00A9094B" w:rsidP="00A9094B">
            <w:pPr>
              <w:spacing w:after="0" w:line="240" w:lineRule="auto"/>
              <w:ind w:firstLine="0"/>
              <w:jc w:val="right"/>
              <w:rPr>
                <w:rFonts w:eastAsia="Times New Roman"/>
                <w:sz w:val="20"/>
                <w:szCs w:val="20"/>
              </w:rPr>
            </w:pPr>
            <w:r w:rsidRPr="00344906">
              <w:rPr>
                <w:sz w:val="20"/>
                <w:szCs w:val="20"/>
              </w:rPr>
              <w:t>-9</w:t>
            </w:r>
          </w:p>
        </w:tc>
        <w:tc>
          <w:tcPr>
            <w:tcW w:w="1394" w:type="dxa"/>
            <w:tcBorders>
              <w:bottom w:val="nil"/>
            </w:tcBorders>
            <w:shd w:val="clear" w:color="000000" w:fill="FFFFFF"/>
            <w:noWrap/>
            <w:vAlign w:val="bottom"/>
          </w:tcPr>
          <w:p w14:paraId="4880A7EC" w14:textId="06C2B98B" w:rsidR="00A9094B" w:rsidRPr="00344906" w:rsidRDefault="00A9094B" w:rsidP="00A9094B">
            <w:pPr>
              <w:spacing w:after="0" w:line="240" w:lineRule="auto"/>
              <w:ind w:firstLine="0"/>
              <w:jc w:val="right"/>
              <w:rPr>
                <w:rFonts w:eastAsia="Times New Roman"/>
                <w:sz w:val="20"/>
                <w:szCs w:val="20"/>
              </w:rPr>
            </w:pPr>
            <w:r w:rsidRPr="00344906">
              <w:rPr>
                <w:sz w:val="20"/>
                <w:szCs w:val="20"/>
              </w:rPr>
              <w:t>49</w:t>
            </w:r>
          </w:p>
        </w:tc>
        <w:tc>
          <w:tcPr>
            <w:tcW w:w="1636" w:type="dxa"/>
            <w:tcBorders>
              <w:bottom w:val="nil"/>
              <w:right w:val="nil"/>
            </w:tcBorders>
            <w:shd w:val="clear" w:color="000000" w:fill="FFFFFF"/>
            <w:noWrap/>
            <w:vAlign w:val="bottom"/>
          </w:tcPr>
          <w:p w14:paraId="0AB6E0A1" w14:textId="7754CEBA" w:rsidR="00A9094B" w:rsidRPr="00344906" w:rsidRDefault="00A9094B" w:rsidP="00A9094B">
            <w:pPr>
              <w:spacing w:after="0" w:line="240" w:lineRule="auto"/>
              <w:ind w:firstLine="0"/>
              <w:jc w:val="right"/>
              <w:rPr>
                <w:rFonts w:eastAsia="Times New Roman"/>
                <w:sz w:val="20"/>
                <w:szCs w:val="20"/>
              </w:rPr>
            </w:pPr>
            <w:r w:rsidRPr="00344906">
              <w:rPr>
                <w:sz w:val="20"/>
                <w:szCs w:val="20"/>
              </w:rPr>
              <w:t>-201</w:t>
            </w:r>
          </w:p>
        </w:tc>
      </w:tr>
      <w:tr w:rsidR="00A9094B" w:rsidRPr="00344906" w14:paraId="1F48A403" w14:textId="77777777" w:rsidTr="00CF771E">
        <w:trPr>
          <w:trHeight w:val="315"/>
        </w:trPr>
        <w:tc>
          <w:tcPr>
            <w:tcW w:w="2430" w:type="dxa"/>
            <w:tcBorders>
              <w:left w:val="nil"/>
              <w:bottom w:val="nil"/>
            </w:tcBorders>
            <w:shd w:val="clear" w:color="000000" w:fill="FFFFFF"/>
            <w:noWrap/>
            <w:vAlign w:val="bottom"/>
          </w:tcPr>
          <w:p w14:paraId="7465E331" w14:textId="0B8BAF7B" w:rsidR="00A9094B" w:rsidRPr="00344906" w:rsidRDefault="00A9094B" w:rsidP="00A9094B">
            <w:pPr>
              <w:spacing w:after="0" w:line="240" w:lineRule="auto"/>
              <w:ind w:firstLine="248"/>
              <w:rPr>
                <w:rFonts w:eastAsia="Times New Roman"/>
                <w:i/>
                <w:iCs/>
                <w:color w:val="000000"/>
                <w:sz w:val="20"/>
                <w:szCs w:val="20"/>
              </w:rPr>
            </w:pPr>
            <w:r w:rsidRPr="00344906">
              <w:rPr>
                <w:i/>
                <w:iCs/>
                <w:color w:val="000000"/>
                <w:sz w:val="20"/>
                <w:szCs w:val="20"/>
              </w:rPr>
              <w:t>BEV</w:t>
            </w:r>
          </w:p>
        </w:tc>
        <w:tc>
          <w:tcPr>
            <w:tcW w:w="1145" w:type="dxa"/>
            <w:tcBorders>
              <w:bottom w:val="nil"/>
            </w:tcBorders>
            <w:shd w:val="clear" w:color="auto" w:fill="auto"/>
            <w:noWrap/>
            <w:vAlign w:val="bottom"/>
          </w:tcPr>
          <w:p w14:paraId="03C9C21F" w14:textId="08D7C98B" w:rsidR="00A9094B" w:rsidRPr="00344906" w:rsidRDefault="00A9094B" w:rsidP="00A9094B">
            <w:pPr>
              <w:spacing w:after="0" w:line="240" w:lineRule="auto"/>
              <w:ind w:firstLine="0"/>
              <w:jc w:val="right"/>
              <w:rPr>
                <w:rFonts w:eastAsia="Times New Roman"/>
                <w:sz w:val="20"/>
                <w:szCs w:val="20"/>
              </w:rPr>
            </w:pPr>
            <w:r w:rsidRPr="00344906">
              <w:rPr>
                <w:sz w:val="20"/>
                <w:szCs w:val="20"/>
              </w:rPr>
              <w:t>3,598</w:t>
            </w:r>
          </w:p>
        </w:tc>
        <w:tc>
          <w:tcPr>
            <w:tcW w:w="1285" w:type="dxa"/>
            <w:tcBorders>
              <w:bottom w:val="nil"/>
            </w:tcBorders>
            <w:shd w:val="clear" w:color="000000" w:fill="FFFFFF"/>
            <w:noWrap/>
            <w:vAlign w:val="bottom"/>
          </w:tcPr>
          <w:p w14:paraId="6E28C15A" w14:textId="595B9463" w:rsidR="00A9094B" w:rsidRPr="00344906" w:rsidRDefault="00A9094B" w:rsidP="00A9094B">
            <w:pPr>
              <w:spacing w:after="0" w:line="240" w:lineRule="auto"/>
              <w:ind w:firstLine="0"/>
              <w:jc w:val="right"/>
              <w:rPr>
                <w:rFonts w:eastAsia="Times New Roman"/>
                <w:sz w:val="20"/>
                <w:szCs w:val="20"/>
              </w:rPr>
            </w:pPr>
            <w:r w:rsidRPr="00344906">
              <w:rPr>
                <w:sz w:val="20"/>
                <w:szCs w:val="20"/>
              </w:rPr>
              <w:t>1,198</w:t>
            </w:r>
          </w:p>
        </w:tc>
        <w:tc>
          <w:tcPr>
            <w:tcW w:w="1350" w:type="dxa"/>
            <w:tcBorders>
              <w:bottom w:val="nil"/>
            </w:tcBorders>
            <w:shd w:val="clear" w:color="000000" w:fill="FFFFFF"/>
            <w:noWrap/>
            <w:vAlign w:val="bottom"/>
          </w:tcPr>
          <w:p w14:paraId="2C8E8C56" w14:textId="29589154" w:rsidR="00A9094B" w:rsidRPr="00344906" w:rsidRDefault="00A9094B" w:rsidP="00A9094B">
            <w:pPr>
              <w:spacing w:after="0" w:line="240" w:lineRule="auto"/>
              <w:ind w:firstLine="0"/>
              <w:jc w:val="right"/>
              <w:rPr>
                <w:rFonts w:eastAsia="Times New Roman"/>
                <w:sz w:val="20"/>
                <w:szCs w:val="20"/>
              </w:rPr>
            </w:pPr>
            <w:r w:rsidRPr="00344906">
              <w:rPr>
                <w:sz w:val="20"/>
                <w:szCs w:val="20"/>
              </w:rPr>
              <w:t>5,018</w:t>
            </w:r>
          </w:p>
        </w:tc>
        <w:tc>
          <w:tcPr>
            <w:tcW w:w="1710" w:type="dxa"/>
            <w:tcBorders>
              <w:bottom w:val="nil"/>
              <w:right w:val="single" w:sz="4" w:space="0" w:color="auto"/>
            </w:tcBorders>
            <w:shd w:val="clear" w:color="000000" w:fill="FFFFFF"/>
            <w:noWrap/>
            <w:vAlign w:val="bottom"/>
          </w:tcPr>
          <w:p w14:paraId="73AA95C8" w14:textId="45CC048E" w:rsidR="00A9094B" w:rsidRPr="00344906" w:rsidRDefault="00A9094B" w:rsidP="00A9094B">
            <w:pPr>
              <w:spacing w:after="0" w:line="240" w:lineRule="auto"/>
              <w:ind w:firstLine="0"/>
              <w:jc w:val="right"/>
              <w:rPr>
                <w:rFonts w:eastAsia="Times New Roman"/>
                <w:sz w:val="20"/>
                <w:szCs w:val="20"/>
              </w:rPr>
            </w:pPr>
            <w:r w:rsidRPr="00344906">
              <w:rPr>
                <w:sz w:val="20"/>
                <w:szCs w:val="20"/>
              </w:rPr>
              <w:t>6,218</w:t>
            </w:r>
          </w:p>
        </w:tc>
        <w:tc>
          <w:tcPr>
            <w:tcW w:w="1126" w:type="dxa"/>
            <w:tcBorders>
              <w:left w:val="single" w:sz="4" w:space="0" w:color="auto"/>
              <w:bottom w:val="nil"/>
            </w:tcBorders>
            <w:shd w:val="clear" w:color="auto" w:fill="auto"/>
            <w:noWrap/>
            <w:vAlign w:val="bottom"/>
          </w:tcPr>
          <w:p w14:paraId="724111FD" w14:textId="3ED7888A" w:rsidR="00A9094B" w:rsidRPr="00344906" w:rsidRDefault="00A9094B" w:rsidP="00A9094B">
            <w:pPr>
              <w:spacing w:after="0" w:line="240" w:lineRule="auto"/>
              <w:ind w:firstLine="0"/>
              <w:jc w:val="right"/>
              <w:rPr>
                <w:rFonts w:eastAsia="Times New Roman"/>
                <w:sz w:val="20"/>
                <w:szCs w:val="20"/>
              </w:rPr>
            </w:pPr>
            <w:r w:rsidRPr="00344906">
              <w:rPr>
                <w:sz w:val="20"/>
                <w:szCs w:val="20"/>
              </w:rPr>
              <w:t>4,198</w:t>
            </w:r>
          </w:p>
        </w:tc>
        <w:tc>
          <w:tcPr>
            <w:tcW w:w="1260" w:type="dxa"/>
            <w:tcBorders>
              <w:bottom w:val="nil"/>
            </w:tcBorders>
            <w:shd w:val="clear" w:color="000000" w:fill="FFFFFF"/>
            <w:noWrap/>
            <w:vAlign w:val="bottom"/>
          </w:tcPr>
          <w:p w14:paraId="455C0C53" w14:textId="6D9DDE83" w:rsidR="00A9094B" w:rsidRPr="00344906" w:rsidRDefault="00A9094B" w:rsidP="00A9094B">
            <w:pPr>
              <w:spacing w:after="0" w:line="240" w:lineRule="auto"/>
              <w:ind w:firstLine="0"/>
              <w:jc w:val="right"/>
              <w:rPr>
                <w:rFonts w:eastAsia="Times New Roman"/>
                <w:sz w:val="20"/>
                <w:szCs w:val="20"/>
              </w:rPr>
            </w:pPr>
            <w:r w:rsidRPr="00344906">
              <w:rPr>
                <w:sz w:val="20"/>
                <w:szCs w:val="20"/>
              </w:rPr>
              <w:t>5,674</w:t>
            </w:r>
          </w:p>
        </w:tc>
        <w:tc>
          <w:tcPr>
            <w:tcW w:w="1394" w:type="dxa"/>
            <w:tcBorders>
              <w:bottom w:val="nil"/>
            </w:tcBorders>
            <w:shd w:val="clear" w:color="000000" w:fill="FFFFFF"/>
            <w:noWrap/>
            <w:vAlign w:val="bottom"/>
          </w:tcPr>
          <w:p w14:paraId="775197E7" w14:textId="5C6E3343" w:rsidR="00A9094B" w:rsidRPr="00344906" w:rsidRDefault="00A9094B" w:rsidP="00A9094B">
            <w:pPr>
              <w:spacing w:after="0" w:line="240" w:lineRule="auto"/>
              <w:ind w:firstLine="0"/>
              <w:jc w:val="right"/>
              <w:rPr>
                <w:rFonts w:eastAsia="Times New Roman"/>
                <w:sz w:val="20"/>
                <w:szCs w:val="20"/>
              </w:rPr>
            </w:pPr>
            <w:r w:rsidRPr="00344906">
              <w:rPr>
                <w:sz w:val="20"/>
                <w:szCs w:val="20"/>
              </w:rPr>
              <w:t>13,010</w:t>
            </w:r>
          </w:p>
        </w:tc>
        <w:tc>
          <w:tcPr>
            <w:tcW w:w="1636" w:type="dxa"/>
            <w:tcBorders>
              <w:bottom w:val="nil"/>
              <w:right w:val="nil"/>
            </w:tcBorders>
            <w:shd w:val="clear" w:color="000000" w:fill="FFFFFF"/>
            <w:noWrap/>
            <w:vAlign w:val="bottom"/>
          </w:tcPr>
          <w:p w14:paraId="103D6B43" w14:textId="0AB16BEF" w:rsidR="00A9094B" w:rsidRPr="00344906" w:rsidRDefault="00A9094B" w:rsidP="00A9094B">
            <w:pPr>
              <w:spacing w:after="0" w:line="240" w:lineRule="auto"/>
              <w:ind w:firstLine="0"/>
              <w:jc w:val="right"/>
              <w:rPr>
                <w:rFonts w:eastAsia="Times New Roman"/>
                <w:sz w:val="20"/>
                <w:szCs w:val="20"/>
              </w:rPr>
            </w:pPr>
            <w:r w:rsidRPr="00344906">
              <w:rPr>
                <w:sz w:val="20"/>
                <w:szCs w:val="20"/>
              </w:rPr>
              <w:t>14,184</w:t>
            </w:r>
          </w:p>
        </w:tc>
      </w:tr>
      <w:tr w:rsidR="00A9094B" w:rsidRPr="00344906" w14:paraId="2D5ED164" w14:textId="77777777" w:rsidTr="00CF771E">
        <w:trPr>
          <w:trHeight w:val="315"/>
        </w:trPr>
        <w:tc>
          <w:tcPr>
            <w:tcW w:w="2430" w:type="dxa"/>
            <w:tcBorders>
              <w:left w:val="nil"/>
              <w:bottom w:val="nil"/>
            </w:tcBorders>
            <w:shd w:val="clear" w:color="000000" w:fill="FFFFFF"/>
            <w:noWrap/>
            <w:vAlign w:val="bottom"/>
          </w:tcPr>
          <w:p w14:paraId="26F2CAA1" w14:textId="00E45773" w:rsidR="00A9094B" w:rsidRPr="00344906" w:rsidRDefault="00A9094B" w:rsidP="00A9094B">
            <w:pPr>
              <w:spacing w:after="0" w:line="240" w:lineRule="auto"/>
              <w:ind w:firstLine="0"/>
              <w:rPr>
                <w:rFonts w:eastAsia="Times New Roman"/>
                <w:color w:val="000000"/>
                <w:sz w:val="20"/>
                <w:szCs w:val="20"/>
              </w:rPr>
            </w:pPr>
            <w:r w:rsidRPr="00344906">
              <w:rPr>
                <w:color w:val="000000"/>
                <w:sz w:val="20"/>
                <w:szCs w:val="20"/>
              </w:rPr>
              <w:t>VKT diesel consumers</w:t>
            </w:r>
          </w:p>
        </w:tc>
        <w:tc>
          <w:tcPr>
            <w:tcW w:w="1145" w:type="dxa"/>
            <w:tcBorders>
              <w:bottom w:val="nil"/>
            </w:tcBorders>
            <w:shd w:val="clear" w:color="auto" w:fill="auto"/>
            <w:noWrap/>
            <w:vAlign w:val="bottom"/>
          </w:tcPr>
          <w:p w14:paraId="4B544972" w14:textId="5D8A422D" w:rsidR="00A9094B" w:rsidRPr="00344906" w:rsidRDefault="00A9094B" w:rsidP="00A9094B">
            <w:pPr>
              <w:spacing w:after="0" w:line="240" w:lineRule="auto"/>
              <w:ind w:firstLine="0"/>
              <w:jc w:val="right"/>
              <w:rPr>
                <w:rFonts w:eastAsia="Times New Roman"/>
                <w:sz w:val="20"/>
                <w:szCs w:val="20"/>
              </w:rPr>
            </w:pPr>
            <w:r w:rsidRPr="00344906">
              <w:rPr>
                <w:sz w:val="20"/>
                <w:szCs w:val="20"/>
              </w:rPr>
              <w:t>6,002</w:t>
            </w:r>
          </w:p>
        </w:tc>
        <w:tc>
          <w:tcPr>
            <w:tcW w:w="1285" w:type="dxa"/>
            <w:tcBorders>
              <w:bottom w:val="nil"/>
            </w:tcBorders>
            <w:shd w:val="clear" w:color="000000" w:fill="FFFFFF"/>
            <w:noWrap/>
            <w:vAlign w:val="bottom"/>
          </w:tcPr>
          <w:p w14:paraId="7B9274C6" w14:textId="20C9F668" w:rsidR="00A9094B" w:rsidRPr="00344906" w:rsidRDefault="00A9094B" w:rsidP="00A9094B">
            <w:pPr>
              <w:spacing w:after="0" w:line="240" w:lineRule="auto"/>
              <w:ind w:firstLine="0"/>
              <w:jc w:val="right"/>
              <w:rPr>
                <w:rFonts w:eastAsia="Times New Roman"/>
                <w:sz w:val="20"/>
                <w:szCs w:val="20"/>
              </w:rPr>
            </w:pPr>
            <w:r w:rsidRPr="00344906">
              <w:rPr>
                <w:sz w:val="20"/>
                <w:szCs w:val="20"/>
              </w:rPr>
              <w:t>-50</w:t>
            </w:r>
          </w:p>
        </w:tc>
        <w:tc>
          <w:tcPr>
            <w:tcW w:w="1350" w:type="dxa"/>
            <w:tcBorders>
              <w:bottom w:val="nil"/>
            </w:tcBorders>
            <w:shd w:val="clear" w:color="000000" w:fill="FFFFFF"/>
            <w:noWrap/>
            <w:vAlign w:val="bottom"/>
          </w:tcPr>
          <w:p w14:paraId="3C96D261" w14:textId="0D8B1C50" w:rsidR="00A9094B" w:rsidRPr="00344906" w:rsidRDefault="00A9094B" w:rsidP="00A9094B">
            <w:pPr>
              <w:spacing w:after="0" w:line="240" w:lineRule="auto"/>
              <w:ind w:firstLine="0"/>
              <w:jc w:val="right"/>
              <w:rPr>
                <w:rFonts w:eastAsia="Times New Roman"/>
                <w:sz w:val="20"/>
                <w:szCs w:val="20"/>
              </w:rPr>
            </w:pPr>
            <w:r w:rsidRPr="00344906">
              <w:rPr>
                <w:sz w:val="20"/>
                <w:szCs w:val="20"/>
              </w:rPr>
              <w:t>-17</w:t>
            </w:r>
          </w:p>
        </w:tc>
        <w:tc>
          <w:tcPr>
            <w:tcW w:w="1710" w:type="dxa"/>
            <w:tcBorders>
              <w:bottom w:val="nil"/>
              <w:right w:val="single" w:sz="4" w:space="0" w:color="auto"/>
            </w:tcBorders>
            <w:shd w:val="clear" w:color="000000" w:fill="FFFFFF"/>
            <w:noWrap/>
            <w:vAlign w:val="bottom"/>
          </w:tcPr>
          <w:p w14:paraId="0111B639" w14:textId="55FEF8BC" w:rsidR="00A9094B" w:rsidRPr="00344906" w:rsidRDefault="00A9094B" w:rsidP="00A9094B">
            <w:pPr>
              <w:spacing w:after="0" w:line="240" w:lineRule="auto"/>
              <w:ind w:firstLine="0"/>
              <w:jc w:val="right"/>
              <w:rPr>
                <w:rFonts w:eastAsia="Times New Roman"/>
                <w:sz w:val="20"/>
                <w:szCs w:val="20"/>
              </w:rPr>
            </w:pPr>
            <w:r w:rsidRPr="00344906">
              <w:rPr>
                <w:sz w:val="20"/>
                <w:szCs w:val="20"/>
              </w:rPr>
              <w:t>-38</w:t>
            </w:r>
          </w:p>
        </w:tc>
        <w:tc>
          <w:tcPr>
            <w:tcW w:w="1126" w:type="dxa"/>
            <w:tcBorders>
              <w:left w:val="single" w:sz="4" w:space="0" w:color="auto"/>
              <w:bottom w:val="nil"/>
            </w:tcBorders>
            <w:shd w:val="clear" w:color="auto" w:fill="auto"/>
            <w:noWrap/>
            <w:vAlign w:val="bottom"/>
          </w:tcPr>
          <w:p w14:paraId="1F885A29" w14:textId="5E590604" w:rsidR="00A9094B" w:rsidRPr="00344906" w:rsidRDefault="00A9094B" w:rsidP="00A9094B">
            <w:pPr>
              <w:spacing w:after="0" w:line="240" w:lineRule="auto"/>
              <w:ind w:firstLine="0"/>
              <w:jc w:val="right"/>
              <w:rPr>
                <w:rFonts w:eastAsia="Times New Roman"/>
                <w:sz w:val="20"/>
                <w:szCs w:val="20"/>
              </w:rPr>
            </w:pPr>
            <w:r w:rsidRPr="00344906">
              <w:rPr>
                <w:sz w:val="20"/>
                <w:szCs w:val="20"/>
              </w:rPr>
              <w:t>6,036</w:t>
            </w:r>
          </w:p>
        </w:tc>
        <w:tc>
          <w:tcPr>
            <w:tcW w:w="1260" w:type="dxa"/>
            <w:tcBorders>
              <w:bottom w:val="nil"/>
            </w:tcBorders>
            <w:shd w:val="clear" w:color="000000" w:fill="FFFFFF"/>
            <w:noWrap/>
            <w:vAlign w:val="bottom"/>
          </w:tcPr>
          <w:p w14:paraId="4CF7AC3D" w14:textId="3A0C561E" w:rsidR="00A9094B" w:rsidRPr="00344906" w:rsidRDefault="00A9094B" w:rsidP="00A9094B">
            <w:pPr>
              <w:spacing w:after="0" w:line="240" w:lineRule="auto"/>
              <w:ind w:firstLine="0"/>
              <w:jc w:val="right"/>
              <w:rPr>
                <w:rFonts w:eastAsia="Times New Roman"/>
                <w:sz w:val="20"/>
                <w:szCs w:val="20"/>
              </w:rPr>
            </w:pPr>
            <w:r w:rsidRPr="00344906">
              <w:rPr>
                <w:sz w:val="20"/>
                <w:szCs w:val="20"/>
              </w:rPr>
              <w:t>-86</w:t>
            </w:r>
          </w:p>
        </w:tc>
        <w:tc>
          <w:tcPr>
            <w:tcW w:w="1394" w:type="dxa"/>
            <w:tcBorders>
              <w:bottom w:val="nil"/>
            </w:tcBorders>
            <w:shd w:val="clear" w:color="000000" w:fill="FFFFFF"/>
            <w:noWrap/>
            <w:vAlign w:val="bottom"/>
          </w:tcPr>
          <w:p w14:paraId="5497813B" w14:textId="5E6E4E6A" w:rsidR="00A9094B" w:rsidRPr="00344906" w:rsidRDefault="00A9094B" w:rsidP="00A9094B">
            <w:pPr>
              <w:spacing w:after="0" w:line="240" w:lineRule="auto"/>
              <w:ind w:firstLine="0"/>
              <w:jc w:val="right"/>
              <w:rPr>
                <w:rFonts w:eastAsia="Times New Roman"/>
                <w:sz w:val="20"/>
                <w:szCs w:val="20"/>
              </w:rPr>
            </w:pPr>
            <w:r w:rsidRPr="00344906">
              <w:rPr>
                <w:sz w:val="20"/>
                <w:szCs w:val="20"/>
              </w:rPr>
              <w:t>-151</w:t>
            </w:r>
          </w:p>
        </w:tc>
        <w:tc>
          <w:tcPr>
            <w:tcW w:w="1636" w:type="dxa"/>
            <w:tcBorders>
              <w:bottom w:val="nil"/>
              <w:right w:val="nil"/>
            </w:tcBorders>
            <w:shd w:val="clear" w:color="000000" w:fill="FFFFFF"/>
            <w:noWrap/>
            <w:vAlign w:val="bottom"/>
          </w:tcPr>
          <w:p w14:paraId="53458727" w14:textId="01331486" w:rsidR="00A9094B" w:rsidRPr="00344906" w:rsidRDefault="00A9094B" w:rsidP="00A9094B">
            <w:pPr>
              <w:spacing w:after="0" w:line="240" w:lineRule="auto"/>
              <w:ind w:firstLine="0"/>
              <w:jc w:val="right"/>
              <w:rPr>
                <w:rFonts w:eastAsia="Times New Roman"/>
                <w:sz w:val="20"/>
                <w:szCs w:val="20"/>
              </w:rPr>
            </w:pPr>
            <w:r w:rsidRPr="00344906">
              <w:rPr>
                <w:sz w:val="20"/>
                <w:szCs w:val="20"/>
              </w:rPr>
              <w:t>-102</w:t>
            </w:r>
          </w:p>
        </w:tc>
      </w:tr>
      <w:tr w:rsidR="00A9094B" w:rsidRPr="00344906" w14:paraId="03D7B2D9" w14:textId="77777777" w:rsidTr="00CF771E">
        <w:trPr>
          <w:trHeight w:val="315"/>
        </w:trPr>
        <w:tc>
          <w:tcPr>
            <w:tcW w:w="2430" w:type="dxa"/>
            <w:tcBorders>
              <w:left w:val="nil"/>
              <w:bottom w:val="nil"/>
            </w:tcBorders>
            <w:shd w:val="clear" w:color="000000" w:fill="FFFFFF"/>
            <w:noWrap/>
            <w:vAlign w:val="bottom"/>
          </w:tcPr>
          <w:p w14:paraId="33A64854" w14:textId="13DD34DB" w:rsidR="00A9094B" w:rsidRPr="00344906" w:rsidRDefault="00A9094B" w:rsidP="00A9094B">
            <w:pPr>
              <w:spacing w:after="0" w:line="240" w:lineRule="auto"/>
              <w:ind w:firstLine="0"/>
              <w:rPr>
                <w:rFonts w:eastAsia="Times New Roman"/>
                <w:color w:val="000000"/>
                <w:sz w:val="20"/>
                <w:szCs w:val="20"/>
              </w:rPr>
            </w:pPr>
            <w:r w:rsidRPr="00344906">
              <w:rPr>
                <w:color w:val="000000"/>
                <w:sz w:val="20"/>
                <w:szCs w:val="20"/>
              </w:rPr>
              <w:t>Fuel producer</w:t>
            </w:r>
          </w:p>
        </w:tc>
        <w:tc>
          <w:tcPr>
            <w:tcW w:w="1145" w:type="dxa"/>
            <w:tcBorders>
              <w:bottom w:val="nil"/>
            </w:tcBorders>
            <w:shd w:val="clear" w:color="auto" w:fill="auto"/>
            <w:noWrap/>
            <w:vAlign w:val="bottom"/>
          </w:tcPr>
          <w:p w14:paraId="0D3190F1" w14:textId="09B82042" w:rsidR="00A9094B" w:rsidRPr="00344906" w:rsidRDefault="00A9094B" w:rsidP="00A9094B">
            <w:pPr>
              <w:spacing w:after="0" w:line="240" w:lineRule="auto"/>
              <w:ind w:firstLine="0"/>
              <w:jc w:val="right"/>
              <w:rPr>
                <w:rFonts w:eastAsia="Times New Roman"/>
                <w:sz w:val="20"/>
                <w:szCs w:val="20"/>
              </w:rPr>
            </w:pPr>
            <w:r w:rsidRPr="00344906">
              <w:rPr>
                <w:sz w:val="20"/>
                <w:szCs w:val="20"/>
              </w:rPr>
              <w:t>542</w:t>
            </w:r>
          </w:p>
        </w:tc>
        <w:tc>
          <w:tcPr>
            <w:tcW w:w="1285" w:type="dxa"/>
            <w:tcBorders>
              <w:bottom w:val="nil"/>
            </w:tcBorders>
            <w:shd w:val="clear" w:color="000000" w:fill="FFFFFF"/>
            <w:noWrap/>
            <w:vAlign w:val="bottom"/>
          </w:tcPr>
          <w:p w14:paraId="41923089" w14:textId="3D75743F" w:rsidR="00A9094B" w:rsidRPr="00344906" w:rsidRDefault="00A9094B" w:rsidP="00A9094B">
            <w:pPr>
              <w:spacing w:after="0" w:line="240" w:lineRule="auto"/>
              <w:ind w:firstLine="0"/>
              <w:jc w:val="right"/>
              <w:rPr>
                <w:rFonts w:eastAsia="Times New Roman"/>
                <w:sz w:val="20"/>
                <w:szCs w:val="20"/>
              </w:rPr>
            </w:pPr>
            <w:r w:rsidRPr="00344906">
              <w:rPr>
                <w:sz w:val="20"/>
                <w:szCs w:val="20"/>
              </w:rPr>
              <w:t>0</w:t>
            </w:r>
          </w:p>
        </w:tc>
        <w:tc>
          <w:tcPr>
            <w:tcW w:w="1350" w:type="dxa"/>
            <w:tcBorders>
              <w:bottom w:val="nil"/>
            </w:tcBorders>
            <w:shd w:val="clear" w:color="000000" w:fill="FFFFFF"/>
            <w:noWrap/>
            <w:vAlign w:val="bottom"/>
          </w:tcPr>
          <w:p w14:paraId="205CE072" w14:textId="4239C85A" w:rsidR="00A9094B" w:rsidRPr="00344906" w:rsidRDefault="00A9094B" w:rsidP="00A9094B">
            <w:pPr>
              <w:spacing w:after="0" w:line="240" w:lineRule="auto"/>
              <w:ind w:firstLine="0"/>
              <w:jc w:val="right"/>
              <w:rPr>
                <w:rFonts w:eastAsia="Times New Roman"/>
                <w:sz w:val="20"/>
                <w:szCs w:val="20"/>
              </w:rPr>
            </w:pPr>
            <w:r w:rsidRPr="00344906">
              <w:rPr>
                <w:sz w:val="20"/>
                <w:szCs w:val="20"/>
              </w:rPr>
              <w:t>0</w:t>
            </w:r>
          </w:p>
        </w:tc>
        <w:tc>
          <w:tcPr>
            <w:tcW w:w="1710" w:type="dxa"/>
            <w:tcBorders>
              <w:bottom w:val="nil"/>
              <w:right w:val="single" w:sz="4" w:space="0" w:color="auto"/>
            </w:tcBorders>
            <w:shd w:val="clear" w:color="000000" w:fill="FFFFFF"/>
            <w:noWrap/>
            <w:vAlign w:val="bottom"/>
          </w:tcPr>
          <w:p w14:paraId="261B45BD" w14:textId="398B8153" w:rsidR="00A9094B" w:rsidRPr="00344906" w:rsidRDefault="00A9094B" w:rsidP="00A9094B">
            <w:pPr>
              <w:spacing w:after="0" w:line="240" w:lineRule="auto"/>
              <w:ind w:firstLine="0"/>
              <w:jc w:val="right"/>
              <w:rPr>
                <w:rFonts w:eastAsia="Times New Roman"/>
                <w:sz w:val="20"/>
                <w:szCs w:val="20"/>
              </w:rPr>
            </w:pPr>
            <w:r w:rsidRPr="00344906">
              <w:rPr>
                <w:sz w:val="20"/>
                <w:szCs w:val="20"/>
              </w:rPr>
              <w:t>-1</w:t>
            </w:r>
          </w:p>
        </w:tc>
        <w:tc>
          <w:tcPr>
            <w:tcW w:w="1126" w:type="dxa"/>
            <w:tcBorders>
              <w:left w:val="single" w:sz="4" w:space="0" w:color="auto"/>
              <w:bottom w:val="nil"/>
            </w:tcBorders>
            <w:shd w:val="clear" w:color="auto" w:fill="auto"/>
            <w:noWrap/>
            <w:vAlign w:val="bottom"/>
          </w:tcPr>
          <w:p w14:paraId="7F4F32B5" w14:textId="20C12727" w:rsidR="00A9094B" w:rsidRPr="00344906" w:rsidRDefault="00A9094B" w:rsidP="00A9094B">
            <w:pPr>
              <w:spacing w:after="0" w:line="240" w:lineRule="auto"/>
              <w:ind w:firstLine="0"/>
              <w:jc w:val="right"/>
              <w:rPr>
                <w:rFonts w:eastAsia="Times New Roman"/>
                <w:sz w:val="20"/>
                <w:szCs w:val="20"/>
              </w:rPr>
            </w:pPr>
            <w:r w:rsidRPr="00344906">
              <w:rPr>
                <w:sz w:val="20"/>
                <w:szCs w:val="20"/>
              </w:rPr>
              <w:t>542</w:t>
            </w:r>
          </w:p>
        </w:tc>
        <w:tc>
          <w:tcPr>
            <w:tcW w:w="1260" w:type="dxa"/>
            <w:tcBorders>
              <w:bottom w:val="nil"/>
            </w:tcBorders>
            <w:shd w:val="clear" w:color="000000" w:fill="FFFFFF"/>
            <w:noWrap/>
            <w:vAlign w:val="bottom"/>
          </w:tcPr>
          <w:p w14:paraId="1C593BCC" w14:textId="1FE4BC5A" w:rsidR="00A9094B" w:rsidRPr="00344906" w:rsidRDefault="00A9094B" w:rsidP="00A9094B">
            <w:pPr>
              <w:spacing w:after="0" w:line="240" w:lineRule="auto"/>
              <w:ind w:firstLine="0"/>
              <w:jc w:val="right"/>
              <w:rPr>
                <w:rFonts w:eastAsia="Times New Roman"/>
                <w:sz w:val="20"/>
                <w:szCs w:val="20"/>
              </w:rPr>
            </w:pPr>
            <w:r w:rsidRPr="00344906">
              <w:rPr>
                <w:sz w:val="20"/>
                <w:szCs w:val="20"/>
              </w:rPr>
              <w:t>-1</w:t>
            </w:r>
          </w:p>
        </w:tc>
        <w:tc>
          <w:tcPr>
            <w:tcW w:w="1394" w:type="dxa"/>
            <w:tcBorders>
              <w:bottom w:val="nil"/>
            </w:tcBorders>
            <w:shd w:val="clear" w:color="000000" w:fill="FFFFFF"/>
            <w:noWrap/>
            <w:vAlign w:val="bottom"/>
          </w:tcPr>
          <w:p w14:paraId="2657C645" w14:textId="06595BCB" w:rsidR="00A9094B" w:rsidRPr="00344906" w:rsidRDefault="00A9094B" w:rsidP="00A9094B">
            <w:pPr>
              <w:spacing w:after="0" w:line="240" w:lineRule="auto"/>
              <w:ind w:firstLine="0"/>
              <w:jc w:val="right"/>
              <w:rPr>
                <w:rFonts w:eastAsia="Times New Roman"/>
                <w:sz w:val="20"/>
                <w:szCs w:val="20"/>
              </w:rPr>
            </w:pPr>
            <w:r w:rsidRPr="00344906">
              <w:rPr>
                <w:sz w:val="20"/>
                <w:szCs w:val="20"/>
              </w:rPr>
              <w:t>-1</w:t>
            </w:r>
          </w:p>
        </w:tc>
        <w:tc>
          <w:tcPr>
            <w:tcW w:w="1636" w:type="dxa"/>
            <w:tcBorders>
              <w:bottom w:val="nil"/>
              <w:right w:val="nil"/>
            </w:tcBorders>
            <w:shd w:val="clear" w:color="000000" w:fill="FFFFFF"/>
            <w:noWrap/>
            <w:vAlign w:val="bottom"/>
          </w:tcPr>
          <w:p w14:paraId="105E11A5" w14:textId="3C96B103" w:rsidR="00A9094B" w:rsidRPr="00344906" w:rsidRDefault="00A9094B" w:rsidP="00A9094B">
            <w:pPr>
              <w:spacing w:after="0" w:line="240" w:lineRule="auto"/>
              <w:ind w:firstLine="0"/>
              <w:jc w:val="right"/>
              <w:rPr>
                <w:rFonts w:eastAsia="Times New Roman"/>
                <w:sz w:val="20"/>
                <w:szCs w:val="20"/>
              </w:rPr>
            </w:pPr>
            <w:r w:rsidRPr="00344906">
              <w:rPr>
                <w:sz w:val="20"/>
                <w:szCs w:val="20"/>
              </w:rPr>
              <w:t>-1</w:t>
            </w:r>
          </w:p>
        </w:tc>
      </w:tr>
      <w:tr w:rsidR="00A9094B" w:rsidRPr="00344906" w14:paraId="7EBB5728" w14:textId="77777777" w:rsidTr="00344906">
        <w:trPr>
          <w:trHeight w:val="315"/>
        </w:trPr>
        <w:tc>
          <w:tcPr>
            <w:tcW w:w="2430" w:type="dxa"/>
            <w:tcBorders>
              <w:top w:val="nil"/>
              <w:left w:val="nil"/>
              <w:bottom w:val="nil"/>
              <w:right w:val="nil"/>
            </w:tcBorders>
            <w:shd w:val="clear" w:color="000000" w:fill="FFFFFF"/>
            <w:noWrap/>
            <w:vAlign w:val="bottom"/>
            <w:hideMark/>
          </w:tcPr>
          <w:p w14:paraId="142525C3" w14:textId="73BC7CE0" w:rsidR="00A9094B" w:rsidRPr="00344906" w:rsidRDefault="00A9094B" w:rsidP="00A9094B">
            <w:pPr>
              <w:spacing w:after="0" w:line="240" w:lineRule="auto"/>
              <w:ind w:firstLine="0"/>
              <w:rPr>
                <w:rFonts w:eastAsia="Times New Roman"/>
                <w:b/>
                <w:bCs/>
                <w:color w:val="000000"/>
                <w:sz w:val="20"/>
                <w:szCs w:val="20"/>
              </w:rPr>
            </w:pPr>
            <w:r w:rsidRPr="00344906">
              <w:rPr>
                <w:b/>
                <w:bCs/>
                <w:color w:val="000000"/>
                <w:sz w:val="20"/>
                <w:szCs w:val="20"/>
              </w:rPr>
              <w:t>Electricity sector</w:t>
            </w:r>
          </w:p>
        </w:tc>
        <w:tc>
          <w:tcPr>
            <w:tcW w:w="1145" w:type="dxa"/>
            <w:tcBorders>
              <w:top w:val="nil"/>
              <w:left w:val="nil"/>
              <w:bottom w:val="nil"/>
              <w:right w:val="nil"/>
            </w:tcBorders>
            <w:shd w:val="clear" w:color="auto" w:fill="auto"/>
            <w:noWrap/>
            <w:vAlign w:val="bottom"/>
            <w:hideMark/>
          </w:tcPr>
          <w:p w14:paraId="70266974" w14:textId="6CC72369"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5,817</w:t>
            </w:r>
          </w:p>
        </w:tc>
        <w:tc>
          <w:tcPr>
            <w:tcW w:w="1285" w:type="dxa"/>
            <w:tcBorders>
              <w:top w:val="nil"/>
              <w:left w:val="nil"/>
              <w:bottom w:val="nil"/>
              <w:right w:val="nil"/>
            </w:tcBorders>
            <w:shd w:val="clear" w:color="000000" w:fill="FFFFFF"/>
            <w:noWrap/>
            <w:vAlign w:val="bottom"/>
            <w:hideMark/>
          </w:tcPr>
          <w:p w14:paraId="0CA88027" w14:textId="3FD82F5B"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5</w:t>
            </w:r>
          </w:p>
        </w:tc>
        <w:tc>
          <w:tcPr>
            <w:tcW w:w="1350" w:type="dxa"/>
            <w:tcBorders>
              <w:top w:val="nil"/>
              <w:left w:val="nil"/>
              <w:bottom w:val="nil"/>
              <w:right w:val="nil"/>
            </w:tcBorders>
            <w:shd w:val="clear" w:color="000000" w:fill="FFFFFF"/>
            <w:noWrap/>
            <w:vAlign w:val="bottom"/>
            <w:hideMark/>
          </w:tcPr>
          <w:p w14:paraId="37491922" w14:textId="2F38D5A2"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30</w:t>
            </w:r>
          </w:p>
        </w:tc>
        <w:tc>
          <w:tcPr>
            <w:tcW w:w="1710" w:type="dxa"/>
            <w:tcBorders>
              <w:top w:val="nil"/>
              <w:left w:val="nil"/>
              <w:bottom w:val="nil"/>
              <w:right w:val="single" w:sz="4" w:space="0" w:color="auto"/>
            </w:tcBorders>
            <w:shd w:val="clear" w:color="000000" w:fill="FFFFFF"/>
            <w:noWrap/>
            <w:vAlign w:val="bottom"/>
            <w:hideMark/>
          </w:tcPr>
          <w:p w14:paraId="0A55F357" w14:textId="6B72B56E"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36</w:t>
            </w:r>
          </w:p>
        </w:tc>
        <w:tc>
          <w:tcPr>
            <w:tcW w:w="1126" w:type="dxa"/>
            <w:tcBorders>
              <w:top w:val="nil"/>
              <w:left w:val="nil"/>
              <w:bottom w:val="nil"/>
              <w:right w:val="nil"/>
            </w:tcBorders>
            <w:shd w:val="clear" w:color="auto" w:fill="auto"/>
            <w:noWrap/>
            <w:vAlign w:val="bottom"/>
            <w:hideMark/>
          </w:tcPr>
          <w:p w14:paraId="1E64F6BF" w14:textId="6C9A694F"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5,812</w:t>
            </w:r>
          </w:p>
        </w:tc>
        <w:tc>
          <w:tcPr>
            <w:tcW w:w="1260" w:type="dxa"/>
            <w:tcBorders>
              <w:top w:val="nil"/>
              <w:left w:val="nil"/>
              <w:bottom w:val="nil"/>
              <w:right w:val="nil"/>
            </w:tcBorders>
            <w:shd w:val="clear" w:color="000000" w:fill="FFFFFF"/>
            <w:noWrap/>
            <w:vAlign w:val="bottom"/>
            <w:hideMark/>
          </w:tcPr>
          <w:p w14:paraId="225AC253" w14:textId="3EF13C48"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28</w:t>
            </w:r>
          </w:p>
        </w:tc>
        <w:tc>
          <w:tcPr>
            <w:tcW w:w="1394" w:type="dxa"/>
            <w:tcBorders>
              <w:top w:val="nil"/>
              <w:left w:val="nil"/>
              <w:bottom w:val="nil"/>
              <w:right w:val="nil"/>
            </w:tcBorders>
            <w:shd w:val="clear" w:color="000000" w:fill="FFFFFF"/>
            <w:noWrap/>
            <w:vAlign w:val="bottom"/>
            <w:hideMark/>
          </w:tcPr>
          <w:p w14:paraId="0EDDA1D4" w14:textId="3F7B469E"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80</w:t>
            </w:r>
          </w:p>
        </w:tc>
        <w:tc>
          <w:tcPr>
            <w:tcW w:w="1636" w:type="dxa"/>
            <w:tcBorders>
              <w:top w:val="nil"/>
              <w:left w:val="nil"/>
              <w:bottom w:val="nil"/>
              <w:right w:val="nil"/>
            </w:tcBorders>
            <w:shd w:val="clear" w:color="000000" w:fill="FFFFFF"/>
            <w:noWrap/>
            <w:vAlign w:val="bottom"/>
            <w:hideMark/>
          </w:tcPr>
          <w:p w14:paraId="6795F3EA" w14:textId="76B7C405"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88</w:t>
            </w:r>
          </w:p>
        </w:tc>
      </w:tr>
      <w:tr w:rsidR="00A9094B" w:rsidRPr="00344906" w14:paraId="1E2D4EF7" w14:textId="77777777" w:rsidTr="00344906">
        <w:trPr>
          <w:trHeight w:val="315"/>
        </w:trPr>
        <w:tc>
          <w:tcPr>
            <w:tcW w:w="2430" w:type="dxa"/>
            <w:tcBorders>
              <w:top w:val="nil"/>
              <w:left w:val="nil"/>
              <w:bottom w:val="nil"/>
              <w:right w:val="nil"/>
            </w:tcBorders>
            <w:shd w:val="clear" w:color="000000" w:fill="FFFFFF"/>
            <w:noWrap/>
            <w:vAlign w:val="bottom"/>
          </w:tcPr>
          <w:p w14:paraId="00EC5643" w14:textId="1BD6A476" w:rsidR="00A9094B" w:rsidRPr="00344906" w:rsidRDefault="00A9094B" w:rsidP="00A9094B">
            <w:pPr>
              <w:spacing w:after="0" w:line="240" w:lineRule="auto"/>
              <w:ind w:left="158" w:firstLine="0"/>
              <w:rPr>
                <w:rFonts w:eastAsia="Times New Roman"/>
                <w:b/>
                <w:bCs/>
                <w:color w:val="000000"/>
                <w:sz w:val="20"/>
                <w:szCs w:val="20"/>
              </w:rPr>
            </w:pPr>
            <w:r w:rsidRPr="00344906">
              <w:rPr>
                <w:color w:val="000000"/>
                <w:sz w:val="20"/>
                <w:szCs w:val="20"/>
              </w:rPr>
              <w:t>Electricity consumers</w:t>
            </w:r>
          </w:p>
        </w:tc>
        <w:tc>
          <w:tcPr>
            <w:tcW w:w="1145" w:type="dxa"/>
            <w:tcBorders>
              <w:top w:val="nil"/>
              <w:left w:val="nil"/>
              <w:bottom w:val="nil"/>
              <w:right w:val="nil"/>
            </w:tcBorders>
            <w:shd w:val="clear" w:color="auto" w:fill="auto"/>
            <w:noWrap/>
            <w:vAlign w:val="bottom"/>
          </w:tcPr>
          <w:p w14:paraId="05B5F9DF" w14:textId="1738B930"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3,887</w:t>
            </w:r>
          </w:p>
        </w:tc>
        <w:tc>
          <w:tcPr>
            <w:tcW w:w="1285" w:type="dxa"/>
            <w:tcBorders>
              <w:top w:val="nil"/>
              <w:left w:val="nil"/>
              <w:bottom w:val="nil"/>
              <w:right w:val="nil"/>
            </w:tcBorders>
            <w:shd w:val="clear" w:color="000000" w:fill="FFFFFF"/>
            <w:noWrap/>
            <w:vAlign w:val="bottom"/>
          </w:tcPr>
          <w:p w14:paraId="313F95F6" w14:textId="762520BB"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-14</w:t>
            </w:r>
          </w:p>
        </w:tc>
        <w:tc>
          <w:tcPr>
            <w:tcW w:w="1350" w:type="dxa"/>
            <w:tcBorders>
              <w:top w:val="nil"/>
              <w:left w:val="nil"/>
              <w:bottom w:val="nil"/>
              <w:right w:val="nil"/>
            </w:tcBorders>
            <w:shd w:val="clear" w:color="000000" w:fill="FFFFFF"/>
            <w:noWrap/>
            <w:vAlign w:val="bottom"/>
          </w:tcPr>
          <w:p w14:paraId="6F68DB4F" w14:textId="0965A2EB"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-51</w:t>
            </w:r>
          </w:p>
        </w:tc>
        <w:tc>
          <w:tcPr>
            <w:tcW w:w="1710" w:type="dxa"/>
            <w:tcBorders>
              <w:top w:val="nil"/>
              <w:left w:val="nil"/>
              <w:bottom w:val="nil"/>
              <w:right w:val="single" w:sz="4" w:space="0" w:color="auto"/>
            </w:tcBorders>
            <w:shd w:val="clear" w:color="000000" w:fill="FFFFFF"/>
            <w:noWrap/>
            <w:vAlign w:val="bottom"/>
          </w:tcPr>
          <w:p w14:paraId="24B2578E" w14:textId="1B27C3F3"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-62</w:t>
            </w:r>
          </w:p>
        </w:tc>
        <w:tc>
          <w:tcPr>
            <w:tcW w:w="1126" w:type="dxa"/>
            <w:tcBorders>
              <w:top w:val="nil"/>
              <w:left w:val="nil"/>
              <w:bottom w:val="nil"/>
              <w:right w:val="nil"/>
            </w:tcBorders>
            <w:shd w:val="clear" w:color="auto" w:fill="auto"/>
            <w:noWrap/>
            <w:vAlign w:val="bottom"/>
          </w:tcPr>
          <w:p w14:paraId="68D5A964" w14:textId="5F950C0E"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3,884</w:t>
            </w:r>
          </w:p>
        </w:tc>
        <w:tc>
          <w:tcPr>
            <w:tcW w:w="1260" w:type="dxa"/>
            <w:tcBorders>
              <w:top w:val="nil"/>
              <w:left w:val="nil"/>
              <w:bottom w:val="nil"/>
              <w:right w:val="nil"/>
            </w:tcBorders>
            <w:shd w:val="clear" w:color="000000" w:fill="FFFFFF"/>
            <w:noWrap/>
            <w:vAlign w:val="bottom"/>
          </w:tcPr>
          <w:p w14:paraId="67D0541E" w14:textId="73FC5990"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-56</w:t>
            </w:r>
          </w:p>
        </w:tc>
        <w:tc>
          <w:tcPr>
            <w:tcW w:w="1394" w:type="dxa"/>
            <w:tcBorders>
              <w:top w:val="nil"/>
              <w:left w:val="nil"/>
              <w:bottom w:val="nil"/>
              <w:right w:val="nil"/>
            </w:tcBorders>
            <w:shd w:val="clear" w:color="000000" w:fill="FFFFFF"/>
            <w:noWrap/>
            <w:vAlign w:val="bottom"/>
          </w:tcPr>
          <w:p w14:paraId="3E37E73A" w14:textId="3304D968"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-116</w:t>
            </w:r>
          </w:p>
        </w:tc>
        <w:tc>
          <w:tcPr>
            <w:tcW w:w="1636" w:type="dxa"/>
            <w:tcBorders>
              <w:top w:val="nil"/>
              <w:left w:val="nil"/>
              <w:bottom w:val="nil"/>
              <w:right w:val="nil"/>
            </w:tcBorders>
            <w:shd w:val="clear" w:color="000000" w:fill="FFFFFF"/>
            <w:noWrap/>
            <w:vAlign w:val="bottom"/>
          </w:tcPr>
          <w:p w14:paraId="01AE7E3B" w14:textId="5C153A6E"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-123</w:t>
            </w:r>
          </w:p>
        </w:tc>
      </w:tr>
      <w:tr w:rsidR="00A9094B" w:rsidRPr="00344906" w14:paraId="606C32E8" w14:textId="77777777" w:rsidTr="00344906">
        <w:trPr>
          <w:trHeight w:val="315"/>
        </w:trPr>
        <w:tc>
          <w:tcPr>
            <w:tcW w:w="2430" w:type="dxa"/>
            <w:tcBorders>
              <w:top w:val="nil"/>
              <w:left w:val="nil"/>
              <w:bottom w:val="nil"/>
              <w:right w:val="nil"/>
            </w:tcBorders>
            <w:shd w:val="clear" w:color="000000" w:fill="FFFFFF"/>
            <w:noWrap/>
            <w:vAlign w:val="bottom"/>
          </w:tcPr>
          <w:p w14:paraId="31862B18" w14:textId="1AB9BDA5" w:rsidR="00A9094B" w:rsidRPr="00344906" w:rsidRDefault="00A9094B" w:rsidP="00A9094B">
            <w:pPr>
              <w:spacing w:after="0" w:line="240" w:lineRule="auto"/>
              <w:ind w:left="158" w:firstLine="0"/>
              <w:rPr>
                <w:rFonts w:eastAsia="Times New Roman"/>
                <w:b/>
                <w:bCs/>
                <w:color w:val="000000"/>
                <w:sz w:val="20"/>
                <w:szCs w:val="20"/>
              </w:rPr>
            </w:pPr>
            <w:r w:rsidRPr="00344906">
              <w:rPr>
                <w:color w:val="000000"/>
                <w:sz w:val="20"/>
                <w:szCs w:val="20"/>
              </w:rPr>
              <w:t>Electricity producers</w:t>
            </w:r>
          </w:p>
        </w:tc>
        <w:tc>
          <w:tcPr>
            <w:tcW w:w="1145" w:type="dxa"/>
            <w:tcBorders>
              <w:top w:val="nil"/>
              <w:left w:val="nil"/>
              <w:bottom w:val="nil"/>
              <w:right w:val="nil"/>
            </w:tcBorders>
            <w:shd w:val="clear" w:color="auto" w:fill="auto"/>
            <w:noWrap/>
            <w:vAlign w:val="bottom"/>
          </w:tcPr>
          <w:p w14:paraId="03301409" w14:textId="0E698F96"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1,930</w:t>
            </w:r>
          </w:p>
        </w:tc>
        <w:tc>
          <w:tcPr>
            <w:tcW w:w="1285" w:type="dxa"/>
            <w:tcBorders>
              <w:top w:val="nil"/>
              <w:left w:val="nil"/>
              <w:bottom w:val="nil"/>
              <w:right w:val="nil"/>
            </w:tcBorders>
            <w:shd w:val="clear" w:color="000000" w:fill="FFFFFF"/>
            <w:noWrap/>
            <w:vAlign w:val="bottom"/>
          </w:tcPr>
          <w:p w14:paraId="667D485A" w14:textId="02B62F22"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19</w:t>
            </w:r>
          </w:p>
        </w:tc>
        <w:tc>
          <w:tcPr>
            <w:tcW w:w="1350" w:type="dxa"/>
            <w:tcBorders>
              <w:top w:val="nil"/>
              <w:left w:val="nil"/>
              <w:bottom w:val="nil"/>
              <w:right w:val="nil"/>
            </w:tcBorders>
            <w:shd w:val="clear" w:color="000000" w:fill="FFFFFF"/>
            <w:noWrap/>
            <w:vAlign w:val="bottom"/>
          </w:tcPr>
          <w:p w14:paraId="6F4D8F8B" w14:textId="223AE353"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81</w:t>
            </w:r>
          </w:p>
        </w:tc>
        <w:tc>
          <w:tcPr>
            <w:tcW w:w="1710" w:type="dxa"/>
            <w:tcBorders>
              <w:top w:val="nil"/>
              <w:left w:val="nil"/>
              <w:bottom w:val="nil"/>
              <w:right w:val="single" w:sz="4" w:space="0" w:color="auto"/>
            </w:tcBorders>
            <w:shd w:val="clear" w:color="000000" w:fill="FFFFFF"/>
            <w:noWrap/>
            <w:vAlign w:val="bottom"/>
          </w:tcPr>
          <w:p w14:paraId="0D88B917" w14:textId="482FB4EE"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98</w:t>
            </w:r>
          </w:p>
        </w:tc>
        <w:tc>
          <w:tcPr>
            <w:tcW w:w="1126" w:type="dxa"/>
            <w:tcBorders>
              <w:top w:val="nil"/>
              <w:left w:val="nil"/>
              <w:bottom w:val="nil"/>
              <w:right w:val="nil"/>
            </w:tcBorders>
            <w:shd w:val="clear" w:color="auto" w:fill="auto"/>
            <w:noWrap/>
            <w:vAlign w:val="bottom"/>
          </w:tcPr>
          <w:p w14:paraId="513168EB" w14:textId="693CEDC4"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1,928</w:t>
            </w:r>
          </w:p>
        </w:tc>
        <w:tc>
          <w:tcPr>
            <w:tcW w:w="1260" w:type="dxa"/>
            <w:tcBorders>
              <w:top w:val="nil"/>
              <w:left w:val="nil"/>
              <w:bottom w:val="nil"/>
              <w:right w:val="nil"/>
            </w:tcBorders>
            <w:shd w:val="clear" w:color="000000" w:fill="FFFFFF"/>
            <w:noWrap/>
            <w:vAlign w:val="bottom"/>
          </w:tcPr>
          <w:p w14:paraId="6F92D6BC" w14:textId="617A7A34"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83</w:t>
            </w:r>
          </w:p>
        </w:tc>
        <w:tc>
          <w:tcPr>
            <w:tcW w:w="1394" w:type="dxa"/>
            <w:tcBorders>
              <w:top w:val="nil"/>
              <w:left w:val="nil"/>
              <w:bottom w:val="nil"/>
              <w:right w:val="nil"/>
            </w:tcBorders>
            <w:shd w:val="clear" w:color="000000" w:fill="FFFFFF"/>
            <w:noWrap/>
            <w:vAlign w:val="bottom"/>
          </w:tcPr>
          <w:p w14:paraId="6F44E28E" w14:textId="32AEFC5A"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196</w:t>
            </w:r>
          </w:p>
        </w:tc>
        <w:tc>
          <w:tcPr>
            <w:tcW w:w="1636" w:type="dxa"/>
            <w:tcBorders>
              <w:top w:val="nil"/>
              <w:left w:val="nil"/>
              <w:bottom w:val="nil"/>
              <w:right w:val="nil"/>
            </w:tcBorders>
            <w:shd w:val="clear" w:color="000000" w:fill="FFFFFF"/>
            <w:noWrap/>
            <w:vAlign w:val="bottom"/>
          </w:tcPr>
          <w:p w14:paraId="40B44FF5" w14:textId="7E13CBE7" w:rsidR="00A9094B" w:rsidRPr="00344906" w:rsidRDefault="00A9094B" w:rsidP="00A9094B">
            <w:pPr>
              <w:spacing w:after="0" w:line="240" w:lineRule="auto"/>
              <w:ind w:left="158" w:firstLine="0"/>
              <w:jc w:val="right"/>
              <w:rPr>
                <w:rFonts w:eastAsia="Times New Roman"/>
                <w:b/>
                <w:bCs/>
                <w:sz w:val="20"/>
                <w:szCs w:val="20"/>
              </w:rPr>
            </w:pPr>
            <w:r w:rsidRPr="00344906">
              <w:rPr>
                <w:sz w:val="20"/>
                <w:szCs w:val="20"/>
              </w:rPr>
              <w:t>211</w:t>
            </w:r>
          </w:p>
        </w:tc>
      </w:tr>
      <w:tr w:rsidR="00FC2900" w:rsidRPr="00344906" w14:paraId="3ED8D5FB" w14:textId="77777777" w:rsidTr="00344906">
        <w:trPr>
          <w:trHeight w:val="315"/>
        </w:trPr>
        <w:tc>
          <w:tcPr>
            <w:tcW w:w="2430" w:type="dxa"/>
            <w:tcBorders>
              <w:top w:val="nil"/>
              <w:left w:val="nil"/>
              <w:bottom w:val="nil"/>
              <w:right w:val="nil"/>
            </w:tcBorders>
            <w:shd w:val="clear" w:color="000000" w:fill="FFFFFF"/>
            <w:noWrap/>
            <w:vAlign w:val="bottom"/>
          </w:tcPr>
          <w:p w14:paraId="69936AD5" w14:textId="7F639638" w:rsidR="00FC2900" w:rsidRPr="00344906" w:rsidRDefault="00FC2900" w:rsidP="003A162E">
            <w:pPr>
              <w:spacing w:after="0" w:line="240" w:lineRule="auto"/>
              <w:ind w:firstLine="0"/>
              <w:rPr>
                <w:rFonts w:eastAsia="Times New Roman"/>
                <w:b/>
                <w:bCs/>
                <w:color w:val="000000"/>
                <w:sz w:val="20"/>
                <w:szCs w:val="20"/>
              </w:rPr>
            </w:pPr>
            <w:r w:rsidRPr="00344906">
              <w:rPr>
                <w:rFonts w:eastAsia="Times New Roman"/>
                <w:b/>
                <w:bCs/>
                <w:color w:val="000000"/>
                <w:sz w:val="20"/>
                <w:szCs w:val="20"/>
              </w:rPr>
              <w:t>Agricultural sector</w:t>
            </w:r>
          </w:p>
        </w:tc>
        <w:tc>
          <w:tcPr>
            <w:tcW w:w="1145" w:type="dxa"/>
            <w:tcBorders>
              <w:top w:val="nil"/>
              <w:left w:val="nil"/>
              <w:bottom w:val="nil"/>
              <w:right w:val="nil"/>
            </w:tcBorders>
            <w:shd w:val="clear" w:color="auto" w:fill="auto"/>
            <w:noWrap/>
            <w:vAlign w:val="bottom"/>
          </w:tcPr>
          <w:p w14:paraId="577661BE" w14:textId="3A1CBA6B"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1,709</w:t>
            </w:r>
          </w:p>
        </w:tc>
        <w:tc>
          <w:tcPr>
            <w:tcW w:w="1285" w:type="dxa"/>
            <w:tcBorders>
              <w:top w:val="nil"/>
              <w:left w:val="nil"/>
              <w:bottom w:val="nil"/>
              <w:right w:val="nil"/>
            </w:tcBorders>
            <w:shd w:val="clear" w:color="000000" w:fill="FFFFFF"/>
            <w:noWrap/>
            <w:vAlign w:val="bottom"/>
          </w:tcPr>
          <w:p w14:paraId="7390933B" w14:textId="3B7BAE8E"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0</w:t>
            </w:r>
          </w:p>
        </w:tc>
        <w:tc>
          <w:tcPr>
            <w:tcW w:w="1350" w:type="dxa"/>
            <w:tcBorders>
              <w:top w:val="nil"/>
              <w:left w:val="nil"/>
              <w:bottom w:val="nil"/>
              <w:right w:val="nil"/>
            </w:tcBorders>
            <w:shd w:val="clear" w:color="000000" w:fill="FFFFFF"/>
            <w:noWrap/>
            <w:vAlign w:val="bottom"/>
          </w:tcPr>
          <w:p w14:paraId="0C6D3D24" w14:textId="04E68591"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0</w:t>
            </w:r>
          </w:p>
        </w:tc>
        <w:tc>
          <w:tcPr>
            <w:tcW w:w="1710" w:type="dxa"/>
            <w:tcBorders>
              <w:top w:val="nil"/>
              <w:left w:val="nil"/>
              <w:bottom w:val="nil"/>
              <w:right w:val="single" w:sz="4" w:space="0" w:color="auto"/>
            </w:tcBorders>
            <w:shd w:val="clear" w:color="000000" w:fill="FFFFFF"/>
            <w:noWrap/>
            <w:vAlign w:val="bottom"/>
          </w:tcPr>
          <w:p w14:paraId="55CF478C" w14:textId="5375FDD1"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0</w:t>
            </w:r>
          </w:p>
        </w:tc>
        <w:tc>
          <w:tcPr>
            <w:tcW w:w="1126" w:type="dxa"/>
            <w:tcBorders>
              <w:top w:val="nil"/>
              <w:left w:val="nil"/>
              <w:bottom w:val="nil"/>
              <w:right w:val="nil"/>
            </w:tcBorders>
            <w:shd w:val="clear" w:color="auto" w:fill="auto"/>
            <w:noWrap/>
            <w:vAlign w:val="bottom"/>
          </w:tcPr>
          <w:p w14:paraId="0BF8ABEA" w14:textId="04763784"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1,708</w:t>
            </w:r>
          </w:p>
        </w:tc>
        <w:tc>
          <w:tcPr>
            <w:tcW w:w="1260" w:type="dxa"/>
            <w:tcBorders>
              <w:top w:val="nil"/>
              <w:left w:val="nil"/>
              <w:bottom w:val="nil"/>
              <w:right w:val="nil"/>
            </w:tcBorders>
            <w:shd w:val="clear" w:color="000000" w:fill="FFFFFF"/>
            <w:noWrap/>
            <w:vAlign w:val="bottom"/>
          </w:tcPr>
          <w:p w14:paraId="5DE7F29E" w14:textId="1318ACA5"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1</w:t>
            </w:r>
          </w:p>
        </w:tc>
        <w:tc>
          <w:tcPr>
            <w:tcW w:w="1394" w:type="dxa"/>
            <w:tcBorders>
              <w:top w:val="nil"/>
              <w:left w:val="nil"/>
              <w:bottom w:val="nil"/>
              <w:right w:val="nil"/>
            </w:tcBorders>
            <w:shd w:val="clear" w:color="000000" w:fill="FFFFFF"/>
            <w:noWrap/>
            <w:vAlign w:val="bottom"/>
          </w:tcPr>
          <w:p w14:paraId="26538399" w14:textId="5E1AD203"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-1</w:t>
            </w:r>
          </w:p>
        </w:tc>
        <w:tc>
          <w:tcPr>
            <w:tcW w:w="1636" w:type="dxa"/>
            <w:tcBorders>
              <w:top w:val="nil"/>
              <w:left w:val="nil"/>
              <w:bottom w:val="nil"/>
              <w:right w:val="nil"/>
            </w:tcBorders>
            <w:shd w:val="clear" w:color="000000" w:fill="FFFFFF"/>
            <w:noWrap/>
            <w:vAlign w:val="bottom"/>
          </w:tcPr>
          <w:p w14:paraId="6CEC4325" w14:textId="1257317A" w:rsidR="00FC2900" w:rsidRPr="00344906" w:rsidRDefault="00FC2900" w:rsidP="003A162E">
            <w:pPr>
              <w:spacing w:after="0" w:line="240" w:lineRule="auto"/>
              <w:ind w:firstLine="0"/>
              <w:jc w:val="right"/>
              <w:rPr>
                <w:rFonts w:eastAsia="Times New Roman"/>
                <w:b/>
                <w:bCs/>
                <w:sz w:val="20"/>
                <w:szCs w:val="20"/>
              </w:rPr>
            </w:pPr>
            <w:r w:rsidRPr="00344906">
              <w:rPr>
                <w:rFonts w:eastAsia="Times New Roman"/>
                <w:b/>
                <w:bCs/>
                <w:sz w:val="20"/>
                <w:szCs w:val="20"/>
              </w:rPr>
              <w:t>-1</w:t>
            </w:r>
          </w:p>
        </w:tc>
      </w:tr>
      <w:tr w:rsidR="003A162E" w:rsidRPr="00344906" w14:paraId="479B49FA" w14:textId="77777777" w:rsidTr="00344906">
        <w:trPr>
          <w:trHeight w:val="315"/>
        </w:trPr>
        <w:tc>
          <w:tcPr>
            <w:tcW w:w="2430" w:type="dxa"/>
            <w:tcBorders>
              <w:top w:val="nil"/>
              <w:left w:val="nil"/>
              <w:bottom w:val="nil"/>
              <w:right w:val="nil"/>
            </w:tcBorders>
            <w:shd w:val="clear" w:color="000000" w:fill="FFFFFF"/>
            <w:noWrap/>
            <w:vAlign w:val="bottom"/>
            <w:hideMark/>
          </w:tcPr>
          <w:p w14:paraId="740BA319" w14:textId="77777777" w:rsidR="003A162E" w:rsidRPr="00344906" w:rsidRDefault="003A162E" w:rsidP="003A162E">
            <w:pPr>
              <w:spacing w:after="0" w:line="240" w:lineRule="auto"/>
              <w:ind w:firstLine="0"/>
              <w:rPr>
                <w:rFonts w:eastAsia="Times New Roman"/>
                <w:b/>
                <w:bCs/>
                <w:color w:val="000000"/>
                <w:sz w:val="20"/>
                <w:szCs w:val="20"/>
              </w:rPr>
            </w:pPr>
            <w:r w:rsidRPr="00344906">
              <w:rPr>
                <w:rFonts w:eastAsia="Times New Roman"/>
                <w:b/>
                <w:bCs/>
                <w:color w:val="000000"/>
                <w:sz w:val="20"/>
                <w:szCs w:val="20"/>
              </w:rPr>
              <w:t>Government revenue</w:t>
            </w:r>
          </w:p>
        </w:tc>
        <w:tc>
          <w:tcPr>
            <w:tcW w:w="1145" w:type="dxa"/>
            <w:tcBorders>
              <w:top w:val="nil"/>
              <w:left w:val="nil"/>
              <w:bottom w:val="nil"/>
              <w:right w:val="nil"/>
            </w:tcBorders>
            <w:shd w:val="clear" w:color="auto" w:fill="auto"/>
            <w:noWrap/>
            <w:vAlign w:val="bottom"/>
            <w:hideMark/>
          </w:tcPr>
          <w:p w14:paraId="7D7CE2CD"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484</w:t>
            </w:r>
          </w:p>
        </w:tc>
        <w:tc>
          <w:tcPr>
            <w:tcW w:w="1285" w:type="dxa"/>
            <w:tcBorders>
              <w:top w:val="nil"/>
              <w:left w:val="nil"/>
              <w:bottom w:val="nil"/>
              <w:right w:val="nil"/>
            </w:tcBorders>
            <w:shd w:val="clear" w:color="000000" w:fill="FFFFFF"/>
            <w:noWrap/>
            <w:vAlign w:val="bottom"/>
            <w:hideMark/>
          </w:tcPr>
          <w:p w14:paraId="3B15C1E4"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-17</w:t>
            </w:r>
          </w:p>
        </w:tc>
        <w:tc>
          <w:tcPr>
            <w:tcW w:w="1350" w:type="dxa"/>
            <w:tcBorders>
              <w:top w:val="nil"/>
              <w:left w:val="nil"/>
              <w:bottom w:val="nil"/>
              <w:right w:val="nil"/>
            </w:tcBorders>
            <w:shd w:val="clear" w:color="000000" w:fill="FFFFFF"/>
            <w:noWrap/>
            <w:vAlign w:val="bottom"/>
            <w:hideMark/>
          </w:tcPr>
          <w:p w14:paraId="4CBC2590"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-231</w:t>
            </w:r>
          </w:p>
        </w:tc>
        <w:tc>
          <w:tcPr>
            <w:tcW w:w="1710" w:type="dxa"/>
            <w:tcBorders>
              <w:top w:val="nil"/>
              <w:left w:val="nil"/>
              <w:bottom w:val="nil"/>
              <w:right w:val="single" w:sz="4" w:space="0" w:color="auto"/>
            </w:tcBorders>
            <w:shd w:val="clear" w:color="000000" w:fill="FFFFFF"/>
            <w:noWrap/>
            <w:vAlign w:val="bottom"/>
            <w:hideMark/>
          </w:tcPr>
          <w:p w14:paraId="68F9E811"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-269</w:t>
            </w:r>
          </w:p>
        </w:tc>
        <w:tc>
          <w:tcPr>
            <w:tcW w:w="1126" w:type="dxa"/>
            <w:tcBorders>
              <w:top w:val="nil"/>
              <w:left w:val="nil"/>
              <w:bottom w:val="nil"/>
              <w:right w:val="nil"/>
            </w:tcBorders>
            <w:shd w:val="clear" w:color="auto" w:fill="auto"/>
            <w:noWrap/>
            <w:vAlign w:val="bottom"/>
            <w:hideMark/>
          </w:tcPr>
          <w:p w14:paraId="5648BD73"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457</w:t>
            </w:r>
          </w:p>
        </w:tc>
        <w:tc>
          <w:tcPr>
            <w:tcW w:w="1260" w:type="dxa"/>
            <w:tcBorders>
              <w:top w:val="nil"/>
              <w:left w:val="nil"/>
              <w:bottom w:val="nil"/>
              <w:right w:val="nil"/>
            </w:tcBorders>
            <w:shd w:val="clear" w:color="000000" w:fill="FFFFFF"/>
            <w:noWrap/>
            <w:vAlign w:val="bottom"/>
            <w:hideMark/>
          </w:tcPr>
          <w:p w14:paraId="3F98C67C"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-47</w:t>
            </w:r>
          </w:p>
        </w:tc>
        <w:tc>
          <w:tcPr>
            <w:tcW w:w="1394" w:type="dxa"/>
            <w:tcBorders>
              <w:top w:val="nil"/>
              <w:left w:val="nil"/>
              <w:bottom w:val="nil"/>
              <w:right w:val="nil"/>
            </w:tcBorders>
            <w:shd w:val="clear" w:color="000000" w:fill="FFFFFF"/>
            <w:noWrap/>
            <w:vAlign w:val="bottom"/>
            <w:hideMark/>
          </w:tcPr>
          <w:p w14:paraId="6303577D"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-496</w:t>
            </w:r>
          </w:p>
        </w:tc>
        <w:tc>
          <w:tcPr>
            <w:tcW w:w="1636" w:type="dxa"/>
            <w:tcBorders>
              <w:top w:val="nil"/>
              <w:left w:val="nil"/>
              <w:bottom w:val="nil"/>
              <w:right w:val="nil"/>
            </w:tcBorders>
            <w:shd w:val="clear" w:color="000000" w:fill="FFFFFF"/>
            <w:noWrap/>
            <w:vAlign w:val="bottom"/>
            <w:hideMark/>
          </w:tcPr>
          <w:p w14:paraId="12404B74" w14:textId="77777777" w:rsidR="003A162E" w:rsidRPr="00344906" w:rsidRDefault="003A162E" w:rsidP="003A162E">
            <w:pPr>
              <w:spacing w:after="0" w:line="240" w:lineRule="auto"/>
              <w:ind w:firstLine="0"/>
              <w:jc w:val="right"/>
              <w:rPr>
                <w:rFonts w:eastAsia="Times New Roman"/>
                <w:b/>
                <w:bCs/>
                <w:sz w:val="20"/>
                <w:szCs w:val="20"/>
              </w:rPr>
            </w:pPr>
            <w:r w:rsidRPr="00344906">
              <w:rPr>
                <w:rFonts w:eastAsia="Times New Roman"/>
                <w:b/>
                <w:bCs/>
                <w:sz w:val="20"/>
                <w:szCs w:val="20"/>
              </w:rPr>
              <w:t>-526</w:t>
            </w:r>
          </w:p>
        </w:tc>
      </w:tr>
      <w:tr w:rsidR="00A9094B" w:rsidRPr="00344906" w14:paraId="7D2492A6" w14:textId="77777777" w:rsidTr="00344906">
        <w:trPr>
          <w:trHeight w:val="315"/>
        </w:trPr>
        <w:tc>
          <w:tcPr>
            <w:tcW w:w="2430" w:type="dxa"/>
            <w:tcBorders>
              <w:top w:val="nil"/>
              <w:left w:val="nil"/>
              <w:bottom w:val="nil"/>
              <w:right w:val="nil"/>
            </w:tcBorders>
            <w:shd w:val="clear" w:color="000000" w:fill="FFFFFF"/>
            <w:noWrap/>
            <w:vAlign w:val="bottom"/>
          </w:tcPr>
          <w:p w14:paraId="3253E8F5" w14:textId="70132CC3" w:rsidR="00A9094B" w:rsidRPr="00344906" w:rsidRDefault="00A9094B" w:rsidP="00A9094B">
            <w:pPr>
              <w:spacing w:after="0" w:line="240" w:lineRule="auto"/>
              <w:ind w:left="158" w:firstLine="0"/>
              <w:rPr>
                <w:rFonts w:eastAsia="Times New Roman"/>
                <w:color w:val="000000"/>
                <w:sz w:val="20"/>
                <w:szCs w:val="20"/>
              </w:rPr>
            </w:pPr>
            <w:r w:rsidRPr="00344906">
              <w:rPr>
                <w:color w:val="000000"/>
                <w:sz w:val="20"/>
                <w:szCs w:val="20"/>
              </w:rPr>
              <w:t>Fuel tax</w:t>
            </w:r>
          </w:p>
        </w:tc>
        <w:tc>
          <w:tcPr>
            <w:tcW w:w="1145" w:type="dxa"/>
            <w:tcBorders>
              <w:top w:val="nil"/>
              <w:left w:val="nil"/>
              <w:bottom w:val="nil"/>
              <w:right w:val="nil"/>
            </w:tcBorders>
            <w:shd w:val="clear" w:color="auto" w:fill="auto"/>
            <w:noWrap/>
            <w:vAlign w:val="bottom"/>
          </w:tcPr>
          <w:p w14:paraId="581CD971" w14:textId="2AA9308C"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488</w:t>
            </w:r>
          </w:p>
        </w:tc>
        <w:tc>
          <w:tcPr>
            <w:tcW w:w="1285" w:type="dxa"/>
            <w:tcBorders>
              <w:top w:val="nil"/>
              <w:left w:val="nil"/>
              <w:bottom w:val="nil"/>
              <w:right w:val="nil"/>
            </w:tcBorders>
            <w:shd w:val="clear" w:color="000000" w:fill="FFFFFF"/>
            <w:noWrap/>
            <w:vAlign w:val="bottom"/>
          </w:tcPr>
          <w:p w14:paraId="65CEA71B" w14:textId="37B84081"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-6</w:t>
            </w:r>
          </w:p>
        </w:tc>
        <w:tc>
          <w:tcPr>
            <w:tcW w:w="1350" w:type="dxa"/>
            <w:tcBorders>
              <w:top w:val="nil"/>
              <w:left w:val="nil"/>
              <w:bottom w:val="nil"/>
              <w:right w:val="nil"/>
            </w:tcBorders>
            <w:shd w:val="clear" w:color="000000" w:fill="FFFFFF"/>
            <w:noWrap/>
            <w:vAlign w:val="bottom"/>
          </w:tcPr>
          <w:p w14:paraId="43ED9598" w14:textId="328F5FF1"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-23</w:t>
            </w:r>
          </w:p>
        </w:tc>
        <w:tc>
          <w:tcPr>
            <w:tcW w:w="1710" w:type="dxa"/>
            <w:tcBorders>
              <w:top w:val="nil"/>
              <w:left w:val="nil"/>
              <w:bottom w:val="nil"/>
              <w:right w:val="single" w:sz="4" w:space="0" w:color="auto"/>
            </w:tcBorders>
            <w:shd w:val="clear" w:color="000000" w:fill="FFFFFF"/>
            <w:noWrap/>
            <w:vAlign w:val="bottom"/>
          </w:tcPr>
          <w:p w14:paraId="0C90B972" w14:textId="41607A8A"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-28</w:t>
            </w:r>
          </w:p>
        </w:tc>
        <w:tc>
          <w:tcPr>
            <w:tcW w:w="1126" w:type="dxa"/>
            <w:tcBorders>
              <w:top w:val="nil"/>
              <w:left w:val="nil"/>
              <w:bottom w:val="nil"/>
              <w:right w:val="nil"/>
            </w:tcBorders>
            <w:shd w:val="clear" w:color="auto" w:fill="auto"/>
            <w:noWrap/>
            <w:vAlign w:val="bottom"/>
          </w:tcPr>
          <w:p w14:paraId="2726F9FF" w14:textId="2D49DFBE"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476</w:t>
            </w:r>
          </w:p>
        </w:tc>
        <w:tc>
          <w:tcPr>
            <w:tcW w:w="1260" w:type="dxa"/>
            <w:tcBorders>
              <w:top w:val="nil"/>
              <w:left w:val="nil"/>
              <w:bottom w:val="nil"/>
              <w:right w:val="nil"/>
            </w:tcBorders>
            <w:shd w:val="clear" w:color="000000" w:fill="FFFFFF"/>
            <w:noWrap/>
            <w:vAlign w:val="bottom"/>
          </w:tcPr>
          <w:p w14:paraId="1D516C3A" w14:textId="06194D2D"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-18</w:t>
            </w:r>
          </w:p>
        </w:tc>
        <w:tc>
          <w:tcPr>
            <w:tcW w:w="1394" w:type="dxa"/>
            <w:tcBorders>
              <w:top w:val="nil"/>
              <w:left w:val="nil"/>
              <w:bottom w:val="nil"/>
              <w:right w:val="nil"/>
            </w:tcBorders>
            <w:shd w:val="clear" w:color="000000" w:fill="FFFFFF"/>
            <w:noWrap/>
            <w:vAlign w:val="bottom"/>
          </w:tcPr>
          <w:p w14:paraId="57B1B693" w14:textId="13B25FF6"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-52</w:t>
            </w:r>
          </w:p>
        </w:tc>
        <w:tc>
          <w:tcPr>
            <w:tcW w:w="1636" w:type="dxa"/>
            <w:tcBorders>
              <w:top w:val="nil"/>
              <w:left w:val="nil"/>
              <w:bottom w:val="nil"/>
              <w:right w:val="nil"/>
            </w:tcBorders>
            <w:shd w:val="clear" w:color="000000" w:fill="FFFFFF"/>
            <w:noWrap/>
            <w:vAlign w:val="bottom"/>
          </w:tcPr>
          <w:p w14:paraId="57B60682" w14:textId="3D182514"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-55</w:t>
            </w:r>
          </w:p>
        </w:tc>
      </w:tr>
      <w:tr w:rsidR="00A9094B" w:rsidRPr="00344906" w14:paraId="3424C88E" w14:textId="77777777" w:rsidTr="00344906">
        <w:trPr>
          <w:trHeight w:val="315"/>
        </w:trPr>
        <w:tc>
          <w:tcPr>
            <w:tcW w:w="2430" w:type="dxa"/>
            <w:tcBorders>
              <w:top w:val="nil"/>
              <w:left w:val="nil"/>
              <w:bottom w:val="nil"/>
              <w:right w:val="nil"/>
            </w:tcBorders>
            <w:shd w:val="clear" w:color="000000" w:fill="FFFFFF"/>
            <w:noWrap/>
            <w:vAlign w:val="bottom"/>
          </w:tcPr>
          <w:p w14:paraId="1BDC9A52" w14:textId="62533965" w:rsidR="00A9094B" w:rsidRPr="00344906" w:rsidRDefault="00A9094B" w:rsidP="00A9094B">
            <w:pPr>
              <w:spacing w:after="0" w:line="240" w:lineRule="auto"/>
              <w:ind w:left="158" w:firstLine="0"/>
              <w:rPr>
                <w:rFonts w:eastAsia="Times New Roman"/>
                <w:color w:val="000000"/>
                <w:sz w:val="20"/>
                <w:szCs w:val="20"/>
              </w:rPr>
            </w:pPr>
            <w:r w:rsidRPr="00344906">
              <w:rPr>
                <w:color w:val="000000"/>
                <w:sz w:val="20"/>
                <w:szCs w:val="20"/>
              </w:rPr>
              <w:t>Vehicle tax credit</w:t>
            </w:r>
          </w:p>
        </w:tc>
        <w:tc>
          <w:tcPr>
            <w:tcW w:w="1145" w:type="dxa"/>
            <w:tcBorders>
              <w:top w:val="nil"/>
              <w:left w:val="nil"/>
              <w:bottom w:val="nil"/>
              <w:right w:val="nil"/>
            </w:tcBorders>
            <w:shd w:val="clear" w:color="auto" w:fill="auto"/>
            <w:noWrap/>
            <w:vAlign w:val="bottom"/>
          </w:tcPr>
          <w:p w14:paraId="79190058" w14:textId="2DCDBC52"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-12</w:t>
            </w:r>
          </w:p>
        </w:tc>
        <w:tc>
          <w:tcPr>
            <w:tcW w:w="1285" w:type="dxa"/>
            <w:tcBorders>
              <w:top w:val="nil"/>
              <w:left w:val="nil"/>
              <w:bottom w:val="nil"/>
              <w:right w:val="nil"/>
            </w:tcBorders>
            <w:shd w:val="clear" w:color="000000" w:fill="FFFFFF"/>
            <w:noWrap/>
            <w:vAlign w:val="bottom"/>
          </w:tcPr>
          <w:p w14:paraId="4F2F37E3" w14:textId="48BE6D74"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-5</w:t>
            </w:r>
          </w:p>
        </w:tc>
        <w:tc>
          <w:tcPr>
            <w:tcW w:w="1350" w:type="dxa"/>
            <w:tcBorders>
              <w:top w:val="nil"/>
              <w:left w:val="nil"/>
              <w:bottom w:val="nil"/>
              <w:right w:val="nil"/>
            </w:tcBorders>
            <w:shd w:val="clear" w:color="000000" w:fill="FFFFFF"/>
            <w:noWrap/>
            <w:vAlign w:val="bottom"/>
          </w:tcPr>
          <w:p w14:paraId="617FEC7C" w14:textId="4C79E8E9"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-226</w:t>
            </w:r>
          </w:p>
        </w:tc>
        <w:tc>
          <w:tcPr>
            <w:tcW w:w="1710" w:type="dxa"/>
            <w:tcBorders>
              <w:top w:val="nil"/>
              <w:left w:val="nil"/>
              <w:bottom w:val="nil"/>
              <w:right w:val="single" w:sz="4" w:space="0" w:color="auto"/>
            </w:tcBorders>
            <w:shd w:val="clear" w:color="000000" w:fill="FFFFFF"/>
            <w:noWrap/>
            <w:vAlign w:val="bottom"/>
          </w:tcPr>
          <w:p w14:paraId="03A035E8" w14:textId="7BE91074"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-246</w:t>
            </w:r>
          </w:p>
        </w:tc>
        <w:tc>
          <w:tcPr>
            <w:tcW w:w="1126" w:type="dxa"/>
            <w:tcBorders>
              <w:top w:val="nil"/>
              <w:left w:val="nil"/>
              <w:bottom w:val="nil"/>
              <w:right w:val="nil"/>
            </w:tcBorders>
            <w:shd w:val="clear" w:color="auto" w:fill="auto"/>
            <w:noWrap/>
            <w:vAlign w:val="bottom"/>
          </w:tcPr>
          <w:p w14:paraId="3440A520" w14:textId="37291BDE"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-16</w:t>
            </w:r>
          </w:p>
        </w:tc>
        <w:tc>
          <w:tcPr>
            <w:tcW w:w="1260" w:type="dxa"/>
            <w:tcBorders>
              <w:top w:val="nil"/>
              <w:left w:val="nil"/>
              <w:bottom w:val="nil"/>
              <w:right w:val="nil"/>
            </w:tcBorders>
            <w:shd w:val="clear" w:color="000000" w:fill="FFFFFF"/>
            <w:noWrap/>
            <w:vAlign w:val="bottom"/>
          </w:tcPr>
          <w:p w14:paraId="2F0B9E08" w14:textId="3F1ED283"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-25</w:t>
            </w:r>
          </w:p>
        </w:tc>
        <w:tc>
          <w:tcPr>
            <w:tcW w:w="1394" w:type="dxa"/>
            <w:tcBorders>
              <w:top w:val="nil"/>
              <w:left w:val="nil"/>
              <w:bottom w:val="nil"/>
              <w:right w:val="nil"/>
            </w:tcBorders>
            <w:shd w:val="clear" w:color="000000" w:fill="FFFFFF"/>
            <w:noWrap/>
            <w:vAlign w:val="bottom"/>
          </w:tcPr>
          <w:p w14:paraId="6BBA77D7" w14:textId="1C7ED4A4"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-451</w:t>
            </w:r>
          </w:p>
        </w:tc>
        <w:tc>
          <w:tcPr>
            <w:tcW w:w="1636" w:type="dxa"/>
            <w:tcBorders>
              <w:top w:val="nil"/>
              <w:left w:val="nil"/>
              <w:bottom w:val="nil"/>
              <w:right w:val="nil"/>
            </w:tcBorders>
            <w:shd w:val="clear" w:color="000000" w:fill="FFFFFF"/>
            <w:noWrap/>
            <w:vAlign w:val="bottom"/>
          </w:tcPr>
          <w:p w14:paraId="6B945243" w14:textId="48B06461"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-466</w:t>
            </w:r>
          </w:p>
        </w:tc>
      </w:tr>
      <w:tr w:rsidR="00A9094B" w:rsidRPr="00344906" w14:paraId="2665EEAD" w14:textId="77777777" w:rsidTr="00344906">
        <w:trPr>
          <w:trHeight w:val="315"/>
        </w:trPr>
        <w:tc>
          <w:tcPr>
            <w:tcW w:w="2430" w:type="dxa"/>
            <w:tcBorders>
              <w:top w:val="nil"/>
              <w:left w:val="nil"/>
              <w:bottom w:val="nil"/>
              <w:right w:val="nil"/>
            </w:tcBorders>
            <w:shd w:val="clear" w:color="000000" w:fill="FFFFFF"/>
            <w:noWrap/>
            <w:vAlign w:val="bottom"/>
          </w:tcPr>
          <w:p w14:paraId="471FBDEF" w14:textId="3207BE0C" w:rsidR="00A9094B" w:rsidRPr="00344906" w:rsidRDefault="00A9094B" w:rsidP="00A9094B">
            <w:pPr>
              <w:spacing w:after="0" w:line="240" w:lineRule="auto"/>
              <w:ind w:left="158" w:firstLine="0"/>
              <w:rPr>
                <w:rFonts w:eastAsia="Times New Roman"/>
                <w:color w:val="000000"/>
                <w:sz w:val="20"/>
                <w:szCs w:val="20"/>
              </w:rPr>
            </w:pPr>
            <w:r w:rsidRPr="00344906">
              <w:rPr>
                <w:color w:val="000000"/>
                <w:sz w:val="20"/>
                <w:szCs w:val="20"/>
              </w:rPr>
              <w:t>Infrastructure investment</w:t>
            </w:r>
          </w:p>
        </w:tc>
        <w:tc>
          <w:tcPr>
            <w:tcW w:w="1145" w:type="dxa"/>
            <w:tcBorders>
              <w:top w:val="nil"/>
              <w:left w:val="nil"/>
              <w:bottom w:val="nil"/>
              <w:right w:val="nil"/>
            </w:tcBorders>
            <w:shd w:val="clear" w:color="auto" w:fill="auto"/>
            <w:noWrap/>
            <w:vAlign w:val="bottom"/>
          </w:tcPr>
          <w:p w14:paraId="27C64BB9" w14:textId="6E129FE8"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0</w:t>
            </w:r>
          </w:p>
        </w:tc>
        <w:tc>
          <w:tcPr>
            <w:tcW w:w="1285" w:type="dxa"/>
            <w:tcBorders>
              <w:top w:val="nil"/>
              <w:left w:val="nil"/>
              <w:bottom w:val="nil"/>
              <w:right w:val="nil"/>
            </w:tcBorders>
            <w:shd w:val="clear" w:color="000000" w:fill="FFFFFF"/>
            <w:noWrap/>
            <w:vAlign w:val="bottom"/>
          </w:tcPr>
          <w:p w14:paraId="7D53C023" w14:textId="5B8D8768"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-7</w:t>
            </w:r>
          </w:p>
        </w:tc>
        <w:tc>
          <w:tcPr>
            <w:tcW w:w="1350" w:type="dxa"/>
            <w:tcBorders>
              <w:top w:val="nil"/>
              <w:left w:val="nil"/>
              <w:bottom w:val="nil"/>
              <w:right w:val="nil"/>
            </w:tcBorders>
            <w:shd w:val="clear" w:color="000000" w:fill="FFFFFF"/>
            <w:noWrap/>
            <w:vAlign w:val="bottom"/>
          </w:tcPr>
          <w:p w14:paraId="10FEE6F1" w14:textId="5F9091FF"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0</w:t>
            </w:r>
          </w:p>
        </w:tc>
        <w:tc>
          <w:tcPr>
            <w:tcW w:w="1710" w:type="dxa"/>
            <w:tcBorders>
              <w:top w:val="nil"/>
              <w:left w:val="nil"/>
              <w:bottom w:val="nil"/>
              <w:right w:val="single" w:sz="4" w:space="0" w:color="auto"/>
            </w:tcBorders>
            <w:shd w:val="clear" w:color="000000" w:fill="FFFFFF"/>
            <w:noWrap/>
            <w:vAlign w:val="bottom"/>
          </w:tcPr>
          <w:p w14:paraId="1DEE7881" w14:textId="483DCF15"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-7</w:t>
            </w:r>
          </w:p>
        </w:tc>
        <w:tc>
          <w:tcPr>
            <w:tcW w:w="1126" w:type="dxa"/>
            <w:tcBorders>
              <w:top w:val="nil"/>
              <w:left w:val="nil"/>
              <w:bottom w:val="nil"/>
              <w:right w:val="nil"/>
            </w:tcBorders>
            <w:shd w:val="clear" w:color="auto" w:fill="auto"/>
            <w:noWrap/>
            <w:vAlign w:val="bottom"/>
          </w:tcPr>
          <w:p w14:paraId="6091B53E" w14:textId="063E449B"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0</w:t>
            </w:r>
          </w:p>
        </w:tc>
        <w:tc>
          <w:tcPr>
            <w:tcW w:w="1260" w:type="dxa"/>
            <w:tcBorders>
              <w:top w:val="nil"/>
              <w:left w:val="nil"/>
              <w:bottom w:val="nil"/>
              <w:right w:val="nil"/>
            </w:tcBorders>
            <w:shd w:val="clear" w:color="000000" w:fill="FFFFFF"/>
            <w:noWrap/>
            <w:vAlign w:val="bottom"/>
          </w:tcPr>
          <w:p w14:paraId="50E2F732" w14:textId="1DDA97F9"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-7</w:t>
            </w:r>
          </w:p>
        </w:tc>
        <w:tc>
          <w:tcPr>
            <w:tcW w:w="1394" w:type="dxa"/>
            <w:tcBorders>
              <w:top w:val="nil"/>
              <w:left w:val="nil"/>
              <w:bottom w:val="nil"/>
              <w:right w:val="nil"/>
            </w:tcBorders>
            <w:shd w:val="clear" w:color="000000" w:fill="FFFFFF"/>
            <w:noWrap/>
            <w:vAlign w:val="bottom"/>
          </w:tcPr>
          <w:p w14:paraId="2E3213AE" w14:textId="6604DEA2"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0</w:t>
            </w:r>
          </w:p>
        </w:tc>
        <w:tc>
          <w:tcPr>
            <w:tcW w:w="1636" w:type="dxa"/>
            <w:tcBorders>
              <w:top w:val="nil"/>
              <w:left w:val="nil"/>
              <w:bottom w:val="nil"/>
              <w:right w:val="nil"/>
            </w:tcBorders>
            <w:shd w:val="clear" w:color="000000" w:fill="FFFFFF"/>
            <w:noWrap/>
            <w:vAlign w:val="bottom"/>
          </w:tcPr>
          <w:p w14:paraId="5229BDDF" w14:textId="63DDC903" w:rsidR="00A9094B" w:rsidRPr="00344906" w:rsidRDefault="00A9094B" w:rsidP="00A9094B">
            <w:pPr>
              <w:spacing w:after="0" w:line="240" w:lineRule="auto"/>
              <w:ind w:left="158" w:firstLine="0"/>
              <w:jc w:val="right"/>
              <w:rPr>
                <w:rFonts w:eastAsia="Times New Roman"/>
                <w:sz w:val="20"/>
                <w:szCs w:val="20"/>
              </w:rPr>
            </w:pPr>
            <w:r w:rsidRPr="00344906">
              <w:rPr>
                <w:sz w:val="20"/>
                <w:szCs w:val="20"/>
              </w:rPr>
              <w:t>-7</w:t>
            </w:r>
          </w:p>
        </w:tc>
      </w:tr>
      <w:tr w:rsidR="00A9094B" w:rsidRPr="00344906" w14:paraId="7A8C6E8C" w14:textId="77777777" w:rsidTr="00344906">
        <w:trPr>
          <w:trHeight w:val="315"/>
        </w:trPr>
        <w:tc>
          <w:tcPr>
            <w:tcW w:w="2430" w:type="dxa"/>
            <w:tcBorders>
              <w:top w:val="nil"/>
              <w:left w:val="nil"/>
              <w:bottom w:val="nil"/>
              <w:right w:val="nil"/>
            </w:tcBorders>
            <w:shd w:val="clear" w:color="000000" w:fill="FFFFFF"/>
            <w:noWrap/>
            <w:vAlign w:val="bottom"/>
            <w:hideMark/>
          </w:tcPr>
          <w:p w14:paraId="2B71D570" w14:textId="77777777" w:rsidR="00A9094B" w:rsidRPr="00344906" w:rsidRDefault="00A9094B" w:rsidP="00A9094B">
            <w:pPr>
              <w:spacing w:after="0" w:line="240" w:lineRule="auto"/>
              <w:ind w:firstLine="0"/>
              <w:rPr>
                <w:rFonts w:eastAsia="Times New Roman"/>
                <w:b/>
                <w:bCs/>
                <w:color w:val="000000"/>
                <w:sz w:val="20"/>
                <w:szCs w:val="20"/>
              </w:rPr>
            </w:pPr>
            <w:r w:rsidRPr="00344906">
              <w:rPr>
                <w:rFonts w:eastAsia="Times New Roman"/>
                <w:b/>
                <w:bCs/>
                <w:color w:val="000000"/>
                <w:sz w:val="20"/>
                <w:szCs w:val="20"/>
              </w:rPr>
              <w:t>Economic surplus</w:t>
            </w:r>
          </w:p>
        </w:tc>
        <w:tc>
          <w:tcPr>
            <w:tcW w:w="1145" w:type="dxa"/>
            <w:tcBorders>
              <w:top w:val="nil"/>
              <w:left w:val="nil"/>
              <w:bottom w:val="nil"/>
              <w:right w:val="nil"/>
            </w:tcBorders>
            <w:shd w:val="clear" w:color="auto" w:fill="auto"/>
            <w:noWrap/>
            <w:vAlign w:val="bottom"/>
            <w:hideMark/>
          </w:tcPr>
          <w:p w14:paraId="4915E674" w14:textId="4137283F"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80,694</w:t>
            </w:r>
          </w:p>
        </w:tc>
        <w:tc>
          <w:tcPr>
            <w:tcW w:w="1285" w:type="dxa"/>
            <w:tcBorders>
              <w:top w:val="nil"/>
              <w:left w:val="nil"/>
              <w:bottom w:val="nil"/>
              <w:right w:val="nil"/>
            </w:tcBorders>
            <w:shd w:val="clear" w:color="auto" w:fill="auto"/>
            <w:noWrap/>
            <w:vAlign w:val="bottom"/>
            <w:hideMark/>
          </w:tcPr>
          <w:p w14:paraId="6836D5E4" w14:textId="082D8310"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-70</w:t>
            </w:r>
          </w:p>
        </w:tc>
        <w:tc>
          <w:tcPr>
            <w:tcW w:w="1350" w:type="dxa"/>
            <w:tcBorders>
              <w:top w:val="nil"/>
              <w:left w:val="nil"/>
              <w:bottom w:val="nil"/>
              <w:right w:val="nil"/>
            </w:tcBorders>
            <w:shd w:val="clear" w:color="auto" w:fill="auto"/>
            <w:noWrap/>
            <w:vAlign w:val="bottom"/>
            <w:hideMark/>
          </w:tcPr>
          <w:p w14:paraId="1AB87F4C" w14:textId="6F2D1F05"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-362</w:t>
            </w:r>
          </w:p>
        </w:tc>
        <w:tc>
          <w:tcPr>
            <w:tcW w:w="1710" w:type="dxa"/>
            <w:tcBorders>
              <w:top w:val="nil"/>
              <w:left w:val="nil"/>
              <w:bottom w:val="nil"/>
              <w:right w:val="single" w:sz="4" w:space="0" w:color="auto"/>
            </w:tcBorders>
            <w:shd w:val="clear" w:color="auto" w:fill="auto"/>
            <w:noWrap/>
            <w:vAlign w:val="bottom"/>
            <w:hideMark/>
          </w:tcPr>
          <w:p w14:paraId="32F83691" w14:textId="312DD2FC"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-411</w:t>
            </w:r>
          </w:p>
        </w:tc>
        <w:tc>
          <w:tcPr>
            <w:tcW w:w="1126" w:type="dxa"/>
            <w:tcBorders>
              <w:top w:val="nil"/>
              <w:left w:val="nil"/>
              <w:bottom w:val="nil"/>
              <w:right w:val="nil"/>
            </w:tcBorders>
            <w:shd w:val="clear" w:color="auto" w:fill="auto"/>
            <w:noWrap/>
            <w:vAlign w:val="bottom"/>
            <w:hideMark/>
          </w:tcPr>
          <w:p w14:paraId="775215BD" w14:textId="1B63DA15"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79,895</w:t>
            </w:r>
          </w:p>
        </w:tc>
        <w:tc>
          <w:tcPr>
            <w:tcW w:w="1260" w:type="dxa"/>
            <w:tcBorders>
              <w:top w:val="nil"/>
              <w:left w:val="nil"/>
              <w:bottom w:val="nil"/>
              <w:right w:val="nil"/>
            </w:tcBorders>
            <w:shd w:val="clear" w:color="auto" w:fill="auto"/>
            <w:noWrap/>
            <w:vAlign w:val="bottom"/>
            <w:hideMark/>
          </w:tcPr>
          <w:p w14:paraId="2318F54A" w14:textId="2DB38AB1"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-130</w:t>
            </w:r>
          </w:p>
        </w:tc>
        <w:tc>
          <w:tcPr>
            <w:tcW w:w="1394" w:type="dxa"/>
            <w:tcBorders>
              <w:top w:val="nil"/>
              <w:left w:val="nil"/>
              <w:bottom w:val="nil"/>
              <w:right w:val="nil"/>
            </w:tcBorders>
            <w:shd w:val="clear" w:color="auto" w:fill="auto"/>
            <w:noWrap/>
            <w:vAlign w:val="bottom"/>
            <w:hideMark/>
          </w:tcPr>
          <w:p w14:paraId="0F86D4A7" w14:textId="335A2932"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-752</w:t>
            </w:r>
          </w:p>
        </w:tc>
        <w:tc>
          <w:tcPr>
            <w:tcW w:w="1636" w:type="dxa"/>
            <w:tcBorders>
              <w:top w:val="nil"/>
              <w:left w:val="nil"/>
              <w:bottom w:val="nil"/>
              <w:right w:val="nil"/>
            </w:tcBorders>
            <w:shd w:val="clear" w:color="auto" w:fill="auto"/>
            <w:noWrap/>
            <w:vAlign w:val="bottom"/>
            <w:hideMark/>
          </w:tcPr>
          <w:p w14:paraId="4298CA0F" w14:textId="6B7CAFFA"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-722</w:t>
            </w:r>
          </w:p>
        </w:tc>
      </w:tr>
      <w:tr w:rsidR="00A9094B" w:rsidRPr="00344906" w14:paraId="580614AA" w14:textId="77777777" w:rsidTr="00344906">
        <w:trPr>
          <w:trHeight w:val="315"/>
        </w:trPr>
        <w:tc>
          <w:tcPr>
            <w:tcW w:w="2430" w:type="dxa"/>
            <w:tcBorders>
              <w:top w:val="nil"/>
              <w:left w:val="nil"/>
              <w:bottom w:val="nil"/>
              <w:right w:val="nil"/>
            </w:tcBorders>
            <w:shd w:val="clear" w:color="000000" w:fill="FFFFFF"/>
            <w:noWrap/>
            <w:vAlign w:val="bottom"/>
            <w:hideMark/>
          </w:tcPr>
          <w:p w14:paraId="7879ED89" w14:textId="0B6EFB4F" w:rsidR="00A9094B" w:rsidRPr="00344906" w:rsidRDefault="00A9094B" w:rsidP="00A9094B">
            <w:pPr>
              <w:spacing w:after="0" w:line="240" w:lineRule="auto"/>
              <w:ind w:firstLine="0"/>
              <w:rPr>
                <w:rFonts w:eastAsia="Times New Roman"/>
                <w:b/>
                <w:bCs/>
                <w:color w:val="000000"/>
                <w:sz w:val="20"/>
                <w:szCs w:val="20"/>
              </w:rPr>
            </w:pPr>
            <w:r w:rsidRPr="00344906">
              <w:rPr>
                <w:rFonts w:eastAsia="Times New Roman"/>
                <w:b/>
                <w:bCs/>
                <w:color w:val="000000"/>
                <w:sz w:val="20"/>
                <w:szCs w:val="20"/>
              </w:rPr>
              <w:t>Cumulative GHG emissions 2022-2030 (B Mg CO</w:t>
            </w:r>
            <w:r w:rsidRPr="00344906">
              <w:rPr>
                <w:rFonts w:eastAsia="Times New Roman"/>
                <w:b/>
                <w:bCs/>
                <w:color w:val="000000"/>
                <w:sz w:val="20"/>
                <w:szCs w:val="20"/>
                <w:vertAlign w:val="subscript"/>
              </w:rPr>
              <w:t>2</w:t>
            </w:r>
            <w:r w:rsidRPr="00344906">
              <w:rPr>
                <w:rFonts w:eastAsia="Times New Roman"/>
                <w:b/>
                <w:bCs/>
                <w:color w:val="000000"/>
                <w:sz w:val="20"/>
                <w:szCs w:val="20"/>
              </w:rPr>
              <w:t>)</w:t>
            </w:r>
          </w:p>
        </w:tc>
        <w:tc>
          <w:tcPr>
            <w:tcW w:w="1145" w:type="dxa"/>
            <w:tcBorders>
              <w:top w:val="nil"/>
              <w:left w:val="nil"/>
              <w:bottom w:val="nil"/>
              <w:right w:val="nil"/>
            </w:tcBorders>
            <w:shd w:val="clear" w:color="auto" w:fill="auto"/>
            <w:noWrap/>
            <w:vAlign w:val="bottom"/>
            <w:hideMark/>
          </w:tcPr>
          <w:p w14:paraId="789AAA8F" w14:textId="1C0F9BCF"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36.9</w:t>
            </w:r>
          </w:p>
        </w:tc>
        <w:tc>
          <w:tcPr>
            <w:tcW w:w="1285" w:type="dxa"/>
            <w:tcBorders>
              <w:top w:val="nil"/>
              <w:left w:val="nil"/>
              <w:bottom w:val="nil"/>
              <w:right w:val="nil"/>
            </w:tcBorders>
            <w:shd w:val="clear" w:color="auto" w:fill="auto"/>
            <w:noWrap/>
            <w:vAlign w:val="bottom"/>
            <w:hideMark/>
          </w:tcPr>
          <w:p w14:paraId="608E31A6" w14:textId="2D162658"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-0.20</w:t>
            </w:r>
          </w:p>
        </w:tc>
        <w:tc>
          <w:tcPr>
            <w:tcW w:w="1350" w:type="dxa"/>
            <w:tcBorders>
              <w:top w:val="nil"/>
              <w:left w:val="nil"/>
              <w:bottom w:val="nil"/>
              <w:right w:val="nil"/>
            </w:tcBorders>
            <w:shd w:val="clear" w:color="auto" w:fill="auto"/>
            <w:noWrap/>
            <w:vAlign w:val="bottom"/>
            <w:hideMark/>
          </w:tcPr>
          <w:p w14:paraId="4A139754" w14:textId="6A15C121"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-0.73</w:t>
            </w:r>
          </w:p>
        </w:tc>
        <w:tc>
          <w:tcPr>
            <w:tcW w:w="1710" w:type="dxa"/>
            <w:tcBorders>
              <w:top w:val="nil"/>
              <w:left w:val="nil"/>
              <w:bottom w:val="nil"/>
              <w:right w:val="single" w:sz="4" w:space="0" w:color="auto"/>
            </w:tcBorders>
            <w:shd w:val="clear" w:color="auto" w:fill="auto"/>
            <w:noWrap/>
            <w:vAlign w:val="bottom"/>
            <w:hideMark/>
          </w:tcPr>
          <w:p w14:paraId="6CA14C2D" w14:textId="722832B7"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-0.90</w:t>
            </w:r>
          </w:p>
        </w:tc>
        <w:tc>
          <w:tcPr>
            <w:tcW w:w="1126" w:type="dxa"/>
            <w:tcBorders>
              <w:top w:val="nil"/>
              <w:left w:val="nil"/>
              <w:bottom w:val="nil"/>
              <w:right w:val="nil"/>
            </w:tcBorders>
            <w:shd w:val="clear" w:color="auto" w:fill="auto"/>
            <w:noWrap/>
            <w:vAlign w:val="bottom"/>
            <w:hideMark/>
          </w:tcPr>
          <w:p w14:paraId="02F45250" w14:textId="1243ECC2" w:rsidR="00A9094B" w:rsidRPr="00344906" w:rsidRDefault="00A9094B" w:rsidP="00A9094B">
            <w:pPr>
              <w:spacing w:after="0" w:line="240" w:lineRule="auto"/>
              <w:ind w:firstLine="0"/>
              <w:jc w:val="right"/>
              <w:rPr>
                <w:rFonts w:eastAsia="Times New Roman"/>
                <w:b/>
                <w:bCs/>
                <w:sz w:val="20"/>
                <w:szCs w:val="20"/>
              </w:rPr>
            </w:pPr>
            <w:r w:rsidRPr="00344906">
              <w:rPr>
                <w:b/>
                <w:bCs/>
                <w:sz w:val="20"/>
                <w:szCs w:val="20"/>
              </w:rPr>
              <w:t>36.4</w:t>
            </w:r>
          </w:p>
        </w:tc>
        <w:tc>
          <w:tcPr>
            <w:tcW w:w="1260" w:type="dxa"/>
            <w:tcBorders>
              <w:top w:val="nil"/>
              <w:left w:val="nil"/>
              <w:bottom w:val="nil"/>
              <w:right w:val="nil"/>
            </w:tcBorders>
            <w:shd w:val="clear" w:color="auto" w:fill="auto"/>
            <w:noWrap/>
            <w:vAlign w:val="bottom"/>
            <w:hideMark/>
          </w:tcPr>
          <w:p w14:paraId="72067331" w14:textId="40A4775A"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-0.52</w:t>
            </w:r>
          </w:p>
        </w:tc>
        <w:tc>
          <w:tcPr>
            <w:tcW w:w="1394" w:type="dxa"/>
            <w:tcBorders>
              <w:top w:val="nil"/>
              <w:left w:val="nil"/>
              <w:bottom w:val="nil"/>
              <w:right w:val="nil"/>
            </w:tcBorders>
            <w:shd w:val="clear" w:color="auto" w:fill="auto"/>
            <w:noWrap/>
            <w:vAlign w:val="bottom"/>
            <w:hideMark/>
          </w:tcPr>
          <w:p w14:paraId="7C7E1E7A" w14:textId="51453405"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-1.58</w:t>
            </w:r>
          </w:p>
        </w:tc>
        <w:tc>
          <w:tcPr>
            <w:tcW w:w="1636" w:type="dxa"/>
            <w:tcBorders>
              <w:top w:val="nil"/>
              <w:left w:val="nil"/>
              <w:bottom w:val="nil"/>
              <w:right w:val="nil"/>
            </w:tcBorders>
            <w:shd w:val="clear" w:color="auto" w:fill="auto"/>
            <w:noWrap/>
            <w:vAlign w:val="bottom"/>
            <w:hideMark/>
          </w:tcPr>
          <w:p w14:paraId="0D643306" w14:textId="28104174" w:rsidR="00A9094B" w:rsidRPr="00344906" w:rsidRDefault="00A9094B" w:rsidP="00A9094B">
            <w:pPr>
              <w:spacing w:after="0" w:line="240" w:lineRule="auto"/>
              <w:ind w:firstLine="0"/>
              <w:jc w:val="right"/>
              <w:rPr>
                <w:rFonts w:eastAsia="Times New Roman"/>
                <w:b/>
                <w:bCs/>
                <w:color w:val="000000"/>
                <w:sz w:val="20"/>
                <w:szCs w:val="20"/>
              </w:rPr>
            </w:pPr>
            <w:r w:rsidRPr="00344906">
              <w:rPr>
                <w:b/>
                <w:bCs/>
                <w:color w:val="000000"/>
                <w:sz w:val="20"/>
                <w:szCs w:val="20"/>
              </w:rPr>
              <w:t>-1.65</w:t>
            </w:r>
          </w:p>
        </w:tc>
      </w:tr>
      <w:tr w:rsidR="003A162E" w:rsidRPr="00344906" w14:paraId="157F0B0E" w14:textId="77777777" w:rsidTr="00344906">
        <w:trPr>
          <w:trHeight w:val="396"/>
        </w:trPr>
        <w:tc>
          <w:tcPr>
            <w:tcW w:w="2430" w:type="dxa"/>
            <w:tcBorders>
              <w:top w:val="nil"/>
              <w:left w:val="nil"/>
              <w:bottom w:val="nil"/>
              <w:right w:val="nil"/>
            </w:tcBorders>
            <w:shd w:val="clear" w:color="auto" w:fill="auto"/>
            <w:noWrap/>
            <w:vAlign w:val="bottom"/>
            <w:hideMark/>
          </w:tcPr>
          <w:p w14:paraId="7C53B364" w14:textId="77777777" w:rsidR="003A162E" w:rsidRPr="00344906" w:rsidRDefault="003A162E" w:rsidP="003A162E">
            <w:pPr>
              <w:spacing w:after="0" w:line="240" w:lineRule="auto"/>
              <w:ind w:firstLine="0"/>
              <w:jc w:val="right"/>
              <w:rPr>
                <w:rFonts w:eastAsia="Times New Roman"/>
                <w:color w:val="000000"/>
                <w:sz w:val="20"/>
                <w:szCs w:val="20"/>
              </w:rPr>
            </w:pPr>
          </w:p>
        </w:tc>
        <w:tc>
          <w:tcPr>
            <w:tcW w:w="1145" w:type="dxa"/>
            <w:tcBorders>
              <w:top w:val="nil"/>
              <w:left w:val="nil"/>
              <w:bottom w:val="nil"/>
              <w:right w:val="nil"/>
            </w:tcBorders>
            <w:shd w:val="clear" w:color="auto" w:fill="auto"/>
            <w:noWrap/>
            <w:vAlign w:val="bottom"/>
            <w:hideMark/>
          </w:tcPr>
          <w:p w14:paraId="32160A46" w14:textId="77777777" w:rsidR="003A162E" w:rsidRPr="00344906" w:rsidRDefault="003A162E" w:rsidP="003A162E">
            <w:pPr>
              <w:spacing w:after="0" w:line="240" w:lineRule="auto"/>
              <w:ind w:firstLine="0"/>
              <w:rPr>
                <w:rFonts w:eastAsia="Times New Roman"/>
                <w:sz w:val="20"/>
                <w:szCs w:val="20"/>
              </w:rPr>
            </w:pPr>
          </w:p>
        </w:tc>
        <w:tc>
          <w:tcPr>
            <w:tcW w:w="4345" w:type="dxa"/>
            <w:gridSpan w:val="3"/>
            <w:tcBorders>
              <w:top w:val="nil"/>
              <w:left w:val="nil"/>
              <w:bottom w:val="nil"/>
              <w:right w:val="single" w:sz="4" w:space="0" w:color="auto"/>
            </w:tcBorders>
            <w:shd w:val="clear" w:color="auto" w:fill="auto"/>
            <w:vAlign w:val="bottom"/>
            <w:hideMark/>
          </w:tcPr>
          <w:p w14:paraId="63902965" w14:textId="19ADE777" w:rsidR="003A162E" w:rsidRPr="00344906" w:rsidRDefault="003A162E" w:rsidP="003A162E">
            <w:pPr>
              <w:spacing w:after="0" w:line="240" w:lineRule="auto"/>
              <w:ind w:firstLine="0"/>
              <w:rPr>
                <w:rFonts w:eastAsia="Times New Roman"/>
                <w:b/>
                <w:bCs/>
                <w:sz w:val="20"/>
                <w:szCs w:val="20"/>
              </w:rPr>
            </w:pPr>
            <w:r w:rsidRPr="00344906">
              <w:rPr>
                <w:rFonts w:eastAsia="Times New Roman"/>
                <w:b/>
                <w:bCs/>
                <w:sz w:val="20"/>
                <w:szCs w:val="20"/>
              </w:rPr>
              <w:t>Relative to Baseline</w:t>
            </w:r>
          </w:p>
        </w:tc>
        <w:tc>
          <w:tcPr>
            <w:tcW w:w="5412" w:type="dxa"/>
            <w:gridSpan w:val="4"/>
            <w:tcBorders>
              <w:top w:val="nil"/>
              <w:left w:val="nil"/>
              <w:right w:val="single" w:sz="4" w:space="0" w:color="auto"/>
            </w:tcBorders>
            <w:shd w:val="clear" w:color="auto" w:fill="auto"/>
            <w:vAlign w:val="bottom"/>
            <w:hideMark/>
          </w:tcPr>
          <w:p w14:paraId="2EB94B00" w14:textId="105675FB" w:rsidR="003A162E" w:rsidRPr="00344906" w:rsidRDefault="003A162E" w:rsidP="00CF771E">
            <w:pPr>
              <w:spacing w:after="0" w:line="240" w:lineRule="auto"/>
              <w:ind w:firstLine="0"/>
              <w:jc w:val="center"/>
              <w:rPr>
                <w:rFonts w:eastAsia="Times New Roman"/>
                <w:b/>
                <w:bCs/>
                <w:sz w:val="20"/>
                <w:szCs w:val="20"/>
              </w:rPr>
            </w:pPr>
            <w:r w:rsidRPr="00344906">
              <w:rPr>
                <w:rFonts w:eastAsia="Times New Roman"/>
                <w:b/>
                <w:bCs/>
                <w:sz w:val="20"/>
                <w:szCs w:val="20"/>
              </w:rPr>
              <w:t>Relative to Baseline</w:t>
            </w:r>
          </w:p>
        </w:tc>
      </w:tr>
      <w:tr w:rsidR="00A9094B" w:rsidRPr="00344906" w14:paraId="161896E5" w14:textId="77777777" w:rsidTr="00344906">
        <w:trPr>
          <w:trHeight w:val="375"/>
        </w:trPr>
        <w:tc>
          <w:tcPr>
            <w:tcW w:w="2430" w:type="dxa"/>
            <w:tcBorders>
              <w:top w:val="nil"/>
              <w:left w:val="nil"/>
              <w:bottom w:val="nil"/>
              <w:right w:val="nil"/>
            </w:tcBorders>
            <w:shd w:val="clear" w:color="000000" w:fill="FFFFFF"/>
            <w:noWrap/>
            <w:vAlign w:val="center"/>
            <w:hideMark/>
          </w:tcPr>
          <w:p w14:paraId="45D7D993" w14:textId="62D58210" w:rsidR="00A9094B" w:rsidRPr="00344906" w:rsidRDefault="00A9094B" w:rsidP="00A9094B">
            <w:pPr>
              <w:spacing w:after="0" w:line="240" w:lineRule="auto"/>
              <w:ind w:firstLine="0"/>
              <w:rPr>
                <w:rFonts w:eastAsia="Times New Roman"/>
                <w:color w:val="000000"/>
                <w:sz w:val="20"/>
                <w:szCs w:val="20"/>
              </w:rPr>
            </w:pPr>
            <w:r w:rsidRPr="00344906">
              <w:rPr>
                <w:rFonts w:eastAsia="Times New Roman"/>
                <w:color w:val="000000"/>
                <w:sz w:val="20"/>
                <w:szCs w:val="20"/>
              </w:rPr>
              <w:t xml:space="preserve">Taxpayer cost of </w:t>
            </w:r>
            <w:proofErr w:type="gramStart"/>
            <w:r w:rsidRPr="00344906">
              <w:rPr>
                <w:rFonts w:eastAsia="Times New Roman"/>
                <w:color w:val="000000"/>
                <w:sz w:val="20"/>
                <w:szCs w:val="20"/>
              </w:rPr>
              <w:t>abatement(</w:t>
            </w:r>
            <w:proofErr w:type="gramEnd"/>
            <w:r w:rsidRPr="00344906">
              <w:rPr>
                <w:rFonts w:eastAsia="Times New Roman"/>
                <w:color w:val="000000"/>
                <w:sz w:val="20"/>
                <w:szCs w:val="20"/>
              </w:rPr>
              <w:t>$</w:t>
            </w:r>
            <w:r w:rsidR="00344906">
              <w:rPr>
                <w:rFonts w:eastAsia="Times New Roman"/>
                <w:color w:val="000000"/>
                <w:sz w:val="20"/>
                <w:szCs w:val="20"/>
              </w:rPr>
              <w:t>/</w:t>
            </w:r>
            <w:r w:rsidRPr="00344906">
              <w:rPr>
                <w:rFonts w:eastAsia="Times New Roman"/>
                <w:color w:val="000000"/>
                <w:sz w:val="20"/>
                <w:szCs w:val="20"/>
              </w:rPr>
              <w:t>Mg CO</w:t>
            </w:r>
            <w:r w:rsidRPr="00344906">
              <w:rPr>
                <w:rFonts w:eastAsia="Times New Roman"/>
                <w:color w:val="000000"/>
                <w:sz w:val="20"/>
                <w:szCs w:val="20"/>
                <w:vertAlign w:val="subscript"/>
              </w:rPr>
              <w:t>2</w:t>
            </w:r>
            <w:r w:rsidRPr="00344906">
              <w:rPr>
                <w:rFonts w:eastAsia="Times New Roman"/>
                <w:color w:val="000000"/>
                <w:sz w:val="20"/>
                <w:szCs w:val="20"/>
              </w:rPr>
              <w:t>-e</w:t>
            </w:r>
            <w:r w:rsidR="00344906">
              <w:rPr>
                <w:rFonts w:eastAsia="Times New Roman"/>
                <w:color w:val="000000"/>
                <w:sz w:val="20"/>
                <w:szCs w:val="20"/>
              </w:rPr>
              <w:t>q</w:t>
            </w:r>
            <w:r w:rsidRPr="00344906">
              <w:rPr>
                <w:rFonts w:eastAsia="Times New Roman"/>
                <w:color w:val="000000"/>
                <w:sz w:val="20"/>
                <w:szCs w:val="20"/>
              </w:rPr>
              <w:t>)</w:t>
            </w:r>
          </w:p>
        </w:tc>
        <w:tc>
          <w:tcPr>
            <w:tcW w:w="1145" w:type="dxa"/>
            <w:tcBorders>
              <w:top w:val="nil"/>
              <w:left w:val="nil"/>
              <w:bottom w:val="nil"/>
              <w:right w:val="nil"/>
            </w:tcBorders>
            <w:shd w:val="clear" w:color="auto" w:fill="auto"/>
            <w:noWrap/>
            <w:vAlign w:val="bottom"/>
            <w:hideMark/>
          </w:tcPr>
          <w:p w14:paraId="04C2ACCE" w14:textId="77777777" w:rsidR="00A9094B" w:rsidRPr="00344906" w:rsidRDefault="00A9094B" w:rsidP="00A9094B">
            <w:pPr>
              <w:spacing w:after="0" w:line="240" w:lineRule="auto"/>
              <w:ind w:firstLine="0"/>
              <w:rPr>
                <w:rFonts w:eastAsia="Times New Roman"/>
                <w:color w:val="000000"/>
                <w:sz w:val="20"/>
                <w:szCs w:val="20"/>
              </w:rPr>
            </w:pPr>
          </w:p>
        </w:tc>
        <w:tc>
          <w:tcPr>
            <w:tcW w:w="1285" w:type="dxa"/>
            <w:tcBorders>
              <w:top w:val="nil"/>
              <w:left w:val="nil"/>
              <w:bottom w:val="nil"/>
              <w:right w:val="nil"/>
            </w:tcBorders>
            <w:shd w:val="clear" w:color="auto" w:fill="auto"/>
            <w:noWrap/>
            <w:vAlign w:val="bottom"/>
            <w:hideMark/>
          </w:tcPr>
          <w:p w14:paraId="3B6C0A7E" w14:textId="7E22FCE1"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91</w:t>
            </w:r>
          </w:p>
        </w:tc>
        <w:tc>
          <w:tcPr>
            <w:tcW w:w="1350" w:type="dxa"/>
            <w:tcBorders>
              <w:top w:val="nil"/>
              <w:left w:val="nil"/>
              <w:bottom w:val="nil"/>
              <w:right w:val="nil"/>
            </w:tcBorders>
            <w:shd w:val="clear" w:color="auto" w:fill="auto"/>
            <w:noWrap/>
            <w:vAlign w:val="bottom"/>
            <w:hideMark/>
          </w:tcPr>
          <w:p w14:paraId="3ADB4B55" w14:textId="4A86F581"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341</w:t>
            </w:r>
          </w:p>
        </w:tc>
        <w:tc>
          <w:tcPr>
            <w:tcW w:w="1710" w:type="dxa"/>
            <w:tcBorders>
              <w:top w:val="nil"/>
              <w:left w:val="nil"/>
              <w:bottom w:val="nil"/>
              <w:right w:val="single" w:sz="4" w:space="0" w:color="auto"/>
            </w:tcBorders>
            <w:shd w:val="clear" w:color="auto" w:fill="auto"/>
            <w:noWrap/>
            <w:vAlign w:val="bottom"/>
            <w:hideMark/>
          </w:tcPr>
          <w:p w14:paraId="09E5C144" w14:textId="2E0E035E"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313</w:t>
            </w:r>
          </w:p>
        </w:tc>
        <w:tc>
          <w:tcPr>
            <w:tcW w:w="1126" w:type="dxa"/>
            <w:tcBorders>
              <w:top w:val="nil"/>
              <w:left w:val="single" w:sz="4" w:space="0" w:color="auto"/>
            </w:tcBorders>
            <w:shd w:val="clear" w:color="auto" w:fill="auto"/>
            <w:noWrap/>
            <w:vAlign w:val="bottom"/>
            <w:hideMark/>
          </w:tcPr>
          <w:p w14:paraId="4E3408D2" w14:textId="2E2EF1CE" w:rsidR="00A9094B" w:rsidRPr="00344906" w:rsidRDefault="00A9094B" w:rsidP="00A9094B">
            <w:pPr>
              <w:spacing w:after="0" w:line="240" w:lineRule="auto"/>
              <w:ind w:firstLine="0"/>
              <w:rPr>
                <w:rFonts w:eastAsia="Times New Roman"/>
                <w:color w:val="000000"/>
                <w:sz w:val="20"/>
                <w:szCs w:val="20"/>
              </w:rPr>
            </w:pPr>
            <w:r w:rsidRPr="00344906">
              <w:rPr>
                <w:color w:val="000000"/>
                <w:sz w:val="20"/>
                <w:szCs w:val="20"/>
              </w:rPr>
              <w:t> </w:t>
            </w:r>
          </w:p>
        </w:tc>
        <w:tc>
          <w:tcPr>
            <w:tcW w:w="1260" w:type="dxa"/>
            <w:tcBorders>
              <w:top w:val="nil"/>
            </w:tcBorders>
            <w:shd w:val="clear" w:color="auto" w:fill="auto"/>
            <w:noWrap/>
            <w:vAlign w:val="bottom"/>
            <w:hideMark/>
          </w:tcPr>
          <w:p w14:paraId="3D434631" w14:textId="2DA8977C"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95</w:t>
            </w:r>
          </w:p>
        </w:tc>
        <w:tc>
          <w:tcPr>
            <w:tcW w:w="1394" w:type="dxa"/>
            <w:tcBorders>
              <w:top w:val="nil"/>
            </w:tcBorders>
            <w:shd w:val="clear" w:color="auto" w:fill="auto"/>
            <w:noWrap/>
            <w:vAlign w:val="bottom"/>
            <w:hideMark/>
          </w:tcPr>
          <w:p w14:paraId="58E8A0D6" w14:textId="1512F154"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319</w:t>
            </w:r>
          </w:p>
        </w:tc>
        <w:tc>
          <w:tcPr>
            <w:tcW w:w="1636" w:type="dxa"/>
            <w:tcBorders>
              <w:top w:val="nil"/>
            </w:tcBorders>
            <w:shd w:val="clear" w:color="auto" w:fill="auto"/>
            <w:noWrap/>
            <w:vAlign w:val="bottom"/>
            <w:hideMark/>
          </w:tcPr>
          <w:p w14:paraId="6F6F262E" w14:textId="0B01C014"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320</w:t>
            </w:r>
          </w:p>
        </w:tc>
      </w:tr>
      <w:tr w:rsidR="00A9094B" w:rsidRPr="00344906" w14:paraId="3E608EFE" w14:textId="77777777" w:rsidTr="00344906">
        <w:trPr>
          <w:trHeight w:val="390"/>
        </w:trPr>
        <w:tc>
          <w:tcPr>
            <w:tcW w:w="2430" w:type="dxa"/>
            <w:tcBorders>
              <w:top w:val="nil"/>
              <w:left w:val="nil"/>
              <w:bottom w:val="single" w:sz="8" w:space="0" w:color="auto"/>
              <w:right w:val="nil"/>
            </w:tcBorders>
            <w:shd w:val="clear" w:color="000000" w:fill="FFFFFF"/>
            <w:noWrap/>
            <w:vAlign w:val="center"/>
            <w:hideMark/>
          </w:tcPr>
          <w:p w14:paraId="48617D1F" w14:textId="0D7DBA73" w:rsidR="00A9094B" w:rsidRPr="00344906" w:rsidRDefault="00A9094B" w:rsidP="00A9094B">
            <w:pPr>
              <w:spacing w:after="0" w:line="240" w:lineRule="auto"/>
              <w:ind w:firstLine="0"/>
              <w:rPr>
                <w:rFonts w:eastAsia="Times New Roman"/>
                <w:color w:val="000000"/>
                <w:sz w:val="20"/>
                <w:szCs w:val="20"/>
              </w:rPr>
            </w:pPr>
            <w:r w:rsidRPr="00344906">
              <w:rPr>
                <w:rFonts w:eastAsia="Times New Roman"/>
                <w:color w:val="000000"/>
                <w:sz w:val="20"/>
                <w:szCs w:val="20"/>
              </w:rPr>
              <w:t>Welfare Cost of Abatement ($</w:t>
            </w:r>
            <w:r w:rsidR="00344906">
              <w:rPr>
                <w:rFonts w:eastAsia="Times New Roman"/>
                <w:color w:val="000000"/>
                <w:sz w:val="20"/>
                <w:szCs w:val="20"/>
              </w:rPr>
              <w:t>/</w:t>
            </w:r>
            <w:r w:rsidRPr="00344906">
              <w:rPr>
                <w:rFonts w:eastAsia="Times New Roman"/>
                <w:color w:val="000000"/>
                <w:sz w:val="20"/>
                <w:szCs w:val="20"/>
              </w:rPr>
              <w:t>Mg CO</w:t>
            </w:r>
            <w:r w:rsidRPr="00344906">
              <w:rPr>
                <w:rFonts w:eastAsia="Times New Roman"/>
                <w:color w:val="000000"/>
                <w:sz w:val="20"/>
                <w:szCs w:val="20"/>
                <w:vertAlign w:val="subscript"/>
              </w:rPr>
              <w:t>2</w:t>
            </w:r>
            <w:r w:rsidRPr="00344906">
              <w:rPr>
                <w:rFonts w:eastAsia="Times New Roman"/>
                <w:color w:val="000000"/>
                <w:sz w:val="20"/>
                <w:szCs w:val="20"/>
              </w:rPr>
              <w:t>-eq)</w:t>
            </w:r>
          </w:p>
        </w:tc>
        <w:tc>
          <w:tcPr>
            <w:tcW w:w="1145" w:type="dxa"/>
            <w:tcBorders>
              <w:top w:val="nil"/>
              <w:left w:val="nil"/>
              <w:bottom w:val="single" w:sz="8" w:space="0" w:color="auto"/>
              <w:right w:val="nil"/>
            </w:tcBorders>
            <w:shd w:val="clear" w:color="000000" w:fill="FFFFFF"/>
            <w:noWrap/>
            <w:vAlign w:val="center"/>
            <w:hideMark/>
          </w:tcPr>
          <w:p w14:paraId="5F09F55D" w14:textId="77777777" w:rsidR="00A9094B" w:rsidRPr="00344906" w:rsidRDefault="00A9094B" w:rsidP="00A9094B">
            <w:pPr>
              <w:spacing w:after="0" w:line="240" w:lineRule="auto"/>
              <w:ind w:firstLine="0"/>
              <w:rPr>
                <w:rFonts w:eastAsia="Times New Roman"/>
                <w:color w:val="000000"/>
                <w:sz w:val="20"/>
                <w:szCs w:val="20"/>
              </w:rPr>
            </w:pPr>
            <w:r w:rsidRPr="00344906">
              <w:rPr>
                <w:rFonts w:eastAsia="Times New Roman"/>
                <w:color w:val="000000"/>
                <w:sz w:val="20"/>
                <w:szCs w:val="20"/>
              </w:rPr>
              <w:t> </w:t>
            </w:r>
          </w:p>
        </w:tc>
        <w:tc>
          <w:tcPr>
            <w:tcW w:w="1285" w:type="dxa"/>
            <w:tcBorders>
              <w:top w:val="nil"/>
              <w:left w:val="nil"/>
              <w:bottom w:val="single" w:sz="8" w:space="0" w:color="auto"/>
              <w:right w:val="nil"/>
            </w:tcBorders>
            <w:shd w:val="clear" w:color="000000" w:fill="FFFFFF"/>
            <w:noWrap/>
            <w:vAlign w:val="center"/>
            <w:hideMark/>
          </w:tcPr>
          <w:p w14:paraId="1C16C83B" w14:textId="73F58E5B"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359</w:t>
            </w:r>
          </w:p>
        </w:tc>
        <w:tc>
          <w:tcPr>
            <w:tcW w:w="1350" w:type="dxa"/>
            <w:tcBorders>
              <w:top w:val="nil"/>
              <w:left w:val="nil"/>
              <w:bottom w:val="single" w:sz="8" w:space="0" w:color="auto"/>
              <w:right w:val="nil"/>
            </w:tcBorders>
            <w:shd w:val="clear" w:color="000000" w:fill="FFFFFF"/>
            <w:noWrap/>
            <w:vAlign w:val="center"/>
            <w:hideMark/>
          </w:tcPr>
          <w:p w14:paraId="310C31F0" w14:textId="2E034366"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495</w:t>
            </w:r>
          </w:p>
        </w:tc>
        <w:tc>
          <w:tcPr>
            <w:tcW w:w="1710" w:type="dxa"/>
            <w:tcBorders>
              <w:top w:val="nil"/>
              <w:left w:val="nil"/>
              <w:bottom w:val="single" w:sz="8" w:space="0" w:color="auto"/>
              <w:right w:val="single" w:sz="4" w:space="0" w:color="auto"/>
            </w:tcBorders>
            <w:shd w:val="clear" w:color="000000" w:fill="FFFFFF"/>
            <w:noWrap/>
            <w:vAlign w:val="center"/>
            <w:hideMark/>
          </w:tcPr>
          <w:p w14:paraId="3BE48800" w14:textId="2497591A"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458</w:t>
            </w:r>
          </w:p>
        </w:tc>
        <w:tc>
          <w:tcPr>
            <w:tcW w:w="1126" w:type="dxa"/>
            <w:tcBorders>
              <w:top w:val="nil"/>
              <w:left w:val="single" w:sz="4" w:space="0" w:color="auto"/>
              <w:bottom w:val="single" w:sz="4" w:space="0" w:color="auto"/>
            </w:tcBorders>
            <w:shd w:val="clear" w:color="000000" w:fill="FFFFFF"/>
            <w:noWrap/>
            <w:vAlign w:val="center"/>
            <w:hideMark/>
          </w:tcPr>
          <w:p w14:paraId="49422A3D" w14:textId="48BE00F6" w:rsidR="00A9094B" w:rsidRPr="00344906" w:rsidRDefault="00A9094B" w:rsidP="00A9094B">
            <w:pPr>
              <w:spacing w:after="0" w:line="240" w:lineRule="auto"/>
              <w:ind w:firstLine="0"/>
              <w:rPr>
                <w:rFonts w:eastAsia="Times New Roman"/>
                <w:color w:val="000000"/>
                <w:sz w:val="20"/>
                <w:szCs w:val="20"/>
              </w:rPr>
            </w:pPr>
            <w:r w:rsidRPr="00344906">
              <w:rPr>
                <w:color w:val="000000"/>
                <w:sz w:val="20"/>
                <w:szCs w:val="20"/>
              </w:rPr>
              <w:t> </w:t>
            </w:r>
          </w:p>
        </w:tc>
        <w:tc>
          <w:tcPr>
            <w:tcW w:w="1260" w:type="dxa"/>
            <w:tcBorders>
              <w:top w:val="nil"/>
              <w:bottom w:val="single" w:sz="4" w:space="0" w:color="auto"/>
            </w:tcBorders>
            <w:shd w:val="clear" w:color="000000" w:fill="FFFFFF"/>
            <w:noWrap/>
            <w:vAlign w:val="center"/>
            <w:hideMark/>
          </w:tcPr>
          <w:p w14:paraId="0A5B2F85" w14:textId="41C6CF0E"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250</w:t>
            </w:r>
          </w:p>
        </w:tc>
        <w:tc>
          <w:tcPr>
            <w:tcW w:w="1394" w:type="dxa"/>
            <w:tcBorders>
              <w:top w:val="nil"/>
              <w:bottom w:val="single" w:sz="4" w:space="0" w:color="auto"/>
            </w:tcBorders>
            <w:shd w:val="clear" w:color="000000" w:fill="FFFFFF"/>
            <w:noWrap/>
            <w:vAlign w:val="center"/>
            <w:hideMark/>
          </w:tcPr>
          <w:p w14:paraId="673AAE1F" w14:textId="025C3EF5"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477</w:t>
            </w:r>
          </w:p>
        </w:tc>
        <w:tc>
          <w:tcPr>
            <w:tcW w:w="1636" w:type="dxa"/>
            <w:tcBorders>
              <w:top w:val="nil"/>
              <w:bottom w:val="single" w:sz="4" w:space="0" w:color="auto"/>
            </w:tcBorders>
            <w:shd w:val="clear" w:color="000000" w:fill="FFFFFF"/>
            <w:noWrap/>
            <w:vAlign w:val="center"/>
            <w:hideMark/>
          </w:tcPr>
          <w:p w14:paraId="5136CCED" w14:textId="0871A250" w:rsidR="00A9094B" w:rsidRPr="00344906" w:rsidRDefault="00A9094B" w:rsidP="00A9094B">
            <w:pPr>
              <w:spacing w:after="0" w:line="240" w:lineRule="auto"/>
              <w:ind w:firstLine="0"/>
              <w:jc w:val="right"/>
              <w:rPr>
                <w:rFonts w:eastAsia="Times New Roman"/>
                <w:color w:val="000000"/>
                <w:sz w:val="20"/>
                <w:szCs w:val="20"/>
              </w:rPr>
            </w:pPr>
            <w:r w:rsidRPr="00344906">
              <w:rPr>
                <w:color w:val="000000"/>
                <w:sz w:val="20"/>
                <w:szCs w:val="20"/>
              </w:rPr>
              <w:t>438</w:t>
            </w:r>
          </w:p>
        </w:tc>
      </w:tr>
    </w:tbl>
    <w:p w14:paraId="042E1A59" w14:textId="77777777" w:rsidR="003A162E" w:rsidRDefault="003A162E" w:rsidP="00144194">
      <w:pPr>
        <w:rPr>
          <w:lang w:eastAsia="en-US"/>
        </w:rPr>
        <w:sectPr w:rsidR="003A162E" w:rsidSect="003A162E">
          <w:pgSz w:w="15840" w:h="12240" w:orient="landscape"/>
          <w:pgMar w:top="1440" w:right="1440" w:bottom="1440" w:left="1440" w:header="720" w:footer="720" w:gutter="0"/>
          <w:cols w:space="720"/>
          <w:docGrid w:linePitch="360"/>
        </w:sectPr>
      </w:pPr>
    </w:p>
    <w:p w14:paraId="69368081" w14:textId="3E6EA573" w:rsidR="002A5B60" w:rsidRDefault="004C00E2" w:rsidP="004C00E2">
      <w:pPr>
        <w:spacing w:after="0" w:line="240" w:lineRule="auto"/>
        <w:rPr>
          <w:lang w:eastAsia="en-US"/>
        </w:rPr>
      </w:pPr>
      <w:r>
        <w:rPr>
          <w:noProof/>
        </w:rPr>
        <w:lastRenderedPageBreak/>
        <w:drawing>
          <wp:inline distT="0" distB="0" distL="0" distR="0" wp14:anchorId="4EF7091F" wp14:editId="4EC382A4">
            <wp:extent cx="4591050" cy="2017938"/>
            <wp:effectExtent l="0" t="0" r="0" b="1905"/>
            <wp:docPr id="9" name="Chart 9">
              <a:extLst xmlns:a="http://schemas.openxmlformats.org/drawingml/2006/main">
                <a:ext uri="{FF2B5EF4-FFF2-40B4-BE49-F238E27FC236}">
                  <a16:creationId xmlns:a16="http://schemas.microsoft.com/office/drawing/2014/main" id="{7CAF9FCF-A8BF-A643-1574-9CE24A2812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35CDF276" w14:textId="1090206E" w:rsidR="004C00E2" w:rsidRDefault="004C00E2" w:rsidP="004C00E2">
      <w:pPr>
        <w:spacing w:after="0" w:line="240" w:lineRule="auto"/>
        <w:rPr>
          <w:lang w:eastAsia="en-US"/>
        </w:rPr>
      </w:pPr>
      <w:r>
        <w:rPr>
          <w:noProof/>
        </w:rPr>
        <w:drawing>
          <wp:inline distT="0" distB="0" distL="0" distR="0" wp14:anchorId="33E84C5C" wp14:editId="0C7B88FE">
            <wp:extent cx="4593772" cy="1843767"/>
            <wp:effectExtent l="0" t="0" r="16510" b="4445"/>
            <wp:docPr id="11" name="Chart 11">
              <a:extLst xmlns:a="http://schemas.openxmlformats.org/drawingml/2006/main">
                <a:ext uri="{FF2B5EF4-FFF2-40B4-BE49-F238E27FC236}">
                  <a16:creationId xmlns:a16="http://schemas.microsoft.com/office/drawing/2014/main" id="{8EF405D2-5B92-449A-96B0-D9102F0E903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438CC85" w14:textId="705A0EE6" w:rsidR="004C00E2" w:rsidRDefault="004C00E2" w:rsidP="004C00E2">
      <w:pPr>
        <w:spacing w:after="0" w:line="240" w:lineRule="auto"/>
        <w:rPr>
          <w:lang w:eastAsia="en-US"/>
        </w:rPr>
      </w:pPr>
      <w:r>
        <w:rPr>
          <w:noProof/>
        </w:rPr>
        <w:drawing>
          <wp:inline distT="0" distB="0" distL="0" distR="0" wp14:anchorId="49FA78C7" wp14:editId="4556371C">
            <wp:extent cx="4574723" cy="2533649"/>
            <wp:effectExtent l="0" t="0" r="16510" b="635"/>
            <wp:docPr id="18" name="Chart 18">
              <a:extLst xmlns:a="http://schemas.openxmlformats.org/drawingml/2006/main">
                <a:ext uri="{FF2B5EF4-FFF2-40B4-BE49-F238E27FC236}">
                  <a16:creationId xmlns:a16="http://schemas.microsoft.com/office/drawing/2014/main" id="{D3323140-C5B2-4C63-8B75-9833F6BB8C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F87B544" w14:textId="59D95DE4" w:rsidR="004C00E2" w:rsidRDefault="004C00E2" w:rsidP="00344906">
      <w:pPr>
        <w:spacing w:line="240" w:lineRule="auto"/>
        <w:ind w:firstLine="0"/>
      </w:pPr>
      <w:r>
        <w:rPr>
          <w:b/>
          <w:bCs/>
        </w:rPr>
        <w:t xml:space="preserve">Figure A16 </w:t>
      </w:r>
      <w:r w:rsidRPr="00392E59">
        <w:rPr>
          <w:b/>
          <w:bCs/>
        </w:rPr>
        <w:t>Sales Share</w:t>
      </w:r>
      <w:r w:rsidR="009A1DAE">
        <w:rPr>
          <w:b/>
          <w:bCs/>
        </w:rPr>
        <w:t xml:space="preserve"> of Alternative Vehicles Across Different</w:t>
      </w:r>
      <w:r w:rsidR="000E6C69">
        <w:rPr>
          <w:b/>
          <w:bCs/>
        </w:rPr>
        <w:t xml:space="preserve"> Clones and Mean Values </w:t>
      </w:r>
      <w:r>
        <w:rPr>
          <w:b/>
          <w:bCs/>
        </w:rPr>
        <w:t>of Alternative Vehicle Types under Policy Scenarios</w:t>
      </w:r>
      <w:r w:rsidRPr="00392E59">
        <w:rPr>
          <w:b/>
          <w:bCs/>
        </w:rPr>
        <w:t xml:space="preserve"> </w:t>
      </w:r>
      <w:r w:rsidR="003F7CE5">
        <w:rPr>
          <w:b/>
          <w:bCs/>
        </w:rPr>
        <w:t xml:space="preserve">3 </w:t>
      </w:r>
      <w:r>
        <w:rPr>
          <w:b/>
          <w:bCs/>
        </w:rPr>
        <w:t>f</w:t>
      </w:r>
      <w:r w:rsidRPr="00392E59">
        <w:rPr>
          <w:b/>
          <w:bCs/>
        </w:rPr>
        <w:t xml:space="preserve">rom 2022 </w:t>
      </w:r>
      <w:r>
        <w:rPr>
          <w:b/>
          <w:bCs/>
        </w:rPr>
        <w:t>t</w:t>
      </w:r>
      <w:r w:rsidRPr="00392E59">
        <w:rPr>
          <w:b/>
          <w:bCs/>
        </w:rPr>
        <w:t>o 2030</w:t>
      </w:r>
      <w:r>
        <w:rPr>
          <w:b/>
          <w:bCs/>
        </w:rPr>
        <w:t>:</w:t>
      </w:r>
      <w:r>
        <w:t xml:space="preserve"> (a) Share of BEVs (b) Share of conventional vehicles (CVs), and (b) Share of other vehicle types (Flex fuel vehicles (FFVs), Hybrid vehicles (HBVs), and Plug-in hybrid vehicles PHEVs)</w:t>
      </w:r>
      <w:r w:rsidR="00217577">
        <w:t>. C labels the outcome of each clone.</w:t>
      </w:r>
    </w:p>
    <w:p w14:paraId="69A2E819" w14:textId="3C6A216E" w:rsidR="004C00E2" w:rsidRDefault="003F7CE5" w:rsidP="003F7CE5">
      <w:pPr>
        <w:spacing w:after="0" w:line="240" w:lineRule="auto"/>
        <w:rPr>
          <w:lang w:eastAsia="en-US"/>
        </w:rPr>
      </w:pPr>
      <w:r>
        <w:rPr>
          <w:noProof/>
        </w:rPr>
        <w:lastRenderedPageBreak/>
        <w:drawing>
          <wp:inline distT="0" distB="0" distL="0" distR="0" wp14:anchorId="17D762AF" wp14:editId="6318665F">
            <wp:extent cx="4576083" cy="1994805"/>
            <wp:effectExtent l="0" t="0" r="15240" b="5715"/>
            <wp:docPr id="19" name="Chart 19">
              <a:extLst xmlns:a="http://schemas.openxmlformats.org/drawingml/2006/main">
                <a:ext uri="{FF2B5EF4-FFF2-40B4-BE49-F238E27FC236}">
                  <a16:creationId xmlns:a16="http://schemas.microsoft.com/office/drawing/2014/main" id="{D0AC5635-13DE-47BC-B0D6-2D5A10BDCAD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E916023" w14:textId="35A5A386" w:rsidR="003F7CE5" w:rsidRDefault="003F7CE5" w:rsidP="003F7CE5">
      <w:pPr>
        <w:spacing w:after="0" w:line="240" w:lineRule="auto"/>
        <w:rPr>
          <w:lang w:eastAsia="en-US"/>
        </w:rPr>
      </w:pPr>
      <w:r>
        <w:rPr>
          <w:noProof/>
        </w:rPr>
        <w:drawing>
          <wp:inline distT="0" distB="0" distL="0" distR="0" wp14:anchorId="018F0B39" wp14:editId="25D0A1B5">
            <wp:extent cx="4591050" cy="1836964"/>
            <wp:effectExtent l="0" t="0" r="0" b="11430"/>
            <wp:docPr id="20" name="Chart 20">
              <a:extLst xmlns:a="http://schemas.openxmlformats.org/drawingml/2006/main">
                <a:ext uri="{FF2B5EF4-FFF2-40B4-BE49-F238E27FC236}">
                  <a16:creationId xmlns:a16="http://schemas.microsoft.com/office/drawing/2014/main" id="{B191AC19-1ABD-43B3-9CB8-1F46957EFD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2E7F1E07" w14:textId="3E940D19" w:rsidR="003F7CE5" w:rsidRDefault="003F7CE5" w:rsidP="003F7CE5">
      <w:pPr>
        <w:spacing w:after="0" w:line="240" w:lineRule="auto"/>
        <w:rPr>
          <w:lang w:eastAsia="en-US"/>
        </w:rPr>
      </w:pPr>
      <w:r>
        <w:rPr>
          <w:noProof/>
        </w:rPr>
        <w:drawing>
          <wp:inline distT="0" distB="0" distL="0" distR="0" wp14:anchorId="71B66BAD" wp14:editId="30FF0208">
            <wp:extent cx="4579951" cy="2533015"/>
            <wp:effectExtent l="0" t="0" r="11430" b="635"/>
            <wp:docPr id="21" name="Chart 21">
              <a:extLst xmlns:a="http://schemas.openxmlformats.org/drawingml/2006/main">
                <a:ext uri="{FF2B5EF4-FFF2-40B4-BE49-F238E27FC236}">
                  <a16:creationId xmlns:a16="http://schemas.microsoft.com/office/drawing/2014/main" id="{E39472F5-FBCF-4363-83E8-2F2A2C8F28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38961248" w14:textId="7930A6DB" w:rsidR="00217577" w:rsidRDefault="003F7CE5" w:rsidP="00217577">
      <w:pPr>
        <w:spacing w:line="240" w:lineRule="auto"/>
        <w:ind w:firstLine="0"/>
      </w:pPr>
      <w:r>
        <w:rPr>
          <w:b/>
          <w:bCs/>
        </w:rPr>
        <w:t xml:space="preserve">Figure A17 </w:t>
      </w:r>
      <w:r w:rsidRPr="00392E59">
        <w:rPr>
          <w:b/>
          <w:bCs/>
        </w:rPr>
        <w:t xml:space="preserve">The </w:t>
      </w:r>
      <w:r w:rsidR="009A1DAE">
        <w:rPr>
          <w:b/>
          <w:bCs/>
        </w:rPr>
        <w:t xml:space="preserve">Vehicle </w:t>
      </w:r>
      <w:r>
        <w:rPr>
          <w:b/>
          <w:bCs/>
        </w:rPr>
        <w:t>Stoc</w:t>
      </w:r>
      <w:r w:rsidR="00774953">
        <w:rPr>
          <w:b/>
          <w:bCs/>
        </w:rPr>
        <w:t>k</w:t>
      </w:r>
      <w:r w:rsidRPr="00392E59">
        <w:rPr>
          <w:b/>
          <w:bCs/>
        </w:rPr>
        <w:t xml:space="preserve"> Share </w:t>
      </w:r>
      <w:proofErr w:type="gramStart"/>
      <w:r w:rsidR="009A1DAE">
        <w:rPr>
          <w:b/>
          <w:bCs/>
        </w:rPr>
        <w:t>With</w:t>
      </w:r>
      <w:proofErr w:type="gramEnd"/>
      <w:r w:rsidR="009A1DAE">
        <w:rPr>
          <w:b/>
          <w:bCs/>
        </w:rPr>
        <w:t xml:space="preserve"> Different</w:t>
      </w:r>
      <w:r w:rsidR="000E6C69">
        <w:rPr>
          <w:b/>
          <w:bCs/>
        </w:rPr>
        <w:t xml:space="preserve"> Clones and Mean Values </w:t>
      </w:r>
      <w:r>
        <w:rPr>
          <w:b/>
          <w:bCs/>
        </w:rPr>
        <w:t>of Alternative Vehicle Types under Policy Scenarios</w:t>
      </w:r>
      <w:r w:rsidRPr="00392E59">
        <w:rPr>
          <w:b/>
          <w:bCs/>
        </w:rPr>
        <w:t xml:space="preserve"> </w:t>
      </w:r>
      <w:r>
        <w:rPr>
          <w:b/>
          <w:bCs/>
        </w:rPr>
        <w:t>3 f</w:t>
      </w:r>
      <w:r w:rsidRPr="00392E59">
        <w:rPr>
          <w:b/>
          <w:bCs/>
        </w:rPr>
        <w:t xml:space="preserve">rom 2022 </w:t>
      </w:r>
      <w:r>
        <w:rPr>
          <w:b/>
          <w:bCs/>
        </w:rPr>
        <w:t>t</w:t>
      </w:r>
      <w:r w:rsidRPr="00392E59">
        <w:rPr>
          <w:b/>
          <w:bCs/>
        </w:rPr>
        <w:t>o 2030</w:t>
      </w:r>
      <w:r>
        <w:rPr>
          <w:b/>
          <w:bCs/>
        </w:rPr>
        <w:t>:</w:t>
      </w:r>
      <w:r>
        <w:t xml:space="preserve"> (a) Share of BEVs (b) Share of conventional vehicles (CVs), and (b) Share of other vehicle types (Flex fuel vehicles (FFVs), Hybrid vehicles (HBVs), and Plug-in hybrid vehicles PHEVs)</w:t>
      </w:r>
      <w:r w:rsidR="00217577">
        <w:t>.</w:t>
      </w:r>
      <w:r w:rsidR="00217577" w:rsidRPr="00217577">
        <w:t xml:space="preserve"> </w:t>
      </w:r>
      <w:r w:rsidR="00217577">
        <w:t>C labels the outcome of each clone.</w:t>
      </w:r>
    </w:p>
    <w:p w14:paraId="2DBE2DBA" w14:textId="77777777" w:rsidR="00CB6A60" w:rsidRDefault="00CB6A60" w:rsidP="00344906">
      <w:pPr>
        <w:spacing w:line="240" w:lineRule="auto"/>
        <w:ind w:firstLine="0"/>
        <w:sectPr w:rsidR="00CB6A60" w:rsidSect="00806E67">
          <w:pgSz w:w="12240" w:h="15840"/>
          <w:pgMar w:top="1440" w:right="1440" w:bottom="1440" w:left="1440" w:header="720" w:footer="720" w:gutter="0"/>
          <w:cols w:space="720"/>
          <w:docGrid w:linePitch="360"/>
        </w:sectPr>
      </w:pPr>
    </w:p>
    <w:p w14:paraId="19935B71" w14:textId="4C82BDBE" w:rsidR="0006225F" w:rsidRPr="0006225F" w:rsidRDefault="0006225F" w:rsidP="00344906">
      <w:pPr>
        <w:pStyle w:val="Caption"/>
        <w:adjustRightInd w:val="0"/>
        <w:snapToGrid w:val="0"/>
        <w:spacing w:after="0"/>
        <w:ind w:firstLine="0"/>
        <w:rPr>
          <w:b/>
          <w:bCs/>
        </w:rPr>
      </w:pPr>
      <w:r w:rsidRPr="0006225F">
        <w:rPr>
          <w:b/>
          <w:bCs/>
        </w:rPr>
        <w:lastRenderedPageBreak/>
        <w:t xml:space="preserve">Table </w:t>
      </w:r>
      <w:r>
        <w:rPr>
          <w:b/>
          <w:bCs/>
        </w:rPr>
        <w:t>A</w:t>
      </w:r>
      <w:r w:rsidR="002F02A2">
        <w:rPr>
          <w:b/>
          <w:bCs/>
        </w:rPr>
        <w:t>8</w:t>
      </w:r>
      <w:r>
        <w:rPr>
          <w:b/>
          <w:bCs/>
        </w:rPr>
        <w:t xml:space="preserve"> </w:t>
      </w:r>
      <w:r w:rsidR="00344906">
        <w:rPr>
          <w:b/>
          <w:bCs/>
        </w:rPr>
        <w:t xml:space="preserve">Effects of Alternative Levels of Biofuel Mandate on the </w:t>
      </w:r>
      <w:r w:rsidR="00F66B41">
        <w:rPr>
          <w:b/>
          <w:bCs/>
        </w:rPr>
        <w:t xml:space="preserve">Transportation </w:t>
      </w:r>
      <w:r w:rsidRPr="0006225F">
        <w:rPr>
          <w:b/>
          <w:bCs/>
        </w:rPr>
        <w:t xml:space="preserve">Energy </w:t>
      </w:r>
      <w:r w:rsidR="00F66B41" w:rsidRPr="00C505B4">
        <w:rPr>
          <w:b/>
          <w:bCs/>
        </w:rPr>
        <w:t>over 2022-2030</w:t>
      </w:r>
    </w:p>
    <w:tbl>
      <w:tblPr>
        <w:tblW w:w="5000" w:type="pct"/>
        <w:tblInd w:w="-360" w:type="dxa"/>
        <w:tblLayout w:type="fixed"/>
        <w:tblLook w:val="04A0" w:firstRow="1" w:lastRow="0" w:firstColumn="1" w:lastColumn="0" w:noHBand="0" w:noVBand="1"/>
      </w:tblPr>
      <w:tblGrid>
        <w:gridCol w:w="3601"/>
        <w:gridCol w:w="1262"/>
        <w:gridCol w:w="1348"/>
        <w:gridCol w:w="1234"/>
        <w:gridCol w:w="1534"/>
        <w:gridCol w:w="1221"/>
        <w:gridCol w:w="1226"/>
        <w:gridCol w:w="1534"/>
      </w:tblGrid>
      <w:tr w:rsidR="00F66B41" w:rsidRPr="00F66B41" w14:paraId="2B45FB2F" w14:textId="77777777" w:rsidTr="00CF771E">
        <w:trPr>
          <w:trHeight w:val="330"/>
        </w:trPr>
        <w:tc>
          <w:tcPr>
            <w:tcW w:w="1389" w:type="pct"/>
            <w:vMerge w:val="restart"/>
            <w:tcBorders>
              <w:top w:val="single" w:sz="4" w:space="0" w:color="auto"/>
              <w:left w:val="nil"/>
              <w:bottom w:val="single" w:sz="4" w:space="0" w:color="000000"/>
              <w:right w:val="nil"/>
            </w:tcBorders>
            <w:shd w:val="clear" w:color="000000" w:fill="FFFFFF"/>
            <w:vAlign w:val="center"/>
            <w:hideMark/>
          </w:tcPr>
          <w:p w14:paraId="4484C941" w14:textId="77777777" w:rsidR="0006225F" w:rsidRPr="00F66B41" w:rsidRDefault="0006225F" w:rsidP="00F66B41">
            <w:pPr>
              <w:spacing w:after="0" w:line="240" w:lineRule="auto"/>
              <w:ind w:firstLine="0"/>
              <w:jc w:val="center"/>
              <w:rPr>
                <w:rFonts w:eastAsia="Times New Roman"/>
                <w:color w:val="000000"/>
                <w:sz w:val="22"/>
                <w:szCs w:val="22"/>
              </w:rPr>
            </w:pPr>
            <w:r w:rsidRPr="00F66B41">
              <w:rPr>
                <w:rFonts w:eastAsia="Times New Roman"/>
                <w:color w:val="000000"/>
                <w:sz w:val="22"/>
                <w:szCs w:val="22"/>
              </w:rPr>
              <w:t>Scenarios</w:t>
            </w:r>
          </w:p>
        </w:tc>
        <w:tc>
          <w:tcPr>
            <w:tcW w:w="2075" w:type="pct"/>
            <w:gridSpan w:val="4"/>
            <w:tcBorders>
              <w:top w:val="single" w:sz="4" w:space="0" w:color="auto"/>
              <w:left w:val="nil"/>
              <w:bottom w:val="single" w:sz="8" w:space="0" w:color="auto"/>
              <w:right w:val="single" w:sz="4" w:space="0" w:color="auto"/>
            </w:tcBorders>
            <w:shd w:val="clear" w:color="auto" w:fill="auto"/>
            <w:noWrap/>
            <w:vAlign w:val="bottom"/>
            <w:hideMark/>
          </w:tcPr>
          <w:p w14:paraId="35299363" w14:textId="1E0E06CD" w:rsidR="0006225F" w:rsidRPr="00F66B41" w:rsidRDefault="00FF6ECA" w:rsidP="00344906">
            <w:pPr>
              <w:spacing w:after="0" w:line="240" w:lineRule="auto"/>
              <w:ind w:firstLine="0"/>
              <w:jc w:val="center"/>
              <w:rPr>
                <w:rFonts w:eastAsia="Times New Roman"/>
                <w:color w:val="000000"/>
                <w:sz w:val="22"/>
                <w:szCs w:val="22"/>
              </w:rPr>
            </w:pPr>
            <w:r>
              <w:rPr>
                <w:rFonts w:eastAsia="Times New Roman"/>
                <w:color w:val="000000"/>
                <w:sz w:val="22"/>
                <w:szCs w:val="22"/>
              </w:rPr>
              <w:t xml:space="preserve">Volumetric </w:t>
            </w:r>
            <w:r w:rsidR="00344906">
              <w:rPr>
                <w:rFonts w:eastAsia="Times New Roman"/>
                <w:color w:val="000000"/>
                <w:sz w:val="22"/>
                <w:szCs w:val="22"/>
              </w:rPr>
              <w:t xml:space="preserve">Mandate for </w:t>
            </w:r>
            <w:r>
              <w:rPr>
                <w:rFonts w:eastAsia="Times New Roman"/>
                <w:color w:val="000000"/>
                <w:sz w:val="22"/>
                <w:szCs w:val="22"/>
              </w:rPr>
              <w:t>54</w:t>
            </w:r>
            <w:r w:rsidR="0006225F" w:rsidRPr="00F66B41">
              <w:rPr>
                <w:rFonts w:eastAsia="Times New Roman"/>
                <w:color w:val="000000"/>
                <w:sz w:val="22"/>
                <w:szCs w:val="22"/>
              </w:rPr>
              <w:t xml:space="preserve"> B </w:t>
            </w:r>
            <w:r>
              <w:rPr>
                <w:rFonts w:eastAsia="Times New Roman"/>
                <w:color w:val="000000"/>
                <w:sz w:val="22"/>
                <w:szCs w:val="22"/>
              </w:rPr>
              <w:t>liters</w:t>
            </w:r>
            <w:r w:rsidR="0006225F" w:rsidRPr="00F66B41">
              <w:rPr>
                <w:rFonts w:eastAsia="Times New Roman"/>
                <w:color w:val="000000"/>
                <w:sz w:val="22"/>
                <w:szCs w:val="22"/>
              </w:rPr>
              <w:t xml:space="preserve"> of corn ethanol</w:t>
            </w:r>
          </w:p>
        </w:tc>
        <w:tc>
          <w:tcPr>
            <w:tcW w:w="1536" w:type="pct"/>
            <w:gridSpan w:val="3"/>
            <w:tcBorders>
              <w:top w:val="single" w:sz="4" w:space="0" w:color="auto"/>
              <w:left w:val="single" w:sz="4" w:space="0" w:color="auto"/>
              <w:bottom w:val="single" w:sz="8" w:space="0" w:color="auto"/>
              <w:right w:val="nil"/>
            </w:tcBorders>
            <w:shd w:val="clear" w:color="auto" w:fill="auto"/>
            <w:noWrap/>
            <w:vAlign w:val="bottom"/>
            <w:hideMark/>
          </w:tcPr>
          <w:p w14:paraId="17080F77" w14:textId="7195A160" w:rsidR="0006225F" w:rsidRPr="00F66B41" w:rsidRDefault="00FF6ECA" w:rsidP="0006225F">
            <w:pPr>
              <w:spacing w:after="0" w:line="240" w:lineRule="auto"/>
              <w:ind w:firstLine="0"/>
              <w:jc w:val="center"/>
              <w:rPr>
                <w:rFonts w:eastAsia="Times New Roman"/>
                <w:color w:val="000000"/>
                <w:sz w:val="22"/>
                <w:szCs w:val="22"/>
              </w:rPr>
            </w:pPr>
            <w:r>
              <w:rPr>
                <w:rFonts w:eastAsia="Times New Roman"/>
                <w:color w:val="000000"/>
                <w:sz w:val="22"/>
                <w:szCs w:val="22"/>
              </w:rPr>
              <w:t xml:space="preserve">Blend </w:t>
            </w:r>
            <w:r w:rsidR="00344906">
              <w:rPr>
                <w:rFonts w:eastAsia="Times New Roman"/>
                <w:color w:val="000000"/>
                <w:sz w:val="22"/>
                <w:szCs w:val="22"/>
              </w:rPr>
              <w:t xml:space="preserve">Mandate for </w:t>
            </w:r>
            <w:r w:rsidR="00F66B41" w:rsidRPr="00F66B41">
              <w:rPr>
                <w:rFonts w:eastAsia="Times New Roman"/>
                <w:color w:val="000000"/>
                <w:sz w:val="22"/>
                <w:szCs w:val="22"/>
              </w:rPr>
              <w:t>10</w:t>
            </w:r>
            <w:r w:rsidR="00344906">
              <w:rPr>
                <w:rFonts w:eastAsia="Times New Roman"/>
                <w:color w:val="000000"/>
                <w:sz w:val="22"/>
                <w:szCs w:val="22"/>
              </w:rPr>
              <w:t>%</w:t>
            </w:r>
            <w:r w:rsidR="0006225F" w:rsidRPr="00F66B41">
              <w:rPr>
                <w:rFonts w:eastAsia="Times New Roman"/>
                <w:color w:val="000000"/>
                <w:sz w:val="22"/>
                <w:szCs w:val="22"/>
              </w:rPr>
              <w:t xml:space="preserve"> ethanol </w:t>
            </w:r>
            <w:r w:rsidR="00344906">
              <w:rPr>
                <w:rFonts w:eastAsia="Times New Roman"/>
                <w:color w:val="000000"/>
                <w:sz w:val="22"/>
                <w:szCs w:val="22"/>
              </w:rPr>
              <w:t>ble</w:t>
            </w:r>
            <w:r>
              <w:rPr>
                <w:rFonts w:eastAsia="Times New Roman"/>
                <w:color w:val="000000"/>
                <w:sz w:val="22"/>
                <w:szCs w:val="22"/>
              </w:rPr>
              <w:t>nd</w:t>
            </w:r>
          </w:p>
        </w:tc>
      </w:tr>
      <w:tr w:rsidR="00CF771E" w:rsidRPr="00F66B41" w14:paraId="4E54E81B" w14:textId="77777777" w:rsidTr="00CF771E">
        <w:trPr>
          <w:trHeight w:val="1455"/>
        </w:trPr>
        <w:tc>
          <w:tcPr>
            <w:tcW w:w="1389" w:type="pct"/>
            <w:vMerge/>
            <w:tcBorders>
              <w:top w:val="single" w:sz="4" w:space="0" w:color="auto"/>
              <w:left w:val="nil"/>
              <w:bottom w:val="single" w:sz="4" w:space="0" w:color="000000"/>
              <w:right w:val="nil"/>
            </w:tcBorders>
            <w:vAlign w:val="center"/>
            <w:hideMark/>
          </w:tcPr>
          <w:p w14:paraId="36C20155" w14:textId="77777777" w:rsidR="00831646" w:rsidRPr="00F66B41" w:rsidRDefault="00831646" w:rsidP="0006225F">
            <w:pPr>
              <w:spacing w:after="0" w:line="240" w:lineRule="auto"/>
              <w:ind w:firstLine="0"/>
              <w:rPr>
                <w:rFonts w:eastAsia="Times New Roman"/>
                <w:color w:val="000000"/>
                <w:sz w:val="22"/>
                <w:szCs w:val="22"/>
              </w:rPr>
            </w:pPr>
          </w:p>
        </w:tc>
        <w:tc>
          <w:tcPr>
            <w:tcW w:w="487" w:type="pct"/>
            <w:tcBorders>
              <w:top w:val="nil"/>
              <w:left w:val="nil"/>
              <w:bottom w:val="single" w:sz="4" w:space="0" w:color="auto"/>
              <w:right w:val="nil"/>
            </w:tcBorders>
            <w:shd w:val="clear" w:color="auto" w:fill="auto"/>
            <w:vAlign w:val="center"/>
            <w:hideMark/>
          </w:tcPr>
          <w:p w14:paraId="4BB9E9C1"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Baseline Scenario</w:t>
            </w:r>
          </w:p>
        </w:tc>
        <w:tc>
          <w:tcPr>
            <w:tcW w:w="520" w:type="pct"/>
            <w:tcBorders>
              <w:top w:val="nil"/>
              <w:left w:val="nil"/>
              <w:bottom w:val="single" w:sz="4" w:space="0" w:color="auto"/>
              <w:right w:val="nil"/>
            </w:tcBorders>
            <w:shd w:val="clear" w:color="auto" w:fill="auto"/>
            <w:vAlign w:val="center"/>
            <w:hideMark/>
          </w:tcPr>
          <w:p w14:paraId="36495CB8"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 xml:space="preserve">Scenario 1: Increased Public Charging </w:t>
            </w:r>
          </w:p>
        </w:tc>
        <w:tc>
          <w:tcPr>
            <w:tcW w:w="476" w:type="pct"/>
            <w:tcBorders>
              <w:top w:val="nil"/>
              <w:left w:val="nil"/>
              <w:bottom w:val="single" w:sz="4" w:space="0" w:color="auto"/>
              <w:right w:val="nil"/>
            </w:tcBorders>
            <w:shd w:val="clear" w:color="auto" w:fill="auto"/>
            <w:vAlign w:val="center"/>
            <w:hideMark/>
          </w:tcPr>
          <w:p w14:paraId="3776BCE3"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Scenario 2: Clean Vehicle (</w:t>
            </w:r>
            <w:proofErr w:type="gramStart"/>
            <w:r w:rsidRPr="00F66B41">
              <w:rPr>
                <w:rFonts w:eastAsia="Times New Roman"/>
                <w:color w:val="000000"/>
                <w:sz w:val="22"/>
                <w:szCs w:val="22"/>
              </w:rPr>
              <w:t>EV)  Tax</w:t>
            </w:r>
            <w:proofErr w:type="gramEnd"/>
            <w:r w:rsidRPr="00F66B41">
              <w:rPr>
                <w:rFonts w:eastAsia="Times New Roman"/>
                <w:color w:val="000000"/>
                <w:sz w:val="22"/>
                <w:szCs w:val="22"/>
              </w:rPr>
              <w:t xml:space="preserve"> Credit</w:t>
            </w:r>
          </w:p>
        </w:tc>
        <w:tc>
          <w:tcPr>
            <w:tcW w:w="592" w:type="pct"/>
            <w:tcBorders>
              <w:top w:val="nil"/>
              <w:left w:val="nil"/>
              <w:bottom w:val="single" w:sz="4" w:space="0" w:color="auto"/>
              <w:right w:val="single" w:sz="4" w:space="0" w:color="auto"/>
            </w:tcBorders>
            <w:shd w:val="clear" w:color="auto" w:fill="auto"/>
            <w:vAlign w:val="center"/>
            <w:hideMark/>
          </w:tcPr>
          <w:p w14:paraId="61391339"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Scenario 3 Clean Vehicle (</w:t>
            </w:r>
            <w:proofErr w:type="gramStart"/>
            <w:r w:rsidRPr="00F66B41">
              <w:rPr>
                <w:rFonts w:eastAsia="Times New Roman"/>
                <w:color w:val="000000"/>
                <w:sz w:val="22"/>
                <w:szCs w:val="22"/>
              </w:rPr>
              <w:t>EV)  Tax</w:t>
            </w:r>
            <w:proofErr w:type="gramEnd"/>
            <w:r w:rsidRPr="00F66B41">
              <w:rPr>
                <w:rFonts w:eastAsia="Times New Roman"/>
                <w:color w:val="000000"/>
                <w:sz w:val="22"/>
                <w:szCs w:val="22"/>
              </w:rPr>
              <w:t xml:space="preserve"> Credit &amp; Increased Charging </w:t>
            </w:r>
          </w:p>
        </w:tc>
        <w:tc>
          <w:tcPr>
            <w:tcW w:w="471" w:type="pct"/>
            <w:tcBorders>
              <w:top w:val="nil"/>
              <w:left w:val="single" w:sz="4" w:space="0" w:color="auto"/>
              <w:bottom w:val="single" w:sz="4" w:space="0" w:color="auto"/>
              <w:right w:val="nil"/>
            </w:tcBorders>
            <w:shd w:val="clear" w:color="auto" w:fill="auto"/>
            <w:vAlign w:val="center"/>
            <w:hideMark/>
          </w:tcPr>
          <w:p w14:paraId="496CF3CB"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 xml:space="preserve">Scenario 1: Increased Public Charging </w:t>
            </w:r>
          </w:p>
        </w:tc>
        <w:tc>
          <w:tcPr>
            <w:tcW w:w="473" w:type="pct"/>
            <w:tcBorders>
              <w:top w:val="nil"/>
              <w:left w:val="nil"/>
              <w:bottom w:val="single" w:sz="4" w:space="0" w:color="auto"/>
              <w:right w:val="nil"/>
            </w:tcBorders>
            <w:shd w:val="clear" w:color="auto" w:fill="auto"/>
            <w:vAlign w:val="center"/>
            <w:hideMark/>
          </w:tcPr>
          <w:p w14:paraId="73D180AB"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Scenario 2: Clean Vehicle (</w:t>
            </w:r>
            <w:proofErr w:type="gramStart"/>
            <w:r w:rsidRPr="00F66B41">
              <w:rPr>
                <w:rFonts w:eastAsia="Times New Roman"/>
                <w:color w:val="000000"/>
                <w:sz w:val="22"/>
                <w:szCs w:val="22"/>
              </w:rPr>
              <w:t>EV)  Tax</w:t>
            </w:r>
            <w:proofErr w:type="gramEnd"/>
            <w:r w:rsidRPr="00F66B41">
              <w:rPr>
                <w:rFonts w:eastAsia="Times New Roman"/>
                <w:color w:val="000000"/>
                <w:sz w:val="22"/>
                <w:szCs w:val="22"/>
              </w:rPr>
              <w:t xml:space="preserve"> Credit</w:t>
            </w:r>
          </w:p>
        </w:tc>
        <w:tc>
          <w:tcPr>
            <w:tcW w:w="592" w:type="pct"/>
            <w:tcBorders>
              <w:top w:val="nil"/>
              <w:left w:val="nil"/>
              <w:bottom w:val="single" w:sz="4" w:space="0" w:color="auto"/>
              <w:right w:val="nil"/>
            </w:tcBorders>
            <w:shd w:val="clear" w:color="auto" w:fill="auto"/>
            <w:vAlign w:val="center"/>
            <w:hideMark/>
          </w:tcPr>
          <w:p w14:paraId="47421CBA" w14:textId="77777777" w:rsidR="00831646" w:rsidRPr="00F66B41" w:rsidRDefault="00831646" w:rsidP="0006225F">
            <w:pPr>
              <w:spacing w:after="0" w:line="240" w:lineRule="auto"/>
              <w:ind w:firstLine="0"/>
              <w:jc w:val="center"/>
              <w:rPr>
                <w:rFonts w:eastAsia="Times New Roman"/>
                <w:color w:val="000000"/>
                <w:sz w:val="22"/>
                <w:szCs w:val="22"/>
              </w:rPr>
            </w:pPr>
            <w:r w:rsidRPr="00F66B41">
              <w:rPr>
                <w:rFonts w:eastAsia="Times New Roman"/>
                <w:color w:val="000000"/>
                <w:sz w:val="22"/>
                <w:szCs w:val="22"/>
              </w:rPr>
              <w:t>Scenario 3 Clean Vehicle (</w:t>
            </w:r>
            <w:proofErr w:type="gramStart"/>
            <w:r w:rsidRPr="00F66B41">
              <w:rPr>
                <w:rFonts w:eastAsia="Times New Roman"/>
                <w:color w:val="000000"/>
                <w:sz w:val="22"/>
                <w:szCs w:val="22"/>
              </w:rPr>
              <w:t>EV)  Tax</w:t>
            </w:r>
            <w:proofErr w:type="gramEnd"/>
            <w:r w:rsidRPr="00F66B41">
              <w:rPr>
                <w:rFonts w:eastAsia="Times New Roman"/>
                <w:color w:val="000000"/>
                <w:sz w:val="22"/>
                <w:szCs w:val="22"/>
              </w:rPr>
              <w:t xml:space="preserve"> Credit &amp; Increased Charging </w:t>
            </w:r>
          </w:p>
        </w:tc>
      </w:tr>
      <w:tr w:rsidR="00831646" w:rsidRPr="00F66B41" w14:paraId="4D5B4C38" w14:textId="77777777" w:rsidTr="00CF771E">
        <w:trPr>
          <w:trHeight w:val="315"/>
        </w:trPr>
        <w:tc>
          <w:tcPr>
            <w:tcW w:w="1389" w:type="pct"/>
            <w:tcBorders>
              <w:top w:val="nil"/>
              <w:left w:val="nil"/>
              <w:bottom w:val="nil"/>
              <w:right w:val="nil"/>
            </w:tcBorders>
            <w:shd w:val="clear" w:color="000000" w:fill="FFFFFF"/>
            <w:noWrap/>
            <w:vAlign w:val="bottom"/>
            <w:hideMark/>
          </w:tcPr>
          <w:p w14:paraId="2A593A2A" w14:textId="6CA9C675" w:rsidR="00831646" w:rsidRPr="007C3877" w:rsidRDefault="00831646" w:rsidP="0006225F">
            <w:pPr>
              <w:spacing w:after="0" w:line="240" w:lineRule="auto"/>
              <w:ind w:left="720" w:hanging="720"/>
              <w:rPr>
                <w:rFonts w:eastAsia="Times New Roman"/>
                <w:b/>
                <w:bCs/>
                <w:color w:val="000000"/>
                <w:sz w:val="22"/>
                <w:szCs w:val="22"/>
              </w:rPr>
            </w:pPr>
            <w:r w:rsidRPr="007C3877">
              <w:rPr>
                <w:rFonts w:eastAsia="Times New Roman"/>
                <w:b/>
                <w:bCs/>
                <w:color w:val="000000"/>
                <w:sz w:val="22"/>
                <w:szCs w:val="22"/>
              </w:rPr>
              <w:t>Total Energy</w:t>
            </w:r>
            <w:r>
              <w:rPr>
                <w:rFonts w:eastAsia="Times New Roman"/>
                <w:b/>
                <w:bCs/>
                <w:color w:val="000000"/>
                <w:sz w:val="22"/>
                <w:szCs w:val="22"/>
              </w:rPr>
              <w:t xml:space="preserve"> </w:t>
            </w:r>
            <w:r w:rsidRPr="007C3877">
              <w:rPr>
                <w:b/>
                <w:bCs/>
                <w:sz w:val="22"/>
                <w:szCs w:val="22"/>
              </w:rPr>
              <w:t xml:space="preserve">(B </w:t>
            </w:r>
            <w:proofErr w:type="spellStart"/>
            <w:r w:rsidRPr="007C3877">
              <w:rPr>
                <w:b/>
                <w:bCs/>
                <w:sz w:val="22"/>
                <w:szCs w:val="22"/>
              </w:rPr>
              <w:t>gge</w:t>
            </w:r>
            <w:proofErr w:type="spellEnd"/>
            <w:r w:rsidRPr="007C3877">
              <w:rPr>
                <w:b/>
                <w:bCs/>
                <w:sz w:val="22"/>
                <w:szCs w:val="22"/>
              </w:rPr>
              <w:t xml:space="preserve"> liter)</w:t>
            </w:r>
          </w:p>
        </w:tc>
        <w:tc>
          <w:tcPr>
            <w:tcW w:w="487" w:type="pct"/>
            <w:tcBorders>
              <w:top w:val="nil"/>
              <w:left w:val="nil"/>
              <w:bottom w:val="nil"/>
              <w:right w:val="nil"/>
            </w:tcBorders>
            <w:shd w:val="clear" w:color="auto" w:fill="auto"/>
            <w:noWrap/>
            <w:vAlign w:val="bottom"/>
            <w:hideMark/>
          </w:tcPr>
          <w:p w14:paraId="3C191561"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659</w:t>
            </w:r>
          </w:p>
        </w:tc>
        <w:tc>
          <w:tcPr>
            <w:tcW w:w="520" w:type="pct"/>
            <w:tcBorders>
              <w:top w:val="nil"/>
              <w:left w:val="nil"/>
              <w:bottom w:val="nil"/>
              <w:right w:val="nil"/>
            </w:tcBorders>
            <w:shd w:val="clear" w:color="auto" w:fill="auto"/>
            <w:noWrap/>
            <w:vAlign w:val="bottom"/>
            <w:hideMark/>
          </w:tcPr>
          <w:p w14:paraId="295605F4"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650</w:t>
            </w:r>
          </w:p>
        </w:tc>
        <w:tc>
          <w:tcPr>
            <w:tcW w:w="476" w:type="pct"/>
            <w:tcBorders>
              <w:top w:val="nil"/>
              <w:left w:val="nil"/>
              <w:bottom w:val="nil"/>
              <w:right w:val="nil"/>
            </w:tcBorders>
            <w:shd w:val="clear" w:color="auto" w:fill="auto"/>
            <w:noWrap/>
            <w:vAlign w:val="bottom"/>
            <w:hideMark/>
          </w:tcPr>
          <w:p w14:paraId="642F21B4"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607</w:t>
            </w:r>
          </w:p>
        </w:tc>
        <w:tc>
          <w:tcPr>
            <w:tcW w:w="592" w:type="pct"/>
            <w:tcBorders>
              <w:top w:val="nil"/>
              <w:left w:val="nil"/>
              <w:bottom w:val="nil"/>
              <w:right w:val="single" w:sz="4" w:space="0" w:color="auto"/>
            </w:tcBorders>
            <w:shd w:val="clear" w:color="auto" w:fill="auto"/>
            <w:noWrap/>
            <w:vAlign w:val="bottom"/>
            <w:hideMark/>
          </w:tcPr>
          <w:p w14:paraId="7F2CDBD7"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598</w:t>
            </w:r>
          </w:p>
        </w:tc>
        <w:tc>
          <w:tcPr>
            <w:tcW w:w="471" w:type="pct"/>
            <w:tcBorders>
              <w:top w:val="nil"/>
              <w:left w:val="single" w:sz="4" w:space="0" w:color="auto"/>
              <w:bottom w:val="nil"/>
              <w:right w:val="nil"/>
            </w:tcBorders>
            <w:shd w:val="clear" w:color="auto" w:fill="auto"/>
            <w:noWrap/>
            <w:vAlign w:val="bottom"/>
            <w:hideMark/>
          </w:tcPr>
          <w:p w14:paraId="0D66B754"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656</w:t>
            </w:r>
          </w:p>
        </w:tc>
        <w:tc>
          <w:tcPr>
            <w:tcW w:w="473" w:type="pct"/>
            <w:tcBorders>
              <w:top w:val="nil"/>
              <w:left w:val="nil"/>
              <w:bottom w:val="nil"/>
              <w:right w:val="nil"/>
            </w:tcBorders>
            <w:shd w:val="clear" w:color="auto" w:fill="auto"/>
            <w:noWrap/>
            <w:vAlign w:val="bottom"/>
            <w:hideMark/>
          </w:tcPr>
          <w:p w14:paraId="3893D421"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610</w:t>
            </w:r>
          </w:p>
        </w:tc>
        <w:tc>
          <w:tcPr>
            <w:tcW w:w="592" w:type="pct"/>
            <w:tcBorders>
              <w:top w:val="nil"/>
              <w:left w:val="nil"/>
              <w:bottom w:val="nil"/>
              <w:right w:val="nil"/>
            </w:tcBorders>
            <w:shd w:val="clear" w:color="auto" w:fill="auto"/>
            <w:noWrap/>
            <w:vAlign w:val="bottom"/>
            <w:hideMark/>
          </w:tcPr>
          <w:p w14:paraId="1A3DBBD3" w14:textId="77777777" w:rsidR="00831646" w:rsidRPr="007C3877" w:rsidRDefault="00831646" w:rsidP="0006225F">
            <w:pPr>
              <w:spacing w:after="0" w:line="240" w:lineRule="auto"/>
              <w:ind w:firstLine="0"/>
              <w:jc w:val="right"/>
              <w:rPr>
                <w:rFonts w:eastAsia="Times New Roman"/>
                <w:b/>
                <w:bCs/>
                <w:color w:val="000000"/>
                <w:sz w:val="22"/>
                <w:szCs w:val="22"/>
              </w:rPr>
            </w:pPr>
            <w:r w:rsidRPr="007C3877">
              <w:rPr>
                <w:rFonts w:eastAsia="Times New Roman"/>
                <w:b/>
                <w:bCs/>
                <w:color w:val="000000"/>
                <w:sz w:val="22"/>
                <w:szCs w:val="22"/>
              </w:rPr>
              <w:t>602</w:t>
            </w:r>
          </w:p>
        </w:tc>
      </w:tr>
      <w:tr w:rsidR="00831646" w:rsidRPr="00F66B41" w14:paraId="2577197C" w14:textId="77777777" w:rsidTr="00CF771E">
        <w:trPr>
          <w:trHeight w:val="315"/>
        </w:trPr>
        <w:tc>
          <w:tcPr>
            <w:tcW w:w="1389" w:type="pct"/>
            <w:tcBorders>
              <w:top w:val="nil"/>
              <w:left w:val="nil"/>
              <w:bottom w:val="nil"/>
              <w:right w:val="nil"/>
            </w:tcBorders>
            <w:shd w:val="clear" w:color="000000" w:fill="FFFFFF"/>
            <w:noWrap/>
            <w:vAlign w:val="bottom"/>
            <w:hideMark/>
          </w:tcPr>
          <w:p w14:paraId="4287CD85" w14:textId="77777777" w:rsidR="00831646" w:rsidRPr="00F66B41" w:rsidRDefault="00831646" w:rsidP="0006225F">
            <w:pPr>
              <w:spacing w:after="0" w:line="240" w:lineRule="auto"/>
              <w:ind w:firstLineChars="100" w:firstLine="220"/>
              <w:rPr>
                <w:rFonts w:eastAsia="Times New Roman"/>
                <w:color w:val="000000"/>
                <w:sz w:val="22"/>
                <w:szCs w:val="22"/>
              </w:rPr>
            </w:pPr>
            <w:r w:rsidRPr="00F66B41">
              <w:rPr>
                <w:rFonts w:eastAsia="Times New Roman"/>
                <w:color w:val="000000"/>
                <w:sz w:val="22"/>
                <w:szCs w:val="22"/>
              </w:rPr>
              <w:t>Gasoline</w:t>
            </w:r>
          </w:p>
        </w:tc>
        <w:tc>
          <w:tcPr>
            <w:tcW w:w="487" w:type="pct"/>
            <w:tcBorders>
              <w:top w:val="nil"/>
              <w:left w:val="nil"/>
              <w:bottom w:val="nil"/>
              <w:right w:val="nil"/>
            </w:tcBorders>
            <w:shd w:val="clear" w:color="auto" w:fill="auto"/>
            <w:noWrap/>
            <w:vAlign w:val="bottom"/>
            <w:hideMark/>
          </w:tcPr>
          <w:p w14:paraId="6EE44499"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343</w:t>
            </w:r>
          </w:p>
        </w:tc>
        <w:tc>
          <w:tcPr>
            <w:tcW w:w="520" w:type="pct"/>
            <w:tcBorders>
              <w:top w:val="nil"/>
              <w:left w:val="nil"/>
              <w:bottom w:val="nil"/>
              <w:right w:val="nil"/>
            </w:tcBorders>
            <w:shd w:val="clear" w:color="auto" w:fill="auto"/>
            <w:noWrap/>
            <w:vAlign w:val="bottom"/>
            <w:hideMark/>
          </w:tcPr>
          <w:p w14:paraId="4628A74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330</w:t>
            </w:r>
          </w:p>
        </w:tc>
        <w:tc>
          <w:tcPr>
            <w:tcW w:w="476" w:type="pct"/>
            <w:tcBorders>
              <w:top w:val="nil"/>
              <w:left w:val="nil"/>
              <w:bottom w:val="nil"/>
              <w:right w:val="nil"/>
            </w:tcBorders>
            <w:shd w:val="clear" w:color="auto" w:fill="auto"/>
            <w:noWrap/>
            <w:vAlign w:val="bottom"/>
            <w:hideMark/>
          </w:tcPr>
          <w:p w14:paraId="20A5444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272</w:t>
            </w:r>
          </w:p>
        </w:tc>
        <w:tc>
          <w:tcPr>
            <w:tcW w:w="592" w:type="pct"/>
            <w:tcBorders>
              <w:top w:val="nil"/>
              <w:left w:val="nil"/>
              <w:bottom w:val="nil"/>
              <w:right w:val="single" w:sz="4" w:space="0" w:color="auto"/>
            </w:tcBorders>
            <w:shd w:val="clear" w:color="auto" w:fill="auto"/>
            <w:noWrap/>
            <w:vAlign w:val="bottom"/>
            <w:hideMark/>
          </w:tcPr>
          <w:p w14:paraId="7F382AB5"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262</w:t>
            </w:r>
          </w:p>
        </w:tc>
        <w:tc>
          <w:tcPr>
            <w:tcW w:w="471" w:type="pct"/>
            <w:tcBorders>
              <w:top w:val="nil"/>
              <w:left w:val="single" w:sz="4" w:space="0" w:color="auto"/>
              <w:bottom w:val="nil"/>
              <w:right w:val="nil"/>
            </w:tcBorders>
            <w:shd w:val="clear" w:color="auto" w:fill="auto"/>
            <w:noWrap/>
            <w:vAlign w:val="bottom"/>
            <w:hideMark/>
          </w:tcPr>
          <w:p w14:paraId="1A15ACCF"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343</w:t>
            </w:r>
          </w:p>
        </w:tc>
        <w:tc>
          <w:tcPr>
            <w:tcW w:w="473" w:type="pct"/>
            <w:tcBorders>
              <w:top w:val="nil"/>
              <w:left w:val="nil"/>
              <w:bottom w:val="nil"/>
              <w:right w:val="nil"/>
            </w:tcBorders>
            <w:shd w:val="clear" w:color="auto" w:fill="auto"/>
            <w:noWrap/>
            <w:vAlign w:val="bottom"/>
            <w:hideMark/>
          </w:tcPr>
          <w:p w14:paraId="4C934C2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286</w:t>
            </w:r>
          </w:p>
        </w:tc>
        <w:tc>
          <w:tcPr>
            <w:tcW w:w="592" w:type="pct"/>
            <w:tcBorders>
              <w:top w:val="nil"/>
              <w:left w:val="nil"/>
              <w:bottom w:val="nil"/>
              <w:right w:val="nil"/>
            </w:tcBorders>
            <w:shd w:val="clear" w:color="auto" w:fill="auto"/>
            <w:noWrap/>
            <w:vAlign w:val="bottom"/>
            <w:hideMark/>
          </w:tcPr>
          <w:p w14:paraId="49DC5A0A"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276</w:t>
            </w:r>
          </w:p>
        </w:tc>
      </w:tr>
      <w:tr w:rsidR="00831646" w:rsidRPr="00F66B41" w14:paraId="3255B5FC" w14:textId="77777777" w:rsidTr="00CF771E">
        <w:trPr>
          <w:trHeight w:val="315"/>
        </w:trPr>
        <w:tc>
          <w:tcPr>
            <w:tcW w:w="1389" w:type="pct"/>
            <w:tcBorders>
              <w:top w:val="nil"/>
              <w:left w:val="nil"/>
              <w:bottom w:val="nil"/>
              <w:right w:val="nil"/>
            </w:tcBorders>
            <w:shd w:val="clear" w:color="000000" w:fill="FFFFFF"/>
            <w:noWrap/>
            <w:vAlign w:val="bottom"/>
            <w:hideMark/>
          </w:tcPr>
          <w:p w14:paraId="65197A71" w14:textId="3A7779ED" w:rsidR="00831646" w:rsidRPr="00F66B41" w:rsidRDefault="00831646" w:rsidP="00875BBE">
            <w:pPr>
              <w:spacing w:after="0" w:line="240" w:lineRule="auto"/>
              <w:ind w:left="251" w:firstLine="0"/>
              <w:rPr>
                <w:rFonts w:eastAsia="Times New Roman"/>
                <w:color w:val="000000"/>
                <w:sz w:val="22"/>
                <w:szCs w:val="22"/>
              </w:rPr>
            </w:pPr>
            <w:r w:rsidRPr="00F66B41">
              <w:rPr>
                <w:rFonts w:eastAsia="Times New Roman"/>
                <w:color w:val="000000"/>
                <w:sz w:val="22"/>
                <w:szCs w:val="22"/>
              </w:rPr>
              <w:t>Blended diesel</w:t>
            </w:r>
          </w:p>
        </w:tc>
        <w:tc>
          <w:tcPr>
            <w:tcW w:w="487" w:type="pct"/>
            <w:tcBorders>
              <w:top w:val="nil"/>
              <w:left w:val="nil"/>
              <w:bottom w:val="nil"/>
              <w:right w:val="nil"/>
            </w:tcBorders>
            <w:shd w:val="clear" w:color="auto" w:fill="auto"/>
            <w:noWrap/>
            <w:vAlign w:val="bottom"/>
            <w:hideMark/>
          </w:tcPr>
          <w:p w14:paraId="1D7B3D6F"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253</w:t>
            </w:r>
          </w:p>
        </w:tc>
        <w:tc>
          <w:tcPr>
            <w:tcW w:w="520" w:type="pct"/>
            <w:tcBorders>
              <w:top w:val="nil"/>
              <w:left w:val="nil"/>
              <w:bottom w:val="nil"/>
              <w:right w:val="nil"/>
            </w:tcBorders>
            <w:shd w:val="clear" w:color="auto" w:fill="auto"/>
            <w:noWrap/>
            <w:vAlign w:val="bottom"/>
            <w:hideMark/>
          </w:tcPr>
          <w:p w14:paraId="1BF092E2"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253</w:t>
            </w:r>
          </w:p>
        </w:tc>
        <w:tc>
          <w:tcPr>
            <w:tcW w:w="476" w:type="pct"/>
            <w:tcBorders>
              <w:top w:val="nil"/>
              <w:left w:val="nil"/>
              <w:bottom w:val="nil"/>
              <w:right w:val="nil"/>
            </w:tcBorders>
            <w:shd w:val="clear" w:color="auto" w:fill="auto"/>
            <w:noWrap/>
            <w:vAlign w:val="bottom"/>
            <w:hideMark/>
          </w:tcPr>
          <w:p w14:paraId="773FAD7B"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253</w:t>
            </w:r>
          </w:p>
        </w:tc>
        <w:tc>
          <w:tcPr>
            <w:tcW w:w="592" w:type="pct"/>
            <w:tcBorders>
              <w:top w:val="nil"/>
              <w:left w:val="nil"/>
              <w:bottom w:val="nil"/>
              <w:right w:val="single" w:sz="4" w:space="0" w:color="auto"/>
            </w:tcBorders>
            <w:shd w:val="clear" w:color="auto" w:fill="auto"/>
            <w:noWrap/>
            <w:vAlign w:val="bottom"/>
            <w:hideMark/>
          </w:tcPr>
          <w:p w14:paraId="60EF4F87"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252</w:t>
            </w:r>
          </w:p>
        </w:tc>
        <w:tc>
          <w:tcPr>
            <w:tcW w:w="471" w:type="pct"/>
            <w:tcBorders>
              <w:top w:val="nil"/>
              <w:left w:val="single" w:sz="4" w:space="0" w:color="auto"/>
              <w:bottom w:val="nil"/>
              <w:right w:val="nil"/>
            </w:tcBorders>
            <w:shd w:val="clear" w:color="auto" w:fill="auto"/>
            <w:noWrap/>
            <w:vAlign w:val="bottom"/>
            <w:hideMark/>
          </w:tcPr>
          <w:p w14:paraId="1B34A5D3"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259</w:t>
            </w:r>
          </w:p>
        </w:tc>
        <w:tc>
          <w:tcPr>
            <w:tcW w:w="473" w:type="pct"/>
            <w:tcBorders>
              <w:top w:val="nil"/>
              <w:left w:val="nil"/>
              <w:bottom w:val="nil"/>
              <w:right w:val="nil"/>
            </w:tcBorders>
            <w:shd w:val="clear" w:color="auto" w:fill="auto"/>
            <w:noWrap/>
            <w:vAlign w:val="bottom"/>
            <w:hideMark/>
          </w:tcPr>
          <w:p w14:paraId="4DCA599B"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259</w:t>
            </w:r>
          </w:p>
        </w:tc>
        <w:tc>
          <w:tcPr>
            <w:tcW w:w="592" w:type="pct"/>
            <w:tcBorders>
              <w:top w:val="nil"/>
              <w:left w:val="nil"/>
              <w:bottom w:val="nil"/>
              <w:right w:val="nil"/>
            </w:tcBorders>
            <w:shd w:val="clear" w:color="auto" w:fill="auto"/>
            <w:noWrap/>
            <w:vAlign w:val="bottom"/>
            <w:hideMark/>
          </w:tcPr>
          <w:p w14:paraId="66DC73DC"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259</w:t>
            </w:r>
          </w:p>
        </w:tc>
      </w:tr>
      <w:tr w:rsidR="00831646" w:rsidRPr="00F66B41" w14:paraId="160DF46B" w14:textId="77777777" w:rsidTr="00CF771E">
        <w:trPr>
          <w:trHeight w:val="315"/>
        </w:trPr>
        <w:tc>
          <w:tcPr>
            <w:tcW w:w="1389" w:type="pct"/>
            <w:tcBorders>
              <w:top w:val="nil"/>
              <w:left w:val="nil"/>
              <w:bottom w:val="nil"/>
              <w:right w:val="nil"/>
            </w:tcBorders>
            <w:shd w:val="clear" w:color="000000" w:fill="FFFFFF"/>
            <w:noWrap/>
            <w:vAlign w:val="bottom"/>
            <w:hideMark/>
          </w:tcPr>
          <w:p w14:paraId="1D335014" w14:textId="5C261D5E" w:rsidR="00831646" w:rsidRPr="00F66B41" w:rsidRDefault="00831646" w:rsidP="0006225F">
            <w:pPr>
              <w:spacing w:after="0" w:line="240" w:lineRule="auto"/>
              <w:ind w:firstLineChars="100" w:firstLine="220"/>
              <w:rPr>
                <w:rFonts w:eastAsia="Times New Roman"/>
                <w:color w:val="000000"/>
                <w:sz w:val="22"/>
                <w:szCs w:val="22"/>
              </w:rPr>
            </w:pPr>
            <w:r w:rsidRPr="00F66B41">
              <w:rPr>
                <w:rFonts w:eastAsia="Times New Roman"/>
                <w:color w:val="000000"/>
                <w:sz w:val="22"/>
                <w:szCs w:val="22"/>
              </w:rPr>
              <w:t>Ethanol</w:t>
            </w:r>
            <w:r>
              <w:rPr>
                <w:rFonts w:eastAsia="Times New Roman"/>
                <w:color w:val="000000"/>
                <w:sz w:val="22"/>
                <w:szCs w:val="22"/>
              </w:rPr>
              <w:t xml:space="preserve"> (B liters)</w:t>
            </w:r>
          </w:p>
        </w:tc>
        <w:tc>
          <w:tcPr>
            <w:tcW w:w="487" w:type="pct"/>
            <w:tcBorders>
              <w:top w:val="nil"/>
              <w:left w:val="nil"/>
              <w:bottom w:val="nil"/>
              <w:right w:val="nil"/>
            </w:tcBorders>
            <w:shd w:val="clear" w:color="auto" w:fill="auto"/>
            <w:noWrap/>
            <w:vAlign w:val="bottom"/>
            <w:hideMark/>
          </w:tcPr>
          <w:p w14:paraId="5493C656"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54</w:t>
            </w:r>
          </w:p>
        </w:tc>
        <w:tc>
          <w:tcPr>
            <w:tcW w:w="520" w:type="pct"/>
            <w:tcBorders>
              <w:top w:val="nil"/>
              <w:left w:val="nil"/>
              <w:bottom w:val="nil"/>
              <w:right w:val="nil"/>
            </w:tcBorders>
            <w:shd w:val="clear" w:color="auto" w:fill="auto"/>
            <w:noWrap/>
            <w:vAlign w:val="bottom"/>
            <w:hideMark/>
          </w:tcPr>
          <w:p w14:paraId="442CBE7D"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54</w:t>
            </w:r>
          </w:p>
        </w:tc>
        <w:tc>
          <w:tcPr>
            <w:tcW w:w="476" w:type="pct"/>
            <w:tcBorders>
              <w:top w:val="nil"/>
              <w:left w:val="nil"/>
              <w:bottom w:val="nil"/>
              <w:right w:val="nil"/>
            </w:tcBorders>
            <w:shd w:val="clear" w:color="auto" w:fill="auto"/>
            <w:noWrap/>
            <w:vAlign w:val="bottom"/>
            <w:hideMark/>
          </w:tcPr>
          <w:p w14:paraId="039494CF"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53</w:t>
            </w:r>
          </w:p>
        </w:tc>
        <w:tc>
          <w:tcPr>
            <w:tcW w:w="592" w:type="pct"/>
            <w:tcBorders>
              <w:top w:val="nil"/>
              <w:left w:val="nil"/>
              <w:bottom w:val="nil"/>
              <w:right w:val="single" w:sz="4" w:space="0" w:color="auto"/>
            </w:tcBorders>
            <w:shd w:val="clear" w:color="auto" w:fill="auto"/>
            <w:noWrap/>
            <w:vAlign w:val="bottom"/>
            <w:hideMark/>
          </w:tcPr>
          <w:p w14:paraId="761D830A"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53</w:t>
            </w:r>
          </w:p>
        </w:tc>
        <w:tc>
          <w:tcPr>
            <w:tcW w:w="471" w:type="pct"/>
            <w:tcBorders>
              <w:top w:val="nil"/>
              <w:left w:val="single" w:sz="4" w:space="0" w:color="auto"/>
              <w:bottom w:val="nil"/>
              <w:right w:val="nil"/>
            </w:tcBorders>
            <w:shd w:val="clear" w:color="auto" w:fill="auto"/>
            <w:noWrap/>
            <w:vAlign w:val="bottom"/>
            <w:hideMark/>
          </w:tcPr>
          <w:p w14:paraId="5B7B527C"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39</w:t>
            </w:r>
          </w:p>
        </w:tc>
        <w:tc>
          <w:tcPr>
            <w:tcW w:w="473" w:type="pct"/>
            <w:tcBorders>
              <w:top w:val="nil"/>
              <w:left w:val="nil"/>
              <w:bottom w:val="nil"/>
              <w:right w:val="nil"/>
            </w:tcBorders>
            <w:shd w:val="clear" w:color="auto" w:fill="auto"/>
            <w:noWrap/>
            <w:vAlign w:val="bottom"/>
            <w:hideMark/>
          </w:tcPr>
          <w:p w14:paraId="25185416"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34</w:t>
            </w:r>
          </w:p>
        </w:tc>
        <w:tc>
          <w:tcPr>
            <w:tcW w:w="592" w:type="pct"/>
            <w:tcBorders>
              <w:top w:val="nil"/>
              <w:left w:val="nil"/>
              <w:bottom w:val="nil"/>
              <w:right w:val="nil"/>
            </w:tcBorders>
            <w:shd w:val="clear" w:color="auto" w:fill="auto"/>
            <w:noWrap/>
            <w:vAlign w:val="bottom"/>
            <w:hideMark/>
          </w:tcPr>
          <w:p w14:paraId="315E9F31" w14:textId="77777777" w:rsidR="00831646" w:rsidRPr="00CF771E" w:rsidRDefault="00831646" w:rsidP="0006225F">
            <w:pPr>
              <w:spacing w:after="0" w:line="240" w:lineRule="auto"/>
              <w:ind w:firstLine="0"/>
              <w:jc w:val="right"/>
              <w:rPr>
                <w:rFonts w:eastAsia="Times New Roman"/>
                <w:color w:val="000000"/>
                <w:sz w:val="22"/>
                <w:szCs w:val="22"/>
              </w:rPr>
            </w:pPr>
            <w:r w:rsidRPr="00CF771E">
              <w:rPr>
                <w:rFonts w:eastAsia="Times New Roman"/>
                <w:color w:val="000000"/>
                <w:sz w:val="22"/>
                <w:szCs w:val="22"/>
              </w:rPr>
              <w:t>33</w:t>
            </w:r>
          </w:p>
        </w:tc>
      </w:tr>
      <w:tr w:rsidR="00831646" w:rsidRPr="00F66B41" w14:paraId="396D92C0" w14:textId="77777777" w:rsidTr="00CF771E">
        <w:trPr>
          <w:trHeight w:val="315"/>
        </w:trPr>
        <w:tc>
          <w:tcPr>
            <w:tcW w:w="1389" w:type="pct"/>
            <w:tcBorders>
              <w:top w:val="nil"/>
              <w:left w:val="nil"/>
              <w:right w:val="nil"/>
            </w:tcBorders>
            <w:shd w:val="clear" w:color="000000" w:fill="FFFFFF"/>
            <w:noWrap/>
            <w:vAlign w:val="bottom"/>
            <w:hideMark/>
          </w:tcPr>
          <w:p w14:paraId="306669A4" w14:textId="7A587A4B" w:rsidR="00831646" w:rsidRPr="00F66B41" w:rsidRDefault="00831646" w:rsidP="0006225F">
            <w:pPr>
              <w:spacing w:after="0" w:line="240" w:lineRule="auto"/>
              <w:ind w:firstLine="0"/>
              <w:rPr>
                <w:rFonts w:eastAsia="Times New Roman"/>
                <w:color w:val="000000"/>
                <w:sz w:val="22"/>
                <w:szCs w:val="22"/>
              </w:rPr>
            </w:pPr>
            <w:r w:rsidRPr="00F66B41">
              <w:rPr>
                <w:rFonts w:eastAsia="Times New Roman"/>
                <w:color w:val="000000"/>
                <w:sz w:val="22"/>
                <w:szCs w:val="22"/>
              </w:rPr>
              <w:t xml:space="preserve">      in E10</w:t>
            </w:r>
          </w:p>
        </w:tc>
        <w:tc>
          <w:tcPr>
            <w:tcW w:w="487" w:type="pct"/>
            <w:tcBorders>
              <w:top w:val="nil"/>
              <w:left w:val="nil"/>
              <w:right w:val="nil"/>
            </w:tcBorders>
            <w:shd w:val="clear" w:color="auto" w:fill="auto"/>
            <w:noWrap/>
            <w:vAlign w:val="bottom"/>
            <w:hideMark/>
          </w:tcPr>
          <w:p w14:paraId="63EF77F7"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38</w:t>
            </w:r>
          </w:p>
        </w:tc>
        <w:tc>
          <w:tcPr>
            <w:tcW w:w="520" w:type="pct"/>
            <w:tcBorders>
              <w:top w:val="nil"/>
              <w:left w:val="nil"/>
              <w:right w:val="nil"/>
            </w:tcBorders>
            <w:shd w:val="clear" w:color="auto" w:fill="auto"/>
            <w:noWrap/>
            <w:vAlign w:val="bottom"/>
            <w:hideMark/>
          </w:tcPr>
          <w:p w14:paraId="74DA323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36</w:t>
            </w:r>
          </w:p>
        </w:tc>
        <w:tc>
          <w:tcPr>
            <w:tcW w:w="476" w:type="pct"/>
            <w:tcBorders>
              <w:top w:val="nil"/>
              <w:left w:val="nil"/>
              <w:right w:val="nil"/>
            </w:tcBorders>
            <w:shd w:val="clear" w:color="auto" w:fill="auto"/>
            <w:noWrap/>
            <w:vAlign w:val="bottom"/>
            <w:hideMark/>
          </w:tcPr>
          <w:p w14:paraId="71C47E7B"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29</w:t>
            </w:r>
          </w:p>
        </w:tc>
        <w:tc>
          <w:tcPr>
            <w:tcW w:w="592" w:type="pct"/>
            <w:tcBorders>
              <w:top w:val="nil"/>
              <w:left w:val="nil"/>
              <w:right w:val="single" w:sz="4" w:space="0" w:color="auto"/>
            </w:tcBorders>
            <w:shd w:val="clear" w:color="auto" w:fill="auto"/>
            <w:noWrap/>
            <w:vAlign w:val="bottom"/>
            <w:hideMark/>
          </w:tcPr>
          <w:p w14:paraId="1A35181E"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28</w:t>
            </w:r>
          </w:p>
        </w:tc>
        <w:tc>
          <w:tcPr>
            <w:tcW w:w="471" w:type="pct"/>
            <w:tcBorders>
              <w:top w:val="nil"/>
              <w:left w:val="single" w:sz="4" w:space="0" w:color="auto"/>
              <w:right w:val="nil"/>
            </w:tcBorders>
            <w:shd w:val="clear" w:color="auto" w:fill="auto"/>
            <w:noWrap/>
            <w:vAlign w:val="bottom"/>
            <w:hideMark/>
          </w:tcPr>
          <w:p w14:paraId="2C67B3F6"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38</w:t>
            </w:r>
          </w:p>
        </w:tc>
        <w:tc>
          <w:tcPr>
            <w:tcW w:w="473" w:type="pct"/>
            <w:tcBorders>
              <w:top w:val="nil"/>
              <w:left w:val="nil"/>
              <w:right w:val="nil"/>
            </w:tcBorders>
            <w:shd w:val="clear" w:color="auto" w:fill="auto"/>
            <w:noWrap/>
            <w:vAlign w:val="bottom"/>
            <w:hideMark/>
          </w:tcPr>
          <w:p w14:paraId="216FB81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32</w:t>
            </w:r>
          </w:p>
        </w:tc>
        <w:tc>
          <w:tcPr>
            <w:tcW w:w="592" w:type="pct"/>
            <w:tcBorders>
              <w:top w:val="nil"/>
              <w:left w:val="nil"/>
              <w:right w:val="nil"/>
            </w:tcBorders>
            <w:shd w:val="clear" w:color="auto" w:fill="auto"/>
            <w:noWrap/>
            <w:vAlign w:val="bottom"/>
            <w:hideMark/>
          </w:tcPr>
          <w:p w14:paraId="55F52A88"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31</w:t>
            </w:r>
          </w:p>
        </w:tc>
      </w:tr>
      <w:tr w:rsidR="00CF771E" w:rsidRPr="00F66B41" w14:paraId="1FADA955" w14:textId="77777777" w:rsidTr="00CF771E">
        <w:trPr>
          <w:trHeight w:val="315"/>
        </w:trPr>
        <w:tc>
          <w:tcPr>
            <w:tcW w:w="1389" w:type="pct"/>
            <w:tcBorders>
              <w:top w:val="nil"/>
              <w:left w:val="nil"/>
              <w:bottom w:val="single" w:sz="4" w:space="0" w:color="auto"/>
              <w:right w:val="nil"/>
            </w:tcBorders>
            <w:shd w:val="clear" w:color="000000" w:fill="FFFFFF"/>
            <w:noWrap/>
            <w:vAlign w:val="bottom"/>
            <w:hideMark/>
          </w:tcPr>
          <w:p w14:paraId="3BA3A671" w14:textId="747295DD" w:rsidR="00831646" w:rsidRPr="00F66B41" w:rsidRDefault="00831646" w:rsidP="0006225F">
            <w:pPr>
              <w:spacing w:after="0" w:line="240" w:lineRule="auto"/>
              <w:ind w:firstLine="0"/>
              <w:rPr>
                <w:rFonts w:eastAsia="Times New Roman"/>
                <w:color w:val="000000"/>
                <w:sz w:val="22"/>
                <w:szCs w:val="22"/>
              </w:rPr>
            </w:pPr>
            <w:r w:rsidRPr="00F66B41">
              <w:rPr>
                <w:rFonts w:eastAsia="Times New Roman"/>
                <w:color w:val="000000"/>
                <w:sz w:val="22"/>
                <w:szCs w:val="22"/>
              </w:rPr>
              <w:t xml:space="preserve">      in E85</w:t>
            </w:r>
          </w:p>
        </w:tc>
        <w:tc>
          <w:tcPr>
            <w:tcW w:w="487" w:type="pct"/>
            <w:tcBorders>
              <w:top w:val="nil"/>
              <w:left w:val="nil"/>
              <w:bottom w:val="single" w:sz="4" w:space="0" w:color="auto"/>
              <w:right w:val="nil"/>
            </w:tcBorders>
            <w:shd w:val="clear" w:color="auto" w:fill="auto"/>
            <w:noWrap/>
            <w:vAlign w:val="bottom"/>
            <w:hideMark/>
          </w:tcPr>
          <w:p w14:paraId="10351CF6"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16</w:t>
            </w:r>
          </w:p>
        </w:tc>
        <w:tc>
          <w:tcPr>
            <w:tcW w:w="520" w:type="pct"/>
            <w:tcBorders>
              <w:top w:val="nil"/>
              <w:left w:val="nil"/>
              <w:bottom w:val="single" w:sz="4" w:space="0" w:color="auto"/>
              <w:right w:val="nil"/>
            </w:tcBorders>
            <w:shd w:val="clear" w:color="auto" w:fill="auto"/>
            <w:noWrap/>
            <w:vAlign w:val="bottom"/>
            <w:hideMark/>
          </w:tcPr>
          <w:p w14:paraId="60A4D006"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18</w:t>
            </w:r>
          </w:p>
        </w:tc>
        <w:tc>
          <w:tcPr>
            <w:tcW w:w="476" w:type="pct"/>
            <w:tcBorders>
              <w:top w:val="nil"/>
              <w:left w:val="nil"/>
              <w:bottom w:val="single" w:sz="4" w:space="0" w:color="auto"/>
              <w:right w:val="nil"/>
            </w:tcBorders>
            <w:shd w:val="clear" w:color="auto" w:fill="auto"/>
            <w:noWrap/>
            <w:vAlign w:val="bottom"/>
            <w:hideMark/>
          </w:tcPr>
          <w:p w14:paraId="2DCD5B09"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24</w:t>
            </w:r>
          </w:p>
        </w:tc>
        <w:tc>
          <w:tcPr>
            <w:tcW w:w="592" w:type="pct"/>
            <w:tcBorders>
              <w:top w:val="nil"/>
              <w:left w:val="nil"/>
              <w:bottom w:val="single" w:sz="4" w:space="0" w:color="auto"/>
              <w:right w:val="single" w:sz="4" w:space="0" w:color="auto"/>
            </w:tcBorders>
            <w:shd w:val="clear" w:color="auto" w:fill="auto"/>
            <w:noWrap/>
            <w:vAlign w:val="bottom"/>
            <w:hideMark/>
          </w:tcPr>
          <w:p w14:paraId="3A2A2E7A"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25</w:t>
            </w:r>
          </w:p>
        </w:tc>
        <w:tc>
          <w:tcPr>
            <w:tcW w:w="471" w:type="pct"/>
            <w:tcBorders>
              <w:top w:val="nil"/>
              <w:left w:val="single" w:sz="4" w:space="0" w:color="auto"/>
              <w:bottom w:val="single" w:sz="4" w:space="0" w:color="auto"/>
              <w:right w:val="nil"/>
            </w:tcBorders>
            <w:shd w:val="clear" w:color="auto" w:fill="auto"/>
            <w:noWrap/>
            <w:vAlign w:val="bottom"/>
            <w:hideMark/>
          </w:tcPr>
          <w:p w14:paraId="36A4C181"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1</w:t>
            </w:r>
          </w:p>
        </w:tc>
        <w:tc>
          <w:tcPr>
            <w:tcW w:w="473" w:type="pct"/>
            <w:tcBorders>
              <w:top w:val="nil"/>
              <w:left w:val="nil"/>
              <w:bottom w:val="single" w:sz="4" w:space="0" w:color="auto"/>
              <w:right w:val="nil"/>
            </w:tcBorders>
            <w:shd w:val="clear" w:color="auto" w:fill="auto"/>
            <w:noWrap/>
            <w:vAlign w:val="bottom"/>
            <w:hideMark/>
          </w:tcPr>
          <w:p w14:paraId="69A05118"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w:t>
            </w:r>
          </w:p>
        </w:tc>
        <w:tc>
          <w:tcPr>
            <w:tcW w:w="592" w:type="pct"/>
            <w:tcBorders>
              <w:top w:val="nil"/>
              <w:left w:val="nil"/>
              <w:bottom w:val="single" w:sz="4" w:space="0" w:color="auto"/>
              <w:right w:val="nil"/>
            </w:tcBorders>
            <w:shd w:val="clear" w:color="auto" w:fill="auto"/>
            <w:noWrap/>
            <w:vAlign w:val="bottom"/>
            <w:hideMark/>
          </w:tcPr>
          <w:p w14:paraId="465400C0" w14:textId="77777777" w:rsidR="00831646" w:rsidRPr="00F66B41" w:rsidRDefault="00831646" w:rsidP="0006225F">
            <w:pPr>
              <w:spacing w:after="0" w:line="240" w:lineRule="auto"/>
              <w:ind w:firstLine="0"/>
              <w:jc w:val="right"/>
              <w:rPr>
                <w:rFonts w:eastAsia="Times New Roman"/>
                <w:color w:val="000000"/>
                <w:sz w:val="22"/>
                <w:szCs w:val="22"/>
              </w:rPr>
            </w:pPr>
            <w:r w:rsidRPr="00F66B41">
              <w:rPr>
                <w:rFonts w:eastAsia="Times New Roman"/>
                <w:color w:val="000000"/>
                <w:sz w:val="22"/>
                <w:szCs w:val="22"/>
              </w:rPr>
              <w:t>2</w:t>
            </w:r>
          </w:p>
        </w:tc>
      </w:tr>
    </w:tbl>
    <w:p w14:paraId="7EBE58BF" w14:textId="77777777" w:rsidR="00CB6A60" w:rsidRDefault="00CB6A60" w:rsidP="00F66B41">
      <w:pPr>
        <w:spacing w:after="0" w:line="240" w:lineRule="auto"/>
        <w:ind w:firstLine="0"/>
        <w:rPr>
          <w:lang w:eastAsia="en-US"/>
        </w:rPr>
        <w:sectPr w:rsidR="00CB6A60" w:rsidSect="0008138C">
          <w:pgSz w:w="15840" w:h="12240" w:orient="landscape"/>
          <w:pgMar w:top="1440" w:right="1440" w:bottom="1440" w:left="1440" w:header="720" w:footer="720" w:gutter="0"/>
          <w:cols w:space="720"/>
          <w:docGrid w:linePitch="360"/>
        </w:sectPr>
      </w:pPr>
    </w:p>
    <w:p w14:paraId="2B57B636" w14:textId="21408326" w:rsidR="00B5669C" w:rsidRDefault="00B5669C" w:rsidP="00B5669C">
      <w:pPr>
        <w:spacing w:after="0" w:line="240" w:lineRule="auto"/>
        <w:ind w:left="450" w:hanging="18"/>
        <w:rPr>
          <w:lang w:eastAsia="en-US"/>
        </w:rPr>
      </w:pPr>
      <w:r>
        <w:rPr>
          <w:noProof/>
        </w:rPr>
        <w:lastRenderedPageBreak/>
        <w:drawing>
          <wp:inline distT="0" distB="0" distL="0" distR="0" wp14:anchorId="64ABE90F" wp14:editId="0FCC4BF2">
            <wp:extent cx="4952365" cy="2620370"/>
            <wp:effectExtent l="0" t="0" r="635" b="8890"/>
            <wp:docPr id="24" name="Chart 24">
              <a:extLst xmlns:a="http://schemas.openxmlformats.org/drawingml/2006/main">
                <a:ext uri="{FF2B5EF4-FFF2-40B4-BE49-F238E27FC236}">
                  <a16:creationId xmlns:a16="http://schemas.microsoft.com/office/drawing/2014/main" id="{FDF97112-8CA1-4060-B2BD-7D9DA9ED33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rPr>
          <w:noProof/>
        </w:rPr>
        <w:drawing>
          <wp:inline distT="0" distB="0" distL="0" distR="0" wp14:anchorId="17DCED91" wp14:editId="5C8D8C7E">
            <wp:extent cx="4952365" cy="2661314"/>
            <wp:effectExtent l="0" t="0" r="635" b="5715"/>
            <wp:docPr id="23" name="Chart 23">
              <a:extLst xmlns:a="http://schemas.openxmlformats.org/drawingml/2006/main">
                <a:ext uri="{FF2B5EF4-FFF2-40B4-BE49-F238E27FC236}">
                  <a16:creationId xmlns:a16="http://schemas.microsoft.com/office/drawing/2014/main" id="{2E6E2E01-2826-473E-84D1-FD05C6B3DD9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42F40DBD" w14:textId="3FE5964C" w:rsidR="00B5669C" w:rsidRPr="001D7A32" w:rsidRDefault="00B5669C" w:rsidP="00B5669C">
      <w:pPr>
        <w:spacing w:after="0" w:line="240" w:lineRule="auto"/>
        <w:ind w:left="450" w:hanging="18"/>
        <w:rPr>
          <w:lang w:eastAsia="en-US"/>
        </w:rPr>
      </w:pPr>
      <w:r w:rsidRPr="00B5669C">
        <w:rPr>
          <w:b/>
          <w:bCs/>
          <w:lang w:eastAsia="en-US"/>
        </w:rPr>
        <w:t xml:space="preserve">Figure A18 </w:t>
      </w:r>
      <w:r>
        <w:rPr>
          <w:b/>
          <w:bCs/>
          <w:lang w:eastAsia="en-US"/>
        </w:rPr>
        <w:t xml:space="preserve">The FFV Sales Share </w:t>
      </w:r>
      <w:r w:rsidR="00767832">
        <w:rPr>
          <w:b/>
          <w:bCs/>
          <w:lang w:eastAsia="en-US"/>
        </w:rPr>
        <w:t>with a</w:t>
      </w:r>
      <w:r>
        <w:rPr>
          <w:b/>
          <w:bCs/>
          <w:lang w:eastAsia="en-US"/>
        </w:rPr>
        <w:t xml:space="preserve"> </w:t>
      </w:r>
      <w:r w:rsidR="00344906">
        <w:rPr>
          <w:b/>
          <w:bCs/>
          <w:lang w:eastAsia="en-US"/>
        </w:rPr>
        <w:t>Mandate</w:t>
      </w:r>
      <w:r w:rsidR="00767832">
        <w:rPr>
          <w:b/>
          <w:bCs/>
          <w:lang w:eastAsia="en-US"/>
        </w:rPr>
        <w:t xml:space="preserve"> of</w:t>
      </w:r>
      <w:r w:rsidR="00344906">
        <w:rPr>
          <w:b/>
          <w:bCs/>
          <w:lang w:eastAsia="en-US"/>
        </w:rPr>
        <w:t xml:space="preserve"> </w:t>
      </w:r>
      <w:r w:rsidR="00831646" w:rsidRPr="00767832">
        <w:rPr>
          <w:b/>
          <w:bCs/>
          <w:lang w:eastAsia="en-US"/>
        </w:rPr>
        <w:t>54</w:t>
      </w:r>
      <w:r w:rsidRPr="00767832">
        <w:rPr>
          <w:b/>
          <w:bCs/>
          <w:lang w:eastAsia="en-US"/>
        </w:rPr>
        <w:t xml:space="preserve"> </w:t>
      </w:r>
      <w:proofErr w:type="gramStart"/>
      <w:r w:rsidRPr="00767832">
        <w:rPr>
          <w:b/>
          <w:bCs/>
          <w:lang w:eastAsia="en-US"/>
        </w:rPr>
        <w:t>Billion</w:t>
      </w:r>
      <w:proofErr w:type="gramEnd"/>
      <w:r w:rsidRPr="00767832">
        <w:rPr>
          <w:b/>
          <w:bCs/>
          <w:lang w:eastAsia="en-US"/>
        </w:rPr>
        <w:t xml:space="preserve"> </w:t>
      </w:r>
      <w:r w:rsidR="00831646">
        <w:rPr>
          <w:b/>
          <w:bCs/>
          <w:lang w:eastAsia="en-US"/>
        </w:rPr>
        <w:t xml:space="preserve">Liters </w:t>
      </w:r>
      <w:r>
        <w:rPr>
          <w:b/>
          <w:bCs/>
          <w:lang w:eastAsia="en-US"/>
        </w:rPr>
        <w:t xml:space="preserve">of Ethanol </w:t>
      </w:r>
      <w:r w:rsidR="001D7A32">
        <w:rPr>
          <w:b/>
          <w:bCs/>
          <w:lang w:eastAsia="en-US"/>
        </w:rPr>
        <w:t>(Plot a)</w:t>
      </w:r>
      <w:r>
        <w:rPr>
          <w:b/>
          <w:bCs/>
          <w:lang w:eastAsia="en-US"/>
        </w:rPr>
        <w:t xml:space="preserve"> and </w:t>
      </w:r>
      <w:r w:rsidR="00344906">
        <w:rPr>
          <w:b/>
          <w:bCs/>
          <w:lang w:eastAsia="en-US"/>
        </w:rPr>
        <w:t xml:space="preserve">Mandate of 10% Ethanol Blend </w:t>
      </w:r>
      <w:r w:rsidR="001D7A32">
        <w:rPr>
          <w:b/>
          <w:bCs/>
          <w:lang w:eastAsia="en-US"/>
        </w:rPr>
        <w:t xml:space="preserve">(Plot b). </w:t>
      </w:r>
      <w:r w:rsidR="001D7A32">
        <w:rPr>
          <w:rFonts w:hint="eastAsia"/>
        </w:rPr>
        <w:t>Th</w:t>
      </w:r>
      <w:r w:rsidR="001D7A32">
        <w:rPr>
          <w:lang w:eastAsia="en-US"/>
        </w:rPr>
        <w:t xml:space="preserve">e FFV sales shares </w:t>
      </w:r>
      <w:r w:rsidR="00C16268">
        <w:rPr>
          <w:lang w:eastAsia="en-US"/>
        </w:rPr>
        <w:t xml:space="preserve">in plot </w:t>
      </w:r>
      <w:r w:rsidR="00B86AEB">
        <w:rPr>
          <w:lang w:eastAsia="en-US"/>
        </w:rPr>
        <w:t>(</w:t>
      </w:r>
      <w:r w:rsidR="00C16268">
        <w:rPr>
          <w:lang w:eastAsia="en-US"/>
        </w:rPr>
        <w:t>a</w:t>
      </w:r>
      <w:r w:rsidR="00B86AEB">
        <w:rPr>
          <w:lang w:eastAsia="en-US"/>
        </w:rPr>
        <w:t>)</w:t>
      </w:r>
      <w:r w:rsidR="00C16268">
        <w:rPr>
          <w:lang w:eastAsia="en-US"/>
        </w:rPr>
        <w:t xml:space="preserve"> </w:t>
      </w:r>
      <w:r w:rsidR="00AE7DAC">
        <w:rPr>
          <w:lang w:eastAsia="en-US"/>
        </w:rPr>
        <w:t xml:space="preserve">rise </w:t>
      </w:r>
      <w:r w:rsidR="00C16268">
        <w:rPr>
          <w:lang w:eastAsia="en-US"/>
        </w:rPr>
        <w:t>is</w:t>
      </w:r>
      <w:r w:rsidR="00B86AEB">
        <w:rPr>
          <w:lang w:eastAsia="en-US"/>
        </w:rPr>
        <w:t xml:space="preserve"> </w:t>
      </w:r>
      <w:r w:rsidR="00AE7DAC">
        <w:rPr>
          <w:lang w:eastAsia="en-US"/>
        </w:rPr>
        <w:t>caused by the volumetric mandate that requires</w:t>
      </w:r>
      <w:r w:rsidR="00B86AEB">
        <w:rPr>
          <w:lang w:eastAsia="en-US"/>
        </w:rPr>
        <w:t xml:space="preserve"> capacity to increase consumption of ethanol as gasoline </w:t>
      </w:r>
      <w:r w:rsidR="00AE7DAC">
        <w:rPr>
          <w:lang w:eastAsia="en-US"/>
        </w:rPr>
        <w:t xml:space="preserve">and E10 </w:t>
      </w:r>
      <w:r w:rsidR="00B86AEB">
        <w:rPr>
          <w:lang w:eastAsia="en-US"/>
        </w:rPr>
        <w:t xml:space="preserve">consumption declines due to </w:t>
      </w:r>
      <w:r w:rsidR="00C16268">
        <w:rPr>
          <w:lang w:eastAsia="en-US"/>
        </w:rPr>
        <w:t>BEV adoption.</w:t>
      </w:r>
      <w:r w:rsidR="00C16268" w:rsidRPr="00C16268">
        <w:rPr>
          <w:lang w:eastAsia="en-US"/>
        </w:rPr>
        <w:t xml:space="preserve"> </w:t>
      </w:r>
      <w:r w:rsidR="00B86AEB">
        <w:rPr>
          <w:lang w:eastAsia="en-US"/>
        </w:rPr>
        <w:t xml:space="preserve">In </w:t>
      </w:r>
      <w:r w:rsidR="002A32A9">
        <w:rPr>
          <w:lang w:eastAsia="en-US"/>
        </w:rPr>
        <w:t>p</w:t>
      </w:r>
      <w:r w:rsidR="00B86AEB">
        <w:rPr>
          <w:lang w:eastAsia="en-US"/>
        </w:rPr>
        <w:t>lot (b) with t</w:t>
      </w:r>
      <w:r w:rsidR="00C16268">
        <w:rPr>
          <w:lang w:eastAsia="en-US"/>
        </w:rPr>
        <w:t>he corn ethanol mandate</w:t>
      </w:r>
      <w:r w:rsidR="00B86AEB">
        <w:rPr>
          <w:lang w:eastAsia="en-US"/>
        </w:rPr>
        <w:t xml:space="preserve"> reduced to 10% blend, </w:t>
      </w:r>
      <w:r w:rsidR="00C16268">
        <w:rPr>
          <w:lang w:eastAsia="en-US"/>
        </w:rPr>
        <w:t>FFV sales share</w:t>
      </w:r>
      <w:r w:rsidR="00B86AEB">
        <w:rPr>
          <w:lang w:eastAsia="en-US"/>
        </w:rPr>
        <w:t xml:space="preserve"> remains at</w:t>
      </w:r>
      <w:r w:rsidR="00C16268">
        <w:rPr>
          <w:lang w:eastAsia="en-US"/>
        </w:rPr>
        <w:t xml:space="preserve"> 2% by 2030 under </w:t>
      </w:r>
      <w:r w:rsidR="00B86AEB">
        <w:rPr>
          <w:lang w:eastAsia="en-US"/>
        </w:rPr>
        <w:t xml:space="preserve">the </w:t>
      </w:r>
      <w:r w:rsidR="00C16268">
        <w:rPr>
          <w:lang w:eastAsia="en-US"/>
        </w:rPr>
        <w:t>different policy scenarios.</w:t>
      </w:r>
    </w:p>
    <w:p w14:paraId="749B141A" w14:textId="5286A901" w:rsidR="00774953" w:rsidRDefault="00774953" w:rsidP="003F7CE5">
      <w:pPr>
        <w:spacing w:after="0" w:line="240" w:lineRule="auto"/>
        <w:rPr>
          <w:lang w:eastAsia="en-US"/>
        </w:rPr>
      </w:pPr>
    </w:p>
    <w:p w14:paraId="130E601C" w14:textId="082C273F" w:rsidR="00E86FE1" w:rsidRDefault="00E86FE1" w:rsidP="003F7CE5">
      <w:pPr>
        <w:spacing w:after="0" w:line="240" w:lineRule="auto"/>
        <w:rPr>
          <w:lang w:eastAsia="en-US"/>
        </w:rPr>
      </w:pPr>
      <w:r>
        <w:rPr>
          <w:noProof/>
        </w:rPr>
        <w:lastRenderedPageBreak/>
        <w:drawing>
          <wp:inline distT="0" distB="0" distL="0" distR="0" wp14:anchorId="5CB7261B" wp14:editId="62739D9F">
            <wp:extent cx="4952663" cy="1913948"/>
            <wp:effectExtent l="0" t="0" r="635" b="10160"/>
            <wp:docPr id="28" name="Chart 28">
              <a:extLst xmlns:a="http://schemas.openxmlformats.org/drawingml/2006/main">
                <a:ext uri="{FF2B5EF4-FFF2-40B4-BE49-F238E27FC236}">
                  <a16:creationId xmlns:a16="http://schemas.microsoft.com/office/drawing/2014/main" id="{22407A3D-4562-A03C-2558-CB0778F40D9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20EA416E" w14:textId="192FDBDE" w:rsidR="00E86FE1" w:rsidRDefault="00E86FE1" w:rsidP="003F7CE5">
      <w:pPr>
        <w:spacing w:after="0" w:line="240" w:lineRule="auto"/>
        <w:rPr>
          <w:lang w:eastAsia="en-US"/>
        </w:rPr>
      </w:pPr>
      <w:r>
        <w:rPr>
          <w:noProof/>
        </w:rPr>
        <w:drawing>
          <wp:inline distT="0" distB="0" distL="0" distR="0" wp14:anchorId="64FC73D6" wp14:editId="29E0C391">
            <wp:extent cx="4952365" cy="2596896"/>
            <wp:effectExtent l="0" t="0" r="635" b="13335"/>
            <wp:docPr id="31" name="Chart 31">
              <a:extLst xmlns:a="http://schemas.openxmlformats.org/drawingml/2006/main">
                <a:ext uri="{FF2B5EF4-FFF2-40B4-BE49-F238E27FC236}">
                  <a16:creationId xmlns:a16="http://schemas.microsoft.com/office/drawing/2014/main" id="{1B161565-07AF-57E7-EF5F-375EA37523A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33654E22" w14:textId="76C269F8" w:rsidR="001D7A32" w:rsidRPr="001D7A32" w:rsidRDefault="00E86FE1" w:rsidP="001D7A32">
      <w:pPr>
        <w:spacing w:after="0" w:line="240" w:lineRule="auto"/>
        <w:ind w:left="450" w:hanging="18"/>
        <w:rPr>
          <w:lang w:eastAsia="en-US"/>
        </w:rPr>
      </w:pPr>
      <w:r w:rsidRPr="00B5669C">
        <w:rPr>
          <w:b/>
          <w:bCs/>
          <w:lang w:eastAsia="en-US"/>
        </w:rPr>
        <w:t>Figure A1</w:t>
      </w:r>
      <w:r w:rsidR="001D7A32">
        <w:rPr>
          <w:b/>
          <w:bCs/>
          <w:lang w:eastAsia="en-US"/>
        </w:rPr>
        <w:t>9</w:t>
      </w:r>
      <w:r w:rsidRPr="00B5669C">
        <w:rPr>
          <w:b/>
          <w:bCs/>
          <w:lang w:eastAsia="en-US"/>
        </w:rPr>
        <w:t xml:space="preserve"> </w:t>
      </w:r>
      <w:r w:rsidR="001D7A32">
        <w:rPr>
          <w:b/>
          <w:bCs/>
          <w:lang w:eastAsia="en-US"/>
        </w:rPr>
        <w:t xml:space="preserve">The </w:t>
      </w:r>
      <w:r w:rsidR="008260D7">
        <w:rPr>
          <w:b/>
          <w:bCs/>
          <w:lang w:eastAsia="en-US"/>
        </w:rPr>
        <w:t>B</w:t>
      </w:r>
      <w:r w:rsidR="001D7A32">
        <w:rPr>
          <w:b/>
          <w:bCs/>
          <w:lang w:eastAsia="en-US"/>
        </w:rPr>
        <w:t xml:space="preserve">EV Sales Share </w:t>
      </w:r>
      <w:r w:rsidR="00B86AEB">
        <w:rPr>
          <w:b/>
          <w:bCs/>
          <w:lang w:eastAsia="en-US"/>
        </w:rPr>
        <w:t xml:space="preserve">Under Mandate of </w:t>
      </w:r>
      <w:r w:rsidR="00C16F6A" w:rsidRPr="00C16F6A">
        <w:rPr>
          <w:b/>
          <w:bCs/>
          <w:lang w:eastAsia="en-US"/>
        </w:rPr>
        <w:t xml:space="preserve">54 B liters </w:t>
      </w:r>
      <w:r w:rsidR="00B86AEB">
        <w:rPr>
          <w:b/>
          <w:bCs/>
          <w:lang w:eastAsia="en-US"/>
        </w:rPr>
        <w:t>of Ethanol (Plot a) and Mandate of 10% Ethanol Blend (Plot b)</w:t>
      </w:r>
      <w:r w:rsidR="001D7A32">
        <w:rPr>
          <w:b/>
          <w:bCs/>
          <w:lang w:eastAsia="en-US"/>
        </w:rPr>
        <w:t>.</w:t>
      </w:r>
      <w:r w:rsidR="001D7A32" w:rsidRPr="001D7A32">
        <w:rPr>
          <w:lang w:eastAsia="en-US"/>
        </w:rPr>
        <w:t xml:space="preserve"> </w:t>
      </w:r>
      <w:r w:rsidR="00374D37">
        <w:rPr>
          <w:lang w:eastAsia="en-US"/>
        </w:rPr>
        <w:t xml:space="preserve">The EV sales shares across two </w:t>
      </w:r>
      <w:r w:rsidR="00B86AEB">
        <w:rPr>
          <w:lang w:eastAsia="en-US"/>
        </w:rPr>
        <w:t xml:space="preserve">alternative specifications of the </w:t>
      </w:r>
      <w:r w:rsidR="00374D37">
        <w:rPr>
          <w:lang w:eastAsia="en-US"/>
        </w:rPr>
        <w:t xml:space="preserve">ethanol mandate do not </w:t>
      </w:r>
      <w:r w:rsidR="00AE7DAC">
        <w:rPr>
          <w:lang w:eastAsia="en-US"/>
        </w:rPr>
        <w:t>change</w:t>
      </w:r>
      <w:r w:rsidR="00374D37">
        <w:rPr>
          <w:lang w:eastAsia="en-US"/>
        </w:rPr>
        <w:t xml:space="preserve"> much. </w:t>
      </w:r>
      <w:r w:rsidR="00B86AEB">
        <w:rPr>
          <w:lang w:eastAsia="en-US"/>
        </w:rPr>
        <w:t xml:space="preserve">With the </w:t>
      </w:r>
      <w:r w:rsidR="001D7A32">
        <w:rPr>
          <w:lang w:eastAsia="en-US"/>
        </w:rPr>
        <w:t>reduced corn ethanol mandate</w:t>
      </w:r>
      <w:r w:rsidR="007E36FB">
        <w:rPr>
          <w:lang w:eastAsia="en-US"/>
        </w:rPr>
        <w:t>,</w:t>
      </w:r>
      <w:r w:rsidR="001D7A32">
        <w:rPr>
          <w:lang w:eastAsia="en-US"/>
        </w:rPr>
        <w:t xml:space="preserve"> </w:t>
      </w:r>
      <w:r w:rsidR="00B86AEB">
        <w:rPr>
          <w:lang w:eastAsia="en-US"/>
        </w:rPr>
        <w:t xml:space="preserve">there is a </w:t>
      </w:r>
      <w:r w:rsidR="00374D37">
        <w:rPr>
          <w:lang w:eastAsia="en-US"/>
        </w:rPr>
        <w:t xml:space="preserve">slight increase </w:t>
      </w:r>
      <w:r w:rsidR="00B86AEB">
        <w:rPr>
          <w:lang w:eastAsia="en-US"/>
        </w:rPr>
        <w:t xml:space="preserve">in </w:t>
      </w:r>
      <w:r w:rsidR="00374D37">
        <w:rPr>
          <w:lang w:eastAsia="en-US"/>
        </w:rPr>
        <w:t xml:space="preserve">the EV </w:t>
      </w:r>
      <w:r w:rsidR="001D7A32">
        <w:rPr>
          <w:lang w:eastAsia="en-US"/>
        </w:rPr>
        <w:t>share</w:t>
      </w:r>
      <w:r w:rsidR="00374D37">
        <w:rPr>
          <w:lang w:eastAsia="en-US"/>
        </w:rPr>
        <w:t xml:space="preserve"> </w:t>
      </w:r>
      <w:r w:rsidR="00B86AEB">
        <w:rPr>
          <w:lang w:eastAsia="en-US"/>
        </w:rPr>
        <w:t>(</w:t>
      </w:r>
      <w:r w:rsidR="00374D37">
        <w:rPr>
          <w:lang w:eastAsia="en-US"/>
        </w:rPr>
        <w:t>by less than 1</w:t>
      </w:r>
      <w:r w:rsidR="001D7A32">
        <w:rPr>
          <w:lang w:eastAsia="en-US"/>
        </w:rPr>
        <w:t>%</w:t>
      </w:r>
      <w:r w:rsidR="00B86AEB">
        <w:rPr>
          <w:lang w:eastAsia="en-US"/>
        </w:rPr>
        <w:t>)</w:t>
      </w:r>
      <w:r w:rsidR="001D7A32">
        <w:rPr>
          <w:lang w:eastAsia="en-US"/>
        </w:rPr>
        <w:t xml:space="preserve"> by 2030 under different policy scenarios.</w:t>
      </w:r>
    </w:p>
    <w:p w14:paraId="62E5D39B" w14:textId="7C54E05B" w:rsidR="00B86AEB" w:rsidRDefault="00B86AEB" w:rsidP="00B86AEB">
      <w:pPr>
        <w:spacing w:after="0" w:line="240" w:lineRule="auto"/>
        <w:ind w:left="450" w:hanging="18"/>
        <w:rPr>
          <w:lang w:eastAsia="en-US"/>
        </w:rPr>
      </w:pPr>
    </w:p>
    <w:p w14:paraId="69B77565" w14:textId="77777777" w:rsidR="00930D98" w:rsidRDefault="00930D98">
      <w:pPr>
        <w:spacing w:line="259" w:lineRule="auto"/>
        <w:ind w:firstLine="0"/>
        <w:rPr>
          <w:b/>
          <w:bCs/>
        </w:rPr>
      </w:pPr>
      <w:r>
        <w:rPr>
          <w:b/>
          <w:bCs/>
        </w:rPr>
        <w:br w:type="page"/>
      </w:r>
    </w:p>
    <w:p w14:paraId="05E7A67C" w14:textId="696BDAD8" w:rsidR="002F4051" w:rsidRPr="002F4051" w:rsidRDefault="002F4051" w:rsidP="00930D98">
      <w:pPr>
        <w:pStyle w:val="Caption"/>
        <w:tabs>
          <w:tab w:val="left" w:pos="1350"/>
        </w:tabs>
        <w:adjustRightInd w:val="0"/>
        <w:snapToGrid w:val="0"/>
        <w:spacing w:after="0"/>
        <w:ind w:firstLine="0"/>
        <w:rPr>
          <w:b/>
          <w:bCs/>
        </w:rPr>
      </w:pPr>
      <w:r w:rsidRPr="0006225F">
        <w:rPr>
          <w:b/>
          <w:bCs/>
        </w:rPr>
        <w:lastRenderedPageBreak/>
        <w:t xml:space="preserve">Table </w:t>
      </w:r>
      <w:r>
        <w:rPr>
          <w:b/>
          <w:bCs/>
        </w:rPr>
        <w:t>A</w:t>
      </w:r>
      <w:r w:rsidR="002F02A2">
        <w:rPr>
          <w:b/>
          <w:bCs/>
        </w:rPr>
        <w:t>9</w:t>
      </w:r>
      <w:r>
        <w:rPr>
          <w:b/>
          <w:bCs/>
        </w:rPr>
        <w:t xml:space="preserve"> </w:t>
      </w:r>
      <w:r w:rsidR="00FB1893" w:rsidRPr="00C505B4">
        <w:rPr>
          <w:b/>
          <w:bCs/>
        </w:rPr>
        <w:t xml:space="preserve">Social </w:t>
      </w:r>
      <w:r w:rsidR="00FB1893">
        <w:rPr>
          <w:b/>
          <w:bCs/>
        </w:rPr>
        <w:t>W</w:t>
      </w:r>
      <w:r w:rsidR="00FB1893" w:rsidRPr="00C505B4">
        <w:rPr>
          <w:b/>
          <w:bCs/>
        </w:rPr>
        <w:t>elfare</w:t>
      </w:r>
      <w:r w:rsidR="00FB1893">
        <w:rPr>
          <w:b/>
          <w:bCs/>
        </w:rPr>
        <w:t xml:space="preserve"> and GHG Effects of Alternative Policy Scenarios</w:t>
      </w:r>
      <w:r w:rsidR="00FB1893" w:rsidRPr="00C505B4">
        <w:rPr>
          <w:b/>
          <w:bCs/>
        </w:rPr>
        <w:t xml:space="preserve"> over 2022-2030</w:t>
      </w:r>
      <w:r w:rsidR="00FB1893">
        <w:rPr>
          <w:b/>
          <w:bCs/>
        </w:rPr>
        <w:t xml:space="preserve"> with </w:t>
      </w:r>
      <w:r w:rsidR="004C327C">
        <w:rPr>
          <w:b/>
          <w:bCs/>
        </w:rPr>
        <w:t xml:space="preserve">Aggressive RPS with </w:t>
      </w:r>
      <w:r w:rsidR="00FB1893">
        <w:rPr>
          <w:b/>
          <w:bCs/>
        </w:rPr>
        <w:t>Reduced Cost of Solar and Wind Electricity</w:t>
      </w:r>
    </w:p>
    <w:tbl>
      <w:tblPr>
        <w:tblStyle w:val="TableGrid"/>
        <w:tblW w:w="9712" w:type="dxa"/>
        <w:tblLook w:val="04A0" w:firstRow="1" w:lastRow="0" w:firstColumn="1" w:lastColumn="0" w:noHBand="0" w:noVBand="1"/>
      </w:tblPr>
      <w:tblGrid>
        <w:gridCol w:w="3296"/>
        <w:gridCol w:w="987"/>
        <w:gridCol w:w="1681"/>
        <w:gridCol w:w="1635"/>
        <w:gridCol w:w="2113"/>
      </w:tblGrid>
      <w:tr w:rsidR="008D1F6E" w:rsidRPr="008D1F6E" w14:paraId="3F8B31EC" w14:textId="77777777" w:rsidTr="00BE675A">
        <w:trPr>
          <w:trHeight w:val="638"/>
        </w:trPr>
        <w:tc>
          <w:tcPr>
            <w:tcW w:w="3296" w:type="dxa"/>
            <w:hideMark/>
          </w:tcPr>
          <w:p w14:paraId="65BBD122" w14:textId="77777777" w:rsidR="008D1F6E" w:rsidRPr="008D1F6E" w:rsidRDefault="008D1F6E" w:rsidP="008D1F6E">
            <w:pPr>
              <w:spacing w:line="240" w:lineRule="auto"/>
              <w:ind w:firstLine="0"/>
              <w:rPr>
                <w:rFonts w:eastAsia="Times New Roman"/>
                <w:color w:val="000000"/>
                <w:sz w:val="22"/>
                <w:szCs w:val="22"/>
              </w:rPr>
            </w:pPr>
            <w:r w:rsidRPr="008D1F6E">
              <w:rPr>
                <w:rFonts w:eastAsia="Times New Roman"/>
                <w:color w:val="000000"/>
                <w:sz w:val="22"/>
                <w:szCs w:val="22"/>
              </w:rPr>
              <w:t> </w:t>
            </w:r>
          </w:p>
        </w:tc>
        <w:tc>
          <w:tcPr>
            <w:tcW w:w="987" w:type="dxa"/>
            <w:hideMark/>
          </w:tcPr>
          <w:p w14:paraId="7152F597" w14:textId="77777777" w:rsidR="008D1F6E" w:rsidRPr="008D1F6E" w:rsidRDefault="008D1F6E" w:rsidP="008D1F6E">
            <w:pPr>
              <w:spacing w:line="240" w:lineRule="auto"/>
              <w:ind w:firstLine="0"/>
              <w:jc w:val="center"/>
              <w:rPr>
                <w:rFonts w:eastAsia="Times New Roman"/>
                <w:color w:val="000000"/>
                <w:sz w:val="22"/>
                <w:szCs w:val="22"/>
              </w:rPr>
            </w:pPr>
            <w:r w:rsidRPr="008D1F6E">
              <w:rPr>
                <w:rFonts w:eastAsia="Times New Roman"/>
                <w:color w:val="000000"/>
                <w:sz w:val="22"/>
                <w:szCs w:val="22"/>
              </w:rPr>
              <w:t>Baseline Scenario</w:t>
            </w:r>
          </w:p>
        </w:tc>
        <w:tc>
          <w:tcPr>
            <w:tcW w:w="1681" w:type="dxa"/>
            <w:hideMark/>
          </w:tcPr>
          <w:p w14:paraId="16A4A5CF" w14:textId="77777777" w:rsidR="008D1F6E" w:rsidRPr="008D1F6E" w:rsidRDefault="008D1F6E" w:rsidP="008D1F6E">
            <w:pPr>
              <w:spacing w:line="240" w:lineRule="auto"/>
              <w:ind w:firstLine="0"/>
              <w:jc w:val="center"/>
              <w:rPr>
                <w:rFonts w:eastAsia="Times New Roman"/>
                <w:color w:val="000000"/>
                <w:sz w:val="22"/>
                <w:szCs w:val="22"/>
              </w:rPr>
            </w:pPr>
            <w:r w:rsidRPr="008D1F6E">
              <w:rPr>
                <w:rFonts w:eastAsia="Times New Roman"/>
                <w:color w:val="000000"/>
                <w:sz w:val="22"/>
                <w:szCs w:val="22"/>
              </w:rPr>
              <w:t>Policy Scenario 1:  Increased Public Charging</w:t>
            </w:r>
          </w:p>
        </w:tc>
        <w:tc>
          <w:tcPr>
            <w:tcW w:w="1635" w:type="dxa"/>
            <w:hideMark/>
          </w:tcPr>
          <w:p w14:paraId="4579A4BB" w14:textId="77777777" w:rsidR="008D1F6E" w:rsidRPr="008D1F6E" w:rsidRDefault="008D1F6E" w:rsidP="008D1F6E">
            <w:pPr>
              <w:spacing w:line="240" w:lineRule="auto"/>
              <w:ind w:firstLine="0"/>
              <w:jc w:val="center"/>
              <w:rPr>
                <w:rFonts w:eastAsia="Times New Roman"/>
                <w:color w:val="000000"/>
                <w:sz w:val="22"/>
                <w:szCs w:val="22"/>
              </w:rPr>
            </w:pPr>
            <w:r w:rsidRPr="008D1F6E">
              <w:rPr>
                <w:rFonts w:eastAsia="Times New Roman"/>
                <w:color w:val="000000"/>
                <w:sz w:val="22"/>
                <w:szCs w:val="22"/>
              </w:rPr>
              <w:t xml:space="preserve">Policy Scenario 2: </w:t>
            </w:r>
            <w:r w:rsidRPr="008D1F6E">
              <w:rPr>
                <w:rFonts w:eastAsia="Times New Roman"/>
                <w:color w:val="000000"/>
              </w:rPr>
              <w:t xml:space="preserve">Clean Vehicle (EV) </w:t>
            </w:r>
            <w:r w:rsidRPr="008D1F6E">
              <w:rPr>
                <w:rFonts w:eastAsia="Times New Roman"/>
                <w:color w:val="000000"/>
                <w:sz w:val="22"/>
                <w:szCs w:val="22"/>
              </w:rPr>
              <w:t xml:space="preserve">Tax Credit </w:t>
            </w:r>
          </w:p>
        </w:tc>
        <w:tc>
          <w:tcPr>
            <w:tcW w:w="2113" w:type="dxa"/>
            <w:hideMark/>
          </w:tcPr>
          <w:p w14:paraId="66B16C0E" w14:textId="77777777" w:rsidR="008D1F6E" w:rsidRPr="008D1F6E" w:rsidRDefault="008D1F6E" w:rsidP="008D1F6E">
            <w:pPr>
              <w:spacing w:line="240" w:lineRule="auto"/>
              <w:ind w:firstLine="0"/>
              <w:jc w:val="center"/>
              <w:rPr>
                <w:rFonts w:eastAsia="Times New Roman"/>
                <w:color w:val="000000"/>
                <w:sz w:val="22"/>
                <w:szCs w:val="22"/>
              </w:rPr>
            </w:pPr>
            <w:r w:rsidRPr="008D1F6E">
              <w:rPr>
                <w:rFonts w:eastAsia="Times New Roman"/>
                <w:color w:val="000000"/>
                <w:sz w:val="22"/>
                <w:szCs w:val="22"/>
              </w:rPr>
              <w:t xml:space="preserve">Policy Scenario 3 </w:t>
            </w:r>
            <w:r w:rsidRPr="008D1F6E">
              <w:rPr>
                <w:rFonts w:eastAsia="Times New Roman"/>
                <w:color w:val="000000"/>
              </w:rPr>
              <w:t>Clean Vehicle (EV)</w:t>
            </w:r>
            <w:r w:rsidRPr="008D1F6E">
              <w:rPr>
                <w:rFonts w:eastAsia="Times New Roman"/>
                <w:color w:val="000000"/>
                <w:sz w:val="22"/>
                <w:szCs w:val="22"/>
              </w:rPr>
              <w:t xml:space="preserve"> Tax Credit</w:t>
            </w:r>
            <w:r w:rsidRPr="008D1F6E">
              <w:rPr>
                <w:rFonts w:eastAsia="Times New Roman"/>
                <w:color w:val="000000"/>
              </w:rPr>
              <w:t xml:space="preserve"> </w:t>
            </w:r>
            <w:r w:rsidRPr="008D1F6E">
              <w:rPr>
                <w:rFonts w:eastAsia="Times New Roman"/>
                <w:color w:val="000000"/>
                <w:sz w:val="22"/>
                <w:szCs w:val="22"/>
              </w:rPr>
              <w:t xml:space="preserve">&amp; Better Charging </w:t>
            </w:r>
          </w:p>
        </w:tc>
      </w:tr>
      <w:tr w:rsidR="008D1F6E" w:rsidRPr="008D1F6E" w14:paraId="16189FF3" w14:textId="77777777" w:rsidTr="00BE675A">
        <w:trPr>
          <w:trHeight w:val="287"/>
        </w:trPr>
        <w:tc>
          <w:tcPr>
            <w:tcW w:w="3296" w:type="dxa"/>
            <w:noWrap/>
            <w:hideMark/>
          </w:tcPr>
          <w:p w14:paraId="5A070698" w14:textId="77777777" w:rsidR="008D1F6E" w:rsidRPr="008D1F6E" w:rsidRDefault="008D1F6E" w:rsidP="008D1F6E">
            <w:pPr>
              <w:spacing w:line="240" w:lineRule="auto"/>
              <w:ind w:firstLine="0"/>
              <w:rPr>
                <w:rFonts w:ascii="Calibri" w:eastAsia="Times New Roman" w:hAnsi="Calibri" w:cs="Calibri"/>
                <w:color w:val="000000"/>
                <w:sz w:val="22"/>
                <w:szCs w:val="22"/>
              </w:rPr>
            </w:pPr>
            <w:r w:rsidRPr="008D1F6E">
              <w:rPr>
                <w:rFonts w:ascii="Calibri" w:eastAsia="Times New Roman" w:hAnsi="Calibri" w:cs="Calibri"/>
                <w:color w:val="000000"/>
                <w:sz w:val="22"/>
                <w:szCs w:val="22"/>
              </w:rPr>
              <w:t> </w:t>
            </w:r>
          </w:p>
        </w:tc>
        <w:tc>
          <w:tcPr>
            <w:tcW w:w="987" w:type="dxa"/>
            <w:noWrap/>
            <w:hideMark/>
          </w:tcPr>
          <w:p w14:paraId="5A94E995" w14:textId="77777777" w:rsidR="008D1F6E" w:rsidRPr="008D1F6E" w:rsidRDefault="008D1F6E" w:rsidP="008D1F6E">
            <w:pPr>
              <w:spacing w:line="240" w:lineRule="auto"/>
              <w:ind w:firstLine="0"/>
              <w:rPr>
                <w:rFonts w:ascii="Calibri" w:eastAsia="Times New Roman" w:hAnsi="Calibri" w:cs="Calibri"/>
                <w:color w:val="000000"/>
                <w:sz w:val="22"/>
                <w:szCs w:val="22"/>
              </w:rPr>
            </w:pPr>
            <w:r w:rsidRPr="008D1F6E">
              <w:rPr>
                <w:rFonts w:ascii="Calibri" w:eastAsia="Times New Roman" w:hAnsi="Calibri" w:cs="Calibri"/>
                <w:color w:val="000000"/>
                <w:sz w:val="22"/>
                <w:szCs w:val="22"/>
              </w:rPr>
              <w:t> </w:t>
            </w:r>
          </w:p>
        </w:tc>
        <w:tc>
          <w:tcPr>
            <w:tcW w:w="5429" w:type="dxa"/>
            <w:gridSpan w:val="3"/>
            <w:hideMark/>
          </w:tcPr>
          <w:p w14:paraId="1DD1D658" w14:textId="77777777" w:rsidR="008D1F6E" w:rsidRPr="008D1F6E" w:rsidRDefault="008D1F6E" w:rsidP="008D1F6E">
            <w:pPr>
              <w:spacing w:line="240" w:lineRule="auto"/>
              <w:ind w:firstLine="0"/>
              <w:jc w:val="center"/>
              <w:rPr>
                <w:rFonts w:eastAsia="Times New Roman"/>
                <w:color w:val="000000"/>
                <w:sz w:val="22"/>
                <w:szCs w:val="22"/>
                <w:u w:val="single"/>
              </w:rPr>
            </w:pPr>
            <w:r w:rsidRPr="008D1F6E">
              <w:rPr>
                <w:rFonts w:eastAsia="Times New Roman"/>
                <w:color w:val="000000"/>
                <w:sz w:val="22"/>
                <w:szCs w:val="22"/>
                <w:u w:val="single"/>
              </w:rPr>
              <w:t>Relative to Baseline Scenario</w:t>
            </w:r>
          </w:p>
        </w:tc>
      </w:tr>
      <w:tr w:rsidR="00F736B6" w:rsidRPr="008D1F6E" w14:paraId="72026949" w14:textId="77777777" w:rsidTr="00BE675A">
        <w:trPr>
          <w:trHeight w:val="315"/>
        </w:trPr>
        <w:tc>
          <w:tcPr>
            <w:tcW w:w="3296" w:type="dxa"/>
            <w:noWrap/>
            <w:hideMark/>
          </w:tcPr>
          <w:p w14:paraId="49BCE6AC"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Transportation sector ($B) (a)</w:t>
            </w:r>
          </w:p>
        </w:tc>
        <w:tc>
          <w:tcPr>
            <w:tcW w:w="987" w:type="dxa"/>
            <w:noWrap/>
            <w:vAlign w:val="bottom"/>
            <w:hideMark/>
          </w:tcPr>
          <w:p w14:paraId="6EEA3391" w14:textId="7E65F57D"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xml:space="preserve">74,376 </w:t>
            </w:r>
          </w:p>
        </w:tc>
        <w:tc>
          <w:tcPr>
            <w:tcW w:w="1681" w:type="dxa"/>
            <w:noWrap/>
            <w:vAlign w:val="bottom"/>
            <w:hideMark/>
          </w:tcPr>
          <w:p w14:paraId="29C92EC6" w14:textId="49B7A078" w:rsidR="00F736B6" w:rsidRPr="008D1F6E" w:rsidRDefault="00F736B6" w:rsidP="00F736B6">
            <w:pPr>
              <w:spacing w:line="240" w:lineRule="auto"/>
              <w:ind w:firstLine="0"/>
              <w:jc w:val="right"/>
              <w:rPr>
                <w:rFonts w:eastAsia="Times New Roman"/>
                <w:color w:val="000000"/>
              </w:rPr>
            </w:pPr>
            <w:r>
              <w:rPr>
                <w:color w:val="000000"/>
              </w:rPr>
              <w:t>-52</w:t>
            </w:r>
          </w:p>
        </w:tc>
        <w:tc>
          <w:tcPr>
            <w:tcW w:w="1635" w:type="dxa"/>
            <w:noWrap/>
            <w:vAlign w:val="bottom"/>
            <w:hideMark/>
          </w:tcPr>
          <w:p w14:paraId="26142764" w14:textId="5D663C09" w:rsidR="00F736B6" w:rsidRPr="008D1F6E" w:rsidRDefault="00F736B6" w:rsidP="00F736B6">
            <w:pPr>
              <w:spacing w:line="240" w:lineRule="auto"/>
              <w:ind w:firstLine="0"/>
              <w:jc w:val="right"/>
              <w:rPr>
                <w:rFonts w:eastAsia="Times New Roman"/>
                <w:color w:val="000000"/>
              </w:rPr>
            </w:pPr>
            <w:r>
              <w:rPr>
                <w:color w:val="000000"/>
              </w:rPr>
              <w:t>-42</w:t>
            </w:r>
          </w:p>
        </w:tc>
        <w:tc>
          <w:tcPr>
            <w:tcW w:w="2113" w:type="dxa"/>
            <w:noWrap/>
            <w:vAlign w:val="bottom"/>
            <w:hideMark/>
          </w:tcPr>
          <w:p w14:paraId="6E37E96A" w14:textId="1FD535E8" w:rsidR="00F736B6" w:rsidRPr="008D1F6E" w:rsidRDefault="00F736B6" w:rsidP="00F736B6">
            <w:pPr>
              <w:spacing w:line="240" w:lineRule="auto"/>
              <w:ind w:firstLine="0"/>
              <w:jc w:val="right"/>
              <w:rPr>
                <w:rFonts w:eastAsia="Times New Roman"/>
                <w:color w:val="000000"/>
              </w:rPr>
            </w:pPr>
            <w:r>
              <w:rPr>
                <w:color w:val="000000"/>
              </w:rPr>
              <w:t>-69</w:t>
            </w:r>
          </w:p>
        </w:tc>
      </w:tr>
      <w:tr w:rsidR="00F736B6" w:rsidRPr="008D1F6E" w14:paraId="02028497" w14:textId="77777777" w:rsidTr="00BE675A">
        <w:trPr>
          <w:trHeight w:val="315"/>
        </w:trPr>
        <w:tc>
          <w:tcPr>
            <w:tcW w:w="3296" w:type="dxa"/>
            <w:noWrap/>
            <w:hideMark/>
          </w:tcPr>
          <w:p w14:paraId="618E175E"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Electricity sector ($B) (b)</w:t>
            </w:r>
          </w:p>
        </w:tc>
        <w:tc>
          <w:tcPr>
            <w:tcW w:w="987" w:type="dxa"/>
            <w:noWrap/>
            <w:vAlign w:val="bottom"/>
            <w:hideMark/>
          </w:tcPr>
          <w:p w14:paraId="2323691C" w14:textId="2887B99E"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xml:space="preserve">5,741 </w:t>
            </w:r>
          </w:p>
        </w:tc>
        <w:tc>
          <w:tcPr>
            <w:tcW w:w="1681" w:type="dxa"/>
            <w:noWrap/>
            <w:vAlign w:val="bottom"/>
            <w:hideMark/>
          </w:tcPr>
          <w:p w14:paraId="20842998" w14:textId="781E21B5" w:rsidR="00F736B6" w:rsidRPr="008D1F6E" w:rsidRDefault="00F736B6" w:rsidP="00F736B6">
            <w:pPr>
              <w:spacing w:line="240" w:lineRule="auto"/>
              <w:ind w:firstLine="0"/>
              <w:jc w:val="right"/>
              <w:rPr>
                <w:rFonts w:eastAsia="Times New Roman"/>
                <w:color w:val="000000"/>
              </w:rPr>
            </w:pPr>
            <w:r>
              <w:rPr>
                <w:color w:val="000000"/>
              </w:rPr>
              <w:t>3</w:t>
            </w:r>
          </w:p>
        </w:tc>
        <w:tc>
          <w:tcPr>
            <w:tcW w:w="1635" w:type="dxa"/>
            <w:noWrap/>
            <w:vAlign w:val="bottom"/>
            <w:hideMark/>
          </w:tcPr>
          <w:p w14:paraId="093C7E92" w14:textId="1821EED3" w:rsidR="00F736B6" w:rsidRPr="008D1F6E" w:rsidRDefault="00F736B6" w:rsidP="00F736B6">
            <w:pPr>
              <w:spacing w:line="240" w:lineRule="auto"/>
              <w:ind w:firstLine="0"/>
              <w:jc w:val="right"/>
              <w:rPr>
                <w:rFonts w:eastAsia="Times New Roman"/>
                <w:color w:val="000000"/>
              </w:rPr>
            </w:pPr>
            <w:r>
              <w:rPr>
                <w:color w:val="000000"/>
              </w:rPr>
              <w:t>17</w:t>
            </w:r>
          </w:p>
        </w:tc>
        <w:tc>
          <w:tcPr>
            <w:tcW w:w="2113" w:type="dxa"/>
            <w:noWrap/>
            <w:vAlign w:val="bottom"/>
            <w:hideMark/>
          </w:tcPr>
          <w:p w14:paraId="70D04C0D" w14:textId="1F5E0F6A" w:rsidR="00F736B6" w:rsidRPr="008D1F6E" w:rsidRDefault="00F736B6" w:rsidP="00F736B6">
            <w:pPr>
              <w:spacing w:line="240" w:lineRule="auto"/>
              <w:ind w:firstLine="0"/>
              <w:jc w:val="right"/>
              <w:rPr>
                <w:rFonts w:eastAsia="Times New Roman"/>
                <w:color w:val="000000"/>
              </w:rPr>
            </w:pPr>
            <w:r>
              <w:rPr>
                <w:color w:val="000000"/>
              </w:rPr>
              <w:t>22</w:t>
            </w:r>
          </w:p>
        </w:tc>
      </w:tr>
      <w:tr w:rsidR="00F736B6" w:rsidRPr="008D1F6E" w14:paraId="73124919" w14:textId="77777777" w:rsidTr="00BE675A">
        <w:trPr>
          <w:trHeight w:val="315"/>
        </w:trPr>
        <w:tc>
          <w:tcPr>
            <w:tcW w:w="3296" w:type="dxa"/>
            <w:noWrap/>
            <w:hideMark/>
          </w:tcPr>
          <w:p w14:paraId="35A53DB1"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Agriculture sector ($B) (c)</w:t>
            </w:r>
          </w:p>
        </w:tc>
        <w:tc>
          <w:tcPr>
            <w:tcW w:w="987" w:type="dxa"/>
            <w:noWrap/>
            <w:vAlign w:val="bottom"/>
            <w:hideMark/>
          </w:tcPr>
          <w:p w14:paraId="1F3C88EB" w14:textId="67EF7498"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xml:space="preserve">1,711 </w:t>
            </w:r>
          </w:p>
        </w:tc>
        <w:tc>
          <w:tcPr>
            <w:tcW w:w="1681" w:type="dxa"/>
            <w:noWrap/>
            <w:vAlign w:val="bottom"/>
            <w:hideMark/>
          </w:tcPr>
          <w:p w14:paraId="705D7323" w14:textId="7637D65D" w:rsidR="00F736B6" w:rsidRPr="008D1F6E" w:rsidRDefault="00F736B6" w:rsidP="00F736B6">
            <w:pPr>
              <w:spacing w:line="240" w:lineRule="auto"/>
              <w:ind w:firstLine="0"/>
              <w:jc w:val="right"/>
              <w:rPr>
                <w:rFonts w:eastAsia="Times New Roman"/>
                <w:color w:val="000000"/>
              </w:rPr>
            </w:pPr>
            <w:r>
              <w:rPr>
                <w:color w:val="000000"/>
              </w:rPr>
              <w:t>-1</w:t>
            </w:r>
          </w:p>
        </w:tc>
        <w:tc>
          <w:tcPr>
            <w:tcW w:w="1635" w:type="dxa"/>
            <w:noWrap/>
            <w:vAlign w:val="bottom"/>
            <w:hideMark/>
          </w:tcPr>
          <w:p w14:paraId="4C1708C4" w14:textId="243FC337" w:rsidR="00F736B6" w:rsidRPr="008D1F6E" w:rsidRDefault="00F736B6" w:rsidP="00F736B6">
            <w:pPr>
              <w:spacing w:line="240" w:lineRule="auto"/>
              <w:ind w:firstLine="0"/>
              <w:jc w:val="right"/>
              <w:rPr>
                <w:rFonts w:eastAsia="Times New Roman"/>
                <w:color w:val="000000"/>
              </w:rPr>
            </w:pPr>
            <w:r>
              <w:rPr>
                <w:color w:val="000000"/>
              </w:rPr>
              <w:t>-1</w:t>
            </w:r>
          </w:p>
        </w:tc>
        <w:tc>
          <w:tcPr>
            <w:tcW w:w="2113" w:type="dxa"/>
            <w:noWrap/>
            <w:vAlign w:val="bottom"/>
            <w:hideMark/>
          </w:tcPr>
          <w:p w14:paraId="2AB81535" w14:textId="185DEA70" w:rsidR="00F736B6" w:rsidRPr="008D1F6E" w:rsidRDefault="00F736B6" w:rsidP="00F736B6">
            <w:pPr>
              <w:spacing w:line="240" w:lineRule="auto"/>
              <w:ind w:firstLine="0"/>
              <w:jc w:val="right"/>
              <w:rPr>
                <w:rFonts w:eastAsia="Times New Roman"/>
                <w:color w:val="000000"/>
              </w:rPr>
            </w:pPr>
            <w:r>
              <w:rPr>
                <w:color w:val="000000"/>
              </w:rPr>
              <w:t>0</w:t>
            </w:r>
          </w:p>
        </w:tc>
      </w:tr>
      <w:tr w:rsidR="00F736B6" w:rsidRPr="008D1F6E" w14:paraId="28B165D4" w14:textId="77777777" w:rsidTr="00BE675A">
        <w:trPr>
          <w:trHeight w:val="315"/>
        </w:trPr>
        <w:tc>
          <w:tcPr>
            <w:tcW w:w="3296" w:type="dxa"/>
            <w:noWrap/>
            <w:hideMark/>
          </w:tcPr>
          <w:p w14:paraId="1F8B42CA"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Government revenue ($B) (d)</w:t>
            </w:r>
          </w:p>
        </w:tc>
        <w:tc>
          <w:tcPr>
            <w:tcW w:w="987" w:type="dxa"/>
            <w:noWrap/>
            <w:vAlign w:val="bottom"/>
            <w:hideMark/>
          </w:tcPr>
          <w:p w14:paraId="3C8DF8DA" w14:textId="6858DF21"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xml:space="preserve">469 </w:t>
            </w:r>
          </w:p>
        </w:tc>
        <w:tc>
          <w:tcPr>
            <w:tcW w:w="1681" w:type="dxa"/>
            <w:noWrap/>
            <w:vAlign w:val="bottom"/>
            <w:hideMark/>
          </w:tcPr>
          <w:p w14:paraId="2D90A940" w14:textId="66A69547" w:rsidR="00F736B6" w:rsidRPr="008D1F6E" w:rsidRDefault="00F736B6" w:rsidP="00F736B6">
            <w:pPr>
              <w:spacing w:line="240" w:lineRule="auto"/>
              <w:ind w:firstLine="0"/>
              <w:jc w:val="right"/>
              <w:rPr>
                <w:rFonts w:eastAsia="Times New Roman"/>
                <w:color w:val="000000"/>
              </w:rPr>
            </w:pPr>
            <w:r>
              <w:rPr>
                <w:color w:val="000000"/>
              </w:rPr>
              <w:t>-20</w:t>
            </w:r>
          </w:p>
        </w:tc>
        <w:tc>
          <w:tcPr>
            <w:tcW w:w="1635" w:type="dxa"/>
            <w:noWrap/>
            <w:vAlign w:val="bottom"/>
            <w:hideMark/>
          </w:tcPr>
          <w:p w14:paraId="21B9BEDD" w14:textId="2F6C1A00" w:rsidR="00F736B6" w:rsidRPr="008D1F6E" w:rsidRDefault="00F736B6" w:rsidP="00F736B6">
            <w:pPr>
              <w:spacing w:line="240" w:lineRule="auto"/>
              <w:ind w:firstLine="0"/>
              <w:jc w:val="right"/>
              <w:rPr>
                <w:rFonts w:eastAsia="Times New Roman"/>
                <w:color w:val="000000"/>
              </w:rPr>
            </w:pPr>
            <w:r>
              <w:rPr>
                <w:color w:val="000000"/>
              </w:rPr>
              <w:t>-269</w:t>
            </w:r>
          </w:p>
        </w:tc>
        <w:tc>
          <w:tcPr>
            <w:tcW w:w="2113" w:type="dxa"/>
            <w:noWrap/>
            <w:vAlign w:val="bottom"/>
            <w:hideMark/>
          </w:tcPr>
          <w:p w14:paraId="6DDBEA1E" w14:textId="43B0DBDC" w:rsidR="00F736B6" w:rsidRPr="008D1F6E" w:rsidRDefault="00F736B6" w:rsidP="00F736B6">
            <w:pPr>
              <w:spacing w:line="240" w:lineRule="auto"/>
              <w:ind w:firstLine="0"/>
              <w:jc w:val="right"/>
              <w:rPr>
                <w:rFonts w:eastAsia="Times New Roman"/>
                <w:color w:val="000000"/>
              </w:rPr>
            </w:pPr>
            <w:r>
              <w:rPr>
                <w:color w:val="000000"/>
              </w:rPr>
              <w:t>-300</w:t>
            </w:r>
          </w:p>
        </w:tc>
      </w:tr>
      <w:tr w:rsidR="00F736B6" w:rsidRPr="008D1F6E" w14:paraId="6F74CE8B" w14:textId="77777777" w:rsidTr="00BE675A">
        <w:trPr>
          <w:trHeight w:val="315"/>
        </w:trPr>
        <w:tc>
          <w:tcPr>
            <w:tcW w:w="3296" w:type="dxa"/>
            <w:noWrap/>
            <w:hideMark/>
          </w:tcPr>
          <w:p w14:paraId="389C4344" w14:textId="59DD49CA" w:rsidR="00F736B6" w:rsidRPr="008D1F6E" w:rsidRDefault="00F736B6" w:rsidP="00F736B6">
            <w:pPr>
              <w:spacing w:line="240" w:lineRule="auto"/>
              <w:ind w:firstLine="0"/>
              <w:rPr>
                <w:rFonts w:eastAsia="Times New Roman"/>
                <w:b/>
                <w:bCs/>
                <w:color w:val="000000"/>
                <w:sz w:val="22"/>
                <w:szCs w:val="22"/>
              </w:rPr>
            </w:pPr>
            <w:r w:rsidRPr="008D1F6E">
              <w:rPr>
                <w:rFonts w:eastAsia="Times New Roman"/>
                <w:b/>
                <w:bCs/>
                <w:color w:val="000000"/>
                <w:sz w:val="22"/>
                <w:szCs w:val="22"/>
              </w:rPr>
              <w:t>Net Economic surplus ($B) (</w:t>
            </w:r>
            <w:r>
              <w:rPr>
                <w:rFonts w:eastAsia="Times New Roman"/>
                <w:b/>
                <w:bCs/>
                <w:color w:val="000000"/>
                <w:sz w:val="22"/>
                <w:szCs w:val="22"/>
              </w:rPr>
              <w:t>e=</w:t>
            </w:r>
            <w:proofErr w:type="spellStart"/>
            <w:r w:rsidRPr="008D1F6E">
              <w:rPr>
                <w:rFonts w:eastAsia="Times New Roman"/>
                <w:b/>
                <w:bCs/>
                <w:color w:val="000000"/>
                <w:sz w:val="22"/>
                <w:szCs w:val="22"/>
              </w:rPr>
              <w:t>a+b+c+d</w:t>
            </w:r>
            <w:proofErr w:type="spellEnd"/>
            <w:r w:rsidRPr="008D1F6E">
              <w:rPr>
                <w:rFonts w:eastAsia="Times New Roman"/>
                <w:b/>
                <w:bCs/>
                <w:color w:val="000000"/>
                <w:sz w:val="22"/>
                <w:szCs w:val="22"/>
              </w:rPr>
              <w:t>)</w:t>
            </w:r>
          </w:p>
        </w:tc>
        <w:tc>
          <w:tcPr>
            <w:tcW w:w="987" w:type="dxa"/>
            <w:noWrap/>
            <w:vAlign w:val="bottom"/>
            <w:hideMark/>
          </w:tcPr>
          <w:p w14:paraId="5DCD6BF5" w14:textId="3474F51E"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xml:space="preserve">80,585 </w:t>
            </w:r>
          </w:p>
        </w:tc>
        <w:tc>
          <w:tcPr>
            <w:tcW w:w="1681" w:type="dxa"/>
            <w:noWrap/>
            <w:vAlign w:val="bottom"/>
            <w:hideMark/>
          </w:tcPr>
          <w:p w14:paraId="2CB37131" w14:textId="66C9EEB4" w:rsidR="00F736B6" w:rsidRPr="008D1F6E" w:rsidRDefault="00F736B6" w:rsidP="00F736B6">
            <w:pPr>
              <w:spacing w:line="240" w:lineRule="auto"/>
              <w:ind w:firstLine="0"/>
              <w:jc w:val="right"/>
              <w:rPr>
                <w:rFonts w:eastAsia="Times New Roman"/>
                <w:color w:val="000000"/>
              </w:rPr>
            </w:pPr>
            <w:r>
              <w:rPr>
                <w:color w:val="000000"/>
              </w:rPr>
              <w:t>-69</w:t>
            </w:r>
          </w:p>
        </w:tc>
        <w:tc>
          <w:tcPr>
            <w:tcW w:w="1635" w:type="dxa"/>
            <w:noWrap/>
            <w:vAlign w:val="bottom"/>
            <w:hideMark/>
          </w:tcPr>
          <w:p w14:paraId="7B0A40CF" w14:textId="4245B2E0" w:rsidR="00F736B6" w:rsidRPr="008D1F6E" w:rsidRDefault="00F736B6" w:rsidP="00F736B6">
            <w:pPr>
              <w:spacing w:line="240" w:lineRule="auto"/>
              <w:ind w:firstLine="0"/>
              <w:jc w:val="right"/>
              <w:rPr>
                <w:rFonts w:eastAsia="Times New Roman"/>
                <w:color w:val="000000"/>
              </w:rPr>
            </w:pPr>
            <w:r>
              <w:rPr>
                <w:color w:val="000000"/>
              </w:rPr>
              <w:t>-294</w:t>
            </w:r>
          </w:p>
        </w:tc>
        <w:tc>
          <w:tcPr>
            <w:tcW w:w="2113" w:type="dxa"/>
            <w:noWrap/>
            <w:vAlign w:val="bottom"/>
            <w:hideMark/>
          </w:tcPr>
          <w:p w14:paraId="53654780" w14:textId="28C03E9F" w:rsidR="00F736B6" w:rsidRPr="008D1F6E" w:rsidRDefault="00F736B6" w:rsidP="00F736B6">
            <w:pPr>
              <w:spacing w:line="240" w:lineRule="auto"/>
              <w:ind w:firstLine="0"/>
              <w:jc w:val="right"/>
              <w:rPr>
                <w:rFonts w:eastAsia="Times New Roman"/>
                <w:color w:val="000000"/>
              </w:rPr>
            </w:pPr>
            <w:r>
              <w:rPr>
                <w:color w:val="000000"/>
              </w:rPr>
              <w:t>-347</w:t>
            </w:r>
          </w:p>
        </w:tc>
      </w:tr>
      <w:tr w:rsidR="00F736B6" w:rsidRPr="008D1F6E" w14:paraId="658350CC" w14:textId="77777777" w:rsidTr="00BE675A">
        <w:trPr>
          <w:trHeight w:val="345"/>
        </w:trPr>
        <w:tc>
          <w:tcPr>
            <w:tcW w:w="3296" w:type="dxa"/>
            <w:noWrap/>
            <w:hideMark/>
          </w:tcPr>
          <w:p w14:paraId="6F248A8D" w14:textId="46B1DCB9" w:rsidR="00F736B6" w:rsidRPr="008D1F6E" w:rsidRDefault="00F736B6" w:rsidP="00F736B6">
            <w:pPr>
              <w:spacing w:line="240" w:lineRule="auto"/>
              <w:ind w:firstLine="0"/>
              <w:rPr>
                <w:rFonts w:eastAsia="Times New Roman"/>
                <w:b/>
                <w:bCs/>
                <w:color w:val="000000"/>
                <w:sz w:val="22"/>
                <w:szCs w:val="22"/>
              </w:rPr>
            </w:pPr>
            <w:r w:rsidRPr="008D1F6E">
              <w:rPr>
                <w:rFonts w:eastAsia="Times New Roman"/>
                <w:b/>
                <w:bCs/>
                <w:color w:val="000000"/>
                <w:sz w:val="22"/>
                <w:szCs w:val="22"/>
              </w:rPr>
              <w:t>Cumulative GHG emissions 2022-2030 (B Mg CO</w:t>
            </w:r>
            <w:r w:rsidRPr="008D1F6E">
              <w:rPr>
                <w:rFonts w:eastAsia="Times New Roman"/>
                <w:b/>
                <w:bCs/>
                <w:color w:val="000000"/>
                <w:sz w:val="22"/>
                <w:szCs w:val="22"/>
                <w:vertAlign w:val="subscript"/>
              </w:rPr>
              <w:t>2</w:t>
            </w:r>
            <w:r w:rsidRPr="008D1F6E">
              <w:rPr>
                <w:rFonts w:eastAsia="Times New Roman"/>
                <w:b/>
                <w:bCs/>
                <w:color w:val="000000"/>
                <w:sz w:val="22"/>
                <w:szCs w:val="22"/>
              </w:rPr>
              <w:t>) (</w:t>
            </w:r>
            <w:r>
              <w:rPr>
                <w:rFonts w:eastAsia="Times New Roman"/>
                <w:b/>
                <w:bCs/>
                <w:color w:val="000000"/>
                <w:sz w:val="22"/>
                <w:szCs w:val="22"/>
              </w:rPr>
              <w:t>f</w:t>
            </w:r>
            <w:r w:rsidRPr="008D1F6E">
              <w:rPr>
                <w:rFonts w:eastAsia="Times New Roman"/>
                <w:b/>
                <w:bCs/>
                <w:color w:val="000000"/>
                <w:sz w:val="22"/>
                <w:szCs w:val="22"/>
              </w:rPr>
              <w:t>)</w:t>
            </w:r>
          </w:p>
        </w:tc>
        <w:tc>
          <w:tcPr>
            <w:tcW w:w="987" w:type="dxa"/>
            <w:noWrap/>
            <w:vAlign w:val="bottom"/>
            <w:hideMark/>
          </w:tcPr>
          <w:p w14:paraId="67E43E54"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35</w:t>
            </w:r>
          </w:p>
        </w:tc>
        <w:tc>
          <w:tcPr>
            <w:tcW w:w="1681" w:type="dxa"/>
            <w:noWrap/>
            <w:vAlign w:val="bottom"/>
            <w:hideMark/>
          </w:tcPr>
          <w:p w14:paraId="3A380724" w14:textId="157FC7C7" w:rsidR="00F736B6" w:rsidRPr="008D1F6E" w:rsidRDefault="00F736B6" w:rsidP="00F736B6">
            <w:pPr>
              <w:spacing w:line="240" w:lineRule="auto"/>
              <w:ind w:firstLine="0"/>
              <w:jc w:val="right"/>
              <w:rPr>
                <w:rFonts w:eastAsia="Times New Roman"/>
                <w:color w:val="000000"/>
              </w:rPr>
            </w:pPr>
            <w:r>
              <w:rPr>
                <w:color w:val="000000"/>
              </w:rPr>
              <w:t>-0.22</w:t>
            </w:r>
          </w:p>
        </w:tc>
        <w:tc>
          <w:tcPr>
            <w:tcW w:w="1635" w:type="dxa"/>
            <w:noWrap/>
            <w:vAlign w:val="bottom"/>
            <w:hideMark/>
          </w:tcPr>
          <w:p w14:paraId="1276B5C4" w14:textId="7CBDC306" w:rsidR="00F736B6" w:rsidRPr="008D1F6E" w:rsidRDefault="00F736B6" w:rsidP="00F736B6">
            <w:pPr>
              <w:spacing w:line="240" w:lineRule="auto"/>
              <w:ind w:firstLine="0"/>
              <w:jc w:val="right"/>
              <w:rPr>
                <w:rFonts w:eastAsia="Times New Roman"/>
                <w:color w:val="000000"/>
              </w:rPr>
            </w:pPr>
            <w:r>
              <w:rPr>
                <w:color w:val="000000"/>
              </w:rPr>
              <w:t>-0.82</w:t>
            </w:r>
          </w:p>
        </w:tc>
        <w:tc>
          <w:tcPr>
            <w:tcW w:w="2113" w:type="dxa"/>
            <w:noWrap/>
            <w:vAlign w:val="bottom"/>
            <w:hideMark/>
          </w:tcPr>
          <w:p w14:paraId="6F27D0D4" w14:textId="05BCF04D" w:rsidR="00F736B6" w:rsidRPr="008D1F6E" w:rsidRDefault="00F736B6" w:rsidP="00F736B6">
            <w:pPr>
              <w:spacing w:line="240" w:lineRule="auto"/>
              <w:ind w:firstLine="0"/>
              <w:jc w:val="right"/>
              <w:rPr>
                <w:rFonts w:eastAsia="Times New Roman"/>
                <w:color w:val="000000"/>
              </w:rPr>
            </w:pPr>
            <w:r>
              <w:rPr>
                <w:color w:val="000000"/>
              </w:rPr>
              <w:t>-0.98</w:t>
            </w:r>
          </w:p>
        </w:tc>
      </w:tr>
      <w:tr w:rsidR="00F736B6" w:rsidRPr="008D1F6E" w14:paraId="59CC3201" w14:textId="77777777" w:rsidTr="00BE675A">
        <w:trPr>
          <w:trHeight w:val="315"/>
        </w:trPr>
        <w:tc>
          <w:tcPr>
            <w:tcW w:w="3296" w:type="dxa"/>
            <w:noWrap/>
            <w:hideMark/>
          </w:tcPr>
          <w:p w14:paraId="79BF7EA5"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 xml:space="preserve">% Change in Cumulative GHG Emissions Relative to </w:t>
            </w:r>
            <w:r w:rsidRPr="008D1F6E">
              <w:rPr>
                <w:rFonts w:eastAsia="Times New Roman"/>
                <w:i/>
                <w:iCs/>
                <w:color w:val="000000"/>
                <w:sz w:val="22"/>
                <w:szCs w:val="22"/>
              </w:rPr>
              <w:t>Baseline</w:t>
            </w:r>
            <w:r w:rsidRPr="008D1F6E">
              <w:rPr>
                <w:rFonts w:eastAsia="Times New Roman"/>
                <w:color w:val="000000"/>
                <w:sz w:val="22"/>
                <w:szCs w:val="22"/>
              </w:rPr>
              <w:t xml:space="preserve"> </w:t>
            </w:r>
          </w:p>
        </w:tc>
        <w:tc>
          <w:tcPr>
            <w:tcW w:w="987" w:type="dxa"/>
            <w:noWrap/>
            <w:vAlign w:val="bottom"/>
            <w:hideMark/>
          </w:tcPr>
          <w:p w14:paraId="426A664B" w14:textId="77777777" w:rsidR="00F736B6" w:rsidRPr="008D1F6E" w:rsidRDefault="00F736B6" w:rsidP="00F736B6">
            <w:pPr>
              <w:spacing w:line="240" w:lineRule="auto"/>
              <w:ind w:firstLine="0"/>
              <w:jc w:val="right"/>
              <w:rPr>
                <w:rFonts w:eastAsia="Times New Roman"/>
                <w:color w:val="000000"/>
                <w:sz w:val="22"/>
                <w:szCs w:val="22"/>
              </w:rPr>
            </w:pPr>
          </w:p>
        </w:tc>
        <w:tc>
          <w:tcPr>
            <w:tcW w:w="1681" w:type="dxa"/>
            <w:noWrap/>
            <w:vAlign w:val="bottom"/>
            <w:hideMark/>
          </w:tcPr>
          <w:p w14:paraId="06E329E2" w14:textId="1B267F15" w:rsidR="00F736B6" w:rsidRPr="008D1F6E" w:rsidRDefault="00F736B6" w:rsidP="00F736B6">
            <w:pPr>
              <w:spacing w:line="240" w:lineRule="auto"/>
              <w:ind w:firstLine="0"/>
              <w:jc w:val="right"/>
              <w:rPr>
                <w:rFonts w:eastAsia="Times New Roman"/>
                <w:color w:val="000000"/>
              </w:rPr>
            </w:pPr>
            <w:r>
              <w:rPr>
                <w:color w:val="000000"/>
              </w:rPr>
              <w:t>-1%</w:t>
            </w:r>
          </w:p>
        </w:tc>
        <w:tc>
          <w:tcPr>
            <w:tcW w:w="1635" w:type="dxa"/>
            <w:noWrap/>
            <w:vAlign w:val="bottom"/>
            <w:hideMark/>
          </w:tcPr>
          <w:p w14:paraId="53CA8663" w14:textId="473F1267" w:rsidR="00F736B6" w:rsidRPr="008D1F6E" w:rsidRDefault="00F736B6" w:rsidP="00F736B6">
            <w:pPr>
              <w:spacing w:line="240" w:lineRule="auto"/>
              <w:ind w:firstLine="0"/>
              <w:jc w:val="right"/>
              <w:rPr>
                <w:rFonts w:eastAsia="Times New Roman"/>
                <w:color w:val="000000"/>
              </w:rPr>
            </w:pPr>
            <w:r>
              <w:rPr>
                <w:color w:val="000000"/>
              </w:rPr>
              <w:t>-2%</w:t>
            </w:r>
          </w:p>
        </w:tc>
        <w:tc>
          <w:tcPr>
            <w:tcW w:w="2113" w:type="dxa"/>
            <w:noWrap/>
            <w:vAlign w:val="bottom"/>
            <w:hideMark/>
          </w:tcPr>
          <w:p w14:paraId="1B926227" w14:textId="184FA224" w:rsidR="00F736B6" w:rsidRPr="008D1F6E" w:rsidRDefault="00F736B6" w:rsidP="00F736B6">
            <w:pPr>
              <w:spacing w:line="240" w:lineRule="auto"/>
              <w:ind w:firstLine="0"/>
              <w:jc w:val="right"/>
              <w:rPr>
                <w:rFonts w:eastAsia="Times New Roman"/>
                <w:color w:val="000000"/>
              </w:rPr>
            </w:pPr>
            <w:r>
              <w:rPr>
                <w:color w:val="000000"/>
              </w:rPr>
              <w:t>-3%</w:t>
            </w:r>
          </w:p>
        </w:tc>
      </w:tr>
      <w:tr w:rsidR="00F736B6" w:rsidRPr="008D1F6E" w14:paraId="1CBAE89C" w14:textId="77777777" w:rsidTr="00BE675A">
        <w:trPr>
          <w:trHeight w:val="330"/>
        </w:trPr>
        <w:tc>
          <w:tcPr>
            <w:tcW w:w="3296" w:type="dxa"/>
            <w:noWrap/>
            <w:hideMark/>
          </w:tcPr>
          <w:p w14:paraId="09A74747"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Transportation (B Mg CO</w:t>
            </w:r>
            <w:r w:rsidRPr="008D1F6E">
              <w:rPr>
                <w:rFonts w:eastAsia="Times New Roman"/>
                <w:color w:val="000000"/>
                <w:sz w:val="22"/>
                <w:szCs w:val="22"/>
                <w:vertAlign w:val="subscript"/>
              </w:rPr>
              <w:t>2</w:t>
            </w:r>
            <w:r w:rsidRPr="008D1F6E">
              <w:rPr>
                <w:rFonts w:eastAsia="Times New Roman"/>
                <w:color w:val="000000"/>
                <w:sz w:val="22"/>
                <w:szCs w:val="22"/>
              </w:rPr>
              <w:t>)</w:t>
            </w:r>
          </w:p>
        </w:tc>
        <w:tc>
          <w:tcPr>
            <w:tcW w:w="987" w:type="dxa"/>
            <w:noWrap/>
            <w:vAlign w:val="bottom"/>
            <w:hideMark/>
          </w:tcPr>
          <w:p w14:paraId="71662C62"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18.2</w:t>
            </w:r>
          </w:p>
        </w:tc>
        <w:tc>
          <w:tcPr>
            <w:tcW w:w="1681" w:type="dxa"/>
            <w:noWrap/>
            <w:vAlign w:val="bottom"/>
            <w:hideMark/>
          </w:tcPr>
          <w:p w14:paraId="77C19147" w14:textId="5F342574" w:rsidR="00F736B6" w:rsidRPr="008D1F6E" w:rsidRDefault="00F736B6" w:rsidP="00F736B6">
            <w:pPr>
              <w:spacing w:line="240" w:lineRule="auto"/>
              <w:ind w:firstLine="0"/>
              <w:jc w:val="right"/>
              <w:rPr>
                <w:rFonts w:eastAsia="Times New Roman"/>
                <w:color w:val="000000"/>
              </w:rPr>
            </w:pPr>
            <w:r>
              <w:rPr>
                <w:color w:val="000000"/>
              </w:rPr>
              <w:t>-1%</w:t>
            </w:r>
          </w:p>
        </w:tc>
        <w:tc>
          <w:tcPr>
            <w:tcW w:w="1635" w:type="dxa"/>
            <w:noWrap/>
            <w:vAlign w:val="bottom"/>
            <w:hideMark/>
          </w:tcPr>
          <w:p w14:paraId="57EF3D5D" w14:textId="50E094ED" w:rsidR="00F736B6" w:rsidRPr="008D1F6E" w:rsidRDefault="00F736B6" w:rsidP="00F736B6">
            <w:pPr>
              <w:spacing w:line="240" w:lineRule="auto"/>
              <w:ind w:firstLine="0"/>
              <w:jc w:val="right"/>
              <w:rPr>
                <w:rFonts w:eastAsia="Times New Roman"/>
                <w:color w:val="000000"/>
              </w:rPr>
            </w:pPr>
            <w:r>
              <w:rPr>
                <w:color w:val="000000"/>
              </w:rPr>
              <w:t>-6%</w:t>
            </w:r>
          </w:p>
        </w:tc>
        <w:tc>
          <w:tcPr>
            <w:tcW w:w="2113" w:type="dxa"/>
            <w:noWrap/>
            <w:vAlign w:val="bottom"/>
            <w:hideMark/>
          </w:tcPr>
          <w:p w14:paraId="1011FA45" w14:textId="644838ED" w:rsidR="00F736B6" w:rsidRPr="008D1F6E" w:rsidRDefault="00F736B6" w:rsidP="00F736B6">
            <w:pPr>
              <w:spacing w:line="240" w:lineRule="auto"/>
              <w:ind w:firstLine="0"/>
              <w:jc w:val="right"/>
              <w:rPr>
                <w:rFonts w:eastAsia="Times New Roman"/>
                <w:color w:val="000000"/>
              </w:rPr>
            </w:pPr>
            <w:r>
              <w:rPr>
                <w:color w:val="000000"/>
              </w:rPr>
              <w:t>-7%</w:t>
            </w:r>
          </w:p>
        </w:tc>
      </w:tr>
      <w:tr w:rsidR="00F736B6" w:rsidRPr="008D1F6E" w14:paraId="7BCDC493" w14:textId="77777777" w:rsidTr="00BE675A">
        <w:trPr>
          <w:trHeight w:val="330"/>
        </w:trPr>
        <w:tc>
          <w:tcPr>
            <w:tcW w:w="3296" w:type="dxa"/>
            <w:noWrap/>
            <w:hideMark/>
          </w:tcPr>
          <w:p w14:paraId="497A5D59" w14:textId="77777777" w:rsidR="00F736B6" w:rsidRPr="008D1F6E" w:rsidRDefault="00F736B6" w:rsidP="00F736B6">
            <w:pPr>
              <w:spacing w:line="240" w:lineRule="auto"/>
              <w:ind w:firstLine="0"/>
              <w:rPr>
                <w:rFonts w:eastAsia="Times New Roman"/>
                <w:color w:val="000000"/>
                <w:sz w:val="22"/>
                <w:szCs w:val="22"/>
              </w:rPr>
            </w:pPr>
            <w:r w:rsidRPr="008D1F6E">
              <w:rPr>
                <w:rFonts w:eastAsia="Times New Roman"/>
                <w:color w:val="000000"/>
                <w:sz w:val="22"/>
                <w:szCs w:val="22"/>
              </w:rPr>
              <w:t>Electricity (B Mg CO</w:t>
            </w:r>
            <w:r w:rsidRPr="008D1F6E">
              <w:rPr>
                <w:rFonts w:eastAsia="Times New Roman"/>
                <w:color w:val="000000"/>
                <w:sz w:val="22"/>
                <w:szCs w:val="22"/>
                <w:vertAlign w:val="subscript"/>
              </w:rPr>
              <w:t>2</w:t>
            </w:r>
            <w:r w:rsidRPr="008D1F6E">
              <w:rPr>
                <w:rFonts w:eastAsia="Times New Roman"/>
                <w:color w:val="000000"/>
                <w:sz w:val="22"/>
                <w:szCs w:val="22"/>
              </w:rPr>
              <w:t>)</w:t>
            </w:r>
          </w:p>
        </w:tc>
        <w:tc>
          <w:tcPr>
            <w:tcW w:w="987" w:type="dxa"/>
            <w:noWrap/>
            <w:vAlign w:val="bottom"/>
            <w:hideMark/>
          </w:tcPr>
          <w:p w14:paraId="765BED68"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16.7</w:t>
            </w:r>
          </w:p>
        </w:tc>
        <w:tc>
          <w:tcPr>
            <w:tcW w:w="1681" w:type="dxa"/>
            <w:noWrap/>
            <w:vAlign w:val="bottom"/>
            <w:hideMark/>
          </w:tcPr>
          <w:p w14:paraId="3FAF92F6" w14:textId="0106B992" w:rsidR="00F736B6" w:rsidRPr="008D1F6E" w:rsidRDefault="00F736B6" w:rsidP="00F736B6">
            <w:pPr>
              <w:spacing w:line="240" w:lineRule="auto"/>
              <w:ind w:firstLine="0"/>
              <w:jc w:val="right"/>
              <w:rPr>
                <w:rFonts w:eastAsia="Times New Roman"/>
                <w:color w:val="000000"/>
              </w:rPr>
            </w:pPr>
            <w:r>
              <w:rPr>
                <w:color w:val="000000"/>
              </w:rPr>
              <w:t>0.3%</w:t>
            </w:r>
          </w:p>
        </w:tc>
        <w:tc>
          <w:tcPr>
            <w:tcW w:w="1635" w:type="dxa"/>
            <w:noWrap/>
            <w:vAlign w:val="bottom"/>
            <w:hideMark/>
          </w:tcPr>
          <w:p w14:paraId="4DA5BBA9" w14:textId="615FC2D6" w:rsidR="00F736B6" w:rsidRPr="008D1F6E" w:rsidRDefault="00F736B6" w:rsidP="00F736B6">
            <w:pPr>
              <w:spacing w:line="240" w:lineRule="auto"/>
              <w:ind w:firstLine="0"/>
              <w:jc w:val="right"/>
              <w:rPr>
                <w:rFonts w:eastAsia="Times New Roman"/>
                <w:color w:val="000000"/>
              </w:rPr>
            </w:pPr>
            <w:r>
              <w:rPr>
                <w:color w:val="000000"/>
              </w:rPr>
              <w:t>1.1%</w:t>
            </w:r>
          </w:p>
        </w:tc>
        <w:tc>
          <w:tcPr>
            <w:tcW w:w="2113" w:type="dxa"/>
            <w:noWrap/>
            <w:vAlign w:val="bottom"/>
            <w:hideMark/>
          </w:tcPr>
          <w:p w14:paraId="6A1D297E" w14:textId="0BDC3E7E" w:rsidR="00F736B6" w:rsidRPr="008D1F6E" w:rsidRDefault="00F736B6" w:rsidP="00F736B6">
            <w:pPr>
              <w:spacing w:line="240" w:lineRule="auto"/>
              <w:ind w:firstLine="0"/>
              <w:jc w:val="right"/>
              <w:rPr>
                <w:rFonts w:eastAsia="Times New Roman"/>
                <w:color w:val="000000"/>
              </w:rPr>
            </w:pPr>
            <w:r>
              <w:rPr>
                <w:color w:val="000000"/>
              </w:rPr>
              <w:t>1.4%</w:t>
            </w:r>
          </w:p>
        </w:tc>
      </w:tr>
      <w:tr w:rsidR="00F736B6" w:rsidRPr="008D1F6E" w14:paraId="37224075" w14:textId="77777777" w:rsidTr="00BE675A">
        <w:trPr>
          <w:trHeight w:val="345"/>
        </w:trPr>
        <w:tc>
          <w:tcPr>
            <w:tcW w:w="3296" w:type="dxa"/>
            <w:noWrap/>
            <w:hideMark/>
          </w:tcPr>
          <w:p w14:paraId="1FFB3AA2" w14:textId="77777777" w:rsidR="00F736B6" w:rsidRPr="008D1F6E" w:rsidRDefault="00F736B6" w:rsidP="00F736B6">
            <w:pPr>
              <w:spacing w:line="240" w:lineRule="auto"/>
              <w:ind w:firstLine="0"/>
              <w:rPr>
                <w:rFonts w:eastAsia="Times New Roman"/>
                <w:b/>
                <w:bCs/>
                <w:color w:val="000000"/>
                <w:sz w:val="22"/>
                <w:szCs w:val="22"/>
              </w:rPr>
            </w:pPr>
            <w:r w:rsidRPr="008D1F6E">
              <w:rPr>
                <w:rFonts w:eastAsia="Times New Roman"/>
                <w:b/>
                <w:bCs/>
                <w:color w:val="000000"/>
                <w:sz w:val="22"/>
                <w:szCs w:val="22"/>
              </w:rPr>
              <w:t>GHG Emissions from Transportation and Electricity in 2030 (B Mg CO</w:t>
            </w:r>
            <w:r w:rsidRPr="008D1F6E">
              <w:rPr>
                <w:rFonts w:eastAsia="Times New Roman"/>
                <w:b/>
                <w:bCs/>
                <w:color w:val="000000"/>
                <w:sz w:val="22"/>
                <w:szCs w:val="22"/>
                <w:vertAlign w:val="subscript"/>
              </w:rPr>
              <w:t>2</w:t>
            </w:r>
            <w:r w:rsidRPr="008D1F6E">
              <w:rPr>
                <w:rFonts w:eastAsia="Times New Roman"/>
                <w:b/>
                <w:bCs/>
                <w:color w:val="000000"/>
                <w:sz w:val="22"/>
                <w:szCs w:val="22"/>
              </w:rPr>
              <w:t>)</w:t>
            </w:r>
          </w:p>
        </w:tc>
        <w:tc>
          <w:tcPr>
            <w:tcW w:w="987" w:type="dxa"/>
            <w:noWrap/>
            <w:vAlign w:val="bottom"/>
            <w:hideMark/>
          </w:tcPr>
          <w:p w14:paraId="04051CD1" w14:textId="33D44DEE" w:rsidR="00F736B6" w:rsidRPr="008D1F6E" w:rsidRDefault="00F736B6" w:rsidP="00F736B6">
            <w:pPr>
              <w:spacing w:line="240" w:lineRule="auto"/>
              <w:ind w:firstLine="0"/>
              <w:jc w:val="right"/>
              <w:rPr>
                <w:rFonts w:eastAsia="Times New Roman"/>
                <w:color w:val="000000"/>
              </w:rPr>
            </w:pPr>
            <w:r>
              <w:rPr>
                <w:color w:val="000000"/>
              </w:rPr>
              <w:t>3.64</w:t>
            </w:r>
          </w:p>
        </w:tc>
        <w:tc>
          <w:tcPr>
            <w:tcW w:w="1681" w:type="dxa"/>
            <w:noWrap/>
            <w:vAlign w:val="bottom"/>
            <w:hideMark/>
          </w:tcPr>
          <w:p w14:paraId="532F27BC" w14:textId="502F85A1" w:rsidR="00F736B6" w:rsidRPr="008D1F6E" w:rsidRDefault="00F736B6" w:rsidP="00F736B6">
            <w:pPr>
              <w:spacing w:line="240" w:lineRule="auto"/>
              <w:ind w:firstLine="0"/>
              <w:jc w:val="right"/>
              <w:rPr>
                <w:rFonts w:eastAsia="Times New Roman"/>
                <w:color w:val="000000"/>
              </w:rPr>
            </w:pPr>
            <w:r>
              <w:rPr>
                <w:color w:val="000000"/>
              </w:rPr>
              <w:t>-0.03</w:t>
            </w:r>
          </w:p>
        </w:tc>
        <w:tc>
          <w:tcPr>
            <w:tcW w:w="1635" w:type="dxa"/>
            <w:noWrap/>
            <w:vAlign w:val="bottom"/>
            <w:hideMark/>
          </w:tcPr>
          <w:p w14:paraId="53143EC6" w14:textId="3C4C8E5C" w:rsidR="00F736B6" w:rsidRPr="008D1F6E" w:rsidRDefault="00F736B6" w:rsidP="00F736B6">
            <w:pPr>
              <w:spacing w:line="240" w:lineRule="auto"/>
              <w:ind w:firstLine="0"/>
              <w:jc w:val="right"/>
              <w:rPr>
                <w:rFonts w:eastAsia="Times New Roman"/>
                <w:color w:val="000000"/>
              </w:rPr>
            </w:pPr>
            <w:r>
              <w:rPr>
                <w:color w:val="000000"/>
              </w:rPr>
              <w:t>-0.18</w:t>
            </w:r>
          </w:p>
        </w:tc>
        <w:tc>
          <w:tcPr>
            <w:tcW w:w="2113" w:type="dxa"/>
            <w:noWrap/>
            <w:vAlign w:val="bottom"/>
            <w:hideMark/>
          </w:tcPr>
          <w:p w14:paraId="4AB905D9" w14:textId="333E7B2C" w:rsidR="00F736B6" w:rsidRPr="008D1F6E" w:rsidRDefault="00F736B6" w:rsidP="00F736B6">
            <w:pPr>
              <w:spacing w:line="240" w:lineRule="auto"/>
              <w:ind w:firstLine="0"/>
              <w:jc w:val="right"/>
              <w:rPr>
                <w:rFonts w:eastAsia="Times New Roman"/>
                <w:color w:val="000000"/>
              </w:rPr>
            </w:pPr>
            <w:r>
              <w:rPr>
                <w:color w:val="000000"/>
              </w:rPr>
              <w:t>-0.21</w:t>
            </w:r>
          </w:p>
        </w:tc>
      </w:tr>
      <w:tr w:rsidR="00F736B6" w:rsidRPr="008D1F6E" w14:paraId="6F66F247" w14:textId="77777777" w:rsidTr="00BE675A">
        <w:trPr>
          <w:trHeight w:val="315"/>
        </w:trPr>
        <w:tc>
          <w:tcPr>
            <w:tcW w:w="3296" w:type="dxa"/>
            <w:noWrap/>
            <w:vAlign w:val="bottom"/>
            <w:hideMark/>
          </w:tcPr>
          <w:p w14:paraId="748899D0" w14:textId="1BCDF0DF" w:rsidR="00F736B6" w:rsidRPr="008D1F6E" w:rsidRDefault="00F736B6" w:rsidP="00F736B6">
            <w:pPr>
              <w:spacing w:line="240" w:lineRule="auto"/>
              <w:ind w:firstLine="0"/>
              <w:rPr>
                <w:rFonts w:eastAsia="Times New Roman"/>
                <w:color w:val="000000"/>
                <w:sz w:val="22"/>
                <w:szCs w:val="22"/>
              </w:rPr>
            </w:pPr>
            <w:r w:rsidRPr="00BE675A">
              <w:rPr>
                <w:rFonts w:eastAsia="Times New Roman"/>
                <w:color w:val="000000"/>
                <w:sz w:val="22"/>
                <w:szCs w:val="22"/>
              </w:rPr>
              <w:t>% Change in GHG Emissions from Transportation and Electricity in 2030</w:t>
            </w:r>
          </w:p>
        </w:tc>
        <w:tc>
          <w:tcPr>
            <w:tcW w:w="980" w:type="dxa"/>
            <w:vAlign w:val="bottom"/>
          </w:tcPr>
          <w:p w14:paraId="380F8E30" w14:textId="0766243B" w:rsidR="00F736B6" w:rsidRPr="008D1F6E" w:rsidRDefault="00F736B6" w:rsidP="00F736B6">
            <w:pPr>
              <w:spacing w:line="240" w:lineRule="auto"/>
              <w:ind w:firstLine="0"/>
              <w:rPr>
                <w:rFonts w:eastAsia="Times New Roman"/>
                <w:color w:val="000000"/>
                <w:sz w:val="22"/>
                <w:szCs w:val="22"/>
              </w:rPr>
            </w:pPr>
          </w:p>
        </w:tc>
        <w:tc>
          <w:tcPr>
            <w:tcW w:w="1681" w:type="dxa"/>
            <w:noWrap/>
            <w:vAlign w:val="bottom"/>
            <w:hideMark/>
          </w:tcPr>
          <w:p w14:paraId="47CE9E6E" w14:textId="75EB8FCE" w:rsidR="00F736B6" w:rsidRPr="008D1F6E" w:rsidRDefault="00F736B6" w:rsidP="00F736B6">
            <w:pPr>
              <w:spacing w:line="240" w:lineRule="auto"/>
              <w:ind w:firstLine="0"/>
              <w:jc w:val="right"/>
              <w:rPr>
                <w:rFonts w:eastAsia="Times New Roman"/>
                <w:color w:val="000000"/>
              </w:rPr>
            </w:pPr>
            <w:r>
              <w:rPr>
                <w:color w:val="000000"/>
              </w:rPr>
              <w:t>-1%</w:t>
            </w:r>
          </w:p>
        </w:tc>
        <w:tc>
          <w:tcPr>
            <w:tcW w:w="1635" w:type="dxa"/>
            <w:noWrap/>
            <w:vAlign w:val="bottom"/>
            <w:hideMark/>
          </w:tcPr>
          <w:p w14:paraId="5CA0B761" w14:textId="2A1AB85A" w:rsidR="00F736B6" w:rsidRPr="008D1F6E" w:rsidRDefault="00F736B6" w:rsidP="00F736B6">
            <w:pPr>
              <w:spacing w:line="240" w:lineRule="auto"/>
              <w:ind w:firstLine="0"/>
              <w:jc w:val="right"/>
              <w:rPr>
                <w:rFonts w:eastAsia="Times New Roman"/>
                <w:color w:val="000000"/>
              </w:rPr>
            </w:pPr>
            <w:r>
              <w:rPr>
                <w:color w:val="000000"/>
              </w:rPr>
              <w:t>-5%</w:t>
            </w:r>
          </w:p>
        </w:tc>
        <w:tc>
          <w:tcPr>
            <w:tcW w:w="2113" w:type="dxa"/>
            <w:noWrap/>
            <w:vAlign w:val="bottom"/>
            <w:hideMark/>
          </w:tcPr>
          <w:p w14:paraId="1CA7E0C7" w14:textId="68DF6244" w:rsidR="00F736B6" w:rsidRPr="008D1F6E" w:rsidRDefault="00F736B6" w:rsidP="00F736B6">
            <w:pPr>
              <w:spacing w:line="240" w:lineRule="auto"/>
              <w:ind w:firstLine="0"/>
              <w:jc w:val="right"/>
              <w:rPr>
                <w:rFonts w:eastAsia="Times New Roman"/>
                <w:color w:val="000000"/>
              </w:rPr>
            </w:pPr>
            <w:r>
              <w:rPr>
                <w:color w:val="000000"/>
              </w:rPr>
              <w:t>-6%</w:t>
            </w:r>
          </w:p>
        </w:tc>
      </w:tr>
      <w:tr w:rsidR="00F736B6" w:rsidRPr="008D1F6E" w14:paraId="5412B9A5" w14:textId="77777777" w:rsidTr="00BE675A">
        <w:trPr>
          <w:trHeight w:val="315"/>
        </w:trPr>
        <w:tc>
          <w:tcPr>
            <w:tcW w:w="3296" w:type="dxa"/>
            <w:noWrap/>
            <w:hideMark/>
          </w:tcPr>
          <w:p w14:paraId="5B6992A4" w14:textId="77777777" w:rsidR="00F736B6" w:rsidRPr="008D1F6E" w:rsidRDefault="00F736B6" w:rsidP="00F736B6">
            <w:pPr>
              <w:spacing w:line="240" w:lineRule="auto"/>
              <w:ind w:left="210" w:firstLineChars="4" w:firstLine="9"/>
              <w:rPr>
                <w:rFonts w:eastAsia="Times New Roman"/>
                <w:color w:val="000000"/>
                <w:sz w:val="22"/>
                <w:szCs w:val="22"/>
              </w:rPr>
            </w:pPr>
            <w:r w:rsidRPr="008D1F6E">
              <w:rPr>
                <w:rFonts w:eastAsia="Times New Roman"/>
                <w:color w:val="000000"/>
                <w:sz w:val="22"/>
                <w:szCs w:val="22"/>
              </w:rPr>
              <w:t>GHG Emissions from Transportation in 2030</w:t>
            </w:r>
          </w:p>
        </w:tc>
        <w:tc>
          <w:tcPr>
            <w:tcW w:w="987" w:type="dxa"/>
            <w:noWrap/>
            <w:vAlign w:val="bottom"/>
            <w:hideMark/>
          </w:tcPr>
          <w:p w14:paraId="7C2B795D"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1.89</w:t>
            </w:r>
          </w:p>
        </w:tc>
        <w:tc>
          <w:tcPr>
            <w:tcW w:w="1681" w:type="dxa"/>
            <w:noWrap/>
            <w:vAlign w:val="bottom"/>
            <w:hideMark/>
          </w:tcPr>
          <w:p w14:paraId="2ADBD22F" w14:textId="3FE80C97" w:rsidR="00F736B6" w:rsidRPr="00F736B6" w:rsidRDefault="00F736B6" w:rsidP="00F736B6">
            <w:pPr>
              <w:spacing w:line="240" w:lineRule="auto"/>
              <w:ind w:firstLine="0"/>
              <w:jc w:val="right"/>
              <w:rPr>
                <w:rFonts w:eastAsia="Times New Roman"/>
                <w:color w:val="000000"/>
              </w:rPr>
            </w:pPr>
            <w:r w:rsidRPr="00F736B6">
              <w:rPr>
                <w:color w:val="000000"/>
              </w:rPr>
              <w:t>-2%</w:t>
            </w:r>
          </w:p>
        </w:tc>
        <w:tc>
          <w:tcPr>
            <w:tcW w:w="1635" w:type="dxa"/>
            <w:noWrap/>
            <w:vAlign w:val="bottom"/>
            <w:hideMark/>
          </w:tcPr>
          <w:p w14:paraId="4E1B100B" w14:textId="2B87EF9B" w:rsidR="00F736B6" w:rsidRPr="008D1F6E" w:rsidRDefault="00F736B6" w:rsidP="00F736B6">
            <w:pPr>
              <w:spacing w:line="240" w:lineRule="auto"/>
              <w:ind w:firstLine="0"/>
              <w:jc w:val="right"/>
              <w:rPr>
                <w:rFonts w:eastAsia="Times New Roman"/>
                <w:color w:val="000000"/>
              </w:rPr>
            </w:pPr>
            <w:r>
              <w:rPr>
                <w:color w:val="000000"/>
              </w:rPr>
              <w:t>-12%</w:t>
            </w:r>
          </w:p>
        </w:tc>
        <w:tc>
          <w:tcPr>
            <w:tcW w:w="2113" w:type="dxa"/>
            <w:noWrap/>
            <w:vAlign w:val="bottom"/>
            <w:hideMark/>
          </w:tcPr>
          <w:p w14:paraId="7F434DF5" w14:textId="2C4ACEDE" w:rsidR="00F736B6" w:rsidRPr="008D1F6E" w:rsidRDefault="00F736B6" w:rsidP="00F736B6">
            <w:pPr>
              <w:spacing w:line="240" w:lineRule="auto"/>
              <w:ind w:firstLine="0"/>
              <w:jc w:val="right"/>
              <w:rPr>
                <w:rFonts w:eastAsia="Times New Roman"/>
                <w:color w:val="000000"/>
              </w:rPr>
            </w:pPr>
            <w:r>
              <w:rPr>
                <w:color w:val="000000"/>
              </w:rPr>
              <w:t>-14%</w:t>
            </w:r>
          </w:p>
        </w:tc>
      </w:tr>
      <w:tr w:rsidR="00F736B6" w:rsidRPr="008D1F6E" w14:paraId="233D8DAF" w14:textId="77777777" w:rsidTr="00BE675A">
        <w:trPr>
          <w:trHeight w:val="315"/>
        </w:trPr>
        <w:tc>
          <w:tcPr>
            <w:tcW w:w="3296" w:type="dxa"/>
            <w:noWrap/>
            <w:hideMark/>
          </w:tcPr>
          <w:p w14:paraId="6D68E2B4" w14:textId="77777777" w:rsidR="00F736B6" w:rsidRPr="008D1F6E" w:rsidRDefault="00F736B6" w:rsidP="00F736B6">
            <w:pPr>
              <w:spacing w:line="240" w:lineRule="auto"/>
              <w:ind w:left="192" w:firstLineChars="12" w:firstLine="26"/>
              <w:rPr>
                <w:rFonts w:eastAsia="Times New Roman"/>
                <w:color w:val="000000"/>
                <w:sz w:val="22"/>
                <w:szCs w:val="22"/>
              </w:rPr>
            </w:pPr>
            <w:r w:rsidRPr="008D1F6E">
              <w:rPr>
                <w:rFonts w:eastAsia="Times New Roman"/>
                <w:color w:val="000000"/>
                <w:sz w:val="22"/>
                <w:szCs w:val="22"/>
              </w:rPr>
              <w:t>GHG Emissions from Electricity in 2030</w:t>
            </w:r>
          </w:p>
        </w:tc>
        <w:tc>
          <w:tcPr>
            <w:tcW w:w="987" w:type="dxa"/>
            <w:noWrap/>
            <w:vAlign w:val="bottom"/>
            <w:hideMark/>
          </w:tcPr>
          <w:p w14:paraId="6BCE0594"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1.74</w:t>
            </w:r>
          </w:p>
        </w:tc>
        <w:tc>
          <w:tcPr>
            <w:tcW w:w="1681" w:type="dxa"/>
            <w:noWrap/>
            <w:vAlign w:val="bottom"/>
            <w:hideMark/>
          </w:tcPr>
          <w:p w14:paraId="59B8F813" w14:textId="022F7EBD" w:rsidR="00F736B6" w:rsidRPr="008D1F6E" w:rsidRDefault="00F736B6" w:rsidP="00F736B6">
            <w:pPr>
              <w:spacing w:line="240" w:lineRule="auto"/>
              <w:ind w:firstLine="0"/>
              <w:jc w:val="right"/>
              <w:rPr>
                <w:rFonts w:eastAsia="Times New Roman"/>
                <w:color w:val="000000"/>
              </w:rPr>
            </w:pPr>
            <w:r>
              <w:rPr>
                <w:color w:val="000000"/>
              </w:rPr>
              <w:t>0%</w:t>
            </w:r>
          </w:p>
        </w:tc>
        <w:tc>
          <w:tcPr>
            <w:tcW w:w="1635" w:type="dxa"/>
            <w:noWrap/>
            <w:vAlign w:val="bottom"/>
            <w:hideMark/>
          </w:tcPr>
          <w:p w14:paraId="2811CDBE" w14:textId="58A61277" w:rsidR="00F736B6" w:rsidRPr="008D1F6E" w:rsidRDefault="00F736B6" w:rsidP="00F736B6">
            <w:pPr>
              <w:spacing w:line="240" w:lineRule="auto"/>
              <w:ind w:firstLine="0"/>
              <w:jc w:val="right"/>
              <w:rPr>
                <w:rFonts w:eastAsia="Times New Roman"/>
                <w:color w:val="000000"/>
              </w:rPr>
            </w:pPr>
            <w:r>
              <w:rPr>
                <w:color w:val="000000"/>
              </w:rPr>
              <w:t>3%</w:t>
            </w:r>
          </w:p>
        </w:tc>
        <w:tc>
          <w:tcPr>
            <w:tcW w:w="2113" w:type="dxa"/>
            <w:noWrap/>
            <w:vAlign w:val="bottom"/>
            <w:hideMark/>
          </w:tcPr>
          <w:p w14:paraId="4E0EA786" w14:textId="2A864F0D" w:rsidR="00F736B6" w:rsidRPr="008D1F6E" w:rsidRDefault="00F736B6" w:rsidP="00F736B6">
            <w:pPr>
              <w:spacing w:line="240" w:lineRule="auto"/>
              <w:ind w:firstLine="0"/>
              <w:jc w:val="right"/>
              <w:rPr>
                <w:rFonts w:eastAsia="Times New Roman"/>
                <w:color w:val="000000"/>
              </w:rPr>
            </w:pPr>
            <w:r>
              <w:rPr>
                <w:color w:val="000000"/>
              </w:rPr>
              <w:t>3%</w:t>
            </w:r>
          </w:p>
        </w:tc>
      </w:tr>
      <w:tr w:rsidR="00F736B6" w:rsidRPr="008D1F6E" w14:paraId="70DD7DD4" w14:textId="77777777" w:rsidTr="00BE675A">
        <w:trPr>
          <w:trHeight w:val="315"/>
        </w:trPr>
        <w:tc>
          <w:tcPr>
            <w:tcW w:w="3296" w:type="dxa"/>
            <w:noWrap/>
            <w:hideMark/>
          </w:tcPr>
          <w:p w14:paraId="0899A113" w14:textId="77777777" w:rsidR="00F736B6" w:rsidRPr="00277F7B" w:rsidRDefault="00F736B6" w:rsidP="00F736B6">
            <w:pPr>
              <w:spacing w:line="240" w:lineRule="auto"/>
              <w:ind w:firstLine="0"/>
              <w:rPr>
                <w:rFonts w:eastAsia="Times New Roman"/>
                <w:b/>
                <w:bCs/>
                <w:color w:val="000000"/>
                <w:sz w:val="22"/>
                <w:szCs w:val="22"/>
              </w:rPr>
            </w:pPr>
            <w:r w:rsidRPr="00277F7B">
              <w:rPr>
                <w:rFonts w:eastAsia="Times New Roman"/>
                <w:b/>
                <w:bCs/>
                <w:color w:val="000000"/>
                <w:sz w:val="22"/>
                <w:szCs w:val="22"/>
              </w:rPr>
              <w:t xml:space="preserve">Taxpayer Cost of Abatement </w:t>
            </w:r>
          </w:p>
          <w:p w14:paraId="0B71296D" w14:textId="71BB9788" w:rsidR="00F736B6" w:rsidRPr="008D1F6E" w:rsidRDefault="00F736B6" w:rsidP="00F736B6">
            <w:pPr>
              <w:spacing w:line="240" w:lineRule="auto"/>
              <w:ind w:firstLine="0"/>
              <w:rPr>
                <w:rFonts w:eastAsia="Times New Roman"/>
                <w:b/>
                <w:bCs/>
                <w:color w:val="000000"/>
                <w:sz w:val="22"/>
                <w:szCs w:val="22"/>
              </w:rPr>
            </w:pPr>
            <w:r w:rsidRPr="00277F7B">
              <w:rPr>
                <w:rFonts w:eastAsia="Times New Roman"/>
                <w:b/>
                <w:bCs/>
                <w:color w:val="000000"/>
                <w:sz w:val="22"/>
                <w:szCs w:val="22"/>
              </w:rPr>
              <w:t>($ per Mg CO</w:t>
            </w:r>
            <w:r w:rsidRPr="00277F7B">
              <w:rPr>
                <w:rFonts w:eastAsia="Times New Roman"/>
                <w:b/>
                <w:bCs/>
                <w:color w:val="000000"/>
                <w:sz w:val="22"/>
                <w:szCs w:val="22"/>
                <w:vertAlign w:val="subscript"/>
              </w:rPr>
              <w:t>2</w:t>
            </w:r>
            <w:r w:rsidRPr="00277F7B">
              <w:rPr>
                <w:rFonts w:eastAsia="Times New Roman"/>
                <w:b/>
                <w:bCs/>
                <w:color w:val="000000"/>
                <w:sz w:val="22"/>
                <w:szCs w:val="22"/>
              </w:rPr>
              <w:t>-eq) (</w:t>
            </w:r>
            <w:r>
              <w:rPr>
                <w:rFonts w:eastAsia="Times New Roman"/>
                <w:b/>
                <w:bCs/>
                <w:color w:val="000000"/>
                <w:sz w:val="22"/>
                <w:szCs w:val="22"/>
              </w:rPr>
              <w:t>d</w:t>
            </w:r>
            <w:r w:rsidRPr="00277F7B">
              <w:rPr>
                <w:rFonts w:eastAsia="Times New Roman"/>
                <w:b/>
                <w:bCs/>
                <w:color w:val="000000"/>
                <w:sz w:val="22"/>
                <w:szCs w:val="22"/>
              </w:rPr>
              <w:t>/</w:t>
            </w:r>
            <w:r>
              <w:rPr>
                <w:rFonts w:eastAsia="Times New Roman"/>
                <w:b/>
                <w:bCs/>
                <w:color w:val="000000"/>
                <w:sz w:val="22"/>
                <w:szCs w:val="22"/>
              </w:rPr>
              <w:t>f</w:t>
            </w:r>
            <w:r w:rsidRPr="00277F7B">
              <w:rPr>
                <w:rFonts w:eastAsia="Times New Roman"/>
                <w:b/>
                <w:bCs/>
                <w:color w:val="000000"/>
                <w:sz w:val="22"/>
                <w:szCs w:val="22"/>
              </w:rPr>
              <w:t>)</w:t>
            </w:r>
          </w:p>
        </w:tc>
        <w:tc>
          <w:tcPr>
            <w:tcW w:w="987" w:type="dxa"/>
            <w:noWrap/>
            <w:vAlign w:val="bottom"/>
            <w:hideMark/>
          </w:tcPr>
          <w:p w14:paraId="0F4EEC94" w14:textId="77777777" w:rsidR="00F736B6" w:rsidRPr="008D1F6E" w:rsidRDefault="00F736B6" w:rsidP="00F736B6">
            <w:pPr>
              <w:spacing w:line="240" w:lineRule="auto"/>
              <w:ind w:firstLine="0"/>
              <w:jc w:val="right"/>
              <w:rPr>
                <w:rFonts w:eastAsia="Times New Roman"/>
                <w:b/>
                <w:bCs/>
                <w:color w:val="000000"/>
                <w:sz w:val="22"/>
                <w:szCs w:val="22"/>
              </w:rPr>
            </w:pPr>
          </w:p>
        </w:tc>
        <w:tc>
          <w:tcPr>
            <w:tcW w:w="1681" w:type="dxa"/>
            <w:noWrap/>
            <w:vAlign w:val="bottom"/>
            <w:hideMark/>
          </w:tcPr>
          <w:p w14:paraId="61D6A329" w14:textId="1E638B0E" w:rsidR="00F736B6" w:rsidRPr="008D1F6E" w:rsidRDefault="00F736B6" w:rsidP="00F736B6">
            <w:pPr>
              <w:spacing w:line="240" w:lineRule="auto"/>
              <w:ind w:firstLine="0"/>
              <w:jc w:val="right"/>
              <w:rPr>
                <w:rFonts w:eastAsia="Times New Roman"/>
                <w:color w:val="000000"/>
              </w:rPr>
            </w:pPr>
            <w:r>
              <w:rPr>
                <w:color w:val="000000"/>
              </w:rPr>
              <w:t>91</w:t>
            </w:r>
          </w:p>
        </w:tc>
        <w:tc>
          <w:tcPr>
            <w:tcW w:w="1635" w:type="dxa"/>
            <w:noWrap/>
            <w:vAlign w:val="bottom"/>
            <w:hideMark/>
          </w:tcPr>
          <w:p w14:paraId="023E3AFC" w14:textId="34A7F5E9" w:rsidR="00F736B6" w:rsidRPr="008D1F6E" w:rsidRDefault="00F736B6" w:rsidP="00F736B6">
            <w:pPr>
              <w:spacing w:line="240" w:lineRule="auto"/>
              <w:ind w:firstLine="0"/>
              <w:jc w:val="right"/>
              <w:rPr>
                <w:rFonts w:eastAsia="Times New Roman"/>
                <w:color w:val="000000"/>
              </w:rPr>
            </w:pPr>
            <w:r>
              <w:rPr>
                <w:color w:val="000000"/>
              </w:rPr>
              <w:t>329</w:t>
            </w:r>
          </w:p>
        </w:tc>
        <w:tc>
          <w:tcPr>
            <w:tcW w:w="2113" w:type="dxa"/>
            <w:noWrap/>
            <w:vAlign w:val="bottom"/>
            <w:hideMark/>
          </w:tcPr>
          <w:p w14:paraId="286975EB" w14:textId="34B0FEF6" w:rsidR="00F736B6" w:rsidRPr="008D1F6E" w:rsidRDefault="00F736B6" w:rsidP="00F736B6">
            <w:pPr>
              <w:spacing w:line="240" w:lineRule="auto"/>
              <w:ind w:firstLine="0"/>
              <w:jc w:val="right"/>
              <w:rPr>
                <w:rFonts w:eastAsia="Times New Roman"/>
                <w:color w:val="000000"/>
              </w:rPr>
            </w:pPr>
            <w:r>
              <w:rPr>
                <w:color w:val="000000"/>
              </w:rPr>
              <w:t>305</w:t>
            </w:r>
          </w:p>
        </w:tc>
      </w:tr>
      <w:tr w:rsidR="00F736B6" w:rsidRPr="008D1F6E" w14:paraId="4CD3695B" w14:textId="77777777" w:rsidTr="00BE675A">
        <w:trPr>
          <w:trHeight w:val="315"/>
        </w:trPr>
        <w:tc>
          <w:tcPr>
            <w:tcW w:w="3296" w:type="dxa"/>
            <w:noWrap/>
            <w:hideMark/>
          </w:tcPr>
          <w:p w14:paraId="4A206678" w14:textId="77777777" w:rsidR="00F736B6" w:rsidRPr="00277F7B" w:rsidRDefault="00F736B6" w:rsidP="00F736B6">
            <w:pPr>
              <w:spacing w:line="240" w:lineRule="auto"/>
              <w:ind w:firstLine="0"/>
              <w:rPr>
                <w:rFonts w:eastAsia="Times New Roman"/>
                <w:b/>
                <w:bCs/>
                <w:color w:val="000000"/>
                <w:sz w:val="22"/>
                <w:szCs w:val="22"/>
              </w:rPr>
            </w:pPr>
            <w:r w:rsidRPr="00277F7B">
              <w:rPr>
                <w:rFonts w:eastAsia="Times New Roman"/>
                <w:b/>
                <w:bCs/>
                <w:color w:val="000000"/>
                <w:sz w:val="22"/>
                <w:szCs w:val="22"/>
              </w:rPr>
              <w:t xml:space="preserve">Welfare Cost of Abatement </w:t>
            </w:r>
          </w:p>
          <w:p w14:paraId="7C312D77" w14:textId="11199C24" w:rsidR="00F736B6" w:rsidRPr="008D1F6E" w:rsidRDefault="00F736B6" w:rsidP="00F736B6">
            <w:pPr>
              <w:spacing w:line="240" w:lineRule="auto"/>
              <w:ind w:firstLine="0"/>
              <w:rPr>
                <w:rFonts w:eastAsia="Times New Roman"/>
                <w:b/>
                <w:bCs/>
                <w:color w:val="000000"/>
                <w:sz w:val="22"/>
                <w:szCs w:val="22"/>
              </w:rPr>
            </w:pPr>
            <w:r w:rsidRPr="00277F7B">
              <w:rPr>
                <w:rFonts w:eastAsia="Times New Roman"/>
                <w:b/>
                <w:bCs/>
                <w:color w:val="000000"/>
                <w:sz w:val="22"/>
                <w:szCs w:val="22"/>
              </w:rPr>
              <w:t>($ per Mg CO</w:t>
            </w:r>
            <w:r w:rsidRPr="00277F7B">
              <w:rPr>
                <w:rFonts w:eastAsia="Times New Roman"/>
                <w:b/>
                <w:bCs/>
                <w:color w:val="000000"/>
                <w:sz w:val="22"/>
                <w:szCs w:val="22"/>
                <w:vertAlign w:val="subscript"/>
              </w:rPr>
              <w:t>2</w:t>
            </w:r>
            <w:r w:rsidRPr="00277F7B">
              <w:rPr>
                <w:rFonts w:eastAsia="Times New Roman"/>
                <w:b/>
                <w:bCs/>
                <w:color w:val="000000"/>
                <w:sz w:val="22"/>
                <w:szCs w:val="22"/>
              </w:rPr>
              <w:t>-</w:t>
            </w:r>
            <w:proofErr w:type="gramStart"/>
            <w:r w:rsidRPr="00277F7B">
              <w:rPr>
                <w:rFonts w:eastAsia="Times New Roman"/>
                <w:b/>
                <w:bCs/>
                <w:color w:val="000000"/>
                <w:sz w:val="22"/>
                <w:szCs w:val="22"/>
              </w:rPr>
              <w:t>eq)  (</w:t>
            </w:r>
            <w:proofErr w:type="gramEnd"/>
            <w:r>
              <w:rPr>
                <w:rFonts w:eastAsia="Times New Roman"/>
                <w:b/>
                <w:bCs/>
                <w:color w:val="000000"/>
                <w:sz w:val="22"/>
                <w:szCs w:val="22"/>
              </w:rPr>
              <w:t>e</w:t>
            </w:r>
            <w:r w:rsidRPr="00277F7B">
              <w:rPr>
                <w:rFonts w:eastAsia="Times New Roman"/>
                <w:b/>
                <w:bCs/>
                <w:color w:val="000000"/>
                <w:sz w:val="22"/>
                <w:szCs w:val="22"/>
              </w:rPr>
              <w:t>/</w:t>
            </w:r>
            <w:r>
              <w:rPr>
                <w:rFonts w:eastAsia="Times New Roman"/>
                <w:b/>
                <w:bCs/>
                <w:color w:val="000000"/>
                <w:sz w:val="22"/>
                <w:szCs w:val="22"/>
              </w:rPr>
              <w:t>f</w:t>
            </w:r>
            <w:r w:rsidRPr="00277F7B">
              <w:rPr>
                <w:rFonts w:eastAsia="Times New Roman"/>
                <w:b/>
                <w:bCs/>
                <w:color w:val="000000"/>
                <w:sz w:val="22"/>
                <w:szCs w:val="22"/>
              </w:rPr>
              <w:t>)</w:t>
            </w:r>
          </w:p>
        </w:tc>
        <w:tc>
          <w:tcPr>
            <w:tcW w:w="987" w:type="dxa"/>
            <w:noWrap/>
            <w:vAlign w:val="bottom"/>
            <w:hideMark/>
          </w:tcPr>
          <w:p w14:paraId="05AA2D63" w14:textId="77777777" w:rsidR="00F736B6" w:rsidRPr="008D1F6E" w:rsidRDefault="00F736B6" w:rsidP="00F736B6">
            <w:pPr>
              <w:spacing w:line="240" w:lineRule="auto"/>
              <w:ind w:firstLine="0"/>
              <w:jc w:val="right"/>
              <w:rPr>
                <w:rFonts w:eastAsia="Times New Roman"/>
                <w:color w:val="000000"/>
              </w:rPr>
            </w:pPr>
            <w:r w:rsidRPr="008D1F6E">
              <w:rPr>
                <w:rFonts w:eastAsia="Times New Roman"/>
                <w:color w:val="000000"/>
              </w:rPr>
              <w:t> </w:t>
            </w:r>
          </w:p>
        </w:tc>
        <w:tc>
          <w:tcPr>
            <w:tcW w:w="1681" w:type="dxa"/>
            <w:noWrap/>
            <w:vAlign w:val="bottom"/>
            <w:hideMark/>
          </w:tcPr>
          <w:p w14:paraId="6C9BEBE1" w14:textId="69D16BAA" w:rsidR="00F736B6" w:rsidRPr="008D1F6E" w:rsidRDefault="00F736B6" w:rsidP="00F736B6">
            <w:pPr>
              <w:spacing w:line="240" w:lineRule="auto"/>
              <w:ind w:firstLine="0"/>
              <w:jc w:val="right"/>
              <w:rPr>
                <w:rFonts w:eastAsia="Times New Roman"/>
                <w:color w:val="000000"/>
              </w:rPr>
            </w:pPr>
            <w:r>
              <w:rPr>
                <w:color w:val="000000"/>
              </w:rPr>
              <w:t>319</w:t>
            </w:r>
          </w:p>
        </w:tc>
        <w:tc>
          <w:tcPr>
            <w:tcW w:w="1635" w:type="dxa"/>
            <w:noWrap/>
            <w:vAlign w:val="bottom"/>
            <w:hideMark/>
          </w:tcPr>
          <w:p w14:paraId="34B50A6E" w14:textId="3340360B" w:rsidR="00F736B6" w:rsidRPr="008D1F6E" w:rsidRDefault="00F736B6" w:rsidP="00F736B6">
            <w:pPr>
              <w:spacing w:line="240" w:lineRule="auto"/>
              <w:ind w:firstLine="0"/>
              <w:jc w:val="right"/>
              <w:rPr>
                <w:rFonts w:eastAsia="Times New Roman"/>
                <w:color w:val="000000"/>
              </w:rPr>
            </w:pPr>
            <w:r>
              <w:rPr>
                <w:color w:val="000000"/>
              </w:rPr>
              <w:t>359</w:t>
            </w:r>
          </w:p>
        </w:tc>
        <w:tc>
          <w:tcPr>
            <w:tcW w:w="2113" w:type="dxa"/>
            <w:noWrap/>
            <w:vAlign w:val="bottom"/>
            <w:hideMark/>
          </w:tcPr>
          <w:p w14:paraId="205DE2D3" w14:textId="0268D0E3" w:rsidR="00F736B6" w:rsidRPr="008D1F6E" w:rsidRDefault="00F736B6" w:rsidP="00F736B6">
            <w:pPr>
              <w:spacing w:line="240" w:lineRule="auto"/>
              <w:ind w:firstLine="0"/>
              <w:jc w:val="right"/>
              <w:rPr>
                <w:rFonts w:eastAsia="Times New Roman"/>
                <w:color w:val="000000"/>
              </w:rPr>
            </w:pPr>
            <w:r>
              <w:rPr>
                <w:color w:val="000000"/>
              </w:rPr>
              <w:t>352</w:t>
            </w:r>
          </w:p>
        </w:tc>
      </w:tr>
    </w:tbl>
    <w:p w14:paraId="50186E4D" w14:textId="50732A4B" w:rsidR="00E86FE1" w:rsidRPr="00B5669C" w:rsidRDefault="00E86FE1" w:rsidP="00E86FE1">
      <w:pPr>
        <w:spacing w:after="0" w:line="240" w:lineRule="auto"/>
        <w:ind w:left="450" w:hanging="18"/>
        <w:rPr>
          <w:b/>
          <w:bCs/>
          <w:lang w:eastAsia="en-US"/>
        </w:rPr>
      </w:pPr>
    </w:p>
    <w:p w14:paraId="5C12962F" w14:textId="77777777" w:rsidR="00E86FE1" w:rsidRDefault="00E86FE1" w:rsidP="003F7CE5">
      <w:pPr>
        <w:spacing w:after="0" w:line="240" w:lineRule="auto"/>
        <w:rPr>
          <w:lang w:eastAsia="en-US"/>
        </w:rPr>
      </w:pPr>
    </w:p>
    <w:p w14:paraId="2FA6EADE" w14:textId="4C86E438" w:rsidR="00B86AEB" w:rsidRDefault="00B86AEB">
      <w:pPr>
        <w:spacing w:line="259" w:lineRule="auto"/>
        <w:ind w:firstLine="0"/>
        <w:rPr>
          <w:lang w:eastAsia="en-US"/>
        </w:rPr>
      </w:pPr>
      <w:r>
        <w:rPr>
          <w:lang w:eastAsia="en-US"/>
        </w:rPr>
        <w:br w:type="page"/>
      </w:r>
    </w:p>
    <w:p w14:paraId="6DEE1D45" w14:textId="77777777" w:rsidR="003F7CE5" w:rsidRPr="00144194" w:rsidRDefault="003F7CE5" w:rsidP="003F7CE5">
      <w:pPr>
        <w:spacing w:after="0" w:line="240" w:lineRule="auto"/>
        <w:rPr>
          <w:lang w:eastAsia="en-US"/>
        </w:rPr>
      </w:pPr>
    </w:p>
    <w:p w14:paraId="7008C330" w14:textId="061436AA" w:rsidR="0077042D" w:rsidRDefault="00B07366" w:rsidP="007B6D75">
      <w:pPr>
        <w:pStyle w:val="Heading2"/>
      </w:pPr>
      <w:r>
        <w:t xml:space="preserve">Table </w:t>
      </w:r>
      <w:r w:rsidR="0077042D">
        <w:t>A.</w:t>
      </w:r>
      <w:r w:rsidR="002F02A2">
        <w:t>9</w:t>
      </w:r>
      <w:r w:rsidR="003B7447">
        <w:t xml:space="preserve"> </w:t>
      </w:r>
      <w:r w:rsidR="0077042D">
        <w:t>Notation</w:t>
      </w:r>
    </w:p>
    <w:tbl>
      <w:tblPr>
        <w:tblW w:w="9360" w:type="dxa"/>
        <w:tblLook w:val="04A0" w:firstRow="1" w:lastRow="0" w:firstColumn="1" w:lastColumn="0" w:noHBand="0" w:noVBand="1"/>
      </w:tblPr>
      <w:tblGrid>
        <w:gridCol w:w="1403"/>
        <w:gridCol w:w="1704"/>
        <w:gridCol w:w="6253"/>
      </w:tblGrid>
      <w:tr w:rsidR="00E40A8B" w:rsidRPr="00E40A8B" w14:paraId="1F4FC798" w14:textId="77777777" w:rsidTr="00806E67">
        <w:trPr>
          <w:trHeight w:val="300"/>
        </w:trPr>
        <w:tc>
          <w:tcPr>
            <w:tcW w:w="1403" w:type="dxa"/>
            <w:tcBorders>
              <w:top w:val="single" w:sz="4" w:space="0" w:color="auto"/>
              <w:left w:val="nil"/>
              <w:bottom w:val="single" w:sz="4" w:space="0" w:color="auto"/>
              <w:right w:val="nil"/>
            </w:tcBorders>
            <w:shd w:val="clear" w:color="auto" w:fill="auto"/>
            <w:noWrap/>
            <w:vAlign w:val="bottom"/>
            <w:hideMark/>
          </w:tcPr>
          <w:p w14:paraId="7A3E317D"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Notation</w:t>
            </w:r>
          </w:p>
        </w:tc>
        <w:tc>
          <w:tcPr>
            <w:tcW w:w="1704" w:type="dxa"/>
            <w:tcBorders>
              <w:top w:val="single" w:sz="4" w:space="0" w:color="auto"/>
              <w:left w:val="nil"/>
              <w:bottom w:val="single" w:sz="4" w:space="0" w:color="auto"/>
              <w:right w:val="nil"/>
            </w:tcBorders>
            <w:shd w:val="clear" w:color="auto" w:fill="auto"/>
            <w:noWrap/>
            <w:vAlign w:val="bottom"/>
            <w:hideMark/>
          </w:tcPr>
          <w:p w14:paraId="3EFD841E"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Unit</w:t>
            </w:r>
          </w:p>
        </w:tc>
        <w:tc>
          <w:tcPr>
            <w:tcW w:w="6253" w:type="dxa"/>
            <w:tcBorders>
              <w:top w:val="single" w:sz="4" w:space="0" w:color="auto"/>
              <w:left w:val="nil"/>
              <w:bottom w:val="single" w:sz="4" w:space="0" w:color="auto"/>
              <w:right w:val="nil"/>
            </w:tcBorders>
            <w:shd w:val="clear" w:color="auto" w:fill="auto"/>
            <w:noWrap/>
            <w:vAlign w:val="bottom"/>
            <w:hideMark/>
          </w:tcPr>
          <w:p w14:paraId="1EC2488B"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Description</w:t>
            </w:r>
          </w:p>
        </w:tc>
      </w:tr>
      <w:tr w:rsidR="00B9539D" w:rsidRPr="0077042D" w14:paraId="56AF2937" w14:textId="77777777" w:rsidTr="00806E67">
        <w:trPr>
          <w:trHeight w:val="300"/>
        </w:trPr>
        <w:tc>
          <w:tcPr>
            <w:tcW w:w="3107" w:type="dxa"/>
            <w:gridSpan w:val="2"/>
            <w:tcBorders>
              <w:top w:val="nil"/>
              <w:left w:val="nil"/>
              <w:bottom w:val="single" w:sz="4" w:space="0" w:color="auto"/>
              <w:right w:val="nil"/>
            </w:tcBorders>
            <w:shd w:val="clear" w:color="auto" w:fill="auto"/>
            <w:noWrap/>
            <w:vAlign w:val="bottom"/>
            <w:hideMark/>
          </w:tcPr>
          <w:p w14:paraId="1F01D7F0" w14:textId="520CCD86" w:rsidR="00B9539D" w:rsidRPr="00C53F8C" w:rsidRDefault="00B9539D" w:rsidP="006E22E7">
            <w:pPr>
              <w:spacing w:after="0" w:line="240" w:lineRule="auto"/>
              <w:ind w:firstLine="0"/>
              <w:rPr>
                <w:rFonts w:eastAsia="Times New Roman"/>
                <w:color w:val="000000"/>
              </w:rPr>
            </w:pPr>
            <w:r>
              <w:rPr>
                <w:rFonts w:eastAsia="Times New Roman"/>
                <w:color w:val="000000"/>
              </w:rPr>
              <w:t xml:space="preserve">Endogenous </w:t>
            </w:r>
            <w:r w:rsidRPr="00C53F8C">
              <w:rPr>
                <w:rFonts w:eastAsia="Times New Roman"/>
                <w:color w:val="000000"/>
              </w:rPr>
              <w:t>Variable</w:t>
            </w:r>
          </w:p>
        </w:tc>
        <w:tc>
          <w:tcPr>
            <w:tcW w:w="6253" w:type="dxa"/>
            <w:tcBorders>
              <w:top w:val="nil"/>
              <w:left w:val="nil"/>
              <w:bottom w:val="single" w:sz="4" w:space="0" w:color="auto"/>
              <w:right w:val="nil"/>
            </w:tcBorders>
            <w:shd w:val="clear" w:color="auto" w:fill="auto"/>
            <w:noWrap/>
            <w:vAlign w:val="bottom"/>
            <w:hideMark/>
          </w:tcPr>
          <w:p w14:paraId="24C5E356" w14:textId="77777777" w:rsidR="00B9539D" w:rsidRPr="00C53F8C" w:rsidRDefault="00B9539D" w:rsidP="00806E67">
            <w:pPr>
              <w:spacing w:after="0" w:line="240" w:lineRule="auto"/>
              <w:ind w:right="1070" w:firstLine="0"/>
              <w:rPr>
                <w:rFonts w:eastAsia="Times New Roman"/>
                <w:color w:val="000000"/>
              </w:rPr>
            </w:pPr>
            <w:r w:rsidRPr="00C53F8C">
              <w:rPr>
                <w:rFonts w:eastAsia="Times New Roman"/>
                <w:color w:val="000000"/>
              </w:rPr>
              <w:t> </w:t>
            </w:r>
          </w:p>
        </w:tc>
      </w:tr>
      <w:tr w:rsidR="0077042D" w:rsidRPr="0077042D" w14:paraId="27584A57" w14:textId="77777777" w:rsidTr="00806E67">
        <w:trPr>
          <w:trHeight w:val="300"/>
        </w:trPr>
        <w:tc>
          <w:tcPr>
            <w:tcW w:w="1403" w:type="dxa"/>
            <w:tcBorders>
              <w:top w:val="nil"/>
              <w:left w:val="nil"/>
              <w:bottom w:val="nil"/>
              <w:right w:val="nil"/>
            </w:tcBorders>
            <w:shd w:val="clear" w:color="auto" w:fill="auto"/>
            <w:noWrap/>
            <w:vAlign w:val="bottom"/>
            <w:hideMark/>
          </w:tcPr>
          <w:p w14:paraId="18CD0E0E" w14:textId="77777777" w:rsidR="0077042D" w:rsidRPr="0099742A" w:rsidRDefault="0077042D" w:rsidP="006E22E7">
            <w:pPr>
              <w:spacing w:after="0" w:line="240" w:lineRule="auto"/>
              <w:ind w:firstLine="0"/>
              <w:rPr>
                <w:rFonts w:eastAsia="Times New Roman"/>
                <w:i/>
                <w:iCs/>
                <w:color w:val="000000"/>
              </w:rPr>
            </w:pPr>
            <w:r w:rsidRPr="0099742A">
              <w:rPr>
                <w:rFonts w:eastAsia="Times New Roman"/>
                <w:i/>
                <w:iCs/>
                <w:color w:val="000000"/>
              </w:rPr>
              <w:t>U</w:t>
            </w:r>
          </w:p>
        </w:tc>
        <w:tc>
          <w:tcPr>
            <w:tcW w:w="1704" w:type="dxa"/>
            <w:tcBorders>
              <w:top w:val="nil"/>
              <w:left w:val="nil"/>
              <w:bottom w:val="nil"/>
              <w:right w:val="nil"/>
            </w:tcBorders>
            <w:shd w:val="clear" w:color="auto" w:fill="auto"/>
            <w:noWrap/>
            <w:vAlign w:val="bottom"/>
            <w:hideMark/>
          </w:tcPr>
          <w:p w14:paraId="0DA0F838"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735F3A9B"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Utility</w:t>
            </w:r>
          </w:p>
        </w:tc>
      </w:tr>
      <w:tr w:rsidR="0077042D" w:rsidRPr="0077042D" w14:paraId="2673C0DB" w14:textId="77777777" w:rsidTr="00806E67">
        <w:trPr>
          <w:trHeight w:val="300"/>
        </w:trPr>
        <w:tc>
          <w:tcPr>
            <w:tcW w:w="1403" w:type="dxa"/>
            <w:tcBorders>
              <w:top w:val="nil"/>
              <w:left w:val="nil"/>
              <w:bottom w:val="nil"/>
              <w:right w:val="nil"/>
            </w:tcBorders>
            <w:shd w:val="clear" w:color="auto" w:fill="auto"/>
            <w:noWrap/>
            <w:vAlign w:val="bottom"/>
            <w:hideMark/>
          </w:tcPr>
          <w:p w14:paraId="0128B32B" w14:textId="77777777" w:rsidR="0077042D" w:rsidRPr="0099742A" w:rsidRDefault="0077042D" w:rsidP="006E22E7">
            <w:pPr>
              <w:spacing w:after="0" w:line="240" w:lineRule="auto"/>
              <w:ind w:firstLine="0"/>
              <w:rPr>
                <w:rFonts w:eastAsia="Times New Roman"/>
                <w:i/>
                <w:iCs/>
                <w:color w:val="000000"/>
              </w:rPr>
            </w:pPr>
            <w:r w:rsidRPr="0099742A">
              <w:rPr>
                <w:rFonts w:eastAsia="Times New Roman"/>
                <w:i/>
                <w:iCs/>
                <w:color w:val="000000"/>
              </w:rPr>
              <w:t>C</w:t>
            </w:r>
          </w:p>
        </w:tc>
        <w:tc>
          <w:tcPr>
            <w:tcW w:w="1704" w:type="dxa"/>
            <w:tcBorders>
              <w:top w:val="nil"/>
              <w:left w:val="nil"/>
              <w:bottom w:val="nil"/>
              <w:right w:val="nil"/>
            </w:tcBorders>
            <w:shd w:val="clear" w:color="auto" w:fill="auto"/>
            <w:noWrap/>
            <w:vAlign w:val="bottom"/>
            <w:hideMark/>
          </w:tcPr>
          <w:p w14:paraId="116E17A5"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478DD010"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Cost</w:t>
            </w:r>
          </w:p>
        </w:tc>
      </w:tr>
      <w:tr w:rsidR="0077042D" w:rsidRPr="0077042D" w14:paraId="0CF124EC" w14:textId="77777777" w:rsidTr="00806E67">
        <w:trPr>
          <w:trHeight w:val="300"/>
        </w:trPr>
        <w:tc>
          <w:tcPr>
            <w:tcW w:w="1403" w:type="dxa"/>
            <w:tcBorders>
              <w:top w:val="nil"/>
              <w:left w:val="nil"/>
              <w:bottom w:val="nil"/>
              <w:right w:val="nil"/>
            </w:tcBorders>
            <w:shd w:val="clear" w:color="auto" w:fill="auto"/>
            <w:noWrap/>
            <w:vAlign w:val="bottom"/>
            <w:hideMark/>
          </w:tcPr>
          <w:p w14:paraId="2F5ECCE8" w14:textId="77777777" w:rsidR="0077042D" w:rsidRPr="0099742A" w:rsidRDefault="0077042D" w:rsidP="006E22E7">
            <w:pPr>
              <w:spacing w:after="0" w:line="240" w:lineRule="auto"/>
              <w:ind w:firstLine="0"/>
              <w:rPr>
                <w:rFonts w:eastAsia="Times New Roman"/>
                <w:i/>
                <w:iCs/>
                <w:color w:val="000000"/>
              </w:rPr>
            </w:pPr>
            <w:r w:rsidRPr="0099742A">
              <w:rPr>
                <w:rFonts w:eastAsia="Times New Roman"/>
                <w:i/>
                <w:iCs/>
                <w:color w:val="000000"/>
              </w:rPr>
              <w:t>S</w:t>
            </w:r>
          </w:p>
        </w:tc>
        <w:tc>
          <w:tcPr>
            <w:tcW w:w="1704" w:type="dxa"/>
            <w:tcBorders>
              <w:top w:val="nil"/>
              <w:left w:val="nil"/>
              <w:bottom w:val="nil"/>
              <w:right w:val="nil"/>
            </w:tcBorders>
            <w:shd w:val="clear" w:color="auto" w:fill="auto"/>
            <w:noWrap/>
            <w:vAlign w:val="bottom"/>
            <w:hideMark/>
          </w:tcPr>
          <w:p w14:paraId="62E79F98"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unit</w:t>
            </w:r>
          </w:p>
        </w:tc>
        <w:tc>
          <w:tcPr>
            <w:tcW w:w="6253" w:type="dxa"/>
            <w:tcBorders>
              <w:top w:val="nil"/>
              <w:left w:val="nil"/>
              <w:bottom w:val="nil"/>
              <w:right w:val="nil"/>
            </w:tcBorders>
            <w:shd w:val="clear" w:color="auto" w:fill="auto"/>
            <w:noWrap/>
            <w:vAlign w:val="bottom"/>
            <w:hideMark/>
          </w:tcPr>
          <w:p w14:paraId="6AE276B6"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Vehicle stock</w:t>
            </w:r>
          </w:p>
        </w:tc>
      </w:tr>
      <w:tr w:rsidR="007A419B" w:rsidRPr="0077042D" w14:paraId="3347F262" w14:textId="77777777" w:rsidTr="00806E67">
        <w:trPr>
          <w:trHeight w:val="300"/>
        </w:trPr>
        <w:tc>
          <w:tcPr>
            <w:tcW w:w="1403" w:type="dxa"/>
            <w:tcBorders>
              <w:top w:val="nil"/>
              <w:left w:val="nil"/>
              <w:bottom w:val="nil"/>
              <w:right w:val="nil"/>
            </w:tcBorders>
            <w:shd w:val="clear" w:color="auto" w:fill="auto"/>
            <w:noWrap/>
            <w:vAlign w:val="bottom"/>
          </w:tcPr>
          <w:p w14:paraId="60B0CE82" w14:textId="4147308A" w:rsidR="007A419B" w:rsidRPr="0099742A" w:rsidRDefault="007A419B" w:rsidP="006E22E7">
            <w:pPr>
              <w:spacing w:after="0" w:line="240" w:lineRule="auto"/>
              <w:ind w:firstLine="0"/>
              <w:rPr>
                <w:rFonts w:eastAsia="Times New Roman"/>
                <w:i/>
                <w:iCs/>
                <w:color w:val="000000"/>
              </w:rPr>
            </w:pPr>
            <w:r w:rsidRPr="0099742A">
              <w:rPr>
                <w:rFonts w:eastAsia="Times New Roman"/>
                <w:i/>
                <w:iCs/>
                <w:color w:val="000000"/>
              </w:rPr>
              <w:t>O</w:t>
            </w:r>
          </w:p>
        </w:tc>
        <w:tc>
          <w:tcPr>
            <w:tcW w:w="1704" w:type="dxa"/>
            <w:tcBorders>
              <w:top w:val="nil"/>
              <w:left w:val="nil"/>
              <w:bottom w:val="nil"/>
              <w:right w:val="nil"/>
            </w:tcBorders>
            <w:shd w:val="clear" w:color="auto" w:fill="auto"/>
            <w:noWrap/>
            <w:vAlign w:val="bottom"/>
          </w:tcPr>
          <w:p w14:paraId="79EF3CD2" w14:textId="2E9CBC31" w:rsidR="007A419B" w:rsidRPr="00C53F8C" w:rsidRDefault="007A419B" w:rsidP="006E22E7">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69FD3E32" w14:textId="2F4E2130" w:rsidR="007A419B" w:rsidRPr="00C53F8C" w:rsidRDefault="007A419B" w:rsidP="006E22E7">
            <w:pPr>
              <w:spacing w:after="0" w:line="240" w:lineRule="auto"/>
              <w:ind w:firstLine="0"/>
              <w:rPr>
                <w:rFonts w:eastAsia="Times New Roman"/>
                <w:color w:val="000000"/>
              </w:rPr>
            </w:pPr>
            <w:r>
              <w:rPr>
                <w:rFonts w:eastAsia="Times New Roman"/>
                <w:color w:val="000000"/>
              </w:rPr>
              <w:t>Crude oil</w:t>
            </w:r>
          </w:p>
        </w:tc>
      </w:tr>
      <w:tr w:rsidR="0077042D" w:rsidRPr="0077042D" w14:paraId="5262FECC" w14:textId="77777777" w:rsidTr="00806E67">
        <w:trPr>
          <w:trHeight w:val="300"/>
        </w:trPr>
        <w:tc>
          <w:tcPr>
            <w:tcW w:w="1403" w:type="dxa"/>
            <w:tcBorders>
              <w:top w:val="nil"/>
              <w:left w:val="nil"/>
              <w:bottom w:val="nil"/>
              <w:right w:val="nil"/>
            </w:tcBorders>
            <w:shd w:val="clear" w:color="auto" w:fill="auto"/>
            <w:noWrap/>
            <w:vAlign w:val="bottom"/>
            <w:hideMark/>
          </w:tcPr>
          <w:p w14:paraId="1A222E81" w14:textId="77777777" w:rsidR="0077042D" w:rsidRPr="0099742A" w:rsidRDefault="0077042D" w:rsidP="006E22E7">
            <w:pPr>
              <w:spacing w:after="0" w:line="240" w:lineRule="auto"/>
              <w:ind w:firstLine="0"/>
              <w:rPr>
                <w:rFonts w:eastAsia="Times New Roman"/>
                <w:i/>
                <w:iCs/>
                <w:color w:val="000000"/>
              </w:rPr>
            </w:pPr>
            <w:r w:rsidRPr="0099742A">
              <w:rPr>
                <w:rFonts w:eastAsia="Times New Roman"/>
                <w:i/>
                <w:iCs/>
                <w:color w:val="000000"/>
              </w:rPr>
              <w:t>N</w:t>
            </w:r>
          </w:p>
        </w:tc>
        <w:tc>
          <w:tcPr>
            <w:tcW w:w="1704" w:type="dxa"/>
            <w:tcBorders>
              <w:top w:val="nil"/>
              <w:left w:val="nil"/>
              <w:bottom w:val="nil"/>
              <w:right w:val="nil"/>
            </w:tcBorders>
            <w:shd w:val="clear" w:color="auto" w:fill="auto"/>
            <w:noWrap/>
            <w:vAlign w:val="bottom"/>
            <w:hideMark/>
          </w:tcPr>
          <w:p w14:paraId="2C5ECA41"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unit</w:t>
            </w:r>
          </w:p>
        </w:tc>
        <w:tc>
          <w:tcPr>
            <w:tcW w:w="6253" w:type="dxa"/>
            <w:tcBorders>
              <w:top w:val="nil"/>
              <w:left w:val="nil"/>
              <w:bottom w:val="nil"/>
              <w:right w:val="nil"/>
            </w:tcBorders>
            <w:shd w:val="clear" w:color="auto" w:fill="auto"/>
            <w:noWrap/>
            <w:vAlign w:val="bottom"/>
            <w:hideMark/>
          </w:tcPr>
          <w:p w14:paraId="4B81ECB7" w14:textId="77777777"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New vehicle purchased</w:t>
            </w:r>
          </w:p>
        </w:tc>
      </w:tr>
      <w:tr w:rsidR="0077042D" w:rsidRPr="0077042D" w14:paraId="0BBDF93E" w14:textId="77777777" w:rsidTr="00806E67">
        <w:trPr>
          <w:trHeight w:val="300"/>
        </w:trPr>
        <w:tc>
          <w:tcPr>
            <w:tcW w:w="1403" w:type="dxa"/>
            <w:tcBorders>
              <w:top w:val="nil"/>
              <w:left w:val="nil"/>
              <w:bottom w:val="nil"/>
              <w:right w:val="nil"/>
            </w:tcBorders>
            <w:shd w:val="clear" w:color="auto" w:fill="auto"/>
            <w:noWrap/>
            <w:vAlign w:val="bottom"/>
            <w:hideMark/>
          </w:tcPr>
          <w:p w14:paraId="73AF0A50" w14:textId="2C7768BA" w:rsidR="0077042D" w:rsidRPr="0099742A" w:rsidRDefault="00BC5933" w:rsidP="006E22E7">
            <w:pPr>
              <w:spacing w:after="0" w:line="240" w:lineRule="auto"/>
              <w:ind w:firstLine="0"/>
              <w:rPr>
                <w:rFonts w:eastAsia="Times New Roman"/>
                <w:i/>
                <w:iCs/>
                <w:color w:val="000000"/>
              </w:rPr>
            </w:pPr>
            <w:r w:rsidRPr="0099742A">
              <w:rPr>
                <w:rFonts w:eastAsia="Times New Roman"/>
                <w:i/>
                <w:iCs/>
                <w:color w:val="000000"/>
              </w:rPr>
              <w:t>VKT</w:t>
            </w:r>
          </w:p>
        </w:tc>
        <w:tc>
          <w:tcPr>
            <w:tcW w:w="1704" w:type="dxa"/>
            <w:tcBorders>
              <w:top w:val="nil"/>
              <w:left w:val="nil"/>
              <w:bottom w:val="nil"/>
              <w:right w:val="nil"/>
            </w:tcBorders>
            <w:shd w:val="clear" w:color="auto" w:fill="auto"/>
            <w:noWrap/>
            <w:vAlign w:val="bottom"/>
            <w:hideMark/>
          </w:tcPr>
          <w:p w14:paraId="1D2B9AFF" w14:textId="671EFBF3" w:rsidR="0077042D" w:rsidRPr="00C53F8C" w:rsidRDefault="00C44C95" w:rsidP="006E22E7">
            <w:pPr>
              <w:spacing w:after="0" w:line="240" w:lineRule="auto"/>
              <w:ind w:firstLine="0"/>
              <w:rPr>
                <w:rFonts w:eastAsia="Times New Roman"/>
                <w:color w:val="000000"/>
              </w:rPr>
            </w:pPr>
            <w:r>
              <w:rPr>
                <w:rFonts w:eastAsia="Times New Roman"/>
                <w:color w:val="000000"/>
              </w:rPr>
              <w:t>kilometers</w:t>
            </w:r>
          </w:p>
        </w:tc>
        <w:tc>
          <w:tcPr>
            <w:tcW w:w="6253" w:type="dxa"/>
            <w:tcBorders>
              <w:top w:val="nil"/>
              <w:left w:val="nil"/>
              <w:bottom w:val="nil"/>
              <w:right w:val="nil"/>
            </w:tcBorders>
            <w:shd w:val="clear" w:color="auto" w:fill="auto"/>
            <w:noWrap/>
            <w:vAlign w:val="bottom"/>
            <w:hideMark/>
          </w:tcPr>
          <w:p w14:paraId="2CE5ECE6" w14:textId="532A8185" w:rsidR="0077042D" w:rsidRPr="00C53F8C" w:rsidRDefault="0077042D" w:rsidP="006E22E7">
            <w:pPr>
              <w:spacing w:after="0" w:line="240" w:lineRule="auto"/>
              <w:ind w:firstLine="0"/>
              <w:rPr>
                <w:rFonts w:eastAsia="Times New Roman"/>
                <w:color w:val="000000"/>
              </w:rPr>
            </w:pPr>
            <w:r w:rsidRPr="00C53F8C">
              <w:rPr>
                <w:rFonts w:eastAsia="Times New Roman"/>
                <w:color w:val="000000"/>
              </w:rPr>
              <w:t xml:space="preserve">Total </w:t>
            </w:r>
            <w:r w:rsidR="00C44C95">
              <w:rPr>
                <w:rFonts w:eastAsia="Times New Roman"/>
                <w:color w:val="000000"/>
              </w:rPr>
              <w:t>kilometers</w:t>
            </w:r>
            <w:r w:rsidR="00C44C95" w:rsidRPr="00C53F8C">
              <w:rPr>
                <w:rFonts w:eastAsia="Times New Roman"/>
                <w:color w:val="000000"/>
              </w:rPr>
              <w:t xml:space="preserve"> </w:t>
            </w:r>
            <w:r w:rsidRPr="00C53F8C">
              <w:rPr>
                <w:rFonts w:eastAsia="Times New Roman"/>
                <w:color w:val="000000"/>
              </w:rPr>
              <w:t>driven</w:t>
            </w:r>
            <w:r w:rsidR="00BC5933">
              <w:rPr>
                <w:rFonts w:eastAsia="Times New Roman"/>
                <w:color w:val="000000"/>
              </w:rPr>
              <w:t xml:space="preserve"> by gasoline vehicles</w:t>
            </w:r>
          </w:p>
        </w:tc>
      </w:tr>
      <w:tr w:rsidR="00BC5933" w:rsidRPr="0077042D" w14:paraId="5871221F" w14:textId="77777777" w:rsidTr="00806E67">
        <w:trPr>
          <w:trHeight w:val="300"/>
        </w:trPr>
        <w:tc>
          <w:tcPr>
            <w:tcW w:w="1403" w:type="dxa"/>
            <w:tcBorders>
              <w:top w:val="nil"/>
              <w:left w:val="nil"/>
              <w:bottom w:val="nil"/>
              <w:right w:val="nil"/>
            </w:tcBorders>
            <w:shd w:val="clear" w:color="auto" w:fill="auto"/>
            <w:noWrap/>
            <w:vAlign w:val="bottom"/>
          </w:tcPr>
          <w:p w14:paraId="7EFBF073" w14:textId="3812866F" w:rsidR="00BC5933" w:rsidRPr="0099742A" w:rsidDel="00BC5933" w:rsidRDefault="00BC5933" w:rsidP="006E22E7">
            <w:pPr>
              <w:spacing w:after="0" w:line="240" w:lineRule="auto"/>
              <w:ind w:firstLine="0"/>
              <w:rPr>
                <w:rFonts w:eastAsia="Times New Roman"/>
                <w:i/>
                <w:iCs/>
                <w:color w:val="000000"/>
              </w:rPr>
            </w:pPr>
            <w:r w:rsidRPr="0099742A">
              <w:rPr>
                <w:rFonts w:eastAsia="Times New Roman"/>
                <w:i/>
                <w:iCs/>
                <w:color w:val="000000"/>
              </w:rPr>
              <w:t>MDSL</w:t>
            </w:r>
          </w:p>
        </w:tc>
        <w:tc>
          <w:tcPr>
            <w:tcW w:w="1704" w:type="dxa"/>
            <w:tcBorders>
              <w:top w:val="nil"/>
              <w:left w:val="nil"/>
              <w:bottom w:val="nil"/>
              <w:right w:val="nil"/>
            </w:tcBorders>
            <w:shd w:val="clear" w:color="auto" w:fill="auto"/>
            <w:noWrap/>
            <w:vAlign w:val="bottom"/>
          </w:tcPr>
          <w:p w14:paraId="22445CB2" w14:textId="253EBF0F" w:rsidR="00BC5933" w:rsidRPr="00C53F8C" w:rsidRDefault="00C44C95" w:rsidP="006E22E7">
            <w:pPr>
              <w:spacing w:after="0" w:line="240" w:lineRule="auto"/>
              <w:ind w:firstLine="0"/>
              <w:rPr>
                <w:rFonts w:eastAsia="Times New Roman"/>
                <w:color w:val="000000"/>
              </w:rPr>
            </w:pPr>
            <w:r>
              <w:rPr>
                <w:rFonts w:eastAsia="Times New Roman"/>
                <w:color w:val="000000"/>
              </w:rPr>
              <w:t>kilometers</w:t>
            </w:r>
          </w:p>
        </w:tc>
        <w:tc>
          <w:tcPr>
            <w:tcW w:w="6253" w:type="dxa"/>
            <w:tcBorders>
              <w:top w:val="nil"/>
              <w:left w:val="nil"/>
              <w:bottom w:val="nil"/>
              <w:right w:val="nil"/>
            </w:tcBorders>
            <w:shd w:val="clear" w:color="auto" w:fill="auto"/>
            <w:noWrap/>
            <w:vAlign w:val="bottom"/>
          </w:tcPr>
          <w:p w14:paraId="33A4E850" w14:textId="0F76D972" w:rsidR="00BC5933" w:rsidRPr="00C53F8C" w:rsidRDefault="00BC5933" w:rsidP="006E22E7">
            <w:pPr>
              <w:spacing w:after="0" w:line="240" w:lineRule="auto"/>
              <w:ind w:firstLine="0"/>
              <w:rPr>
                <w:rFonts w:eastAsia="Times New Roman"/>
                <w:color w:val="000000"/>
              </w:rPr>
            </w:pPr>
            <w:r w:rsidRPr="00C53F8C">
              <w:rPr>
                <w:rFonts w:eastAsia="Times New Roman"/>
                <w:color w:val="000000"/>
              </w:rPr>
              <w:t xml:space="preserve">Total </w:t>
            </w:r>
            <w:r w:rsidR="00C44C95">
              <w:rPr>
                <w:rFonts w:eastAsia="Times New Roman"/>
                <w:color w:val="000000"/>
              </w:rPr>
              <w:t>kilometers</w:t>
            </w:r>
            <w:r w:rsidR="00C44C95" w:rsidRPr="00C53F8C">
              <w:rPr>
                <w:rFonts w:eastAsia="Times New Roman"/>
                <w:color w:val="000000"/>
              </w:rPr>
              <w:t xml:space="preserve"> </w:t>
            </w:r>
            <w:r w:rsidRPr="00C53F8C">
              <w:rPr>
                <w:rFonts w:eastAsia="Times New Roman"/>
                <w:color w:val="000000"/>
              </w:rPr>
              <w:t>driven</w:t>
            </w:r>
            <w:r>
              <w:rPr>
                <w:rFonts w:eastAsia="Times New Roman"/>
                <w:color w:val="000000"/>
              </w:rPr>
              <w:t xml:space="preserve"> by diesel vehicles</w:t>
            </w:r>
          </w:p>
        </w:tc>
      </w:tr>
      <w:tr w:rsidR="00DF2CFE" w:rsidRPr="0077042D" w14:paraId="1C4A96AE" w14:textId="77777777" w:rsidTr="00806E67">
        <w:trPr>
          <w:trHeight w:val="300"/>
        </w:trPr>
        <w:tc>
          <w:tcPr>
            <w:tcW w:w="1403" w:type="dxa"/>
            <w:tcBorders>
              <w:top w:val="nil"/>
              <w:left w:val="nil"/>
              <w:bottom w:val="nil"/>
              <w:right w:val="nil"/>
            </w:tcBorders>
            <w:shd w:val="clear" w:color="auto" w:fill="auto"/>
            <w:noWrap/>
            <w:vAlign w:val="bottom"/>
          </w:tcPr>
          <w:p w14:paraId="5EA89DFC" w14:textId="0BCC8576" w:rsidR="00DF2CFE" w:rsidRPr="0099742A" w:rsidRDefault="00DF2CFE" w:rsidP="006E22E7">
            <w:pPr>
              <w:spacing w:after="0" w:line="240" w:lineRule="auto"/>
              <w:ind w:firstLine="0"/>
              <w:rPr>
                <w:rFonts w:eastAsia="Times New Roman"/>
                <w:i/>
                <w:iCs/>
                <w:color w:val="000000"/>
              </w:rPr>
            </w:pPr>
            <w:r w:rsidRPr="0099742A">
              <w:rPr>
                <w:rFonts w:eastAsia="Times New Roman"/>
                <w:i/>
                <w:iCs/>
                <w:color w:val="000000"/>
              </w:rPr>
              <w:t>E</w:t>
            </w:r>
            <w:r w:rsidR="00CD7879" w:rsidRPr="0099742A">
              <w:rPr>
                <w:rFonts w:eastAsia="Times New Roman"/>
                <w:i/>
                <w:iCs/>
                <w:color w:val="000000"/>
              </w:rPr>
              <w:t>TH</w:t>
            </w:r>
          </w:p>
        </w:tc>
        <w:tc>
          <w:tcPr>
            <w:tcW w:w="1704" w:type="dxa"/>
            <w:tcBorders>
              <w:top w:val="nil"/>
              <w:left w:val="nil"/>
              <w:bottom w:val="nil"/>
              <w:right w:val="nil"/>
            </w:tcBorders>
            <w:shd w:val="clear" w:color="auto" w:fill="auto"/>
            <w:noWrap/>
            <w:vAlign w:val="bottom"/>
          </w:tcPr>
          <w:p w14:paraId="05C1B779" w14:textId="00BB4D66" w:rsidR="00DF2CFE" w:rsidRPr="00DF2CFE" w:rsidRDefault="00DF2CFE" w:rsidP="006E22E7">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73A85826" w14:textId="0E06422D" w:rsidR="00DF2CFE" w:rsidRPr="00DF2CFE" w:rsidRDefault="00DF2CFE" w:rsidP="006E22E7">
            <w:pPr>
              <w:spacing w:after="0" w:line="240" w:lineRule="auto"/>
              <w:ind w:firstLine="0"/>
              <w:rPr>
                <w:rFonts w:eastAsia="Times New Roman"/>
                <w:color w:val="000000"/>
              </w:rPr>
            </w:pPr>
            <w:r>
              <w:rPr>
                <w:rFonts w:eastAsia="Times New Roman"/>
                <w:color w:val="000000"/>
              </w:rPr>
              <w:t>Ethanol gallons</w:t>
            </w:r>
          </w:p>
        </w:tc>
      </w:tr>
      <w:tr w:rsidR="00DF2CFE" w:rsidRPr="0077042D" w14:paraId="5EBC6722" w14:textId="77777777" w:rsidTr="00806E67">
        <w:trPr>
          <w:trHeight w:val="300"/>
        </w:trPr>
        <w:tc>
          <w:tcPr>
            <w:tcW w:w="1403" w:type="dxa"/>
            <w:tcBorders>
              <w:top w:val="nil"/>
              <w:left w:val="nil"/>
              <w:bottom w:val="nil"/>
              <w:right w:val="nil"/>
            </w:tcBorders>
            <w:shd w:val="clear" w:color="auto" w:fill="auto"/>
            <w:noWrap/>
            <w:vAlign w:val="bottom"/>
          </w:tcPr>
          <w:p w14:paraId="35588603" w14:textId="0C53F122" w:rsidR="00DF2CFE" w:rsidRPr="0099742A" w:rsidRDefault="00DF2CFE" w:rsidP="006E22E7">
            <w:pPr>
              <w:spacing w:after="0" w:line="240" w:lineRule="auto"/>
              <w:ind w:firstLine="0"/>
              <w:rPr>
                <w:rFonts w:eastAsia="Times New Roman"/>
                <w:i/>
                <w:iCs/>
                <w:color w:val="000000"/>
              </w:rPr>
            </w:pPr>
            <w:r w:rsidRPr="0099742A">
              <w:rPr>
                <w:rFonts w:eastAsia="Times New Roman"/>
                <w:i/>
                <w:iCs/>
                <w:color w:val="000000"/>
              </w:rPr>
              <w:t>G</w:t>
            </w:r>
          </w:p>
        </w:tc>
        <w:tc>
          <w:tcPr>
            <w:tcW w:w="1704" w:type="dxa"/>
            <w:tcBorders>
              <w:top w:val="nil"/>
              <w:left w:val="nil"/>
              <w:bottom w:val="nil"/>
              <w:right w:val="nil"/>
            </w:tcBorders>
            <w:shd w:val="clear" w:color="auto" w:fill="auto"/>
            <w:noWrap/>
            <w:vAlign w:val="bottom"/>
          </w:tcPr>
          <w:p w14:paraId="201A0233" w14:textId="2C48EFA0" w:rsidR="00DF2CFE" w:rsidRDefault="00DF2CFE" w:rsidP="006E22E7">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20D32197" w14:textId="20958134" w:rsidR="00DF2CFE" w:rsidRDefault="00DF2CFE" w:rsidP="006E22E7">
            <w:pPr>
              <w:spacing w:after="0" w:line="240" w:lineRule="auto"/>
              <w:ind w:firstLine="0"/>
              <w:rPr>
                <w:rFonts w:eastAsia="Times New Roman"/>
                <w:color w:val="000000"/>
              </w:rPr>
            </w:pPr>
            <w:r>
              <w:rPr>
                <w:rFonts w:eastAsia="Times New Roman"/>
                <w:color w:val="000000"/>
              </w:rPr>
              <w:t>Gasoline gallons</w:t>
            </w:r>
          </w:p>
        </w:tc>
      </w:tr>
      <w:tr w:rsidR="00BC5933" w:rsidRPr="0077042D" w14:paraId="19D45E79" w14:textId="77777777" w:rsidTr="00806E67">
        <w:trPr>
          <w:trHeight w:val="300"/>
        </w:trPr>
        <w:tc>
          <w:tcPr>
            <w:tcW w:w="1403" w:type="dxa"/>
            <w:tcBorders>
              <w:top w:val="nil"/>
              <w:left w:val="nil"/>
              <w:bottom w:val="nil"/>
              <w:right w:val="nil"/>
            </w:tcBorders>
            <w:shd w:val="clear" w:color="auto" w:fill="auto"/>
            <w:noWrap/>
            <w:vAlign w:val="bottom"/>
          </w:tcPr>
          <w:p w14:paraId="599D7F6C" w14:textId="787A8B8A" w:rsidR="00BC5933" w:rsidRPr="0099742A" w:rsidRDefault="00BC5933" w:rsidP="006E22E7">
            <w:pPr>
              <w:spacing w:after="0" w:line="240" w:lineRule="auto"/>
              <w:ind w:firstLine="0"/>
              <w:rPr>
                <w:rFonts w:eastAsia="Times New Roman"/>
                <w:i/>
                <w:iCs/>
                <w:color w:val="000000"/>
              </w:rPr>
            </w:pPr>
            <w:r w:rsidRPr="0099742A">
              <w:rPr>
                <w:rFonts w:eastAsia="Times New Roman"/>
                <w:i/>
                <w:iCs/>
                <w:color w:val="000000"/>
              </w:rPr>
              <w:t>DSL</w:t>
            </w:r>
          </w:p>
        </w:tc>
        <w:tc>
          <w:tcPr>
            <w:tcW w:w="1704" w:type="dxa"/>
            <w:tcBorders>
              <w:top w:val="nil"/>
              <w:left w:val="nil"/>
              <w:bottom w:val="nil"/>
              <w:right w:val="nil"/>
            </w:tcBorders>
            <w:shd w:val="clear" w:color="auto" w:fill="auto"/>
            <w:noWrap/>
            <w:vAlign w:val="bottom"/>
          </w:tcPr>
          <w:p w14:paraId="0A2E35E5" w14:textId="74441356" w:rsidR="00BC5933" w:rsidRDefault="00BC5933" w:rsidP="006E22E7">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29D635A2" w14:textId="7D06915D" w:rsidR="00BC5933" w:rsidRDefault="00BC5933" w:rsidP="006E22E7">
            <w:pPr>
              <w:spacing w:after="0" w:line="240" w:lineRule="auto"/>
              <w:ind w:firstLine="0"/>
              <w:rPr>
                <w:rFonts w:eastAsia="Times New Roman"/>
                <w:color w:val="000000"/>
              </w:rPr>
            </w:pPr>
            <w:r>
              <w:rPr>
                <w:rFonts w:eastAsia="Times New Roman"/>
                <w:color w:val="000000"/>
              </w:rPr>
              <w:t>Diesel gallons</w:t>
            </w:r>
          </w:p>
        </w:tc>
      </w:tr>
      <w:tr w:rsidR="00DF2CFE" w:rsidRPr="0077042D" w14:paraId="680A6E45" w14:textId="77777777" w:rsidTr="00806E67">
        <w:trPr>
          <w:trHeight w:val="300"/>
        </w:trPr>
        <w:tc>
          <w:tcPr>
            <w:tcW w:w="1403" w:type="dxa"/>
            <w:tcBorders>
              <w:top w:val="nil"/>
              <w:left w:val="nil"/>
              <w:bottom w:val="nil"/>
              <w:right w:val="nil"/>
            </w:tcBorders>
            <w:shd w:val="clear" w:color="auto" w:fill="auto"/>
            <w:noWrap/>
            <w:vAlign w:val="bottom"/>
          </w:tcPr>
          <w:p w14:paraId="50B7AF8E" w14:textId="7BF98561" w:rsidR="00DF2CFE" w:rsidRPr="0099742A" w:rsidRDefault="00DF2CFE" w:rsidP="006E22E7">
            <w:pPr>
              <w:spacing w:after="0" w:line="240" w:lineRule="auto"/>
              <w:ind w:firstLine="0"/>
              <w:rPr>
                <w:rFonts w:eastAsia="Times New Roman"/>
                <w:i/>
                <w:iCs/>
                <w:color w:val="000000"/>
              </w:rPr>
            </w:pPr>
            <w:r w:rsidRPr="0099742A">
              <w:rPr>
                <w:rFonts w:eastAsia="Times New Roman"/>
                <w:i/>
                <w:iCs/>
                <w:color w:val="000000"/>
              </w:rPr>
              <w:t>QE</w:t>
            </w:r>
          </w:p>
        </w:tc>
        <w:tc>
          <w:tcPr>
            <w:tcW w:w="1704" w:type="dxa"/>
            <w:tcBorders>
              <w:top w:val="nil"/>
              <w:left w:val="nil"/>
              <w:bottom w:val="nil"/>
              <w:right w:val="nil"/>
            </w:tcBorders>
            <w:shd w:val="clear" w:color="auto" w:fill="auto"/>
            <w:noWrap/>
            <w:vAlign w:val="bottom"/>
          </w:tcPr>
          <w:p w14:paraId="31D6BAB8" w14:textId="161E20C5" w:rsidR="00DF2CFE" w:rsidRDefault="005066C1" w:rsidP="006E22E7">
            <w:pPr>
              <w:spacing w:after="0" w:line="240" w:lineRule="auto"/>
              <w:ind w:firstLine="0"/>
              <w:rPr>
                <w:rFonts w:eastAsia="Times New Roman"/>
                <w:color w:val="000000"/>
              </w:rPr>
            </w:pP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15C60069" w14:textId="1BF966A9" w:rsidR="00DF2CFE" w:rsidRDefault="00DF2CFE" w:rsidP="006E22E7">
            <w:pPr>
              <w:spacing w:after="0" w:line="240" w:lineRule="auto"/>
              <w:ind w:firstLine="0"/>
              <w:rPr>
                <w:rFonts w:eastAsia="Times New Roman"/>
                <w:color w:val="000000"/>
              </w:rPr>
            </w:pPr>
            <w:r>
              <w:rPr>
                <w:rFonts w:eastAsia="Times New Roman"/>
                <w:color w:val="000000"/>
              </w:rPr>
              <w:t>Electricity consumption</w:t>
            </w:r>
          </w:p>
        </w:tc>
      </w:tr>
      <w:tr w:rsidR="00BC5933" w:rsidRPr="0077042D" w14:paraId="0B503E56" w14:textId="77777777" w:rsidTr="00806E67">
        <w:trPr>
          <w:trHeight w:val="300"/>
        </w:trPr>
        <w:tc>
          <w:tcPr>
            <w:tcW w:w="1403" w:type="dxa"/>
            <w:tcBorders>
              <w:top w:val="nil"/>
              <w:left w:val="nil"/>
              <w:bottom w:val="nil"/>
              <w:right w:val="nil"/>
            </w:tcBorders>
            <w:shd w:val="clear" w:color="auto" w:fill="auto"/>
            <w:noWrap/>
            <w:vAlign w:val="bottom"/>
          </w:tcPr>
          <w:p w14:paraId="65F6B3EE" w14:textId="5449B74C" w:rsidR="00BC5933" w:rsidRPr="0099742A" w:rsidRDefault="00BC5933" w:rsidP="006E22E7">
            <w:pPr>
              <w:spacing w:after="0" w:line="240" w:lineRule="auto"/>
              <w:ind w:firstLine="0"/>
              <w:rPr>
                <w:rFonts w:eastAsia="Times New Roman"/>
                <w:i/>
                <w:iCs/>
                <w:color w:val="000000"/>
              </w:rPr>
            </w:pPr>
            <w:r w:rsidRPr="0099742A">
              <w:rPr>
                <w:rFonts w:eastAsia="Times New Roman"/>
                <w:i/>
                <w:iCs/>
                <w:color w:val="000000"/>
              </w:rPr>
              <w:t>Q</w:t>
            </w:r>
            <w:r w:rsidR="005066C1" w:rsidRPr="0099742A">
              <w:rPr>
                <w:rFonts w:eastAsia="Times New Roman"/>
                <w:i/>
                <w:iCs/>
                <w:color w:val="000000"/>
              </w:rPr>
              <w:t>R</w:t>
            </w:r>
          </w:p>
        </w:tc>
        <w:tc>
          <w:tcPr>
            <w:tcW w:w="1704" w:type="dxa"/>
            <w:tcBorders>
              <w:top w:val="nil"/>
              <w:left w:val="nil"/>
              <w:bottom w:val="nil"/>
              <w:right w:val="nil"/>
            </w:tcBorders>
            <w:shd w:val="clear" w:color="auto" w:fill="auto"/>
            <w:noWrap/>
            <w:vAlign w:val="bottom"/>
          </w:tcPr>
          <w:p w14:paraId="44619018" w14:textId="4629BEF9" w:rsidR="00BC5933" w:rsidRDefault="005066C1" w:rsidP="006E22E7">
            <w:pPr>
              <w:spacing w:after="0" w:line="240" w:lineRule="auto"/>
              <w:ind w:firstLine="0"/>
              <w:rPr>
                <w:rFonts w:eastAsia="Times New Roman"/>
                <w:color w:val="000000"/>
              </w:rPr>
            </w:pP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6DE1D25D" w14:textId="3FD5D1CA" w:rsidR="00BC5933" w:rsidRDefault="005066C1" w:rsidP="006E22E7">
            <w:pPr>
              <w:spacing w:after="0" w:line="240" w:lineRule="auto"/>
              <w:ind w:firstLine="0"/>
              <w:rPr>
                <w:rFonts w:eastAsia="Times New Roman"/>
                <w:color w:val="000000"/>
              </w:rPr>
            </w:pPr>
            <w:r>
              <w:rPr>
                <w:rFonts w:eastAsia="Calibri"/>
              </w:rPr>
              <w:t>E</w:t>
            </w:r>
            <w:r w:rsidRPr="00C53F8C">
              <w:rPr>
                <w:rFonts w:eastAsia="Calibri"/>
              </w:rPr>
              <w:t>lectricity generated</w:t>
            </w:r>
          </w:p>
        </w:tc>
      </w:tr>
      <w:tr w:rsidR="005066C1" w:rsidRPr="0077042D" w14:paraId="46CABED2" w14:textId="77777777" w:rsidTr="00806E67">
        <w:trPr>
          <w:trHeight w:val="300"/>
        </w:trPr>
        <w:tc>
          <w:tcPr>
            <w:tcW w:w="1403" w:type="dxa"/>
            <w:tcBorders>
              <w:top w:val="nil"/>
              <w:left w:val="nil"/>
              <w:bottom w:val="nil"/>
              <w:right w:val="nil"/>
            </w:tcBorders>
            <w:shd w:val="clear" w:color="auto" w:fill="auto"/>
            <w:noWrap/>
            <w:vAlign w:val="bottom"/>
          </w:tcPr>
          <w:p w14:paraId="094BABCC" w14:textId="1C4418F2" w:rsidR="005066C1" w:rsidRPr="0099742A" w:rsidRDefault="005066C1" w:rsidP="006E22E7">
            <w:pPr>
              <w:spacing w:after="0" w:line="240" w:lineRule="auto"/>
              <w:ind w:firstLine="0"/>
              <w:rPr>
                <w:rFonts w:eastAsia="Times New Roman"/>
                <w:i/>
                <w:iCs/>
                <w:color w:val="000000"/>
              </w:rPr>
            </w:pPr>
            <w:r w:rsidRPr="0099742A">
              <w:rPr>
                <w:rFonts w:eastAsia="Times New Roman"/>
                <w:i/>
                <w:iCs/>
                <w:color w:val="000000"/>
              </w:rPr>
              <w:t>QM</w:t>
            </w:r>
          </w:p>
        </w:tc>
        <w:tc>
          <w:tcPr>
            <w:tcW w:w="1704" w:type="dxa"/>
            <w:tcBorders>
              <w:top w:val="nil"/>
              <w:left w:val="nil"/>
              <w:bottom w:val="nil"/>
              <w:right w:val="nil"/>
            </w:tcBorders>
            <w:shd w:val="clear" w:color="auto" w:fill="auto"/>
            <w:noWrap/>
            <w:vAlign w:val="bottom"/>
          </w:tcPr>
          <w:p w14:paraId="370A6735" w14:textId="4A48B022" w:rsidR="005066C1" w:rsidRDefault="005066C1" w:rsidP="006E22E7">
            <w:pPr>
              <w:spacing w:after="0" w:line="240" w:lineRule="auto"/>
              <w:ind w:firstLine="0"/>
              <w:rPr>
                <w:rFonts w:eastAsia="Times New Roman"/>
                <w:color w:val="000000"/>
              </w:rPr>
            </w:pP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25263BA4" w14:textId="7D7F2D4A" w:rsidR="005066C1" w:rsidRDefault="005066C1" w:rsidP="006E22E7">
            <w:pPr>
              <w:spacing w:after="0" w:line="240" w:lineRule="auto"/>
              <w:ind w:firstLine="0"/>
              <w:rPr>
                <w:rFonts w:eastAsia="Calibri"/>
              </w:rPr>
            </w:pPr>
            <w:r>
              <w:rPr>
                <w:rFonts w:eastAsia="Calibri"/>
              </w:rPr>
              <w:t>E</w:t>
            </w:r>
            <w:r w:rsidRPr="00C53F8C">
              <w:rPr>
                <w:rFonts w:eastAsia="Calibri"/>
              </w:rPr>
              <w:t>lectricity generated</w:t>
            </w:r>
            <w:r>
              <w:rPr>
                <w:rFonts w:eastAsia="Calibri"/>
              </w:rPr>
              <w:t xml:space="preserve"> from new power plant</w:t>
            </w:r>
          </w:p>
        </w:tc>
      </w:tr>
      <w:tr w:rsidR="005066C1" w:rsidRPr="0077042D" w14:paraId="64054D20" w14:textId="77777777" w:rsidTr="00806E67">
        <w:trPr>
          <w:trHeight w:val="300"/>
        </w:trPr>
        <w:tc>
          <w:tcPr>
            <w:tcW w:w="1403" w:type="dxa"/>
            <w:tcBorders>
              <w:top w:val="nil"/>
              <w:left w:val="nil"/>
              <w:bottom w:val="nil"/>
              <w:right w:val="nil"/>
            </w:tcBorders>
            <w:shd w:val="clear" w:color="auto" w:fill="auto"/>
            <w:noWrap/>
            <w:vAlign w:val="bottom"/>
          </w:tcPr>
          <w:p w14:paraId="17B298BA" w14:textId="4EAAE249" w:rsidR="005066C1" w:rsidRPr="0099742A" w:rsidRDefault="005066C1" w:rsidP="006E22E7">
            <w:pPr>
              <w:spacing w:after="0" w:line="240" w:lineRule="auto"/>
              <w:ind w:firstLine="0"/>
              <w:rPr>
                <w:rFonts w:eastAsia="Times New Roman"/>
                <w:i/>
                <w:iCs/>
                <w:color w:val="000000"/>
              </w:rPr>
            </w:pPr>
            <w:r w:rsidRPr="0099742A">
              <w:rPr>
                <w:rFonts w:eastAsia="Times New Roman"/>
                <w:i/>
                <w:iCs/>
                <w:color w:val="000000"/>
              </w:rPr>
              <w:t>NG</w:t>
            </w:r>
          </w:p>
        </w:tc>
        <w:tc>
          <w:tcPr>
            <w:tcW w:w="1704" w:type="dxa"/>
            <w:tcBorders>
              <w:top w:val="nil"/>
              <w:left w:val="nil"/>
              <w:bottom w:val="nil"/>
              <w:right w:val="nil"/>
            </w:tcBorders>
            <w:shd w:val="clear" w:color="auto" w:fill="auto"/>
            <w:noWrap/>
            <w:vAlign w:val="bottom"/>
          </w:tcPr>
          <w:p w14:paraId="3999D204" w14:textId="74735231" w:rsidR="005066C1" w:rsidRDefault="00C814B9" w:rsidP="006E22E7">
            <w:pPr>
              <w:spacing w:after="0" w:line="240" w:lineRule="auto"/>
              <w:ind w:firstLine="0"/>
              <w:rPr>
                <w:rFonts w:eastAsia="Times New Roman"/>
                <w:color w:val="000000"/>
              </w:rPr>
            </w:pPr>
            <w:r w:rsidRPr="00C814B9">
              <w:rPr>
                <w:rFonts w:eastAsia="Times New Roman"/>
                <w:color w:val="000000"/>
              </w:rPr>
              <w:t xml:space="preserve">M </w:t>
            </w:r>
            <w:proofErr w:type="spellStart"/>
            <w:r w:rsidRPr="00C814B9">
              <w:rPr>
                <w:rFonts w:eastAsia="Times New Roman"/>
                <w:color w:val="000000"/>
              </w:rPr>
              <w:t>mmbtu</w:t>
            </w:r>
            <w:proofErr w:type="spellEnd"/>
          </w:p>
        </w:tc>
        <w:tc>
          <w:tcPr>
            <w:tcW w:w="6253" w:type="dxa"/>
            <w:tcBorders>
              <w:top w:val="nil"/>
              <w:left w:val="nil"/>
              <w:bottom w:val="nil"/>
              <w:right w:val="nil"/>
            </w:tcBorders>
            <w:shd w:val="clear" w:color="auto" w:fill="auto"/>
            <w:noWrap/>
            <w:vAlign w:val="bottom"/>
          </w:tcPr>
          <w:p w14:paraId="5D1AB101" w14:textId="016C9322" w:rsidR="005066C1" w:rsidRDefault="00C814B9" w:rsidP="006E22E7">
            <w:pPr>
              <w:spacing w:after="0" w:line="240" w:lineRule="auto"/>
              <w:ind w:firstLine="0"/>
              <w:rPr>
                <w:rFonts w:eastAsia="Calibri"/>
              </w:rPr>
            </w:pPr>
            <w:r>
              <w:rPr>
                <w:rFonts w:eastAsia="Calibri"/>
              </w:rPr>
              <w:t>Q</w:t>
            </w:r>
            <w:r w:rsidRPr="00C53F8C">
              <w:rPr>
                <w:rFonts w:eastAsia="Calibri"/>
              </w:rPr>
              <w:t>uantity of natural gas used to produce electricity</w:t>
            </w:r>
          </w:p>
        </w:tc>
      </w:tr>
      <w:tr w:rsidR="00C814B9" w:rsidRPr="0077042D" w14:paraId="299153F8" w14:textId="77777777" w:rsidTr="00806E67">
        <w:trPr>
          <w:trHeight w:val="300"/>
        </w:trPr>
        <w:tc>
          <w:tcPr>
            <w:tcW w:w="1403" w:type="dxa"/>
            <w:tcBorders>
              <w:top w:val="nil"/>
              <w:left w:val="nil"/>
              <w:bottom w:val="nil"/>
              <w:right w:val="nil"/>
            </w:tcBorders>
            <w:shd w:val="clear" w:color="auto" w:fill="auto"/>
            <w:noWrap/>
            <w:vAlign w:val="bottom"/>
          </w:tcPr>
          <w:p w14:paraId="0EE29EA7" w14:textId="35ACE134" w:rsidR="00C814B9" w:rsidRPr="0099742A" w:rsidRDefault="00C814B9" w:rsidP="006E22E7">
            <w:pPr>
              <w:spacing w:after="0" w:line="240" w:lineRule="auto"/>
              <w:ind w:firstLine="0"/>
              <w:rPr>
                <w:rFonts w:eastAsia="Times New Roman"/>
                <w:i/>
                <w:iCs/>
                <w:color w:val="000000"/>
              </w:rPr>
            </w:pPr>
            <w:r w:rsidRPr="0099742A">
              <w:rPr>
                <w:rFonts w:eastAsia="Times New Roman"/>
                <w:i/>
                <w:iCs/>
                <w:color w:val="000000"/>
              </w:rPr>
              <w:t>NGM</w:t>
            </w:r>
          </w:p>
        </w:tc>
        <w:tc>
          <w:tcPr>
            <w:tcW w:w="1704" w:type="dxa"/>
            <w:tcBorders>
              <w:top w:val="nil"/>
              <w:left w:val="nil"/>
              <w:bottom w:val="nil"/>
              <w:right w:val="nil"/>
            </w:tcBorders>
            <w:shd w:val="clear" w:color="auto" w:fill="auto"/>
            <w:noWrap/>
            <w:vAlign w:val="bottom"/>
          </w:tcPr>
          <w:p w14:paraId="26ED1894" w14:textId="61037499" w:rsidR="00C814B9" w:rsidRPr="00C814B9" w:rsidRDefault="00C814B9" w:rsidP="006E22E7">
            <w:pPr>
              <w:spacing w:after="0" w:line="240" w:lineRule="auto"/>
              <w:ind w:firstLine="0"/>
              <w:rPr>
                <w:rFonts w:eastAsia="Times New Roman"/>
                <w:color w:val="000000"/>
              </w:rPr>
            </w:pPr>
            <w:r w:rsidRPr="00C814B9">
              <w:rPr>
                <w:rFonts w:eastAsia="Times New Roman"/>
                <w:color w:val="000000"/>
              </w:rPr>
              <w:t xml:space="preserve">M </w:t>
            </w:r>
            <w:proofErr w:type="spellStart"/>
            <w:r w:rsidRPr="00C814B9">
              <w:rPr>
                <w:rFonts w:eastAsia="Times New Roman"/>
                <w:color w:val="000000"/>
              </w:rPr>
              <w:t>mmbtu</w:t>
            </w:r>
            <w:proofErr w:type="spellEnd"/>
          </w:p>
        </w:tc>
        <w:tc>
          <w:tcPr>
            <w:tcW w:w="6253" w:type="dxa"/>
            <w:tcBorders>
              <w:top w:val="nil"/>
              <w:left w:val="nil"/>
              <w:bottom w:val="nil"/>
              <w:right w:val="nil"/>
            </w:tcBorders>
            <w:shd w:val="clear" w:color="auto" w:fill="auto"/>
            <w:noWrap/>
            <w:vAlign w:val="bottom"/>
          </w:tcPr>
          <w:p w14:paraId="70D4AA2C" w14:textId="5F4369C6" w:rsidR="00C814B9" w:rsidRPr="00C53F8C" w:rsidRDefault="00C814B9" w:rsidP="006E22E7">
            <w:pPr>
              <w:spacing w:after="0" w:line="240" w:lineRule="auto"/>
              <w:ind w:firstLine="0"/>
              <w:rPr>
                <w:rFonts w:eastAsia="Calibri"/>
              </w:rPr>
            </w:pPr>
            <w:r>
              <w:rPr>
                <w:rFonts w:eastAsia="Calibri"/>
              </w:rPr>
              <w:t>Q</w:t>
            </w:r>
            <w:r w:rsidRPr="00C53F8C">
              <w:rPr>
                <w:rFonts w:eastAsia="Calibri"/>
              </w:rPr>
              <w:t>uantity of natural gas used to produce electricity</w:t>
            </w:r>
          </w:p>
        </w:tc>
      </w:tr>
      <w:tr w:rsidR="00C814B9" w:rsidRPr="0077042D" w14:paraId="50230E79" w14:textId="77777777" w:rsidTr="00806E67">
        <w:trPr>
          <w:trHeight w:val="300"/>
        </w:trPr>
        <w:tc>
          <w:tcPr>
            <w:tcW w:w="1403" w:type="dxa"/>
            <w:tcBorders>
              <w:top w:val="nil"/>
              <w:left w:val="nil"/>
              <w:bottom w:val="nil"/>
              <w:right w:val="nil"/>
            </w:tcBorders>
            <w:shd w:val="clear" w:color="auto" w:fill="auto"/>
            <w:noWrap/>
            <w:vAlign w:val="bottom"/>
          </w:tcPr>
          <w:p w14:paraId="7684CFFE" w14:textId="0C9EBB63"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FF</w:t>
            </w:r>
          </w:p>
        </w:tc>
        <w:tc>
          <w:tcPr>
            <w:tcW w:w="1704" w:type="dxa"/>
            <w:tcBorders>
              <w:top w:val="nil"/>
              <w:left w:val="nil"/>
              <w:bottom w:val="nil"/>
              <w:right w:val="nil"/>
            </w:tcBorders>
            <w:shd w:val="clear" w:color="auto" w:fill="auto"/>
            <w:noWrap/>
            <w:vAlign w:val="bottom"/>
          </w:tcPr>
          <w:p w14:paraId="602C4592" w14:textId="7967AB8C" w:rsidR="00C814B9" w:rsidRPr="00C814B9" w:rsidRDefault="00C814B9" w:rsidP="00C814B9">
            <w:pPr>
              <w:spacing w:after="0" w:line="240" w:lineRule="auto"/>
              <w:ind w:firstLine="0"/>
              <w:rPr>
                <w:rFonts w:eastAsia="Times New Roman"/>
                <w:color w:val="000000"/>
              </w:rPr>
            </w:pPr>
            <w:r w:rsidRPr="00C814B9">
              <w:rPr>
                <w:rFonts w:eastAsia="Times New Roman"/>
                <w:color w:val="000000"/>
              </w:rPr>
              <w:t xml:space="preserve">M </w:t>
            </w:r>
            <w:proofErr w:type="spellStart"/>
            <w:r w:rsidRPr="00C814B9">
              <w:rPr>
                <w:rFonts w:eastAsia="Times New Roman"/>
                <w:color w:val="000000"/>
              </w:rPr>
              <w:t>mmbtu</w:t>
            </w:r>
            <w:proofErr w:type="spellEnd"/>
          </w:p>
        </w:tc>
        <w:tc>
          <w:tcPr>
            <w:tcW w:w="6253" w:type="dxa"/>
            <w:tcBorders>
              <w:top w:val="nil"/>
              <w:left w:val="nil"/>
              <w:bottom w:val="nil"/>
              <w:right w:val="nil"/>
            </w:tcBorders>
            <w:shd w:val="clear" w:color="auto" w:fill="auto"/>
            <w:noWrap/>
            <w:vAlign w:val="bottom"/>
          </w:tcPr>
          <w:p w14:paraId="1D75ED73" w14:textId="47E4896E" w:rsidR="00C814B9" w:rsidRPr="00C53F8C" w:rsidRDefault="00C814B9" w:rsidP="00C814B9">
            <w:pPr>
              <w:spacing w:after="0" w:line="240" w:lineRule="auto"/>
              <w:ind w:firstLine="0"/>
              <w:rPr>
                <w:rFonts w:eastAsia="Calibri"/>
              </w:rPr>
            </w:pPr>
            <w:r>
              <w:rPr>
                <w:rFonts w:eastAsia="Calibri"/>
              </w:rPr>
              <w:t>Q</w:t>
            </w:r>
            <w:r w:rsidRPr="00C53F8C">
              <w:rPr>
                <w:rFonts w:eastAsia="Calibri"/>
              </w:rPr>
              <w:t>uantity of fuel type</w:t>
            </w:r>
            <w:r>
              <w:rPr>
                <w:rFonts w:eastAsia="Calibri"/>
              </w:rPr>
              <w:t xml:space="preserve"> </w:t>
            </w:r>
            <w:r w:rsidRPr="00C53F8C">
              <w:rPr>
                <w:rFonts w:eastAsia="Calibri"/>
              </w:rPr>
              <w:t>used for electricity generation</w:t>
            </w:r>
          </w:p>
        </w:tc>
      </w:tr>
      <w:tr w:rsidR="00C814B9" w:rsidRPr="0077042D" w14:paraId="231B8226" w14:textId="77777777" w:rsidTr="00806E67">
        <w:trPr>
          <w:trHeight w:val="300"/>
        </w:trPr>
        <w:tc>
          <w:tcPr>
            <w:tcW w:w="1403" w:type="dxa"/>
            <w:tcBorders>
              <w:top w:val="nil"/>
              <w:left w:val="nil"/>
              <w:bottom w:val="nil"/>
              <w:right w:val="nil"/>
            </w:tcBorders>
            <w:shd w:val="clear" w:color="auto" w:fill="auto"/>
            <w:noWrap/>
            <w:vAlign w:val="bottom"/>
          </w:tcPr>
          <w:p w14:paraId="50A59D81" w14:textId="034FD134"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QW</w:t>
            </w:r>
          </w:p>
        </w:tc>
        <w:tc>
          <w:tcPr>
            <w:tcW w:w="1704" w:type="dxa"/>
            <w:tcBorders>
              <w:top w:val="nil"/>
              <w:left w:val="nil"/>
              <w:bottom w:val="nil"/>
              <w:right w:val="nil"/>
            </w:tcBorders>
            <w:shd w:val="clear" w:color="auto" w:fill="auto"/>
            <w:noWrap/>
            <w:vAlign w:val="bottom"/>
          </w:tcPr>
          <w:p w14:paraId="7C984E67" w14:textId="06A79EDF" w:rsidR="00C814B9" w:rsidRPr="00C814B9" w:rsidRDefault="00C814B9" w:rsidP="00C814B9">
            <w:pPr>
              <w:spacing w:after="0" w:line="240" w:lineRule="auto"/>
              <w:ind w:firstLine="0"/>
              <w:rPr>
                <w:rFonts w:eastAsia="Times New Roman"/>
                <w:color w:val="000000"/>
              </w:rPr>
            </w:pP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7A04BEE0" w14:textId="1BE3E9C5" w:rsidR="00C814B9" w:rsidRPr="00C53F8C" w:rsidRDefault="00C814B9" w:rsidP="00C814B9">
            <w:pPr>
              <w:spacing w:after="0" w:line="240" w:lineRule="auto"/>
              <w:ind w:firstLine="0"/>
              <w:rPr>
                <w:rFonts w:eastAsia="Calibri"/>
              </w:rPr>
            </w:pPr>
            <w:r>
              <w:rPr>
                <w:rFonts w:eastAsia="Calibri"/>
              </w:rPr>
              <w:t>Q</w:t>
            </w:r>
            <w:r w:rsidRPr="00C53F8C">
              <w:rPr>
                <w:rFonts w:eastAsia="Calibri"/>
              </w:rPr>
              <w:t>uantity of electricity generated from new wind capacity</w:t>
            </w:r>
          </w:p>
        </w:tc>
      </w:tr>
      <w:tr w:rsidR="00C814B9" w:rsidRPr="0077042D" w14:paraId="51C3052A" w14:textId="77777777" w:rsidTr="00806E67">
        <w:trPr>
          <w:trHeight w:val="300"/>
        </w:trPr>
        <w:tc>
          <w:tcPr>
            <w:tcW w:w="1403" w:type="dxa"/>
            <w:tcBorders>
              <w:top w:val="nil"/>
              <w:left w:val="nil"/>
              <w:bottom w:val="nil"/>
              <w:right w:val="nil"/>
            </w:tcBorders>
            <w:shd w:val="clear" w:color="auto" w:fill="auto"/>
            <w:noWrap/>
            <w:vAlign w:val="bottom"/>
          </w:tcPr>
          <w:p w14:paraId="274CFE68" w14:textId="26B0BDB2"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QS</w:t>
            </w:r>
          </w:p>
        </w:tc>
        <w:tc>
          <w:tcPr>
            <w:tcW w:w="1704" w:type="dxa"/>
            <w:tcBorders>
              <w:top w:val="nil"/>
              <w:left w:val="nil"/>
              <w:bottom w:val="nil"/>
              <w:right w:val="nil"/>
            </w:tcBorders>
            <w:shd w:val="clear" w:color="auto" w:fill="auto"/>
            <w:noWrap/>
            <w:vAlign w:val="bottom"/>
          </w:tcPr>
          <w:p w14:paraId="4FC8951A" w14:textId="099F24A4" w:rsidR="00C814B9" w:rsidRDefault="00C814B9" w:rsidP="00C814B9">
            <w:pPr>
              <w:spacing w:after="0" w:line="240" w:lineRule="auto"/>
              <w:ind w:firstLine="0"/>
              <w:rPr>
                <w:rFonts w:eastAsia="Times New Roman"/>
                <w:color w:val="000000"/>
              </w:rPr>
            </w:pP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5D0CDE8F" w14:textId="161B6222" w:rsidR="00C814B9" w:rsidRPr="00C53F8C" w:rsidRDefault="00C814B9" w:rsidP="00C814B9">
            <w:pPr>
              <w:spacing w:after="0" w:line="240" w:lineRule="auto"/>
              <w:ind w:firstLine="0"/>
              <w:rPr>
                <w:rFonts w:eastAsia="Calibri"/>
              </w:rPr>
            </w:pPr>
            <w:r>
              <w:rPr>
                <w:rFonts w:eastAsia="Calibri"/>
              </w:rPr>
              <w:t>Q</w:t>
            </w:r>
            <w:r w:rsidRPr="00C53F8C">
              <w:rPr>
                <w:rFonts w:eastAsia="Calibri"/>
              </w:rPr>
              <w:t>uantity of electricity generated from new solar capacity</w:t>
            </w:r>
          </w:p>
        </w:tc>
      </w:tr>
      <w:tr w:rsidR="00957EC7" w:rsidRPr="0077042D" w14:paraId="09A4989F" w14:textId="77777777" w:rsidTr="00806E67">
        <w:trPr>
          <w:trHeight w:val="300"/>
        </w:trPr>
        <w:tc>
          <w:tcPr>
            <w:tcW w:w="1403" w:type="dxa"/>
            <w:tcBorders>
              <w:top w:val="nil"/>
              <w:left w:val="nil"/>
              <w:bottom w:val="nil"/>
              <w:right w:val="nil"/>
            </w:tcBorders>
            <w:shd w:val="clear" w:color="auto" w:fill="auto"/>
            <w:noWrap/>
            <w:vAlign w:val="bottom"/>
          </w:tcPr>
          <w:p w14:paraId="3C83435C" w14:textId="1A996C9B" w:rsidR="00957EC7" w:rsidRPr="0099742A" w:rsidRDefault="00957EC7" w:rsidP="00C814B9">
            <w:pPr>
              <w:spacing w:after="0" w:line="240" w:lineRule="auto"/>
              <w:ind w:firstLine="0"/>
              <w:rPr>
                <w:rFonts w:eastAsia="Times New Roman"/>
                <w:i/>
                <w:iCs/>
                <w:color w:val="000000"/>
              </w:rPr>
            </w:pPr>
            <w:r w:rsidRPr="0099742A">
              <w:rPr>
                <w:rFonts w:eastAsia="Times New Roman"/>
                <w:i/>
                <w:iCs/>
                <w:color w:val="000000"/>
              </w:rPr>
              <w:t>BE</w:t>
            </w:r>
          </w:p>
        </w:tc>
        <w:tc>
          <w:tcPr>
            <w:tcW w:w="1704" w:type="dxa"/>
            <w:tcBorders>
              <w:top w:val="nil"/>
              <w:left w:val="nil"/>
              <w:bottom w:val="nil"/>
              <w:right w:val="nil"/>
            </w:tcBorders>
            <w:shd w:val="clear" w:color="auto" w:fill="auto"/>
            <w:noWrap/>
            <w:vAlign w:val="bottom"/>
          </w:tcPr>
          <w:p w14:paraId="12BBF1F2" w14:textId="6AB4C796" w:rsidR="00957EC7" w:rsidRDefault="00ED2242" w:rsidP="00C814B9">
            <w:pPr>
              <w:spacing w:after="0" w:line="240" w:lineRule="auto"/>
              <w:ind w:firstLine="0"/>
              <w:rPr>
                <w:rFonts w:eastAsia="Times New Roman"/>
                <w:color w:val="000000"/>
              </w:rPr>
            </w:pPr>
            <w:r>
              <w:rPr>
                <w:rFonts w:eastAsia="Times New Roman"/>
                <w:color w:val="000000"/>
              </w:rPr>
              <w:t>Metric ton</w:t>
            </w:r>
          </w:p>
        </w:tc>
        <w:tc>
          <w:tcPr>
            <w:tcW w:w="6253" w:type="dxa"/>
            <w:tcBorders>
              <w:top w:val="nil"/>
              <w:left w:val="nil"/>
              <w:bottom w:val="nil"/>
              <w:right w:val="nil"/>
            </w:tcBorders>
            <w:shd w:val="clear" w:color="auto" w:fill="auto"/>
            <w:noWrap/>
            <w:vAlign w:val="bottom"/>
          </w:tcPr>
          <w:p w14:paraId="4F3D9C5E" w14:textId="17408B8F" w:rsidR="00957EC7" w:rsidRDefault="00957EC7" w:rsidP="00C814B9">
            <w:pPr>
              <w:spacing w:after="0" w:line="240" w:lineRule="auto"/>
              <w:ind w:firstLine="0"/>
              <w:rPr>
                <w:rFonts w:eastAsia="Calibri"/>
              </w:rPr>
            </w:pPr>
            <w:r>
              <w:rPr>
                <w:rFonts w:eastAsia="Calibri"/>
              </w:rPr>
              <w:t>Q</w:t>
            </w:r>
            <w:r w:rsidRPr="00C53F8C">
              <w:rPr>
                <w:rFonts w:eastAsia="Calibri"/>
              </w:rPr>
              <w:t>uantity of biomass used to generate electricity</w:t>
            </w:r>
          </w:p>
        </w:tc>
      </w:tr>
      <w:tr w:rsidR="00ED2242" w:rsidRPr="0077042D" w14:paraId="60D53B29" w14:textId="77777777" w:rsidTr="00806E67">
        <w:trPr>
          <w:trHeight w:val="300"/>
        </w:trPr>
        <w:tc>
          <w:tcPr>
            <w:tcW w:w="1403" w:type="dxa"/>
            <w:tcBorders>
              <w:top w:val="nil"/>
              <w:left w:val="nil"/>
              <w:bottom w:val="nil"/>
              <w:right w:val="nil"/>
            </w:tcBorders>
            <w:shd w:val="clear" w:color="auto" w:fill="auto"/>
            <w:noWrap/>
            <w:vAlign w:val="bottom"/>
          </w:tcPr>
          <w:p w14:paraId="65E8805F" w14:textId="5D68240B" w:rsidR="00ED2242" w:rsidRPr="0099742A" w:rsidRDefault="00ED2242" w:rsidP="00C814B9">
            <w:pPr>
              <w:spacing w:after="0" w:line="240" w:lineRule="auto"/>
              <w:ind w:firstLine="0"/>
              <w:rPr>
                <w:rFonts w:eastAsia="Times New Roman"/>
                <w:i/>
                <w:iCs/>
                <w:color w:val="000000"/>
              </w:rPr>
            </w:pPr>
            <w:r w:rsidRPr="0099742A">
              <w:rPr>
                <w:rFonts w:eastAsia="Times New Roman"/>
                <w:i/>
                <w:iCs/>
                <w:color w:val="000000"/>
              </w:rPr>
              <w:t>CF</w:t>
            </w:r>
          </w:p>
        </w:tc>
        <w:tc>
          <w:tcPr>
            <w:tcW w:w="1704" w:type="dxa"/>
            <w:tcBorders>
              <w:top w:val="nil"/>
              <w:left w:val="nil"/>
              <w:bottom w:val="nil"/>
              <w:right w:val="nil"/>
            </w:tcBorders>
            <w:shd w:val="clear" w:color="auto" w:fill="auto"/>
            <w:noWrap/>
            <w:vAlign w:val="bottom"/>
          </w:tcPr>
          <w:p w14:paraId="2391B0A7" w14:textId="2D35F3D2" w:rsidR="00ED2242" w:rsidRDefault="00ED2242" w:rsidP="00C814B9">
            <w:pPr>
              <w:spacing w:after="0" w:line="240" w:lineRule="auto"/>
              <w:ind w:firstLine="0"/>
              <w:rPr>
                <w:rFonts w:eastAsia="Times New Roman"/>
                <w:color w:val="000000"/>
              </w:rPr>
            </w:pPr>
            <w:proofErr w:type="spellStart"/>
            <w:r>
              <w:rPr>
                <w:rFonts w:eastAsia="Times New Roman"/>
                <w:color w:val="000000"/>
              </w:rPr>
              <w:t>mW</w:t>
            </w:r>
            <w:proofErr w:type="spellEnd"/>
          </w:p>
        </w:tc>
        <w:tc>
          <w:tcPr>
            <w:tcW w:w="6253" w:type="dxa"/>
            <w:tcBorders>
              <w:top w:val="nil"/>
              <w:left w:val="nil"/>
              <w:bottom w:val="nil"/>
              <w:right w:val="nil"/>
            </w:tcBorders>
            <w:shd w:val="clear" w:color="auto" w:fill="auto"/>
            <w:noWrap/>
            <w:vAlign w:val="bottom"/>
          </w:tcPr>
          <w:p w14:paraId="2732BEFA" w14:textId="374FDACB" w:rsidR="00ED2242" w:rsidRDefault="00ED2242" w:rsidP="00C814B9">
            <w:pPr>
              <w:spacing w:after="0" w:line="240" w:lineRule="auto"/>
              <w:ind w:firstLine="0"/>
              <w:rPr>
                <w:rFonts w:eastAsia="Calibri"/>
              </w:rPr>
            </w:pPr>
            <w:r>
              <w:rPr>
                <w:rFonts w:eastAsia="Calibri"/>
              </w:rPr>
              <w:t>A</w:t>
            </w:r>
            <w:r w:rsidRPr="00C53F8C">
              <w:rPr>
                <w:rFonts w:eastAsia="Calibri"/>
              </w:rPr>
              <w:t>mount of capacity converted for co-firing</w:t>
            </w:r>
          </w:p>
        </w:tc>
      </w:tr>
      <w:tr w:rsidR="00ED2242" w:rsidRPr="0077042D" w14:paraId="4C9F6AE9" w14:textId="77777777" w:rsidTr="00806E67">
        <w:trPr>
          <w:trHeight w:val="300"/>
        </w:trPr>
        <w:tc>
          <w:tcPr>
            <w:tcW w:w="1403" w:type="dxa"/>
            <w:tcBorders>
              <w:top w:val="nil"/>
              <w:left w:val="nil"/>
              <w:bottom w:val="nil"/>
              <w:right w:val="nil"/>
            </w:tcBorders>
            <w:shd w:val="clear" w:color="auto" w:fill="auto"/>
            <w:noWrap/>
            <w:vAlign w:val="bottom"/>
          </w:tcPr>
          <w:p w14:paraId="640B7C26" w14:textId="4B5F8840" w:rsidR="00ED2242" w:rsidRPr="0099742A" w:rsidRDefault="00ED2242" w:rsidP="00C814B9">
            <w:pPr>
              <w:spacing w:after="0" w:line="240" w:lineRule="auto"/>
              <w:ind w:firstLine="0"/>
              <w:rPr>
                <w:rFonts w:eastAsia="Times New Roman"/>
                <w:i/>
                <w:iCs/>
                <w:color w:val="000000"/>
              </w:rPr>
            </w:pPr>
            <w:r w:rsidRPr="0099742A">
              <w:rPr>
                <w:rFonts w:eastAsia="Times New Roman"/>
                <w:i/>
                <w:iCs/>
                <w:color w:val="000000"/>
              </w:rPr>
              <w:t>BT</w:t>
            </w:r>
          </w:p>
        </w:tc>
        <w:tc>
          <w:tcPr>
            <w:tcW w:w="1704" w:type="dxa"/>
            <w:tcBorders>
              <w:top w:val="nil"/>
              <w:left w:val="nil"/>
              <w:bottom w:val="nil"/>
              <w:right w:val="nil"/>
            </w:tcBorders>
            <w:shd w:val="clear" w:color="auto" w:fill="auto"/>
            <w:noWrap/>
            <w:vAlign w:val="bottom"/>
          </w:tcPr>
          <w:p w14:paraId="27A69E2A" w14:textId="5F0C6A42" w:rsidR="00ED2242" w:rsidRDefault="00ED2242" w:rsidP="00C814B9">
            <w:pPr>
              <w:spacing w:after="0" w:line="240" w:lineRule="auto"/>
              <w:ind w:firstLine="0"/>
              <w:rPr>
                <w:rFonts w:eastAsia="Times New Roman"/>
                <w:color w:val="000000"/>
              </w:rPr>
            </w:pPr>
            <w:r>
              <w:rPr>
                <w:rFonts w:eastAsia="Times New Roman"/>
                <w:color w:val="000000"/>
              </w:rPr>
              <w:t>Metric ton</w:t>
            </w:r>
          </w:p>
        </w:tc>
        <w:tc>
          <w:tcPr>
            <w:tcW w:w="6253" w:type="dxa"/>
            <w:tcBorders>
              <w:top w:val="nil"/>
              <w:left w:val="nil"/>
              <w:bottom w:val="nil"/>
              <w:right w:val="nil"/>
            </w:tcBorders>
            <w:shd w:val="clear" w:color="auto" w:fill="auto"/>
            <w:noWrap/>
            <w:vAlign w:val="bottom"/>
          </w:tcPr>
          <w:p w14:paraId="3E0E7B5D" w14:textId="77FE5BF0" w:rsidR="00ED2242" w:rsidRDefault="00ED2242" w:rsidP="00C814B9">
            <w:pPr>
              <w:spacing w:after="0" w:line="240" w:lineRule="auto"/>
              <w:ind w:firstLine="0"/>
              <w:rPr>
                <w:rFonts w:eastAsia="Calibri"/>
              </w:rPr>
            </w:pPr>
            <w:r>
              <w:rPr>
                <w:rFonts w:eastAsia="Calibri"/>
              </w:rPr>
              <w:t>Q</w:t>
            </w:r>
            <w:r w:rsidRPr="00C53F8C">
              <w:rPr>
                <w:rFonts w:eastAsia="Calibri"/>
              </w:rPr>
              <w:t>uantity of biomass transported</w:t>
            </w:r>
          </w:p>
        </w:tc>
      </w:tr>
      <w:tr w:rsidR="00ED2242" w:rsidRPr="0077042D" w14:paraId="65E57AC6" w14:textId="77777777" w:rsidTr="00806E67">
        <w:trPr>
          <w:trHeight w:val="300"/>
        </w:trPr>
        <w:tc>
          <w:tcPr>
            <w:tcW w:w="1403" w:type="dxa"/>
            <w:tcBorders>
              <w:top w:val="nil"/>
              <w:left w:val="nil"/>
              <w:bottom w:val="nil"/>
              <w:right w:val="nil"/>
            </w:tcBorders>
            <w:shd w:val="clear" w:color="auto" w:fill="auto"/>
            <w:noWrap/>
            <w:vAlign w:val="bottom"/>
          </w:tcPr>
          <w:p w14:paraId="5FA5A7AA" w14:textId="00F8BE97" w:rsidR="00ED2242" w:rsidRPr="0099742A" w:rsidRDefault="00ED2242" w:rsidP="00C814B9">
            <w:pPr>
              <w:spacing w:after="0" w:line="240" w:lineRule="auto"/>
              <w:ind w:firstLine="0"/>
              <w:rPr>
                <w:rFonts w:eastAsia="Times New Roman"/>
                <w:i/>
                <w:iCs/>
                <w:color w:val="000000"/>
              </w:rPr>
            </w:pPr>
            <w:r w:rsidRPr="0099742A">
              <w:rPr>
                <w:rFonts w:eastAsia="Times New Roman"/>
                <w:i/>
                <w:iCs/>
                <w:color w:val="000000"/>
              </w:rPr>
              <w:t>DEM</w:t>
            </w:r>
          </w:p>
        </w:tc>
        <w:tc>
          <w:tcPr>
            <w:tcW w:w="1704" w:type="dxa"/>
            <w:tcBorders>
              <w:top w:val="nil"/>
              <w:left w:val="nil"/>
              <w:bottom w:val="nil"/>
              <w:right w:val="nil"/>
            </w:tcBorders>
            <w:shd w:val="clear" w:color="auto" w:fill="auto"/>
            <w:noWrap/>
            <w:vAlign w:val="bottom"/>
          </w:tcPr>
          <w:p w14:paraId="711DFCCC" w14:textId="7377EC05" w:rsidR="00ED2242" w:rsidRDefault="00CD7879" w:rsidP="00C814B9">
            <w:pPr>
              <w:spacing w:after="0" w:line="240" w:lineRule="auto"/>
              <w:ind w:firstLine="0"/>
              <w:rPr>
                <w:rFonts w:eastAsia="Times New Roman"/>
                <w:color w:val="000000"/>
              </w:rPr>
            </w:pPr>
            <w:r>
              <w:rPr>
                <w:rFonts w:eastAsia="Times New Roman"/>
                <w:color w:val="000000"/>
              </w:rPr>
              <w:t>Vary by commodity</w:t>
            </w:r>
          </w:p>
        </w:tc>
        <w:tc>
          <w:tcPr>
            <w:tcW w:w="6253" w:type="dxa"/>
            <w:tcBorders>
              <w:top w:val="nil"/>
              <w:left w:val="nil"/>
              <w:bottom w:val="nil"/>
              <w:right w:val="nil"/>
            </w:tcBorders>
            <w:shd w:val="clear" w:color="auto" w:fill="auto"/>
            <w:noWrap/>
            <w:vAlign w:val="bottom"/>
          </w:tcPr>
          <w:p w14:paraId="2678085C" w14:textId="01EE6D76" w:rsidR="00ED2242" w:rsidRDefault="00ED2242" w:rsidP="00C814B9">
            <w:pPr>
              <w:spacing w:after="0" w:line="240" w:lineRule="auto"/>
              <w:ind w:firstLine="0"/>
              <w:rPr>
                <w:rFonts w:eastAsia="Calibri"/>
              </w:rPr>
            </w:pPr>
            <w:r>
              <w:rPr>
                <w:rFonts w:eastAsia="Calibri"/>
              </w:rPr>
              <w:t xml:space="preserve">Domestic </w:t>
            </w:r>
            <w:r w:rsidR="00CD7879">
              <w:rPr>
                <w:rFonts w:eastAsia="Calibri"/>
              </w:rPr>
              <w:t>demand</w:t>
            </w:r>
          </w:p>
        </w:tc>
      </w:tr>
      <w:tr w:rsidR="00CD7879" w:rsidRPr="0077042D" w14:paraId="0F7C636C" w14:textId="77777777" w:rsidTr="00806E67">
        <w:trPr>
          <w:trHeight w:val="300"/>
        </w:trPr>
        <w:tc>
          <w:tcPr>
            <w:tcW w:w="1403" w:type="dxa"/>
            <w:tcBorders>
              <w:top w:val="nil"/>
              <w:left w:val="nil"/>
              <w:bottom w:val="nil"/>
              <w:right w:val="nil"/>
            </w:tcBorders>
            <w:shd w:val="clear" w:color="auto" w:fill="auto"/>
            <w:noWrap/>
            <w:vAlign w:val="bottom"/>
          </w:tcPr>
          <w:p w14:paraId="2510C8C4" w14:textId="59FE5460"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EXP</w:t>
            </w:r>
          </w:p>
        </w:tc>
        <w:tc>
          <w:tcPr>
            <w:tcW w:w="1704" w:type="dxa"/>
            <w:tcBorders>
              <w:top w:val="nil"/>
              <w:left w:val="nil"/>
              <w:bottom w:val="nil"/>
              <w:right w:val="nil"/>
            </w:tcBorders>
            <w:shd w:val="clear" w:color="auto" w:fill="auto"/>
            <w:noWrap/>
            <w:vAlign w:val="bottom"/>
          </w:tcPr>
          <w:p w14:paraId="0FF2C5B2" w14:textId="30DB2728" w:rsidR="00CD7879" w:rsidRDefault="00CD7879" w:rsidP="00C814B9">
            <w:pPr>
              <w:spacing w:after="0" w:line="240" w:lineRule="auto"/>
              <w:ind w:firstLine="0"/>
              <w:rPr>
                <w:rFonts w:eastAsia="Times New Roman"/>
                <w:color w:val="000000"/>
              </w:rPr>
            </w:pPr>
            <w:r>
              <w:rPr>
                <w:rFonts w:eastAsia="Times New Roman"/>
                <w:color w:val="000000"/>
              </w:rPr>
              <w:t>Vary by commodity</w:t>
            </w:r>
          </w:p>
        </w:tc>
        <w:tc>
          <w:tcPr>
            <w:tcW w:w="6253" w:type="dxa"/>
            <w:tcBorders>
              <w:top w:val="nil"/>
              <w:left w:val="nil"/>
              <w:bottom w:val="nil"/>
              <w:right w:val="nil"/>
            </w:tcBorders>
            <w:shd w:val="clear" w:color="auto" w:fill="auto"/>
            <w:noWrap/>
            <w:vAlign w:val="bottom"/>
          </w:tcPr>
          <w:p w14:paraId="6F9703DF" w14:textId="1F3FF4A4" w:rsidR="00CD7879" w:rsidRDefault="00CD7879" w:rsidP="00C814B9">
            <w:pPr>
              <w:spacing w:after="0" w:line="240" w:lineRule="auto"/>
              <w:ind w:firstLine="0"/>
              <w:rPr>
                <w:rFonts w:eastAsia="Calibri"/>
              </w:rPr>
            </w:pPr>
            <w:r>
              <w:rPr>
                <w:rFonts w:eastAsia="Calibri"/>
              </w:rPr>
              <w:t>Demand for exports</w:t>
            </w:r>
          </w:p>
        </w:tc>
      </w:tr>
      <w:tr w:rsidR="00CD7879" w:rsidRPr="0077042D" w14:paraId="70568E62" w14:textId="77777777" w:rsidTr="00806E67">
        <w:trPr>
          <w:trHeight w:val="300"/>
        </w:trPr>
        <w:tc>
          <w:tcPr>
            <w:tcW w:w="1403" w:type="dxa"/>
            <w:tcBorders>
              <w:top w:val="nil"/>
              <w:left w:val="nil"/>
              <w:bottom w:val="nil"/>
              <w:right w:val="nil"/>
            </w:tcBorders>
            <w:shd w:val="clear" w:color="auto" w:fill="auto"/>
            <w:noWrap/>
            <w:vAlign w:val="bottom"/>
          </w:tcPr>
          <w:p w14:paraId="35A282AB" w14:textId="0F5EAE04"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IMP</w:t>
            </w:r>
          </w:p>
        </w:tc>
        <w:tc>
          <w:tcPr>
            <w:tcW w:w="1704" w:type="dxa"/>
            <w:tcBorders>
              <w:top w:val="nil"/>
              <w:left w:val="nil"/>
              <w:bottom w:val="nil"/>
              <w:right w:val="nil"/>
            </w:tcBorders>
            <w:shd w:val="clear" w:color="auto" w:fill="auto"/>
            <w:noWrap/>
            <w:vAlign w:val="bottom"/>
          </w:tcPr>
          <w:p w14:paraId="367B98FD" w14:textId="5066CC53" w:rsidR="00CD7879" w:rsidRDefault="00CD7879" w:rsidP="00C814B9">
            <w:pPr>
              <w:spacing w:after="0" w:line="240" w:lineRule="auto"/>
              <w:ind w:firstLine="0"/>
              <w:rPr>
                <w:rFonts w:eastAsia="Times New Roman"/>
                <w:color w:val="000000"/>
              </w:rPr>
            </w:pPr>
            <w:r>
              <w:rPr>
                <w:rFonts w:eastAsia="Times New Roman"/>
                <w:color w:val="000000"/>
              </w:rPr>
              <w:t>Vary by commodity</w:t>
            </w:r>
          </w:p>
        </w:tc>
        <w:tc>
          <w:tcPr>
            <w:tcW w:w="6253" w:type="dxa"/>
            <w:tcBorders>
              <w:top w:val="nil"/>
              <w:left w:val="nil"/>
              <w:bottom w:val="nil"/>
              <w:right w:val="nil"/>
            </w:tcBorders>
            <w:shd w:val="clear" w:color="auto" w:fill="auto"/>
            <w:noWrap/>
            <w:vAlign w:val="bottom"/>
          </w:tcPr>
          <w:p w14:paraId="3EA8E499" w14:textId="4BBC2D36" w:rsidR="00CD7879" w:rsidRDefault="00CD7879" w:rsidP="00C814B9">
            <w:pPr>
              <w:spacing w:after="0" w:line="240" w:lineRule="auto"/>
              <w:ind w:firstLine="0"/>
              <w:rPr>
                <w:rFonts w:eastAsia="Calibri"/>
              </w:rPr>
            </w:pPr>
            <w:r>
              <w:rPr>
                <w:rFonts w:eastAsia="Calibri"/>
              </w:rPr>
              <w:t>Import supply</w:t>
            </w:r>
          </w:p>
        </w:tc>
      </w:tr>
      <w:tr w:rsidR="00CD7879" w:rsidRPr="0077042D" w14:paraId="24573F62" w14:textId="77777777" w:rsidTr="00806E67">
        <w:trPr>
          <w:trHeight w:val="300"/>
        </w:trPr>
        <w:tc>
          <w:tcPr>
            <w:tcW w:w="1403" w:type="dxa"/>
            <w:tcBorders>
              <w:top w:val="nil"/>
              <w:left w:val="nil"/>
              <w:bottom w:val="nil"/>
              <w:right w:val="nil"/>
            </w:tcBorders>
            <w:shd w:val="clear" w:color="auto" w:fill="auto"/>
            <w:noWrap/>
            <w:vAlign w:val="bottom"/>
          </w:tcPr>
          <w:p w14:paraId="6A74F171" w14:textId="09B25027"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ACR</w:t>
            </w:r>
          </w:p>
        </w:tc>
        <w:tc>
          <w:tcPr>
            <w:tcW w:w="1704" w:type="dxa"/>
            <w:tcBorders>
              <w:top w:val="nil"/>
              <w:left w:val="nil"/>
              <w:bottom w:val="nil"/>
              <w:right w:val="nil"/>
            </w:tcBorders>
            <w:shd w:val="clear" w:color="auto" w:fill="auto"/>
            <w:noWrap/>
            <w:vAlign w:val="bottom"/>
          </w:tcPr>
          <w:p w14:paraId="235F6600" w14:textId="2BBA56FA" w:rsidR="00CD7879" w:rsidRDefault="00CD7879" w:rsidP="00C814B9">
            <w:pPr>
              <w:spacing w:after="0" w:line="240" w:lineRule="auto"/>
              <w:ind w:firstLine="0"/>
              <w:rPr>
                <w:rFonts w:eastAsia="Times New Roman"/>
                <w:color w:val="000000"/>
              </w:rPr>
            </w:pPr>
            <w:r>
              <w:rPr>
                <w:rFonts w:eastAsia="Times New Roman"/>
                <w:color w:val="000000"/>
              </w:rPr>
              <w:t>acre</w:t>
            </w:r>
          </w:p>
        </w:tc>
        <w:tc>
          <w:tcPr>
            <w:tcW w:w="6253" w:type="dxa"/>
            <w:tcBorders>
              <w:top w:val="nil"/>
              <w:left w:val="nil"/>
              <w:bottom w:val="nil"/>
              <w:right w:val="nil"/>
            </w:tcBorders>
            <w:shd w:val="clear" w:color="auto" w:fill="auto"/>
            <w:noWrap/>
            <w:vAlign w:val="bottom"/>
          </w:tcPr>
          <w:p w14:paraId="1DD8E1B3" w14:textId="27B383EA" w:rsidR="00CD7879" w:rsidRDefault="00CD7879" w:rsidP="00C814B9">
            <w:pPr>
              <w:spacing w:after="0" w:line="240" w:lineRule="auto"/>
              <w:ind w:firstLine="0"/>
              <w:rPr>
                <w:rFonts w:eastAsia="Calibri"/>
              </w:rPr>
            </w:pPr>
            <w:r w:rsidRPr="00C53F8C">
              <w:rPr>
                <w:rFonts w:eastAsia="Calibri"/>
              </w:rPr>
              <w:t>The land allocated to row crops and perennial crops</w:t>
            </w:r>
          </w:p>
        </w:tc>
      </w:tr>
      <w:tr w:rsidR="00CD7879" w:rsidRPr="0077042D" w14:paraId="37551425" w14:textId="77777777" w:rsidTr="00806E67">
        <w:trPr>
          <w:trHeight w:val="300"/>
        </w:trPr>
        <w:tc>
          <w:tcPr>
            <w:tcW w:w="1403" w:type="dxa"/>
            <w:tcBorders>
              <w:top w:val="nil"/>
              <w:left w:val="nil"/>
              <w:bottom w:val="nil"/>
              <w:right w:val="nil"/>
            </w:tcBorders>
            <w:shd w:val="clear" w:color="auto" w:fill="auto"/>
            <w:noWrap/>
            <w:vAlign w:val="bottom"/>
          </w:tcPr>
          <w:p w14:paraId="4D3CA78F" w14:textId="10375F9B"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FR</w:t>
            </w:r>
          </w:p>
        </w:tc>
        <w:tc>
          <w:tcPr>
            <w:tcW w:w="1704" w:type="dxa"/>
            <w:tcBorders>
              <w:top w:val="nil"/>
              <w:left w:val="nil"/>
              <w:bottom w:val="nil"/>
              <w:right w:val="nil"/>
            </w:tcBorders>
            <w:shd w:val="clear" w:color="auto" w:fill="auto"/>
            <w:noWrap/>
            <w:vAlign w:val="bottom"/>
          </w:tcPr>
          <w:p w14:paraId="2AF4EE38" w14:textId="5E0AE5FA" w:rsidR="00CD7879" w:rsidRDefault="00CD7879" w:rsidP="00C814B9">
            <w:pPr>
              <w:spacing w:after="0" w:line="240" w:lineRule="auto"/>
              <w:ind w:firstLine="0"/>
              <w:rPr>
                <w:rFonts w:eastAsia="Times New Roman"/>
                <w:color w:val="000000"/>
              </w:rPr>
            </w:pPr>
            <w:r>
              <w:rPr>
                <w:rFonts w:eastAsia="Times New Roman"/>
                <w:color w:val="000000"/>
              </w:rPr>
              <w:t>Metric ton</w:t>
            </w:r>
          </w:p>
        </w:tc>
        <w:tc>
          <w:tcPr>
            <w:tcW w:w="6253" w:type="dxa"/>
            <w:tcBorders>
              <w:top w:val="nil"/>
              <w:left w:val="nil"/>
              <w:bottom w:val="nil"/>
              <w:right w:val="nil"/>
            </w:tcBorders>
            <w:shd w:val="clear" w:color="auto" w:fill="auto"/>
            <w:noWrap/>
            <w:vAlign w:val="bottom"/>
          </w:tcPr>
          <w:p w14:paraId="1163A8F2" w14:textId="7855BEFE" w:rsidR="00CD7879" w:rsidRPr="00C53F8C" w:rsidRDefault="00CD7879" w:rsidP="00C814B9">
            <w:pPr>
              <w:spacing w:after="0" w:line="240" w:lineRule="auto"/>
              <w:ind w:firstLine="0"/>
              <w:rPr>
                <w:rFonts w:eastAsia="Calibri"/>
              </w:rPr>
            </w:pPr>
            <w:r>
              <w:rPr>
                <w:rFonts w:eastAsia="Calibri"/>
              </w:rPr>
              <w:t xml:space="preserve">Supply of </w:t>
            </w:r>
            <w:r w:rsidRPr="00C53F8C">
              <w:rPr>
                <w:rFonts w:eastAsia="Calibri"/>
              </w:rPr>
              <w:t>forest residues and pulpwood</w:t>
            </w:r>
            <w:r>
              <w:rPr>
                <w:rFonts w:eastAsia="Calibri"/>
              </w:rPr>
              <w:t xml:space="preserve"> </w:t>
            </w:r>
          </w:p>
        </w:tc>
      </w:tr>
      <w:tr w:rsidR="00CD7879" w:rsidRPr="0077042D" w14:paraId="2D052893" w14:textId="77777777" w:rsidTr="00806E67">
        <w:trPr>
          <w:trHeight w:val="300"/>
        </w:trPr>
        <w:tc>
          <w:tcPr>
            <w:tcW w:w="1403" w:type="dxa"/>
            <w:tcBorders>
              <w:top w:val="nil"/>
              <w:left w:val="nil"/>
              <w:bottom w:val="nil"/>
              <w:right w:val="nil"/>
            </w:tcBorders>
            <w:shd w:val="clear" w:color="auto" w:fill="auto"/>
            <w:noWrap/>
            <w:vAlign w:val="bottom"/>
          </w:tcPr>
          <w:p w14:paraId="3BE5D771" w14:textId="15577BE7"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LIV</w:t>
            </w:r>
          </w:p>
        </w:tc>
        <w:tc>
          <w:tcPr>
            <w:tcW w:w="1704" w:type="dxa"/>
            <w:tcBorders>
              <w:top w:val="nil"/>
              <w:left w:val="nil"/>
              <w:bottom w:val="nil"/>
              <w:right w:val="nil"/>
            </w:tcBorders>
            <w:shd w:val="clear" w:color="auto" w:fill="auto"/>
            <w:noWrap/>
            <w:vAlign w:val="bottom"/>
          </w:tcPr>
          <w:p w14:paraId="7B86E16A" w14:textId="44C22C7D" w:rsidR="00CD7879" w:rsidRDefault="00CD7879" w:rsidP="00C814B9">
            <w:pPr>
              <w:spacing w:after="0" w:line="240" w:lineRule="auto"/>
              <w:ind w:firstLine="0"/>
              <w:rPr>
                <w:rFonts w:eastAsia="Times New Roman"/>
                <w:color w:val="000000"/>
              </w:rPr>
            </w:pPr>
            <w:r>
              <w:rPr>
                <w:rFonts w:eastAsia="Times New Roman"/>
                <w:color w:val="000000"/>
              </w:rPr>
              <w:t>head</w:t>
            </w:r>
          </w:p>
        </w:tc>
        <w:tc>
          <w:tcPr>
            <w:tcW w:w="6253" w:type="dxa"/>
            <w:tcBorders>
              <w:top w:val="nil"/>
              <w:left w:val="nil"/>
              <w:bottom w:val="nil"/>
              <w:right w:val="nil"/>
            </w:tcBorders>
            <w:shd w:val="clear" w:color="auto" w:fill="auto"/>
            <w:noWrap/>
            <w:vAlign w:val="bottom"/>
          </w:tcPr>
          <w:p w14:paraId="008297C6" w14:textId="5FDE9D99" w:rsidR="00CD7879" w:rsidRDefault="00CD7879" w:rsidP="00C814B9">
            <w:pPr>
              <w:spacing w:after="0" w:line="240" w:lineRule="auto"/>
              <w:ind w:firstLine="0"/>
              <w:rPr>
                <w:rFonts w:eastAsia="Calibri"/>
              </w:rPr>
            </w:pPr>
            <w:r w:rsidRPr="00C53F8C">
              <w:rPr>
                <w:rFonts w:eastAsia="Calibri"/>
              </w:rPr>
              <w:t>quantity of livestock</w:t>
            </w:r>
          </w:p>
        </w:tc>
      </w:tr>
      <w:tr w:rsidR="00CD7879" w:rsidRPr="0077042D" w14:paraId="41816D91" w14:textId="77777777" w:rsidTr="00806E67">
        <w:trPr>
          <w:trHeight w:val="300"/>
        </w:trPr>
        <w:tc>
          <w:tcPr>
            <w:tcW w:w="1403" w:type="dxa"/>
            <w:tcBorders>
              <w:top w:val="nil"/>
              <w:left w:val="nil"/>
              <w:bottom w:val="nil"/>
              <w:right w:val="nil"/>
            </w:tcBorders>
            <w:shd w:val="clear" w:color="auto" w:fill="auto"/>
            <w:noWrap/>
            <w:vAlign w:val="bottom"/>
          </w:tcPr>
          <w:p w14:paraId="32569E25" w14:textId="700F8EE7"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PRO</w:t>
            </w:r>
          </w:p>
        </w:tc>
        <w:tc>
          <w:tcPr>
            <w:tcW w:w="1704" w:type="dxa"/>
            <w:tcBorders>
              <w:top w:val="nil"/>
              <w:left w:val="nil"/>
              <w:bottom w:val="nil"/>
              <w:right w:val="nil"/>
            </w:tcBorders>
            <w:shd w:val="clear" w:color="auto" w:fill="auto"/>
            <w:noWrap/>
            <w:vAlign w:val="bottom"/>
          </w:tcPr>
          <w:p w14:paraId="3FFDB5ED" w14:textId="23D4B3E3" w:rsidR="00CD7879" w:rsidRDefault="004E389B" w:rsidP="00C814B9">
            <w:pPr>
              <w:spacing w:after="0" w:line="240" w:lineRule="auto"/>
              <w:ind w:firstLine="0"/>
              <w:rPr>
                <w:rFonts w:eastAsia="Times New Roman"/>
                <w:color w:val="000000"/>
              </w:rPr>
            </w:pPr>
            <w:r>
              <w:rPr>
                <w:rFonts w:eastAsia="Times New Roman"/>
                <w:color w:val="000000"/>
              </w:rPr>
              <w:t>Vary by commodity</w:t>
            </w:r>
          </w:p>
        </w:tc>
        <w:tc>
          <w:tcPr>
            <w:tcW w:w="6253" w:type="dxa"/>
            <w:tcBorders>
              <w:top w:val="nil"/>
              <w:left w:val="nil"/>
              <w:bottom w:val="nil"/>
              <w:right w:val="nil"/>
            </w:tcBorders>
            <w:shd w:val="clear" w:color="auto" w:fill="auto"/>
            <w:noWrap/>
            <w:vAlign w:val="bottom"/>
          </w:tcPr>
          <w:p w14:paraId="03391FB1" w14:textId="147270E5" w:rsidR="00CD7879" w:rsidRPr="00C53F8C" w:rsidRDefault="004E389B" w:rsidP="00C814B9">
            <w:pPr>
              <w:spacing w:after="0" w:line="240" w:lineRule="auto"/>
              <w:ind w:firstLine="0"/>
              <w:rPr>
                <w:rFonts w:eastAsia="Calibri"/>
              </w:rPr>
            </w:pPr>
            <w:r w:rsidRPr="00C53F8C">
              <w:rPr>
                <w:rFonts w:eastAsia="Calibri"/>
              </w:rPr>
              <w:t>primary crop</w:t>
            </w:r>
          </w:p>
        </w:tc>
      </w:tr>
      <w:tr w:rsidR="00CD7879" w:rsidRPr="0077042D" w14:paraId="31ED340D" w14:textId="77777777" w:rsidTr="00806E67">
        <w:trPr>
          <w:trHeight w:val="300"/>
        </w:trPr>
        <w:tc>
          <w:tcPr>
            <w:tcW w:w="1403" w:type="dxa"/>
            <w:tcBorders>
              <w:top w:val="nil"/>
              <w:left w:val="nil"/>
              <w:bottom w:val="nil"/>
              <w:right w:val="nil"/>
            </w:tcBorders>
            <w:shd w:val="clear" w:color="auto" w:fill="auto"/>
            <w:noWrap/>
            <w:vAlign w:val="bottom"/>
          </w:tcPr>
          <w:p w14:paraId="12F1C49B" w14:textId="7E2A04EE" w:rsidR="00CD7879" w:rsidRPr="0099742A" w:rsidRDefault="00CD7879" w:rsidP="00C814B9">
            <w:pPr>
              <w:spacing w:after="0" w:line="240" w:lineRule="auto"/>
              <w:ind w:firstLine="0"/>
              <w:rPr>
                <w:rFonts w:eastAsia="Times New Roman"/>
                <w:i/>
                <w:iCs/>
                <w:color w:val="000000"/>
              </w:rPr>
            </w:pPr>
            <w:r w:rsidRPr="0099742A">
              <w:rPr>
                <w:rFonts w:eastAsia="Times New Roman"/>
                <w:i/>
                <w:iCs/>
                <w:color w:val="000000"/>
              </w:rPr>
              <w:t>BTL</w:t>
            </w:r>
          </w:p>
        </w:tc>
        <w:tc>
          <w:tcPr>
            <w:tcW w:w="1704" w:type="dxa"/>
            <w:tcBorders>
              <w:top w:val="nil"/>
              <w:left w:val="nil"/>
              <w:bottom w:val="nil"/>
              <w:right w:val="nil"/>
            </w:tcBorders>
            <w:shd w:val="clear" w:color="auto" w:fill="auto"/>
            <w:noWrap/>
            <w:vAlign w:val="bottom"/>
          </w:tcPr>
          <w:p w14:paraId="60101E1C" w14:textId="0E355E59" w:rsidR="00CD7879" w:rsidRDefault="00B14202" w:rsidP="00C814B9">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65601407" w14:textId="41F0CF92" w:rsidR="00CD7879" w:rsidRPr="00C53F8C" w:rsidRDefault="00B14202" w:rsidP="00C814B9">
            <w:pPr>
              <w:spacing w:after="0" w:line="240" w:lineRule="auto"/>
              <w:ind w:firstLine="0"/>
              <w:rPr>
                <w:rFonts w:eastAsia="Calibri"/>
              </w:rPr>
            </w:pPr>
            <w:r w:rsidRPr="00C53F8C">
              <w:rPr>
                <w:rFonts w:eastAsia="Calibri"/>
              </w:rPr>
              <w:t>biodiesel produced from biomass</w:t>
            </w:r>
          </w:p>
        </w:tc>
      </w:tr>
      <w:tr w:rsidR="00A36943" w:rsidRPr="0077042D" w14:paraId="75C6EB01" w14:textId="77777777" w:rsidTr="00806E67">
        <w:trPr>
          <w:trHeight w:val="300"/>
        </w:trPr>
        <w:tc>
          <w:tcPr>
            <w:tcW w:w="1403" w:type="dxa"/>
            <w:tcBorders>
              <w:top w:val="nil"/>
              <w:left w:val="nil"/>
              <w:bottom w:val="nil"/>
              <w:right w:val="nil"/>
            </w:tcBorders>
            <w:shd w:val="clear" w:color="auto" w:fill="auto"/>
            <w:noWrap/>
            <w:vAlign w:val="bottom"/>
          </w:tcPr>
          <w:p w14:paraId="5813CD0A" w14:textId="18DBEEE7" w:rsidR="00A36943" w:rsidRPr="0099742A" w:rsidRDefault="00A36943" w:rsidP="00C814B9">
            <w:pPr>
              <w:spacing w:after="0" w:line="240" w:lineRule="auto"/>
              <w:ind w:firstLine="0"/>
              <w:rPr>
                <w:rFonts w:eastAsia="Times New Roman"/>
                <w:i/>
                <w:iCs/>
                <w:color w:val="000000"/>
              </w:rPr>
            </w:pPr>
            <w:r w:rsidRPr="0099742A">
              <w:rPr>
                <w:rFonts w:eastAsia="Times New Roman"/>
                <w:i/>
                <w:iCs/>
                <w:color w:val="000000"/>
              </w:rPr>
              <w:t>OILDSL</w:t>
            </w:r>
          </w:p>
        </w:tc>
        <w:tc>
          <w:tcPr>
            <w:tcW w:w="1704" w:type="dxa"/>
            <w:tcBorders>
              <w:top w:val="nil"/>
              <w:left w:val="nil"/>
              <w:bottom w:val="nil"/>
              <w:right w:val="nil"/>
            </w:tcBorders>
            <w:shd w:val="clear" w:color="auto" w:fill="auto"/>
            <w:noWrap/>
            <w:vAlign w:val="bottom"/>
          </w:tcPr>
          <w:p w14:paraId="0AADD7DF" w14:textId="43A1AFC9" w:rsidR="00A36943" w:rsidRDefault="00B14202" w:rsidP="00C814B9">
            <w:pPr>
              <w:spacing w:after="0" w:line="240" w:lineRule="auto"/>
              <w:ind w:firstLine="0"/>
              <w:rPr>
                <w:rFonts w:eastAsia="Times New Roman"/>
                <w:color w:val="000000"/>
              </w:rPr>
            </w:pPr>
            <w:r>
              <w:rPr>
                <w:rFonts w:eastAsia="Times New Roman"/>
                <w:color w:val="000000"/>
              </w:rPr>
              <w:t>gallon</w:t>
            </w:r>
          </w:p>
        </w:tc>
        <w:tc>
          <w:tcPr>
            <w:tcW w:w="6253" w:type="dxa"/>
            <w:tcBorders>
              <w:top w:val="nil"/>
              <w:left w:val="nil"/>
              <w:bottom w:val="nil"/>
              <w:right w:val="nil"/>
            </w:tcBorders>
            <w:shd w:val="clear" w:color="auto" w:fill="auto"/>
            <w:noWrap/>
            <w:vAlign w:val="bottom"/>
          </w:tcPr>
          <w:p w14:paraId="4A3F3451" w14:textId="3F48CEE3" w:rsidR="00A36943" w:rsidRPr="00C53F8C" w:rsidRDefault="00B14202" w:rsidP="00C814B9">
            <w:pPr>
              <w:spacing w:after="0" w:line="240" w:lineRule="auto"/>
              <w:ind w:firstLine="0"/>
              <w:rPr>
                <w:rFonts w:eastAsia="Calibri"/>
              </w:rPr>
            </w:pPr>
            <w:r w:rsidRPr="00C53F8C">
              <w:rPr>
                <w:rFonts w:eastAsia="Calibri"/>
              </w:rPr>
              <w:t>biodiesel produced from vegetable oils</w:t>
            </w:r>
          </w:p>
        </w:tc>
      </w:tr>
      <w:tr w:rsidR="00C814B9" w:rsidRPr="0077042D" w14:paraId="0FDB99AE" w14:textId="77777777" w:rsidTr="00806E67">
        <w:trPr>
          <w:trHeight w:val="300"/>
        </w:trPr>
        <w:tc>
          <w:tcPr>
            <w:tcW w:w="1403" w:type="dxa"/>
            <w:tcBorders>
              <w:top w:val="nil"/>
              <w:left w:val="nil"/>
              <w:bottom w:val="nil"/>
              <w:right w:val="nil"/>
            </w:tcBorders>
            <w:shd w:val="clear" w:color="auto" w:fill="auto"/>
            <w:noWrap/>
            <w:vAlign w:val="bottom"/>
          </w:tcPr>
          <w:p w14:paraId="4DA85052" w14:textId="3C8D397C"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Q</w:t>
            </w:r>
          </w:p>
        </w:tc>
        <w:tc>
          <w:tcPr>
            <w:tcW w:w="1704" w:type="dxa"/>
            <w:tcBorders>
              <w:top w:val="nil"/>
              <w:left w:val="nil"/>
              <w:bottom w:val="nil"/>
              <w:right w:val="nil"/>
            </w:tcBorders>
            <w:shd w:val="clear" w:color="auto" w:fill="auto"/>
            <w:noWrap/>
            <w:vAlign w:val="bottom"/>
          </w:tcPr>
          <w:p w14:paraId="4D1E361A" w14:textId="4104F6EA" w:rsidR="00C814B9" w:rsidRDefault="00C814B9" w:rsidP="00C814B9">
            <w:pPr>
              <w:spacing w:after="0" w:line="240" w:lineRule="auto"/>
              <w:ind w:firstLine="0"/>
              <w:rPr>
                <w:rFonts w:eastAsia="Times New Roman"/>
                <w:color w:val="000000"/>
              </w:rPr>
            </w:pPr>
            <w:r>
              <w:rPr>
                <w:rFonts w:eastAsia="Times New Roman"/>
                <w:color w:val="000000"/>
              </w:rPr>
              <w:t>%</w:t>
            </w:r>
          </w:p>
        </w:tc>
        <w:tc>
          <w:tcPr>
            <w:tcW w:w="6253" w:type="dxa"/>
            <w:tcBorders>
              <w:top w:val="nil"/>
              <w:left w:val="nil"/>
              <w:bottom w:val="nil"/>
              <w:right w:val="nil"/>
            </w:tcBorders>
            <w:shd w:val="clear" w:color="auto" w:fill="auto"/>
            <w:noWrap/>
            <w:vAlign w:val="bottom"/>
          </w:tcPr>
          <w:p w14:paraId="1B0E54E5" w14:textId="7DF6E964" w:rsidR="00C814B9" w:rsidRDefault="00C814B9" w:rsidP="00C814B9">
            <w:pPr>
              <w:spacing w:after="0" w:line="240" w:lineRule="auto"/>
              <w:ind w:firstLine="0"/>
              <w:rPr>
                <w:rFonts w:eastAsia="Times New Roman"/>
                <w:color w:val="000000"/>
              </w:rPr>
            </w:pPr>
            <w:r>
              <w:rPr>
                <w:rFonts w:eastAsia="Times New Roman"/>
                <w:color w:val="000000"/>
              </w:rPr>
              <w:t xml:space="preserve">Availability of home and work chargers </w:t>
            </w:r>
          </w:p>
        </w:tc>
      </w:tr>
      <w:tr w:rsidR="00C814B9" w:rsidRPr="00E40A8B" w14:paraId="7C01A890" w14:textId="77777777" w:rsidTr="00806E67">
        <w:trPr>
          <w:trHeight w:val="300"/>
        </w:trPr>
        <w:tc>
          <w:tcPr>
            <w:tcW w:w="1403" w:type="dxa"/>
            <w:tcBorders>
              <w:top w:val="nil"/>
              <w:left w:val="nil"/>
              <w:bottom w:val="nil"/>
              <w:right w:val="nil"/>
            </w:tcBorders>
            <w:shd w:val="clear" w:color="auto" w:fill="auto"/>
            <w:noWrap/>
            <w:hideMark/>
          </w:tcPr>
          <w:p w14:paraId="7A59198B" w14:textId="77777777"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X</w:t>
            </w:r>
          </w:p>
        </w:tc>
        <w:tc>
          <w:tcPr>
            <w:tcW w:w="1704" w:type="dxa"/>
            <w:tcBorders>
              <w:top w:val="nil"/>
              <w:left w:val="nil"/>
              <w:bottom w:val="nil"/>
              <w:right w:val="nil"/>
            </w:tcBorders>
            <w:shd w:val="clear" w:color="auto" w:fill="auto"/>
            <w:noWrap/>
            <w:hideMark/>
          </w:tcPr>
          <w:p w14:paraId="4735E773" w14:textId="35332E1D" w:rsidR="00C814B9" w:rsidRPr="00C53F8C" w:rsidRDefault="00A95FD1" w:rsidP="00C814B9">
            <w:pPr>
              <w:spacing w:after="0" w:line="240" w:lineRule="auto"/>
              <w:ind w:firstLine="0"/>
              <w:rPr>
                <w:rFonts w:eastAsia="Times New Roman"/>
                <w:color w:val="000000"/>
              </w:rPr>
            </w:pPr>
            <w:r>
              <w:rPr>
                <w:rFonts w:eastAsia="Times New Roman"/>
                <w:color w:val="000000"/>
              </w:rPr>
              <w:t>kilometers</w:t>
            </w:r>
          </w:p>
        </w:tc>
        <w:tc>
          <w:tcPr>
            <w:tcW w:w="6253" w:type="dxa"/>
            <w:tcBorders>
              <w:top w:val="nil"/>
              <w:left w:val="nil"/>
              <w:bottom w:val="nil"/>
              <w:right w:val="nil"/>
            </w:tcBorders>
            <w:shd w:val="clear" w:color="auto" w:fill="auto"/>
            <w:noWrap/>
            <w:hideMark/>
          </w:tcPr>
          <w:p w14:paraId="79FD0DA7" w14:textId="4C0F4FEC" w:rsidR="00C814B9" w:rsidRPr="00C53F8C" w:rsidRDefault="00C814B9" w:rsidP="00C814B9">
            <w:pPr>
              <w:spacing w:after="0" w:line="240" w:lineRule="auto"/>
              <w:ind w:firstLine="0"/>
              <w:rPr>
                <w:rFonts w:eastAsia="Times New Roman"/>
                <w:color w:val="000000"/>
              </w:rPr>
            </w:pPr>
            <w:r w:rsidRPr="00E40A8B">
              <w:rPr>
                <w:rFonts w:eastAsia="Times New Roman"/>
                <w:color w:val="000000"/>
              </w:rPr>
              <w:t>Random</w:t>
            </w:r>
            <w:r w:rsidRPr="00C53F8C">
              <w:rPr>
                <w:rFonts w:eastAsia="Times New Roman"/>
                <w:color w:val="000000"/>
              </w:rPr>
              <w:t xml:space="preserve"> </w:t>
            </w:r>
            <w:r w:rsidR="00A95FD1">
              <w:rPr>
                <w:rFonts w:eastAsia="Times New Roman"/>
                <w:color w:val="000000"/>
              </w:rPr>
              <w:t>kilometers</w:t>
            </w:r>
            <w:r w:rsidR="00A95FD1" w:rsidRPr="00C53F8C">
              <w:rPr>
                <w:rFonts w:eastAsia="Times New Roman"/>
                <w:color w:val="000000"/>
              </w:rPr>
              <w:t xml:space="preserve"> </w:t>
            </w:r>
            <w:r w:rsidRPr="00C53F8C">
              <w:rPr>
                <w:rFonts w:eastAsia="Times New Roman"/>
                <w:color w:val="000000"/>
              </w:rPr>
              <w:t xml:space="preserve">drawn from the distribution of daily miles driven </w:t>
            </w:r>
          </w:p>
        </w:tc>
      </w:tr>
      <w:tr w:rsidR="00C814B9" w:rsidRPr="0077042D" w14:paraId="463572E4" w14:textId="77777777" w:rsidTr="00806E67">
        <w:trPr>
          <w:trHeight w:val="300"/>
        </w:trPr>
        <w:tc>
          <w:tcPr>
            <w:tcW w:w="1403" w:type="dxa"/>
            <w:tcBorders>
              <w:top w:val="nil"/>
              <w:left w:val="nil"/>
              <w:bottom w:val="nil"/>
              <w:right w:val="nil"/>
            </w:tcBorders>
            <w:shd w:val="clear" w:color="auto" w:fill="auto"/>
            <w:noWrap/>
            <w:vAlign w:val="bottom"/>
            <w:hideMark/>
          </w:tcPr>
          <w:p w14:paraId="66ACA7E7" w14:textId="4729B237"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V</w:t>
            </w:r>
            <w:r w:rsidRPr="0099742A">
              <w:rPr>
                <w:rFonts w:eastAsia="Times New Roman"/>
                <w:i/>
                <w:iCs/>
                <w:color w:val="000000"/>
                <w:vertAlign w:val="superscript"/>
              </w:rPr>
              <w:t>t</w:t>
            </w:r>
          </w:p>
        </w:tc>
        <w:tc>
          <w:tcPr>
            <w:tcW w:w="1704" w:type="dxa"/>
            <w:tcBorders>
              <w:top w:val="nil"/>
              <w:left w:val="nil"/>
              <w:bottom w:val="nil"/>
              <w:right w:val="nil"/>
            </w:tcBorders>
            <w:shd w:val="clear" w:color="auto" w:fill="auto"/>
            <w:noWrap/>
            <w:vAlign w:val="bottom"/>
            <w:hideMark/>
          </w:tcPr>
          <w:p w14:paraId="08B2320C"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 per hour</w:t>
            </w:r>
          </w:p>
        </w:tc>
        <w:tc>
          <w:tcPr>
            <w:tcW w:w="6253" w:type="dxa"/>
            <w:tcBorders>
              <w:top w:val="nil"/>
              <w:left w:val="nil"/>
              <w:bottom w:val="nil"/>
              <w:right w:val="nil"/>
            </w:tcBorders>
            <w:shd w:val="clear" w:color="auto" w:fill="auto"/>
            <w:noWrap/>
            <w:vAlign w:val="bottom"/>
            <w:hideMark/>
          </w:tcPr>
          <w:p w14:paraId="3736A3C4" w14:textId="0931A06C" w:rsidR="00C814B9" w:rsidRPr="00C53F8C" w:rsidRDefault="00C814B9" w:rsidP="00C814B9">
            <w:pPr>
              <w:spacing w:after="0" w:line="240" w:lineRule="auto"/>
              <w:ind w:firstLine="0"/>
              <w:rPr>
                <w:rFonts w:eastAsia="Times New Roman"/>
                <w:color w:val="000000"/>
              </w:rPr>
            </w:pPr>
            <w:r w:rsidRPr="00E40A8B">
              <w:rPr>
                <w:rFonts w:eastAsia="Times New Roman"/>
                <w:color w:val="000000"/>
              </w:rPr>
              <w:t>Random</w:t>
            </w:r>
            <w:r w:rsidRPr="00C53F8C">
              <w:rPr>
                <w:rFonts w:eastAsia="Times New Roman"/>
                <w:color w:val="000000"/>
              </w:rPr>
              <w:t xml:space="preserve"> value drawn from the distribution of time value</w:t>
            </w:r>
          </w:p>
        </w:tc>
      </w:tr>
      <w:tr w:rsidR="00C814B9" w:rsidRPr="0077042D" w14:paraId="7CC92CB2" w14:textId="77777777" w:rsidTr="00806E67">
        <w:trPr>
          <w:trHeight w:val="300"/>
        </w:trPr>
        <w:tc>
          <w:tcPr>
            <w:tcW w:w="1403" w:type="dxa"/>
            <w:tcBorders>
              <w:top w:val="nil"/>
              <w:left w:val="nil"/>
              <w:bottom w:val="single" w:sz="4" w:space="0" w:color="auto"/>
              <w:right w:val="nil"/>
            </w:tcBorders>
            <w:shd w:val="clear" w:color="auto" w:fill="auto"/>
            <w:noWrap/>
            <w:vAlign w:val="bottom"/>
            <w:hideMark/>
          </w:tcPr>
          <w:p w14:paraId="0B8562C2" w14:textId="77777777" w:rsidR="00C814B9" w:rsidRPr="0099742A" w:rsidRDefault="00C814B9" w:rsidP="00C814B9">
            <w:pPr>
              <w:spacing w:after="0" w:line="240" w:lineRule="auto"/>
              <w:ind w:firstLine="0"/>
              <w:rPr>
                <w:rFonts w:eastAsia="Times New Roman"/>
                <w:i/>
                <w:iCs/>
                <w:color w:val="000000"/>
              </w:rPr>
            </w:pPr>
            <w:r w:rsidRPr="0099742A">
              <w:rPr>
                <w:rFonts w:eastAsia="Times New Roman"/>
                <w:i/>
                <w:iCs/>
                <w:color w:val="000000"/>
              </w:rPr>
              <w:t>V</w:t>
            </w:r>
          </w:p>
        </w:tc>
        <w:tc>
          <w:tcPr>
            <w:tcW w:w="1704" w:type="dxa"/>
            <w:tcBorders>
              <w:top w:val="nil"/>
              <w:left w:val="nil"/>
              <w:bottom w:val="single" w:sz="4" w:space="0" w:color="auto"/>
              <w:right w:val="nil"/>
            </w:tcBorders>
            <w:shd w:val="clear" w:color="auto" w:fill="auto"/>
            <w:noWrap/>
            <w:vAlign w:val="bottom"/>
            <w:hideMark/>
          </w:tcPr>
          <w:p w14:paraId="172A5C5C" w14:textId="51A18041" w:rsidR="00C814B9" w:rsidRPr="00C53F8C" w:rsidRDefault="00C814B9" w:rsidP="00C814B9">
            <w:pPr>
              <w:spacing w:after="0" w:line="240" w:lineRule="auto"/>
              <w:ind w:firstLine="0"/>
              <w:rPr>
                <w:rFonts w:eastAsia="Times New Roman"/>
                <w:color w:val="000000"/>
              </w:rPr>
            </w:pPr>
            <w:r>
              <w:rPr>
                <w:rFonts w:eastAsia="Times New Roman"/>
                <w:color w:val="000000"/>
              </w:rPr>
              <w:t>$</w:t>
            </w:r>
          </w:p>
        </w:tc>
        <w:tc>
          <w:tcPr>
            <w:tcW w:w="6253" w:type="dxa"/>
            <w:tcBorders>
              <w:top w:val="nil"/>
              <w:left w:val="nil"/>
              <w:bottom w:val="single" w:sz="4" w:space="0" w:color="auto"/>
              <w:right w:val="nil"/>
            </w:tcBorders>
            <w:shd w:val="clear" w:color="auto" w:fill="auto"/>
            <w:noWrap/>
            <w:vAlign w:val="bottom"/>
            <w:hideMark/>
          </w:tcPr>
          <w:p w14:paraId="4F25EB85"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Observed utility</w:t>
            </w:r>
          </w:p>
        </w:tc>
      </w:tr>
      <w:tr w:rsidR="00C814B9" w:rsidRPr="0077042D" w14:paraId="06B96E64" w14:textId="77777777" w:rsidTr="00806E67">
        <w:trPr>
          <w:trHeight w:val="300"/>
        </w:trPr>
        <w:tc>
          <w:tcPr>
            <w:tcW w:w="3107" w:type="dxa"/>
            <w:gridSpan w:val="2"/>
            <w:tcBorders>
              <w:top w:val="single" w:sz="4" w:space="0" w:color="auto"/>
              <w:left w:val="nil"/>
              <w:right w:val="nil"/>
            </w:tcBorders>
            <w:shd w:val="clear" w:color="auto" w:fill="auto"/>
            <w:noWrap/>
            <w:vAlign w:val="bottom"/>
            <w:hideMark/>
          </w:tcPr>
          <w:p w14:paraId="4CC4B1A2" w14:textId="4D4DF9E7" w:rsidR="00C814B9" w:rsidRPr="00C53F8C" w:rsidRDefault="00C814B9" w:rsidP="00C814B9">
            <w:pPr>
              <w:spacing w:after="0" w:line="240" w:lineRule="auto"/>
              <w:ind w:firstLine="0"/>
              <w:rPr>
                <w:rFonts w:eastAsia="Times New Roman"/>
                <w:color w:val="000000"/>
              </w:rPr>
            </w:pPr>
            <w:r>
              <w:rPr>
                <w:rFonts w:eastAsia="Times New Roman"/>
                <w:color w:val="000000"/>
              </w:rPr>
              <w:t>Exogenous Parameter</w:t>
            </w:r>
          </w:p>
        </w:tc>
        <w:tc>
          <w:tcPr>
            <w:tcW w:w="6253" w:type="dxa"/>
            <w:tcBorders>
              <w:top w:val="single" w:sz="4" w:space="0" w:color="auto"/>
              <w:left w:val="nil"/>
              <w:right w:val="nil"/>
            </w:tcBorders>
            <w:shd w:val="clear" w:color="auto" w:fill="auto"/>
            <w:noWrap/>
            <w:vAlign w:val="bottom"/>
            <w:hideMark/>
          </w:tcPr>
          <w:p w14:paraId="30DF6F31"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 </w:t>
            </w:r>
          </w:p>
        </w:tc>
      </w:tr>
      <w:tr w:rsidR="00C814B9" w:rsidRPr="00E40A8B" w14:paraId="1F85DA42" w14:textId="77777777" w:rsidTr="00806E67">
        <w:trPr>
          <w:trHeight w:val="300"/>
        </w:trPr>
        <w:tc>
          <w:tcPr>
            <w:tcW w:w="1403" w:type="dxa"/>
            <w:tcBorders>
              <w:top w:val="single" w:sz="4" w:space="0" w:color="auto"/>
              <w:left w:val="nil"/>
              <w:bottom w:val="nil"/>
              <w:right w:val="nil"/>
            </w:tcBorders>
            <w:shd w:val="clear" w:color="auto" w:fill="auto"/>
            <w:noWrap/>
            <w:vAlign w:val="bottom"/>
          </w:tcPr>
          <w:p w14:paraId="414485E9" w14:textId="03D58969" w:rsidR="00C814B9" w:rsidRPr="0099742A" w:rsidDel="005F3CFA" w:rsidRDefault="005278D0" w:rsidP="00C814B9">
            <w:pPr>
              <w:spacing w:after="0" w:line="240" w:lineRule="auto"/>
              <w:ind w:firstLine="0"/>
              <w:rPr>
                <w:rFonts w:eastAsia="Times New Roman"/>
                <w:i/>
                <w:color w:val="000000"/>
              </w:rPr>
            </w:pPr>
            <m:oMathPara>
              <m:oMathParaPr>
                <m:jc m:val="left"/>
              </m:oMathParaPr>
              <m:oMath>
                <m:r>
                  <w:rPr>
                    <w:rFonts w:ascii="Cambria Math" w:hAnsi="Cambria Math"/>
                  </w:rPr>
                  <w:lastRenderedPageBreak/>
                  <m:t>ϕ</m:t>
                </m:r>
              </m:oMath>
            </m:oMathPara>
          </w:p>
        </w:tc>
        <w:tc>
          <w:tcPr>
            <w:tcW w:w="1704" w:type="dxa"/>
            <w:tcBorders>
              <w:top w:val="single" w:sz="4" w:space="0" w:color="auto"/>
              <w:left w:val="nil"/>
              <w:bottom w:val="nil"/>
              <w:right w:val="nil"/>
            </w:tcBorders>
            <w:shd w:val="clear" w:color="auto" w:fill="auto"/>
            <w:noWrap/>
            <w:vAlign w:val="bottom"/>
          </w:tcPr>
          <w:p w14:paraId="7CD209DE" w14:textId="1FA98334" w:rsidR="00C814B9" w:rsidRPr="007710B9" w:rsidDel="005F3CFA" w:rsidRDefault="00C814B9" w:rsidP="00C814B9">
            <w:pPr>
              <w:spacing w:after="0" w:line="240" w:lineRule="auto"/>
              <w:ind w:firstLine="0"/>
              <w:rPr>
                <w:rFonts w:eastAsia="Times New Roman"/>
                <w:color w:val="000000"/>
              </w:rPr>
            </w:pPr>
            <w:r w:rsidRPr="00C76593">
              <w:rPr>
                <w:rFonts w:eastAsia="Times New Roman"/>
                <w:color w:val="000000"/>
              </w:rPr>
              <w:t>$ per vehicle</w:t>
            </w:r>
          </w:p>
        </w:tc>
        <w:tc>
          <w:tcPr>
            <w:tcW w:w="6253" w:type="dxa"/>
            <w:tcBorders>
              <w:top w:val="single" w:sz="4" w:space="0" w:color="auto"/>
              <w:left w:val="nil"/>
              <w:bottom w:val="nil"/>
              <w:right w:val="nil"/>
            </w:tcBorders>
            <w:shd w:val="clear" w:color="auto" w:fill="auto"/>
            <w:noWrap/>
            <w:vAlign w:val="bottom"/>
          </w:tcPr>
          <w:p w14:paraId="20D17BC4" w14:textId="451B19F0" w:rsidR="00C814B9" w:rsidDel="005F3CFA" w:rsidRDefault="00C814B9" w:rsidP="00C814B9">
            <w:pPr>
              <w:spacing w:after="0" w:line="240" w:lineRule="auto"/>
              <w:ind w:firstLine="0"/>
              <w:rPr>
                <w:rFonts w:eastAsia="Times New Roman"/>
                <w:color w:val="000000"/>
              </w:rPr>
            </w:pPr>
            <w:r w:rsidRPr="00C76593">
              <w:rPr>
                <w:rFonts w:eastAsia="Times New Roman"/>
                <w:color w:val="000000"/>
              </w:rPr>
              <w:t>Purchase price</w:t>
            </w:r>
          </w:p>
        </w:tc>
      </w:tr>
      <w:tr w:rsidR="00C814B9" w:rsidRPr="00E40A8B" w14:paraId="6AB52D3B" w14:textId="77777777" w:rsidTr="00806E67">
        <w:trPr>
          <w:trHeight w:val="300"/>
        </w:trPr>
        <w:tc>
          <w:tcPr>
            <w:tcW w:w="1403" w:type="dxa"/>
            <w:tcBorders>
              <w:top w:val="nil"/>
              <w:left w:val="nil"/>
              <w:bottom w:val="nil"/>
              <w:right w:val="nil"/>
            </w:tcBorders>
            <w:shd w:val="clear" w:color="auto" w:fill="auto"/>
            <w:noWrap/>
            <w:vAlign w:val="bottom"/>
          </w:tcPr>
          <w:p w14:paraId="0659CA32" w14:textId="0A6AA456" w:rsidR="00C814B9" w:rsidRPr="0099742A" w:rsidRDefault="005278D0" w:rsidP="00C814B9">
            <w:pPr>
              <w:spacing w:after="0" w:line="240" w:lineRule="auto"/>
              <w:ind w:firstLine="0"/>
              <w:rPr>
                <w:rFonts w:eastAsia="DengXian"/>
                <w:i/>
              </w:rPr>
            </w:pPr>
            <m:oMathPara>
              <m:oMathParaPr>
                <m:jc m:val="left"/>
              </m:oMathParaPr>
              <m:oMath>
                <m:r>
                  <w:rPr>
                    <w:rFonts w:ascii="Cambria Math" w:hAnsi="Cambria Math"/>
                  </w:rPr>
                  <m:t>η</m:t>
                </m:r>
              </m:oMath>
            </m:oMathPara>
          </w:p>
        </w:tc>
        <w:tc>
          <w:tcPr>
            <w:tcW w:w="1704" w:type="dxa"/>
            <w:tcBorders>
              <w:top w:val="nil"/>
              <w:left w:val="nil"/>
              <w:bottom w:val="nil"/>
              <w:right w:val="nil"/>
            </w:tcBorders>
            <w:shd w:val="clear" w:color="auto" w:fill="auto"/>
            <w:noWrap/>
            <w:vAlign w:val="bottom"/>
          </w:tcPr>
          <w:p w14:paraId="3DAE907E" w14:textId="50F1F079" w:rsidR="00C814B9" w:rsidRPr="00C76593" w:rsidRDefault="00C814B9" w:rsidP="00C814B9">
            <w:pPr>
              <w:spacing w:after="0" w:line="240" w:lineRule="auto"/>
              <w:ind w:firstLine="0"/>
              <w:rPr>
                <w:rFonts w:eastAsia="Times New Roman"/>
                <w:color w:val="000000"/>
              </w:rPr>
            </w:pPr>
            <w:r w:rsidRPr="00C76593">
              <w:rPr>
                <w:rFonts w:eastAsia="Times New Roman"/>
                <w:color w:val="000000"/>
              </w:rPr>
              <w:t xml:space="preserve">$ per </w:t>
            </w:r>
            <w:r w:rsidR="00C44C95">
              <w:rPr>
                <w:rFonts w:eastAsia="Times New Roman"/>
                <w:color w:val="000000"/>
              </w:rPr>
              <w:t>kilometers</w:t>
            </w:r>
          </w:p>
        </w:tc>
        <w:tc>
          <w:tcPr>
            <w:tcW w:w="6253" w:type="dxa"/>
            <w:tcBorders>
              <w:top w:val="nil"/>
              <w:left w:val="nil"/>
              <w:bottom w:val="nil"/>
              <w:right w:val="nil"/>
            </w:tcBorders>
            <w:shd w:val="clear" w:color="auto" w:fill="auto"/>
            <w:noWrap/>
            <w:vAlign w:val="bottom"/>
          </w:tcPr>
          <w:p w14:paraId="6CEA11AE" w14:textId="6A42BF35" w:rsidR="00C814B9" w:rsidRPr="00C76593" w:rsidRDefault="00C814B9" w:rsidP="00C814B9">
            <w:pPr>
              <w:spacing w:after="0" w:line="240" w:lineRule="auto"/>
              <w:ind w:firstLine="0"/>
              <w:rPr>
                <w:rFonts w:eastAsia="Times New Roman"/>
                <w:color w:val="000000"/>
              </w:rPr>
            </w:pPr>
            <w:r>
              <w:rPr>
                <w:rFonts w:eastAsia="Times New Roman"/>
                <w:color w:val="000000"/>
              </w:rPr>
              <w:t>Operational and maintenance cost</w:t>
            </w:r>
          </w:p>
        </w:tc>
      </w:tr>
      <w:tr w:rsidR="00C814B9" w:rsidRPr="00E40A8B" w14:paraId="3EB1D501" w14:textId="77777777" w:rsidTr="00806E67">
        <w:trPr>
          <w:trHeight w:val="300"/>
        </w:trPr>
        <w:tc>
          <w:tcPr>
            <w:tcW w:w="1403" w:type="dxa"/>
            <w:tcBorders>
              <w:top w:val="nil"/>
              <w:left w:val="nil"/>
              <w:bottom w:val="nil"/>
              <w:right w:val="nil"/>
            </w:tcBorders>
            <w:shd w:val="clear" w:color="auto" w:fill="auto"/>
            <w:noWrap/>
            <w:vAlign w:val="bottom"/>
          </w:tcPr>
          <w:p w14:paraId="38ECE4A6" w14:textId="1DEC0299" w:rsidR="00C814B9" w:rsidRPr="0099742A" w:rsidRDefault="00C814B9" w:rsidP="00C814B9">
            <w:pPr>
              <w:spacing w:after="0" w:line="240" w:lineRule="auto"/>
              <w:ind w:firstLine="0"/>
              <w:rPr>
                <w:rFonts w:eastAsia="DengXian"/>
                <w:i/>
              </w:rPr>
            </w:pPr>
            <w:r w:rsidRPr="0099742A">
              <w:rPr>
                <w:rFonts w:eastAsia="DengXian"/>
                <w:i/>
              </w:rPr>
              <w:t>δ</w:t>
            </w:r>
          </w:p>
        </w:tc>
        <w:tc>
          <w:tcPr>
            <w:tcW w:w="1704" w:type="dxa"/>
            <w:tcBorders>
              <w:top w:val="nil"/>
              <w:left w:val="nil"/>
              <w:bottom w:val="nil"/>
              <w:right w:val="nil"/>
            </w:tcBorders>
            <w:shd w:val="clear" w:color="auto" w:fill="auto"/>
            <w:noWrap/>
            <w:vAlign w:val="bottom"/>
          </w:tcPr>
          <w:p w14:paraId="730C76D7" w14:textId="6B8EE07F" w:rsidR="00C814B9" w:rsidRPr="00C76593" w:rsidRDefault="00C814B9" w:rsidP="00C814B9">
            <w:pPr>
              <w:spacing w:after="0" w:line="240" w:lineRule="auto"/>
              <w:ind w:firstLine="0"/>
              <w:rPr>
                <w:rFonts w:eastAsia="Times New Roman"/>
                <w:color w:val="000000"/>
              </w:rPr>
            </w:pPr>
            <w:r>
              <w:rPr>
                <w:rFonts w:eastAsia="Times New Roman"/>
                <w:color w:val="000000"/>
              </w:rPr>
              <w:t>$ per vehicle</w:t>
            </w:r>
          </w:p>
        </w:tc>
        <w:tc>
          <w:tcPr>
            <w:tcW w:w="6253" w:type="dxa"/>
            <w:tcBorders>
              <w:top w:val="nil"/>
              <w:left w:val="nil"/>
              <w:bottom w:val="nil"/>
              <w:right w:val="nil"/>
            </w:tcBorders>
            <w:shd w:val="clear" w:color="auto" w:fill="auto"/>
            <w:noWrap/>
            <w:vAlign w:val="bottom"/>
          </w:tcPr>
          <w:p w14:paraId="4037FB55" w14:textId="27A22F36" w:rsidR="00C814B9" w:rsidRDefault="00C814B9" w:rsidP="00C814B9">
            <w:pPr>
              <w:spacing w:after="0" w:line="240" w:lineRule="auto"/>
              <w:ind w:firstLine="0"/>
              <w:rPr>
                <w:rFonts w:eastAsia="Times New Roman"/>
                <w:color w:val="000000"/>
              </w:rPr>
            </w:pPr>
            <w:r>
              <w:rPr>
                <w:rFonts w:eastAsia="Times New Roman"/>
                <w:color w:val="000000"/>
              </w:rPr>
              <w:t>Annual registration cost</w:t>
            </w:r>
          </w:p>
        </w:tc>
      </w:tr>
      <w:tr w:rsidR="00C814B9" w:rsidRPr="00E40A8B" w14:paraId="214FFE97" w14:textId="77777777" w:rsidTr="00806E67">
        <w:trPr>
          <w:trHeight w:val="300"/>
        </w:trPr>
        <w:tc>
          <w:tcPr>
            <w:tcW w:w="1403" w:type="dxa"/>
            <w:tcBorders>
              <w:top w:val="nil"/>
              <w:left w:val="nil"/>
              <w:bottom w:val="nil"/>
              <w:right w:val="nil"/>
            </w:tcBorders>
            <w:shd w:val="clear" w:color="auto" w:fill="auto"/>
            <w:noWrap/>
            <w:vAlign w:val="bottom"/>
          </w:tcPr>
          <w:p w14:paraId="136768B3" w14:textId="50B63389" w:rsidR="00C814B9" w:rsidRPr="0099742A" w:rsidRDefault="00BB5848" w:rsidP="00C814B9">
            <w:pPr>
              <w:spacing w:after="0" w:line="240" w:lineRule="auto"/>
              <w:ind w:firstLine="0"/>
              <w:rPr>
                <w:rFonts w:eastAsia="Times New Roman"/>
                <w:i/>
                <w:color w:val="000000"/>
              </w:rPr>
            </w:pPr>
            <w:r w:rsidRPr="0099742A">
              <w:rPr>
                <w:rFonts w:eastAsia="Times New Roman"/>
                <w:i/>
                <w:color w:val="000000"/>
              </w:rPr>
              <w:t>Ε</w:t>
            </w:r>
          </w:p>
        </w:tc>
        <w:tc>
          <w:tcPr>
            <w:tcW w:w="1704" w:type="dxa"/>
            <w:tcBorders>
              <w:top w:val="nil"/>
              <w:left w:val="nil"/>
              <w:bottom w:val="nil"/>
              <w:right w:val="nil"/>
            </w:tcBorders>
            <w:shd w:val="clear" w:color="auto" w:fill="auto"/>
            <w:noWrap/>
            <w:vAlign w:val="bottom"/>
          </w:tcPr>
          <w:p w14:paraId="01285720" w14:textId="05C0E44E" w:rsidR="00C814B9" w:rsidRPr="007710B9" w:rsidRDefault="00C814B9" w:rsidP="00C814B9">
            <w:pPr>
              <w:spacing w:after="0" w:line="240" w:lineRule="auto"/>
              <w:ind w:firstLine="0"/>
              <w:rPr>
                <w:rFonts w:eastAsia="Times New Roman"/>
                <w:color w:val="000000"/>
              </w:rPr>
            </w:pPr>
            <w:r w:rsidRPr="007710B9">
              <w:rPr>
                <w:rFonts w:eastAsia="Times New Roman"/>
                <w:color w:val="000000"/>
              </w:rPr>
              <w:t>$</w:t>
            </w:r>
            <w:r w:rsidR="004E389B">
              <w:rPr>
                <w:rFonts w:eastAsia="Times New Roman"/>
                <w:color w:val="000000"/>
              </w:rPr>
              <w:t xml:space="preserve"> per vehicle</w:t>
            </w:r>
          </w:p>
        </w:tc>
        <w:tc>
          <w:tcPr>
            <w:tcW w:w="6253" w:type="dxa"/>
            <w:tcBorders>
              <w:top w:val="nil"/>
              <w:left w:val="nil"/>
              <w:bottom w:val="nil"/>
              <w:right w:val="nil"/>
            </w:tcBorders>
            <w:shd w:val="clear" w:color="auto" w:fill="auto"/>
            <w:noWrap/>
            <w:vAlign w:val="bottom"/>
          </w:tcPr>
          <w:p w14:paraId="03A30DAB" w14:textId="03F81A08" w:rsidR="00C814B9" w:rsidRDefault="00C814B9" w:rsidP="00C814B9">
            <w:pPr>
              <w:spacing w:after="0" w:line="240" w:lineRule="auto"/>
              <w:ind w:firstLine="0"/>
              <w:rPr>
                <w:rFonts w:eastAsia="Times New Roman"/>
                <w:color w:val="000000"/>
              </w:rPr>
            </w:pPr>
            <w:r>
              <w:rPr>
                <w:rFonts w:eastAsia="Times New Roman"/>
                <w:color w:val="000000"/>
              </w:rPr>
              <w:t>E</w:t>
            </w:r>
            <w:r w:rsidRPr="007710B9">
              <w:rPr>
                <w:rFonts w:eastAsia="Times New Roman"/>
                <w:color w:val="000000"/>
              </w:rPr>
              <w:t>rror term</w:t>
            </w:r>
            <w:r>
              <w:rPr>
                <w:rFonts w:eastAsia="Times New Roman"/>
                <w:color w:val="000000"/>
              </w:rPr>
              <w:t xml:space="preserve"> of the random utility</w:t>
            </w:r>
          </w:p>
        </w:tc>
      </w:tr>
      <w:tr w:rsidR="00A36943" w:rsidRPr="00E40A8B" w14:paraId="60A520A5" w14:textId="77777777" w:rsidTr="00806E67">
        <w:trPr>
          <w:trHeight w:val="300"/>
        </w:trPr>
        <w:tc>
          <w:tcPr>
            <w:tcW w:w="1403" w:type="dxa"/>
            <w:tcBorders>
              <w:top w:val="nil"/>
              <w:left w:val="nil"/>
              <w:bottom w:val="nil"/>
              <w:right w:val="nil"/>
            </w:tcBorders>
            <w:shd w:val="clear" w:color="auto" w:fill="auto"/>
            <w:noWrap/>
            <w:vAlign w:val="bottom"/>
          </w:tcPr>
          <w:p w14:paraId="141AE73F" w14:textId="066F5089" w:rsidR="00A36943" w:rsidRPr="0099742A" w:rsidRDefault="005278D0" w:rsidP="00C814B9">
            <w:pPr>
              <w:spacing w:after="0" w:line="240" w:lineRule="auto"/>
              <w:ind w:firstLine="0"/>
              <w:rPr>
                <w:rFonts w:eastAsia="Times New Roman"/>
                <w:i/>
                <w:color w:val="000000"/>
              </w:rPr>
            </w:pPr>
            <m:oMath>
              <m:r>
                <w:rPr>
                  <w:rFonts w:ascii="Cambria Math" w:hAnsi="Cambria Math"/>
                </w:rPr>
                <m:t>π</m:t>
              </m:r>
            </m:oMath>
            <w:r w:rsidR="00A36943" w:rsidRPr="0099742A">
              <w:rPr>
                <w:rFonts w:eastAsia="Times New Roman"/>
                <w:i/>
              </w:rPr>
              <w:t xml:space="preserve"> </w:t>
            </w:r>
          </w:p>
        </w:tc>
        <w:tc>
          <w:tcPr>
            <w:tcW w:w="1704" w:type="dxa"/>
            <w:tcBorders>
              <w:top w:val="nil"/>
              <w:left w:val="nil"/>
              <w:bottom w:val="nil"/>
              <w:right w:val="nil"/>
            </w:tcBorders>
            <w:shd w:val="clear" w:color="auto" w:fill="auto"/>
            <w:noWrap/>
            <w:vAlign w:val="bottom"/>
          </w:tcPr>
          <w:p w14:paraId="672612F5" w14:textId="77777777" w:rsidR="00A36943" w:rsidRPr="007710B9" w:rsidRDefault="00A36943"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3AB22E40" w14:textId="27CBD730" w:rsidR="00A36943" w:rsidRDefault="00B14202" w:rsidP="00C814B9">
            <w:pPr>
              <w:spacing w:after="0" w:line="240" w:lineRule="auto"/>
              <w:ind w:firstLine="0"/>
              <w:rPr>
                <w:rFonts w:eastAsia="Times New Roman"/>
                <w:color w:val="000000"/>
              </w:rPr>
            </w:pPr>
            <w:r>
              <w:t>depreciation factor</w:t>
            </w:r>
          </w:p>
        </w:tc>
      </w:tr>
      <w:tr w:rsidR="00C814B9" w:rsidRPr="00E40A8B" w14:paraId="7937F50D" w14:textId="77777777" w:rsidTr="00806E67">
        <w:trPr>
          <w:trHeight w:val="300"/>
        </w:trPr>
        <w:tc>
          <w:tcPr>
            <w:tcW w:w="1403" w:type="dxa"/>
            <w:tcBorders>
              <w:top w:val="nil"/>
              <w:left w:val="nil"/>
              <w:bottom w:val="nil"/>
              <w:right w:val="nil"/>
            </w:tcBorders>
            <w:shd w:val="clear" w:color="auto" w:fill="auto"/>
            <w:noWrap/>
            <w:vAlign w:val="bottom"/>
          </w:tcPr>
          <w:p w14:paraId="61A5C812" w14:textId="5B983130" w:rsidR="00C814B9" w:rsidRPr="0099742A" w:rsidRDefault="00BC19A4" w:rsidP="00C814B9">
            <w:pPr>
              <w:spacing w:after="0" w:line="240" w:lineRule="auto"/>
              <w:ind w:firstLine="0"/>
              <w:rPr>
                <w:rFonts w:eastAsia="Times New Roman"/>
                <w:i/>
                <w:color w:val="000000"/>
              </w:rPr>
            </w:pPr>
            <w:proofErr w:type="spellStart"/>
            <w:r w:rsidRPr="0099742A">
              <w:rPr>
                <w:rFonts w:eastAsia="Times New Roman"/>
                <w:i/>
                <w:color w:val="000000"/>
              </w:rPr>
              <w:t>ec</w:t>
            </w:r>
            <w:proofErr w:type="spellEnd"/>
          </w:p>
        </w:tc>
        <w:tc>
          <w:tcPr>
            <w:tcW w:w="1704" w:type="dxa"/>
            <w:tcBorders>
              <w:top w:val="nil"/>
              <w:left w:val="nil"/>
              <w:bottom w:val="nil"/>
              <w:right w:val="nil"/>
            </w:tcBorders>
            <w:shd w:val="clear" w:color="auto" w:fill="auto"/>
            <w:noWrap/>
            <w:vAlign w:val="bottom"/>
          </w:tcPr>
          <w:p w14:paraId="2FF93EA5" w14:textId="4C78FBC7" w:rsidR="00C814B9" w:rsidRPr="007710B9" w:rsidRDefault="00C814B9" w:rsidP="00C814B9">
            <w:pPr>
              <w:spacing w:after="0" w:line="240" w:lineRule="auto"/>
              <w:ind w:firstLine="0"/>
              <w:rPr>
                <w:rFonts w:eastAsia="Times New Roman"/>
                <w:color w:val="000000"/>
              </w:rPr>
            </w:pPr>
            <w:r>
              <w:rPr>
                <w:rFonts w:eastAsia="Times New Roman"/>
                <w:color w:val="000000"/>
              </w:rPr>
              <w:t xml:space="preserve">$ per </w:t>
            </w: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07E50D32" w14:textId="20F9AE8D" w:rsidR="00C814B9" w:rsidRDefault="00C814B9" w:rsidP="00C814B9">
            <w:pPr>
              <w:spacing w:after="0" w:line="240" w:lineRule="auto"/>
              <w:ind w:firstLine="0"/>
              <w:rPr>
                <w:rFonts w:eastAsia="Times New Roman"/>
                <w:color w:val="000000"/>
              </w:rPr>
            </w:pPr>
            <w:r w:rsidRPr="00C53F8C">
              <w:rPr>
                <w:rFonts w:eastAsia="Calibri"/>
              </w:rPr>
              <w:t>O&amp;M cost for electricity generated</w:t>
            </w:r>
          </w:p>
        </w:tc>
      </w:tr>
      <w:tr w:rsidR="00C814B9" w:rsidRPr="00E40A8B" w14:paraId="04CFD61F" w14:textId="77777777" w:rsidTr="00806E67">
        <w:trPr>
          <w:trHeight w:val="300"/>
        </w:trPr>
        <w:tc>
          <w:tcPr>
            <w:tcW w:w="1403" w:type="dxa"/>
            <w:tcBorders>
              <w:top w:val="nil"/>
              <w:left w:val="nil"/>
              <w:bottom w:val="nil"/>
              <w:right w:val="nil"/>
            </w:tcBorders>
            <w:shd w:val="clear" w:color="auto" w:fill="auto"/>
            <w:noWrap/>
            <w:vAlign w:val="bottom"/>
          </w:tcPr>
          <w:p w14:paraId="7DB3C317" w14:textId="1A8B113B" w:rsidR="00C814B9" w:rsidRPr="0099742A" w:rsidRDefault="00BC19A4" w:rsidP="00C814B9">
            <w:pPr>
              <w:spacing w:after="0" w:line="240" w:lineRule="auto"/>
              <w:ind w:firstLine="0"/>
              <w:rPr>
                <w:rFonts w:eastAsia="Times New Roman"/>
                <w:i/>
                <w:color w:val="000000"/>
              </w:rPr>
            </w:pPr>
            <w:proofErr w:type="spellStart"/>
            <w:r w:rsidRPr="0099742A">
              <w:rPr>
                <w:rFonts w:eastAsia="Times New Roman"/>
                <w:i/>
                <w:color w:val="000000"/>
              </w:rPr>
              <w:t>fp</w:t>
            </w:r>
            <w:proofErr w:type="spellEnd"/>
          </w:p>
        </w:tc>
        <w:tc>
          <w:tcPr>
            <w:tcW w:w="1704" w:type="dxa"/>
            <w:tcBorders>
              <w:top w:val="nil"/>
              <w:left w:val="nil"/>
              <w:bottom w:val="nil"/>
              <w:right w:val="nil"/>
            </w:tcBorders>
            <w:shd w:val="clear" w:color="auto" w:fill="auto"/>
            <w:noWrap/>
            <w:vAlign w:val="bottom"/>
          </w:tcPr>
          <w:p w14:paraId="745032ED" w14:textId="0EB26151" w:rsidR="00C814B9" w:rsidRDefault="00957EC7" w:rsidP="00C814B9">
            <w:pPr>
              <w:spacing w:after="0" w:line="240" w:lineRule="auto"/>
              <w:ind w:firstLine="0"/>
              <w:rPr>
                <w:rFonts w:eastAsia="Times New Roman"/>
                <w:color w:val="000000"/>
              </w:rPr>
            </w:pPr>
            <w:r>
              <w:rPr>
                <w:rFonts w:eastAsia="Times New Roman"/>
                <w:color w:val="000000"/>
              </w:rPr>
              <w:t xml:space="preserve">$ per </w:t>
            </w:r>
            <w:proofErr w:type="spellStart"/>
            <w:r w:rsidRPr="00C814B9">
              <w:rPr>
                <w:rFonts w:eastAsia="Times New Roman"/>
                <w:color w:val="000000"/>
              </w:rPr>
              <w:t>mmbtu</w:t>
            </w:r>
            <w:proofErr w:type="spellEnd"/>
          </w:p>
        </w:tc>
        <w:tc>
          <w:tcPr>
            <w:tcW w:w="6253" w:type="dxa"/>
            <w:tcBorders>
              <w:top w:val="nil"/>
              <w:left w:val="nil"/>
              <w:bottom w:val="nil"/>
              <w:right w:val="nil"/>
            </w:tcBorders>
            <w:shd w:val="clear" w:color="auto" w:fill="auto"/>
            <w:noWrap/>
            <w:vAlign w:val="bottom"/>
          </w:tcPr>
          <w:p w14:paraId="43BEABC1" w14:textId="4D0F231C" w:rsidR="00C814B9" w:rsidRPr="00C53F8C" w:rsidRDefault="00ED2242" w:rsidP="00C814B9">
            <w:pPr>
              <w:spacing w:after="0" w:line="240" w:lineRule="auto"/>
              <w:ind w:firstLine="0"/>
              <w:rPr>
                <w:rFonts w:eastAsia="Calibri"/>
              </w:rPr>
            </w:pPr>
            <w:r>
              <w:rPr>
                <w:rFonts w:eastAsia="Calibri"/>
              </w:rPr>
              <w:t>F</w:t>
            </w:r>
            <w:r w:rsidR="00C814B9" w:rsidRPr="00C53F8C">
              <w:rPr>
                <w:rFonts w:eastAsia="Calibri"/>
              </w:rPr>
              <w:t xml:space="preserve">uel cost </w:t>
            </w:r>
            <w:r w:rsidR="00C814B9">
              <w:rPr>
                <w:rFonts w:eastAsia="Calibri"/>
              </w:rPr>
              <w:t>of coal, fuel oil for electricity production</w:t>
            </w:r>
          </w:p>
        </w:tc>
      </w:tr>
      <w:tr w:rsidR="00C814B9" w:rsidRPr="00E40A8B" w14:paraId="6EA3CAE0" w14:textId="77777777" w:rsidTr="00806E67">
        <w:trPr>
          <w:trHeight w:val="300"/>
        </w:trPr>
        <w:tc>
          <w:tcPr>
            <w:tcW w:w="1403" w:type="dxa"/>
            <w:tcBorders>
              <w:top w:val="nil"/>
              <w:left w:val="nil"/>
              <w:bottom w:val="nil"/>
              <w:right w:val="nil"/>
            </w:tcBorders>
            <w:shd w:val="clear" w:color="auto" w:fill="auto"/>
            <w:noWrap/>
            <w:vAlign w:val="bottom"/>
          </w:tcPr>
          <w:p w14:paraId="0391F264" w14:textId="2970F034"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lc</w:t>
            </w:r>
          </w:p>
        </w:tc>
        <w:tc>
          <w:tcPr>
            <w:tcW w:w="1704" w:type="dxa"/>
            <w:tcBorders>
              <w:top w:val="nil"/>
              <w:left w:val="nil"/>
              <w:bottom w:val="nil"/>
              <w:right w:val="nil"/>
            </w:tcBorders>
            <w:shd w:val="clear" w:color="auto" w:fill="auto"/>
            <w:noWrap/>
            <w:vAlign w:val="bottom"/>
          </w:tcPr>
          <w:p w14:paraId="110C9217" w14:textId="34E36D6B" w:rsidR="00C814B9" w:rsidRDefault="00C814B9" w:rsidP="00C814B9">
            <w:pPr>
              <w:spacing w:after="0" w:line="240" w:lineRule="auto"/>
              <w:ind w:firstLine="0"/>
              <w:rPr>
                <w:rFonts w:eastAsia="Times New Roman"/>
                <w:color w:val="000000"/>
              </w:rPr>
            </w:pPr>
            <w:r>
              <w:rPr>
                <w:rFonts w:eastAsia="Times New Roman"/>
                <w:color w:val="000000"/>
              </w:rPr>
              <w:t xml:space="preserve">$ per </w:t>
            </w:r>
            <w:proofErr w:type="spellStart"/>
            <w:r>
              <w:rPr>
                <w:rFonts w:eastAsia="Times New Roman"/>
                <w:color w:val="000000"/>
              </w:rPr>
              <w:t>mWh</w:t>
            </w:r>
            <w:proofErr w:type="spellEnd"/>
          </w:p>
        </w:tc>
        <w:tc>
          <w:tcPr>
            <w:tcW w:w="6253" w:type="dxa"/>
            <w:tcBorders>
              <w:top w:val="nil"/>
              <w:left w:val="nil"/>
              <w:bottom w:val="nil"/>
              <w:right w:val="nil"/>
            </w:tcBorders>
            <w:shd w:val="clear" w:color="auto" w:fill="auto"/>
            <w:noWrap/>
            <w:vAlign w:val="bottom"/>
          </w:tcPr>
          <w:p w14:paraId="2A4D32D4" w14:textId="1D0075BB" w:rsidR="00C814B9" w:rsidRPr="00C53F8C" w:rsidRDefault="00ED2242" w:rsidP="00C814B9">
            <w:pPr>
              <w:spacing w:after="0" w:line="240" w:lineRule="auto"/>
              <w:ind w:firstLine="0"/>
              <w:rPr>
                <w:rFonts w:eastAsia="Calibri"/>
              </w:rPr>
            </w:pPr>
            <w:r>
              <w:rPr>
                <w:rFonts w:eastAsia="Calibri"/>
              </w:rPr>
              <w:t>L</w:t>
            </w:r>
            <w:r w:rsidRPr="00C53F8C">
              <w:rPr>
                <w:rFonts w:eastAsia="Calibri"/>
              </w:rPr>
              <w:t>evelized cost of generating electricity</w:t>
            </w:r>
          </w:p>
        </w:tc>
      </w:tr>
      <w:tr w:rsidR="00C814B9" w:rsidRPr="00E40A8B" w14:paraId="31FEE806" w14:textId="77777777" w:rsidTr="00806E67">
        <w:trPr>
          <w:trHeight w:val="300"/>
        </w:trPr>
        <w:tc>
          <w:tcPr>
            <w:tcW w:w="1403" w:type="dxa"/>
            <w:tcBorders>
              <w:top w:val="nil"/>
              <w:left w:val="nil"/>
              <w:bottom w:val="nil"/>
              <w:right w:val="nil"/>
            </w:tcBorders>
            <w:shd w:val="clear" w:color="auto" w:fill="auto"/>
            <w:noWrap/>
            <w:vAlign w:val="bottom"/>
          </w:tcPr>
          <w:p w14:paraId="604A29B8" w14:textId="1991B0C0"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np</w:t>
            </w:r>
          </w:p>
        </w:tc>
        <w:tc>
          <w:tcPr>
            <w:tcW w:w="1704" w:type="dxa"/>
            <w:tcBorders>
              <w:top w:val="nil"/>
              <w:left w:val="nil"/>
              <w:bottom w:val="nil"/>
              <w:right w:val="nil"/>
            </w:tcBorders>
            <w:shd w:val="clear" w:color="auto" w:fill="auto"/>
            <w:noWrap/>
            <w:vAlign w:val="bottom"/>
          </w:tcPr>
          <w:p w14:paraId="182F67CA" w14:textId="25781CCA" w:rsidR="00C814B9" w:rsidRDefault="00957EC7" w:rsidP="00C814B9">
            <w:pPr>
              <w:spacing w:after="0" w:line="240" w:lineRule="auto"/>
              <w:ind w:firstLine="0"/>
              <w:rPr>
                <w:rFonts w:eastAsia="Times New Roman"/>
                <w:color w:val="000000"/>
              </w:rPr>
            </w:pPr>
            <w:r>
              <w:rPr>
                <w:rFonts w:eastAsia="Times New Roman"/>
                <w:color w:val="000000"/>
              </w:rPr>
              <w:t xml:space="preserve">$ per </w:t>
            </w:r>
            <w:proofErr w:type="spellStart"/>
            <w:r w:rsidRPr="00C814B9">
              <w:rPr>
                <w:rFonts w:eastAsia="Times New Roman"/>
                <w:color w:val="000000"/>
              </w:rPr>
              <w:t>mmbtu</w:t>
            </w:r>
            <w:proofErr w:type="spellEnd"/>
          </w:p>
        </w:tc>
        <w:tc>
          <w:tcPr>
            <w:tcW w:w="6253" w:type="dxa"/>
            <w:tcBorders>
              <w:top w:val="nil"/>
              <w:left w:val="nil"/>
              <w:bottom w:val="nil"/>
              <w:right w:val="nil"/>
            </w:tcBorders>
            <w:shd w:val="clear" w:color="auto" w:fill="auto"/>
            <w:noWrap/>
            <w:vAlign w:val="bottom"/>
          </w:tcPr>
          <w:p w14:paraId="6DAD7218" w14:textId="62C19B45" w:rsidR="00C814B9" w:rsidRPr="00C53F8C" w:rsidRDefault="00ED2242" w:rsidP="00C814B9">
            <w:pPr>
              <w:spacing w:after="0" w:line="240" w:lineRule="auto"/>
              <w:ind w:firstLine="0"/>
              <w:rPr>
                <w:rFonts w:eastAsia="Calibri"/>
              </w:rPr>
            </w:pPr>
            <w:r>
              <w:rPr>
                <w:rFonts w:eastAsia="Calibri"/>
              </w:rPr>
              <w:t>T</w:t>
            </w:r>
            <w:r w:rsidR="00C814B9" w:rsidRPr="00C53F8C">
              <w:rPr>
                <w:rFonts w:eastAsia="Calibri"/>
              </w:rPr>
              <w:t>ransmission and distribution cost per unit of natural gas</w:t>
            </w:r>
          </w:p>
        </w:tc>
      </w:tr>
      <w:tr w:rsidR="00ED2242" w:rsidRPr="00E40A8B" w14:paraId="1A9DC28C" w14:textId="77777777" w:rsidTr="00806E67">
        <w:trPr>
          <w:trHeight w:val="300"/>
        </w:trPr>
        <w:tc>
          <w:tcPr>
            <w:tcW w:w="1403" w:type="dxa"/>
            <w:tcBorders>
              <w:top w:val="nil"/>
              <w:left w:val="nil"/>
              <w:bottom w:val="nil"/>
              <w:right w:val="nil"/>
            </w:tcBorders>
            <w:shd w:val="clear" w:color="auto" w:fill="auto"/>
            <w:noWrap/>
            <w:vAlign w:val="bottom"/>
          </w:tcPr>
          <w:p w14:paraId="4154A89C" w14:textId="00435344" w:rsidR="00ED2242" w:rsidRPr="005278D0" w:rsidRDefault="00BC19A4" w:rsidP="00C814B9">
            <w:pPr>
              <w:spacing w:after="0" w:line="240" w:lineRule="auto"/>
              <w:ind w:firstLine="0"/>
              <w:rPr>
                <w:rFonts w:eastAsia="Calibri"/>
                <w:i/>
              </w:rPr>
            </w:pPr>
            <w:proofErr w:type="spellStart"/>
            <w:r w:rsidRPr="005278D0">
              <w:rPr>
                <w:rFonts w:eastAsia="Calibri"/>
                <w:i/>
              </w:rPr>
              <w:t>cf</w:t>
            </w:r>
            <w:proofErr w:type="spellEnd"/>
          </w:p>
        </w:tc>
        <w:tc>
          <w:tcPr>
            <w:tcW w:w="1704" w:type="dxa"/>
            <w:tcBorders>
              <w:top w:val="nil"/>
              <w:left w:val="nil"/>
              <w:bottom w:val="nil"/>
              <w:right w:val="nil"/>
            </w:tcBorders>
            <w:shd w:val="clear" w:color="auto" w:fill="auto"/>
            <w:noWrap/>
            <w:vAlign w:val="bottom"/>
          </w:tcPr>
          <w:p w14:paraId="67D54402" w14:textId="361E1BC0" w:rsidR="00ED2242" w:rsidRDefault="00ED2242" w:rsidP="00C814B9">
            <w:pPr>
              <w:spacing w:after="0" w:line="240" w:lineRule="auto"/>
              <w:ind w:firstLine="0"/>
              <w:rPr>
                <w:rFonts w:eastAsia="Times New Roman"/>
                <w:color w:val="000000"/>
              </w:rPr>
            </w:pPr>
            <w:r>
              <w:rPr>
                <w:rFonts w:eastAsia="Times New Roman"/>
                <w:color w:val="000000"/>
              </w:rPr>
              <w:t>$ per MW</w:t>
            </w:r>
          </w:p>
        </w:tc>
        <w:tc>
          <w:tcPr>
            <w:tcW w:w="6253" w:type="dxa"/>
            <w:tcBorders>
              <w:top w:val="nil"/>
              <w:left w:val="nil"/>
              <w:bottom w:val="nil"/>
              <w:right w:val="nil"/>
            </w:tcBorders>
            <w:shd w:val="clear" w:color="auto" w:fill="auto"/>
            <w:noWrap/>
            <w:vAlign w:val="bottom"/>
          </w:tcPr>
          <w:p w14:paraId="7B9EEAAC" w14:textId="2461273D" w:rsidR="00ED2242" w:rsidRPr="00C53F8C" w:rsidRDefault="00ED2242" w:rsidP="00C814B9">
            <w:pPr>
              <w:spacing w:after="0" w:line="240" w:lineRule="auto"/>
              <w:ind w:firstLine="0"/>
              <w:rPr>
                <w:rFonts w:eastAsia="Calibri"/>
              </w:rPr>
            </w:pPr>
            <w:r>
              <w:rPr>
                <w:rFonts w:eastAsia="Calibri"/>
              </w:rPr>
              <w:t>C</w:t>
            </w:r>
            <w:r w:rsidRPr="00C53F8C">
              <w:rPr>
                <w:rFonts w:eastAsia="Calibri"/>
              </w:rPr>
              <w:t>ost of retrofitting a MW of coal plant capacity for co-firing</w:t>
            </w:r>
          </w:p>
        </w:tc>
      </w:tr>
      <w:tr w:rsidR="00ED2242" w:rsidRPr="00E40A8B" w14:paraId="7DEB9B43" w14:textId="77777777" w:rsidTr="00806E67">
        <w:trPr>
          <w:trHeight w:val="300"/>
        </w:trPr>
        <w:tc>
          <w:tcPr>
            <w:tcW w:w="1403" w:type="dxa"/>
            <w:tcBorders>
              <w:top w:val="nil"/>
              <w:left w:val="nil"/>
              <w:bottom w:val="nil"/>
              <w:right w:val="nil"/>
            </w:tcBorders>
            <w:shd w:val="clear" w:color="auto" w:fill="auto"/>
            <w:noWrap/>
            <w:vAlign w:val="bottom"/>
          </w:tcPr>
          <w:p w14:paraId="3C3E498F" w14:textId="4634ABEC" w:rsidR="00ED2242" w:rsidRPr="005278D0" w:rsidRDefault="00BC19A4" w:rsidP="00C814B9">
            <w:pPr>
              <w:spacing w:after="0" w:line="240" w:lineRule="auto"/>
              <w:ind w:firstLine="0"/>
              <w:rPr>
                <w:rFonts w:eastAsia="Calibri"/>
                <w:i/>
              </w:rPr>
            </w:pPr>
            <w:r w:rsidRPr="005278D0">
              <w:rPr>
                <w:rFonts w:eastAsia="Calibri"/>
                <w:i/>
              </w:rPr>
              <w:t>tr</w:t>
            </w:r>
          </w:p>
        </w:tc>
        <w:tc>
          <w:tcPr>
            <w:tcW w:w="1704" w:type="dxa"/>
            <w:tcBorders>
              <w:top w:val="nil"/>
              <w:left w:val="nil"/>
              <w:bottom w:val="nil"/>
              <w:right w:val="nil"/>
            </w:tcBorders>
            <w:shd w:val="clear" w:color="auto" w:fill="auto"/>
            <w:noWrap/>
            <w:vAlign w:val="bottom"/>
          </w:tcPr>
          <w:p w14:paraId="3C98BF3A" w14:textId="17F7C47A" w:rsidR="00ED2242" w:rsidRDefault="00ED2242" w:rsidP="00C814B9">
            <w:pPr>
              <w:spacing w:after="0" w:line="240" w:lineRule="auto"/>
              <w:ind w:firstLine="0"/>
              <w:rPr>
                <w:rFonts w:eastAsia="Times New Roman"/>
                <w:color w:val="000000"/>
              </w:rPr>
            </w:pPr>
            <w:r>
              <w:rPr>
                <w:rFonts w:eastAsia="Times New Roman"/>
                <w:color w:val="000000"/>
              </w:rPr>
              <w:t>$ per metric ton</w:t>
            </w:r>
          </w:p>
        </w:tc>
        <w:tc>
          <w:tcPr>
            <w:tcW w:w="6253" w:type="dxa"/>
            <w:tcBorders>
              <w:top w:val="nil"/>
              <w:left w:val="nil"/>
              <w:bottom w:val="nil"/>
              <w:right w:val="nil"/>
            </w:tcBorders>
            <w:shd w:val="clear" w:color="auto" w:fill="auto"/>
            <w:noWrap/>
            <w:vAlign w:val="bottom"/>
          </w:tcPr>
          <w:p w14:paraId="4AECEA76" w14:textId="411795B0" w:rsidR="00ED2242" w:rsidRPr="00C53F8C" w:rsidRDefault="00ED2242" w:rsidP="00C814B9">
            <w:pPr>
              <w:spacing w:after="0" w:line="240" w:lineRule="auto"/>
              <w:ind w:firstLine="0"/>
              <w:rPr>
                <w:rFonts w:eastAsia="Calibri"/>
              </w:rPr>
            </w:pPr>
            <w:r>
              <w:rPr>
                <w:rFonts w:eastAsia="Calibri"/>
              </w:rPr>
              <w:t>C</w:t>
            </w:r>
            <w:r w:rsidRPr="00C53F8C">
              <w:rPr>
                <w:rFonts w:eastAsia="Calibri"/>
              </w:rPr>
              <w:t>ost of transporting biomass</w:t>
            </w:r>
          </w:p>
        </w:tc>
      </w:tr>
      <w:tr w:rsidR="00CD7879" w:rsidRPr="00E40A8B" w14:paraId="28911889" w14:textId="77777777" w:rsidTr="00806E67">
        <w:trPr>
          <w:trHeight w:val="300"/>
        </w:trPr>
        <w:tc>
          <w:tcPr>
            <w:tcW w:w="1403" w:type="dxa"/>
            <w:tcBorders>
              <w:top w:val="nil"/>
              <w:left w:val="nil"/>
              <w:bottom w:val="nil"/>
              <w:right w:val="nil"/>
            </w:tcBorders>
            <w:shd w:val="clear" w:color="auto" w:fill="auto"/>
            <w:noWrap/>
            <w:vAlign w:val="bottom"/>
          </w:tcPr>
          <w:p w14:paraId="7E749F75" w14:textId="4E5CFF58" w:rsidR="00CD7879" w:rsidRPr="005278D0" w:rsidRDefault="00BC19A4" w:rsidP="00C814B9">
            <w:pPr>
              <w:spacing w:after="0" w:line="240" w:lineRule="auto"/>
              <w:ind w:firstLine="0"/>
              <w:rPr>
                <w:rFonts w:eastAsia="Calibri"/>
                <w:i/>
              </w:rPr>
            </w:pPr>
            <w:proofErr w:type="spellStart"/>
            <w:r w:rsidRPr="005278D0">
              <w:rPr>
                <w:rFonts w:eastAsia="Calibri"/>
                <w:i/>
              </w:rPr>
              <w:t>rc</w:t>
            </w:r>
            <w:proofErr w:type="spellEnd"/>
          </w:p>
        </w:tc>
        <w:tc>
          <w:tcPr>
            <w:tcW w:w="1704" w:type="dxa"/>
            <w:tcBorders>
              <w:top w:val="nil"/>
              <w:left w:val="nil"/>
              <w:bottom w:val="nil"/>
              <w:right w:val="nil"/>
            </w:tcBorders>
            <w:shd w:val="clear" w:color="auto" w:fill="auto"/>
            <w:noWrap/>
            <w:vAlign w:val="bottom"/>
          </w:tcPr>
          <w:p w14:paraId="5B1634A1" w14:textId="61695BA7" w:rsidR="00CD7879" w:rsidRDefault="00CD7879" w:rsidP="00C814B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7DEDD854" w14:textId="7DC67F2C" w:rsidR="00CD7879" w:rsidRDefault="00CD7879" w:rsidP="00C814B9">
            <w:pPr>
              <w:spacing w:after="0" w:line="240" w:lineRule="auto"/>
              <w:ind w:firstLine="0"/>
              <w:rPr>
                <w:rFonts w:eastAsia="Calibri"/>
              </w:rPr>
            </w:pPr>
            <w:r w:rsidRPr="00C53F8C">
              <w:rPr>
                <w:rFonts w:eastAsia="Calibri"/>
              </w:rPr>
              <w:t>production costs of row crops</w:t>
            </w:r>
          </w:p>
        </w:tc>
      </w:tr>
      <w:tr w:rsidR="00CD7879" w:rsidRPr="00E40A8B" w14:paraId="02313BED" w14:textId="77777777" w:rsidTr="00806E67">
        <w:trPr>
          <w:trHeight w:val="300"/>
        </w:trPr>
        <w:tc>
          <w:tcPr>
            <w:tcW w:w="1403" w:type="dxa"/>
            <w:tcBorders>
              <w:top w:val="nil"/>
              <w:left w:val="nil"/>
              <w:bottom w:val="nil"/>
              <w:right w:val="nil"/>
            </w:tcBorders>
            <w:shd w:val="clear" w:color="auto" w:fill="auto"/>
            <w:noWrap/>
            <w:vAlign w:val="bottom"/>
          </w:tcPr>
          <w:p w14:paraId="53A98408" w14:textId="5C46F41F" w:rsidR="00CD7879" w:rsidRPr="005278D0" w:rsidRDefault="00BC19A4" w:rsidP="00C814B9">
            <w:pPr>
              <w:spacing w:after="0" w:line="240" w:lineRule="auto"/>
              <w:ind w:firstLine="0"/>
              <w:rPr>
                <w:rFonts w:eastAsia="Calibri"/>
                <w:i/>
              </w:rPr>
            </w:pPr>
            <w:r w:rsidRPr="005278D0">
              <w:rPr>
                <w:rFonts w:eastAsia="Calibri"/>
                <w:i/>
              </w:rPr>
              <w:t>pc</w:t>
            </w:r>
          </w:p>
        </w:tc>
        <w:tc>
          <w:tcPr>
            <w:tcW w:w="1704" w:type="dxa"/>
            <w:tcBorders>
              <w:top w:val="nil"/>
              <w:left w:val="nil"/>
              <w:bottom w:val="nil"/>
              <w:right w:val="nil"/>
            </w:tcBorders>
            <w:shd w:val="clear" w:color="auto" w:fill="auto"/>
            <w:noWrap/>
            <w:vAlign w:val="bottom"/>
          </w:tcPr>
          <w:p w14:paraId="293B08EA" w14:textId="02F705E3" w:rsidR="00CD7879" w:rsidRDefault="00CD7879" w:rsidP="00C814B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58D1C2F6" w14:textId="00813074" w:rsidR="00CD7879" w:rsidRDefault="00CD7879" w:rsidP="00C814B9">
            <w:pPr>
              <w:spacing w:after="0" w:line="240" w:lineRule="auto"/>
              <w:ind w:firstLine="0"/>
              <w:rPr>
                <w:rFonts w:eastAsia="Calibri"/>
              </w:rPr>
            </w:pPr>
            <w:r w:rsidRPr="00C53F8C">
              <w:rPr>
                <w:rFonts w:eastAsia="Calibri"/>
              </w:rPr>
              <w:t>production costs of perennial crops</w:t>
            </w:r>
          </w:p>
        </w:tc>
      </w:tr>
      <w:tr w:rsidR="00CD7879" w:rsidRPr="00E40A8B" w14:paraId="4A65F234" w14:textId="77777777" w:rsidTr="00806E67">
        <w:trPr>
          <w:trHeight w:val="300"/>
        </w:trPr>
        <w:tc>
          <w:tcPr>
            <w:tcW w:w="1403" w:type="dxa"/>
            <w:tcBorders>
              <w:top w:val="nil"/>
              <w:left w:val="nil"/>
              <w:bottom w:val="nil"/>
              <w:right w:val="nil"/>
            </w:tcBorders>
            <w:shd w:val="clear" w:color="auto" w:fill="auto"/>
            <w:noWrap/>
            <w:vAlign w:val="bottom"/>
          </w:tcPr>
          <w:p w14:paraId="32522152" w14:textId="4EB70902" w:rsidR="00CD7879" w:rsidRPr="005278D0" w:rsidRDefault="00BC19A4" w:rsidP="00CD7879">
            <w:pPr>
              <w:spacing w:after="0" w:line="240" w:lineRule="auto"/>
              <w:ind w:firstLine="0"/>
              <w:rPr>
                <w:rFonts w:eastAsia="Calibri"/>
                <w:i/>
              </w:rPr>
            </w:pPr>
            <w:r w:rsidRPr="005278D0">
              <w:rPr>
                <w:rFonts w:eastAsia="Calibri"/>
                <w:i/>
              </w:rPr>
              <w:t>rs</w:t>
            </w:r>
          </w:p>
        </w:tc>
        <w:tc>
          <w:tcPr>
            <w:tcW w:w="1704" w:type="dxa"/>
            <w:tcBorders>
              <w:top w:val="nil"/>
              <w:left w:val="nil"/>
              <w:bottom w:val="nil"/>
              <w:right w:val="nil"/>
            </w:tcBorders>
            <w:shd w:val="clear" w:color="auto" w:fill="auto"/>
            <w:noWrap/>
            <w:vAlign w:val="bottom"/>
          </w:tcPr>
          <w:p w14:paraId="13D51877" w14:textId="46BAE66C" w:rsidR="00CD7879" w:rsidRDefault="00CD7879" w:rsidP="00CD787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71184041" w14:textId="28EDE231" w:rsidR="00CD7879" w:rsidRPr="00C53F8C" w:rsidRDefault="00CD7879" w:rsidP="00CD7879">
            <w:pPr>
              <w:spacing w:after="0" w:line="240" w:lineRule="auto"/>
              <w:ind w:firstLine="0"/>
              <w:rPr>
                <w:rFonts w:eastAsia="Calibri"/>
              </w:rPr>
            </w:pPr>
            <w:r w:rsidRPr="00C53F8C">
              <w:rPr>
                <w:rFonts w:eastAsia="Calibri"/>
              </w:rPr>
              <w:t>collection costs of crop residues</w:t>
            </w:r>
          </w:p>
        </w:tc>
      </w:tr>
      <w:tr w:rsidR="00CD7879" w:rsidRPr="00E40A8B" w14:paraId="3C7F0CD2" w14:textId="77777777" w:rsidTr="00806E67">
        <w:trPr>
          <w:trHeight w:val="300"/>
        </w:trPr>
        <w:tc>
          <w:tcPr>
            <w:tcW w:w="1403" w:type="dxa"/>
            <w:tcBorders>
              <w:top w:val="nil"/>
              <w:left w:val="nil"/>
              <w:bottom w:val="nil"/>
              <w:right w:val="nil"/>
            </w:tcBorders>
            <w:shd w:val="clear" w:color="auto" w:fill="auto"/>
            <w:noWrap/>
            <w:vAlign w:val="bottom"/>
          </w:tcPr>
          <w:p w14:paraId="637A62C4" w14:textId="348F9488" w:rsidR="00CD7879" w:rsidRPr="005278D0" w:rsidRDefault="00BC19A4" w:rsidP="00CD7879">
            <w:pPr>
              <w:spacing w:after="0" w:line="240" w:lineRule="auto"/>
              <w:ind w:firstLine="0"/>
              <w:rPr>
                <w:rFonts w:eastAsia="Calibri"/>
                <w:i/>
              </w:rPr>
            </w:pPr>
            <w:proofErr w:type="spellStart"/>
            <w:r w:rsidRPr="005278D0">
              <w:rPr>
                <w:rFonts w:eastAsia="Calibri"/>
                <w:i/>
              </w:rPr>
              <w:t>vc</w:t>
            </w:r>
            <w:proofErr w:type="spellEnd"/>
          </w:p>
        </w:tc>
        <w:tc>
          <w:tcPr>
            <w:tcW w:w="1704" w:type="dxa"/>
            <w:tcBorders>
              <w:top w:val="nil"/>
              <w:left w:val="nil"/>
              <w:bottom w:val="nil"/>
              <w:right w:val="nil"/>
            </w:tcBorders>
            <w:shd w:val="clear" w:color="auto" w:fill="auto"/>
            <w:noWrap/>
            <w:vAlign w:val="bottom"/>
          </w:tcPr>
          <w:p w14:paraId="692BE972" w14:textId="0B2690A2" w:rsidR="00CD7879" w:rsidRDefault="00CD7879" w:rsidP="00CD787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54A79800" w14:textId="5C92A64D" w:rsidR="00CD7879" w:rsidRPr="00C53F8C" w:rsidRDefault="00CD7879" w:rsidP="00CD7879">
            <w:pPr>
              <w:spacing w:after="0" w:line="240" w:lineRule="auto"/>
              <w:ind w:firstLine="0"/>
              <w:rPr>
                <w:rFonts w:eastAsia="Calibri"/>
              </w:rPr>
            </w:pPr>
            <w:r w:rsidRPr="00C53F8C">
              <w:rPr>
                <w:rFonts w:eastAsia="Calibri"/>
              </w:rPr>
              <w:t>conversion cost per unit of marginal land</w:t>
            </w:r>
          </w:p>
        </w:tc>
      </w:tr>
      <w:tr w:rsidR="00A36943" w:rsidRPr="00E40A8B" w14:paraId="6EE2DAC6" w14:textId="77777777" w:rsidTr="00806E67">
        <w:trPr>
          <w:trHeight w:val="300"/>
        </w:trPr>
        <w:tc>
          <w:tcPr>
            <w:tcW w:w="1403" w:type="dxa"/>
            <w:tcBorders>
              <w:top w:val="nil"/>
              <w:left w:val="nil"/>
              <w:bottom w:val="nil"/>
              <w:right w:val="nil"/>
            </w:tcBorders>
            <w:shd w:val="clear" w:color="auto" w:fill="auto"/>
            <w:noWrap/>
            <w:vAlign w:val="bottom"/>
          </w:tcPr>
          <w:p w14:paraId="66C4933F" w14:textId="7A90CAD0" w:rsidR="00A36943" w:rsidRPr="005278D0" w:rsidRDefault="00BC19A4" w:rsidP="00CD7879">
            <w:pPr>
              <w:spacing w:after="0" w:line="240" w:lineRule="auto"/>
              <w:ind w:firstLine="0"/>
              <w:rPr>
                <w:rFonts w:eastAsia="Calibri"/>
                <w:i/>
              </w:rPr>
            </w:pPr>
            <w:proofErr w:type="spellStart"/>
            <w:r w:rsidRPr="005278D0">
              <w:rPr>
                <w:rFonts w:eastAsia="Calibri"/>
                <w:i/>
              </w:rPr>
              <w:t>sc</w:t>
            </w:r>
            <w:proofErr w:type="spellEnd"/>
          </w:p>
        </w:tc>
        <w:tc>
          <w:tcPr>
            <w:tcW w:w="1704" w:type="dxa"/>
            <w:tcBorders>
              <w:top w:val="nil"/>
              <w:left w:val="nil"/>
              <w:bottom w:val="nil"/>
              <w:right w:val="nil"/>
            </w:tcBorders>
            <w:shd w:val="clear" w:color="auto" w:fill="auto"/>
            <w:noWrap/>
            <w:vAlign w:val="bottom"/>
          </w:tcPr>
          <w:p w14:paraId="1E51B540" w14:textId="33C47132" w:rsidR="00A36943" w:rsidRDefault="004E389B" w:rsidP="00CD7879">
            <w:pPr>
              <w:spacing w:after="0" w:line="240" w:lineRule="auto"/>
              <w:ind w:firstLine="0"/>
              <w:rPr>
                <w:rFonts w:eastAsia="Times New Roman"/>
                <w:color w:val="000000"/>
              </w:rPr>
            </w:pPr>
            <w:r>
              <w:rPr>
                <w:rFonts w:eastAsia="Times New Roman"/>
                <w:color w:val="000000"/>
              </w:rPr>
              <w:t>Units vary according to crops</w:t>
            </w:r>
          </w:p>
        </w:tc>
        <w:tc>
          <w:tcPr>
            <w:tcW w:w="6253" w:type="dxa"/>
            <w:tcBorders>
              <w:top w:val="nil"/>
              <w:left w:val="nil"/>
              <w:bottom w:val="nil"/>
              <w:right w:val="nil"/>
            </w:tcBorders>
            <w:shd w:val="clear" w:color="auto" w:fill="auto"/>
            <w:noWrap/>
            <w:vAlign w:val="bottom"/>
          </w:tcPr>
          <w:p w14:paraId="3FA3182A" w14:textId="37D03895" w:rsidR="00A36943" w:rsidRPr="00C53F8C" w:rsidRDefault="004E389B" w:rsidP="00CD7879">
            <w:pPr>
              <w:spacing w:after="0" w:line="240" w:lineRule="auto"/>
              <w:ind w:firstLine="0"/>
              <w:rPr>
                <w:rFonts w:eastAsia="Calibri"/>
              </w:rPr>
            </w:pPr>
            <w:r w:rsidRPr="00C53F8C">
              <w:rPr>
                <w:rFonts w:eastAsia="Calibri"/>
              </w:rPr>
              <w:t>processing cost per unit</w:t>
            </w:r>
          </w:p>
        </w:tc>
      </w:tr>
      <w:tr w:rsidR="00A36943" w:rsidRPr="00E40A8B" w14:paraId="4293F01B" w14:textId="77777777" w:rsidTr="00806E67">
        <w:trPr>
          <w:trHeight w:val="300"/>
        </w:trPr>
        <w:tc>
          <w:tcPr>
            <w:tcW w:w="1403" w:type="dxa"/>
            <w:tcBorders>
              <w:top w:val="nil"/>
              <w:left w:val="nil"/>
              <w:bottom w:val="nil"/>
              <w:right w:val="nil"/>
            </w:tcBorders>
            <w:shd w:val="clear" w:color="auto" w:fill="auto"/>
            <w:noWrap/>
            <w:vAlign w:val="bottom"/>
          </w:tcPr>
          <w:p w14:paraId="31DAF054" w14:textId="37EDB766" w:rsidR="00A36943" w:rsidRPr="005278D0" w:rsidRDefault="00BC19A4" w:rsidP="00CD7879">
            <w:pPr>
              <w:spacing w:after="0" w:line="240" w:lineRule="auto"/>
              <w:ind w:firstLine="0"/>
              <w:rPr>
                <w:rFonts w:eastAsia="Calibri"/>
                <w:i/>
              </w:rPr>
            </w:pPr>
            <w:proofErr w:type="spellStart"/>
            <w:r w:rsidRPr="005278D0">
              <w:rPr>
                <w:rFonts w:eastAsia="Calibri"/>
                <w:i/>
              </w:rPr>
              <w:t>ec</w:t>
            </w:r>
            <w:proofErr w:type="spellEnd"/>
          </w:p>
        </w:tc>
        <w:tc>
          <w:tcPr>
            <w:tcW w:w="1704" w:type="dxa"/>
            <w:tcBorders>
              <w:top w:val="nil"/>
              <w:left w:val="nil"/>
              <w:bottom w:val="nil"/>
              <w:right w:val="nil"/>
            </w:tcBorders>
            <w:shd w:val="clear" w:color="auto" w:fill="auto"/>
            <w:noWrap/>
            <w:vAlign w:val="bottom"/>
          </w:tcPr>
          <w:p w14:paraId="3742A54D" w14:textId="75F28D10" w:rsidR="00A36943" w:rsidRDefault="004E389B" w:rsidP="00CD7879">
            <w:pPr>
              <w:spacing w:after="0" w:line="240" w:lineRule="auto"/>
              <w:ind w:firstLine="0"/>
              <w:rPr>
                <w:rFonts w:eastAsia="Times New Roman"/>
                <w:color w:val="000000"/>
              </w:rPr>
            </w:pPr>
            <w:r>
              <w:rPr>
                <w:rFonts w:eastAsia="Times New Roman"/>
                <w:color w:val="000000"/>
              </w:rPr>
              <w:t>$ per gallon</w:t>
            </w:r>
          </w:p>
        </w:tc>
        <w:tc>
          <w:tcPr>
            <w:tcW w:w="6253" w:type="dxa"/>
            <w:tcBorders>
              <w:top w:val="nil"/>
              <w:left w:val="nil"/>
              <w:bottom w:val="nil"/>
              <w:right w:val="nil"/>
            </w:tcBorders>
            <w:shd w:val="clear" w:color="auto" w:fill="auto"/>
            <w:noWrap/>
            <w:vAlign w:val="bottom"/>
          </w:tcPr>
          <w:p w14:paraId="12CC4C33" w14:textId="5AD83300" w:rsidR="00A36943" w:rsidRPr="00C53F8C" w:rsidRDefault="00B14202" w:rsidP="00CD7879">
            <w:pPr>
              <w:spacing w:after="0" w:line="240" w:lineRule="auto"/>
              <w:ind w:firstLine="0"/>
              <w:rPr>
                <w:rFonts w:eastAsia="Calibri"/>
              </w:rPr>
            </w:pPr>
            <w:r w:rsidRPr="00C53F8C">
              <w:rPr>
                <w:rFonts w:eastAsia="Calibri"/>
              </w:rPr>
              <w:t>processing cost</w:t>
            </w:r>
            <w:r>
              <w:rPr>
                <w:rFonts w:eastAsia="Calibri"/>
              </w:rPr>
              <w:t xml:space="preserve"> of corn ethanol</w:t>
            </w:r>
          </w:p>
        </w:tc>
      </w:tr>
      <w:tr w:rsidR="00A36943" w:rsidRPr="00E40A8B" w14:paraId="21C86B59" w14:textId="77777777" w:rsidTr="00806E67">
        <w:trPr>
          <w:trHeight w:val="300"/>
        </w:trPr>
        <w:tc>
          <w:tcPr>
            <w:tcW w:w="1403" w:type="dxa"/>
            <w:tcBorders>
              <w:top w:val="nil"/>
              <w:left w:val="nil"/>
              <w:bottom w:val="nil"/>
              <w:right w:val="nil"/>
            </w:tcBorders>
            <w:shd w:val="clear" w:color="auto" w:fill="auto"/>
            <w:noWrap/>
            <w:vAlign w:val="bottom"/>
          </w:tcPr>
          <w:p w14:paraId="73E10A8D" w14:textId="1F3182CA" w:rsidR="00A36943" w:rsidRPr="005278D0" w:rsidRDefault="00BC19A4" w:rsidP="00CD7879">
            <w:pPr>
              <w:spacing w:after="0" w:line="240" w:lineRule="auto"/>
              <w:ind w:firstLine="0"/>
              <w:rPr>
                <w:rFonts w:eastAsia="Calibri"/>
                <w:i/>
              </w:rPr>
            </w:pPr>
            <w:r w:rsidRPr="005278D0">
              <w:rPr>
                <w:rFonts w:eastAsia="Calibri"/>
                <w:i/>
              </w:rPr>
              <w:t>ex</w:t>
            </w:r>
          </w:p>
        </w:tc>
        <w:tc>
          <w:tcPr>
            <w:tcW w:w="1704" w:type="dxa"/>
            <w:tcBorders>
              <w:top w:val="nil"/>
              <w:left w:val="nil"/>
              <w:bottom w:val="nil"/>
              <w:right w:val="nil"/>
            </w:tcBorders>
            <w:shd w:val="clear" w:color="auto" w:fill="auto"/>
            <w:noWrap/>
            <w:vAlign w:val="bottom"/>
          </w:tcPr>
          <w:p w14:paraId="1B5EACCD" w14:textId="6341246D" w:rsidR="00A36943" w:rsidRDefault="004E389B" w:rsidP="00CD7879">
            <w:pPr>
              <w:spacing w:after="0" w:line="240" w:lineRule="auto"/>
              <w:ind w:firstLine="0"/>
              <w:rPr>
                <w:rFonts w:eastAsia="Times New Roman"/>
                <w:color w:val="000000"/>
              </w:rPr>
            </w:pPr>
            <w:r>
              <w:rPr>
                <w:rFonts w:eastAsia="Times New Roman"/>
                <w:color w:val="000000"/>
              </w:rPr>
              <w:t>$ per gallon</w:t>
            </w:r>
          </w:p>
        </w:tc>
        <w:tc>
          <w:tcPr>
            <w:tcW w:w="6253" w:type="dxa"/>
            <w:tcBorders>
              <w:top w:val="nil"/>
              <w:left w:val="nil"/>
              <w:bottom w:val="nil"/>
              <w:right w:val="nil"/>
            </w:tcBorders>
            <w:shd w:val="clear" w:color="auto" w:fill="auto"/>
            <w:noWrap/>
            <w:vAlign w:val="bottom"/>
          </w:tcPr>
          <w:p w14:paraId="1A17E567" w14:textId="388ECD7E" w:rsidR="00A36943" w:rsidRPr="00C53F8C" w:rsidRDefault="00B14202" w:rsidP="00CD7879">
            <w:pPr>
              <w:spacing w:after="0" w:line="240" w:lineRule="auto"/>
              <w:ind w:firstLine="0"/>
              <w:rPr>
                <w:rFonts w:eastAsia="Calibri"/>
              </w:rPr>
            </w:pPr>
            <w:r w:rsidRPr="00C53F8C">
              <w:rPr>
                <w:rFonts w:eastAsia="Calibri"/>
              </w:rPr>
              <w:t>processing cost</w:t>
            </w:r>
            <w:r>
              <w:rPr>
                <w:rFonts w:eastAsia="Calibri"/>
              </w:rPr>
              <w:t xml:space="preserve"> of cellulosic ethanol</w:t>
            </w:r>
          </w:p>
        </w:tc>
      </w:tr>
      <w:tr w:rsidR="00A36943" w:rsidRPr="00E40A8B" w14:paraId="3595D2A4" w14:textId="77777777" w:rsidTr="00806E67">
        <w:trPr>
          <w:trHeight w:val="300"/>
        </w:trPr>
        <w:tc>
          <w:tcPr>
            <w:tcW w:w="1403" w:type="dxa"/>
            <w:tcBorders>
              <w:top w:val="nil"/>
              <w:left w:val="nil"/>
              <w:bottom w:val="nil"/>
              <w:right w:val="nil"/>
            </w:tcBorders>
            <w:shd w:val="clear" w:color="auto" w:fill="auto"/>
            <w:noWrap/>
            <w:vAlign w:val="bottom"/>
          </w:tcPr>
          <w:p w14:paraId="37DBC7F3" w14:textId="2885DB94" w:rsidR="00A36943" w:rsidRPr="005278D0" w:rsidRDefault="00BC19A4" w:rsidP="00CD7879">
            <w:pPr>
              <w:spacing w:after="0" w:line="240" w:lineRule="auto"/>
              <w:ind w:firstLine="0"/>
              <w:rPr>
                <w:rFonts w:eastAsia="Calibri"/>
                <w:i/>
              </w:rPr>
            </w:pPr>
            <w:proofErr w:type="spellStart"/>
            <w:r w:rsidRPr="005278D0">
              <w:rPr>
                <w:rFonts w:eastAsia="Calibri"/>
                <w:i/>
              </w:rPr>
              <w:t>vl</w:t>
            </w:r>
            <w:proofErr w:type="spellEnd"/>
          </w:p>
        </w:tc>
        <w:tc>
          <w:tcPr>
            <w:tcW w:w="1704" w:type="dxa"/>
            <w:tcBorders>
              <w:top w:val="nil"/>
              <w:left w:val="nil"/>
              <w:bottom w:val="nil"/>
              <w:right w:val="nil"/>
            </w:tcBorders>
            <w:shd w:val="clear" w:color="auto" w:fill="auto"/>
            <w:noWrap/>
            <w:vAlign w:val="bottom"/>
          </w:tcPr>
          <w:p w14:paraId="05928096" w14:textId="3B6A3DA2" w:rsidR="00A36943" w:rsidRDefault="00B14202" w:rsidP="00CD787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605B9CA8" w14:textId="57113489" w:rsidR="00A36943" w:rsidRPr="00C53F8C" w:rsidRDefault="00B14202" w:rsidP="00CD7879">
            <w:pPr>
              <w:spacing w:after="0" w:line="240" w:lineRule="auto"/>
              <w:ind w:firstLine="0"/>
              <w:rPr>
                <w:rFonts w:eastAsia="Calibri"/>
              </w:rPr>
            </w:pPr>
            <w:r w:rsidRPr="00F84713">
              <w:rPr>
                <w:rFonts w:eastAsia="Calibri"/>
              </w:rPr>
              <w:t>value of the remaining economic life of standing perennial grasses</w:t>
            </w:r>
          </w:p>
        </w:tc>
      </w:tr>
      <w:tr w:rsidR="00A36943" w:rsidRPr="00E40A8B" w14:paraId="40931533" w14:textId="77777777" w:rsidTr="00806E67">
        <w:trPr>
          <w:trHeight w:val="300"/>
        </w:trPr>
        <w:tc>
          <w:tcPr>
            <w:tcW w:w="1403" w:type="dxa"/>
            <w:tcBorders>
              <w:top w:val="nil"/>
              <w:left w:val="nil"/>
              <w:bottom w:val="nil"/>
              <w:right w:val="nil"/>
            </w:tcBorders>
            <w:shd w:val="clear" w:color="auto" w:fill="auto"/>
            <w:noWrap/>
            <w:vAlign w:val="bottom"/>
          </w:tcPr>
          <w:p w14:paraId="1BC7F666" w14:textId="6D15BB9C" w:rsidR="00A36943" w:rsidRPr="005278D0" w:rsidRDefault="00BC19A4" w:rsidP="00CD7879">
            <w:pPr>
              <w:spacing w:after="0" w:line="240" w:lineRule="auto"/>
              <w:ind w:firstLine="0"/>
              <w:rPr>
                <w:rFonts w:eastAsia="Calibri"/>
                <w:i/>
              </w:rPr>
            </w:pPr>
            <w:proofErr w:type="spellStart"/>
            <w:r w:rsidRPr="005278D0">
              <w:rPr>
                <w:rFonts w:eastAsia="Calibri"/>
                <w:i/>
              </w:rPr>
              <w:t>wl</w:t>
            </w:r>
            <w:proofErr w:type="spellEnd"/>
          </w:p>
        </w:tc>
        <w:tc>
          <w:tcPr>
            <w:tcW w:w="1704" w:type="dxa"/>
            <w:tcBorders>
              <w:top w:val="nil"/>
              <w:left w:val="nil"/>
              <w:bottom w:val="nil"/>
              <w:right w:val="nil"/>
            </w:tcBorders>
            <w:shd w:val="clear" w:color="auto" w:fill="auto"/>
            <w:noWrap/>
            <w:vAlign w:val="bottom"/>
          </w:tcPr>
          <w:p w14:paraId="61447641" w14:textId="6B8A2FA2" w:rsidR="00A36943" w:rsidRDefault="00B14202" w:rsidP="00CD7879">
            <w:pPr>
              <w:spacing w:after="0" w:line="240" w:lineRule="auto"/>
              <w:ind w:firstLine="0"/>
              <w:rPr>
                <w:rFonts w:eastAsia="Times New Roman"/>
                <w:color w:val="000000"/>
              </w:rPr>
            </w:pPr>
            <w:r>
              <w:rPr>
                <w:rFonts w:eastAsia="Times New Roman"/>
                <w:color w:val="000000"/>
              </w:rPr>
              <w:t>$ per acre</w:t>
            </w:r>
          </w:p>
        </w:tc>
        <w:tc>
          <w:tcPr>
            <w:tcW w:w="6253" w:type="dxa"/>
            <w:tcBorders>
              <w:top w:val="nil"/>
              <w:left w:val="nil"/>
              <w:bottom w:val="nil"/>
              <w:right w:val="nil"/>
            </w:tcBorders>
            <w:shd w:val="clear" w:color="auto" w:fill="auto"/>
            <w:noWrap/>
            <w:vAlign w:val="bottom"/>
          </w:tcPr>
          <w:p w14:paraId="1A79753B" w14:textId="4AE9BAC4" w:rsidR="00A36943" w:rsidRPr="00C53F8C" w:rsidRDefault="00B14202" w:rsidP="00CD7879">
            <w:pPr>
              <w:spacing w:after="0" w:line="240" w:lineRule="auto"/>
              <w:ind w:firstLine="0"/>
              <w:rPr>
                <w:rFonts w:eastAsia="Calibri"/>
              </w:rPr>
            </w:pPr>
            <w:r w:rsidRPr="00F84713">
              <w:rPr>
                <w:rFonts w:eastAsia="Calibri"/>
              </w:rPr>
              <w:t>return from the most profitable cropping alternative</w:t>
            </w:r>
          </w:p>
        </w:tc>
      </w:tr>
      <w:tr w:rsidR="00C814B9" w:rsidRPr="00E40A8B" w14:paraId="057A1B70" w14:textId="77777777" w:rsidTr="00806E67">
        <w:trPr>
          <w:trHeight w:val="300"/>
        </w:trPr>
        <w:tc>
          <w:tcPr>
            <w:tcW w:w="1403" w:type="dxa"/>
            <w:tcBorders>
              <w:top w:val="nil"/>
              <w:left w:val="nil"/>
              <w:bottom w:val="nil"/>
              <w:right w:val="nil"/>
            </w:tcBorders>
            <w:shd w:val="clear" w:color="auto" w:fill="auto"/>
            <w:noWrap/>
            <w:vAlign w:val="bottom"/>
          </w:tcPr>
          <w:p w14:paraId="217B18F8" w14:textId="13625A86"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z</w:t>
            </w:r>
          </w:p>
        </w:tc>
        <w:tc>
          <w:tcPr>
            <w:tcW w:w="1704" w:type="dxa"/>
            <w:tcBorders>
              <w:top w:val="nil"/>
              <w:left w:val="nil"/>
              <w:bottom w:val="nil"/>
              <w:right w:val="nil"/>
            </w:tcBorders>
            <w:shd w:val="clear" w:color="auto" w:fill="auto"/>
            <w:noWrap/>
            <w:vAlign w:val="bottom"/>
          </w:tcPr>
          <w:p w14:paraId="0A799BCB" w14:textId="4E949267" w:rsidR="00C814B9" w:rsidRPr="007710B9" w:rsidRDefault="00C814B9" w:rsidP="00C814B9">
            <w:pPr>
              <w:spacing w:after="0" w:line="240" w:lineRule="auto"/>
              <w:ind w:firstLine="0"/>
              <w:rPr>
                <w:rFonts w:eastAsia="Times New Roman"/>
                <w:color w:val="000000"/>
              </w:rPr>
            </w:pPr>
            <w:r w:rsidRPr="007710B9">
              <w:rPr>
                <w:rFonts w:eastAsia="Times New Roman"/>
                <w:color w:val="000000"/>
              </w:rPr>
              <w:t>%</w:t>
            </w:r>
          </w:p>
        </w:tc>
        <w:tc>
          <w:tcPr>
            <w:tcW w:w="6253" w:type="dxa"/>
            <w:tcBorders>
              <w:top w:val="nil"/>
              <w:left w:val="nil"/>
              <w:bottom w:val="nil"/>
              <w:right w:val="nil"/>
            </w:tcBorders>
            <w:shd w:val="clear" w:color="auto" w:fill="auto"/>
            <w:noWrap/>
            <w:vAlign w:val="bottom"/>
          </w:tcPr>
          <w:p w14:paraId="765A68F9" w14:textId="642CE0B8" w:rsidR="00C814B9" w:rsidRDefault="00C814B9" w:rsidP="00C814B9">
            <w:pPr>
              <w:spacing w:after="0" w:line="240" w:lineRule="auto"/>
              <w:ind w:firstLine="0"/>
              <w:rPr>
                <w:rFonts w:eastAsia="Times New Roman"/>
                <w:color w:val="000000"/>
              </w:rPr>
            </w:pPr>
            <w:r>
              <w:rPr>
                <w:rFonts w:eastAsia="Times New Roman"/>
                <w:color w:val="000000"/>
              </w:rPr>
              <w:t>S</w:t>
            </w:r>
            <w:r w:rsidRPr="007710B9">
              <w:rPr>
                <w:rFonts w:eastAsia="Times New Roman"/>
                <w:color w:val="000000"/>
              </w:rPr>
              <w:t>crappage rate</w:t>
            </w:r>
          </w:p>
        </w:tc>
      </w:tr>
      <w:tr w:rsidR="00C814B9" w:rsidRPr="00E40A8B" w14:paraId="514FA030" w14:textId="77777777" w:rsidTr="00806E67">
        <w:trPr>
          <w:trHeight w:val="300"/>
        </w:trPr>
        <w:tc>
          <w:tcPr>
            <w:tcW w:w="1403" w:type="dxa"/>
            <w:tcBorders>
              <w:top w:val="nil"/>
              <w:left w:val="nil"/>
              <w:bottom w:val="nil"/>
              <w:right w:val="nil"/>
            </w:tcBorders>
            <w:shd w:val="clear" w:color="auto" w:fill="auto"/>
            <w:noWrap/>
            <w:vAlign w:val="bottom"/>
            <w:hideMark/>
          </w:tcPr>
          <w:p w14:paraId="2158919F" w14:textId="4D536DD8"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m</w:t>
            </w:r>
          </w:p>
        </w:tc>
        <w:tc>
          <w:tcPr>
            <w:tcW w:w="1704" w:type="dxa"/>
            <w:tcBorders>
              <w:top w:val="nil"/>
              <w:left w:val="nil"/>
              <w:bottom w:val="nil"/>
              <w:right w:val="nil"/>
            </w:tcBorders>
            <w:shd w:val="clear" w:color="auto" w:fill="auto"/>
            <w:noWrap/>
            <w:vAlign w:val="bottom"/>
            <w:hideMark/>
          </w:tcPr>
          <w:p w14:paraId="5DD74E63" w14:textId="769D45E8" w:rsidR="00C814B9" w:rsidRPr="00C53F8C" w:rsidRDefault="00C44C95" w:rsidP="00C814B9">
            <w:pPr>
              <w:spacing w:after="0" w:line="240" w:lineRule="auto"/>
              <w:ind w:firstLine="0"/>
              <w:rPr>
                <w:rFonts w:eastAsia="Times New Roman"/>
                <w:color w:val="000000"/>
              </w:rPr>
            </w:pPr>
            <w:r>
              <w:rPr>
                <w:rFonts w:eastAsia="Times New Roman"/>
                <w:color w:val="000000"/>
              </w:rPr>
              <w:t>kilometers</w:t>
            </w:r>
          </w:p>
        </w:tc>
        <w:tc>
          <w:tcPr>
            <w:tcW w:w="6253" w:type="dxa"/>
            <w:tcBorders>
              <w:top w:val="nil"/>
              <w:left w:val="nil"/>
              <w:bottom w:val="nil"/>
              <w:right w:val="nil"/>
            </w:tcBorders>
            <w:shd w:val="clear" w:color="auto" w:fill="auto"/>
            <w:noWrap/>
            <w:vAlign w:val="bottom"/>
            <w:hideMark/>
          </w:tcPr>
          <w:p w14:paraId="27E70CB3" w14:textId="06A82E4E"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 xml:space="preserve">Yearly </w:t>
            </w:r>
            <w:r w:rsidR="00C44C95">
              <w:rPr>
                <w:rFonts w:eastAsia="Times New Roman"/>
                <w:color w:val="000000"/>
              </w:rPr>
              <w:t>kilometers</w:t>
            </w:r>
            <w:r w:rsidR="00C44C95" w:rsidRPr="00C53F8C">
              <w:rPr>
                <w:rFonts w:eastAsia="Times New Roman"/>
                <w:color w:val="000000"/>
              </w:rPr>
              <w:t xml:space="preserve"> </w:t>
            </w:r>
            <w:r w:rsidRPr="00C53F8C">
              <w:rPr>
                <w:rFonts w:eastAsia="Times New Roman"/>
                <w:color w:val="000000"/>
              </w:rPr>
              <w:t>driven cap</w:t>
            </w:r>
          </w:p>
        </w:tc>
      </w:tr>
      <w:tr w:rsidR="00C814B9" w:rsidRPr="00E40A8B" w14:paraId="34516E59" w14:textId="77777777" w:rsidTr="00806E67">
        <w:trPr>
          <w:trHeight w:val="300"/>
        </w:trPr>
        <w:tc>
          <w:tcPr>
            <w:tcW w:w="1403" w:type="dxa"/>
            <w:tcBorders>
              <w:top w:val="nil"/>
              <w:left w:val="nil"/>
              <w:bottom w:val="nil"/>
              <w:right w:val="nil"/>
            </w:tcBorders>
            <w:shd w:val="clear" w:color="auto" w:fill="auto"/>
            <w:noWrap/>
            <w:vAlign w:val="bottom"/>
            <w:hideMark/>
          </w:tcPr>
          <w:p w14:paraId="35813F8F" w14:textId="19365F89" w:rsidR="00C814B9" w:rsidRPr="0099742A" w:rsidRDefault="00C814B9" w:rsidP="00C814B9">
            <w:pPr>
              <w:spacing w:after="0" w:line="240" w:lineRule="auto"/>
              <w:ind w:firstLine="0"/>
              <w:rPr>
                <w:rFonts w:eastAsia="Times New Roman"/>
                <w:i/>
                <w:color w:val="000000"/>
              </w:rPr>
            </w:pPr>
            <w:proofErr w:type="spellStart"/>
            <w:r w:rsidRPr="0099742A">
              <w:rPr>
                <w:rFonts w:eastAsia="Times New Roman"/>
                <w:i/>
                <w:color w:val="000000"/>
              </w:rPr>
              <w:t>eV</w:t>
            </w:r>
            <w:r w:rsidR="00C44C95">
              <w:rPr>
                <w:rFonts w:eastAsia="Times New Roman"/>
                <w:i/>
                <w:color w:val="000000"/>
              </w:rPr>
              <w:t>K</w:t>
            </w:r>
            <w:r w:rsidRPr="0099742A">
              <w:rPr>
                <w:rFonts w:eastAsia="Times New Roman"/>
                <w:i/>
                <w:color w:val="000000"/>
              </w:rPr>
              <w:t>T</w:t>
            </w:r>
            <w:proofErr w:type="spellEnd"/>
          </w:p>
        </w:tc>
        <w:tc>
          <w:tcPr>
            <w:tcW w:w="1704" w:type="dxa"/>
            <w:tcBorders>
              <w:top w:val="nil"/>
              <w:left w:val="nil"/>
              <w:bottom w:val="nil"/>
              <w:right w:val="nil"/>
            </w:tcBorders>
            <w:shd w:val="clear" w:color="auto" w:fill="auto"/>
            <w:noWrap/>
            <w:vAlign w:val="bottom"/>
            <w:hideMark/>
          </w:tcPr>
          <w:p w14:paraId="3A701B47" w14:textId="055A6F15" w:rsidR="00C814B9" w:rsidRPr="00C53F8C" w:rsidRDefault="00C44C95" w:rsidP="00C814B9">
            <w:pPr>
              <w:spacing w:after="0" w:line="240" w:lineRule="auto"/>
              <w:ind w:firstLine="0"/>
              <w:rPr>
                <w:rFonts w:eastAsia="Times New Roman"/>
                <w:color w:val="000000"/>
              </w:rPr>
            </w:pPr>
            <w:r>
              <w:rPr>
                <w:rFonts w:eastAsia="Times New Roman"/>
                <w:color w:val="000000"/>
              </w:rPr>
              <w:t>kilometers</w:t>
            </w:r>
          </w:p>
        </w:tc>
        <w:tc>
          <w:tcPr>
            <w:tcW w:w="6253" w:type="dxa"/>
            <w:tcBorders>
              <w:top w:val="nil"/>
              <w:left w:val="nil"/>
              <w:bottom w:val="nil"/>
              <w:right w:val="nil"/>
            </w:tcBorders>
            <w:shd w:val="clear" w:color="auto" w:fill="auto"/>
            <w:noWrap/>
            <w:vAlign w:val="bottom"/>
            <w:hideMark/>
          </w:tcPr>
          <w:p w14:paraId="79D353D2" w14:textId="3201A812" w:rsidR="00C814B9" w:rsidRPr="00C53F8C" w:rsidRDefault="00C814B9" w:rsidP="00C814B9">
            <w:pPr>
              <w:spacing w:after="0" w:line="240" w:lineRule="auto"/>
              <w:ind w:firstLine="0"/>
              <w:rPr>
                <w:rFonts w:eastAsia="Times New Roman"/>
                <w:color w:val="000000"/>
              </w:rPr>
            </w:pPr>
            <w:r>
              <w:rPr>
                <w:rFonts w:eastAsia="Times New Roman"/>
                <w:color w:val="000000"/>
              </w:rPr>
              <w:t>E</w:t>
            </w:r>
            <w:r w:rsidRPr="00C53F8C">
              <w:rPr>
                <w:rFonts w:eastAsia="Times New Roman"/>
                <w:color w:val="000000"/>
              </w:rPr>
              <w:t xml:space="preserve">ffective </w:t>
            </w:r>
            <w:r w:rsidR="00C44C95">
              <w:rPr>
                <w:rFonts w:eastAsia="Times New Roman"/>
                <w:color w:val="000000"/>
              </w:rPr>
              <w:t>kilometers</w:t>
            </w:r>
          </w:p>
        </w:tc>
      </w:tr>
      <w:tr w:rsidR="00C814B9" w:rsidRPr="00E40A8B" w14:paraId="7FC8F9DF" w14:textId="77777777" w:rsidTr="00806E67">
        <w:trPr>
          <w:trHeight w:val="300"/>
        </w:trPr>
        <w:tc>
          <w:tcPr>
            <w:tcW w:w="1403" w:type="dxa"/>
            <w:tcBorders>
              <w:top w:val="nil"/>
              <w:left w:val="nil"/>
              <w:bottom w:val="nil"/>
              <w:right w:val="nil"/>
            </w:tcBorders>
            <w:shd w:val="clear" w:color="auto" w:fill="auto"/>
            <w:noWrap/>
            <w:vAlign w:val="bottom"/>
            <w:hideMark/>
          </w:tcPr>
          <w:p w14:paraId="2D9507B9" w14:textId="0B7FB717"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e</w:t>
            </w:r>
          </w:p>
        </w:tc>
        <w:tc>
          <w:tcPr>
            <w:tcW w:w="1704" w:type="dxa"/>
            <w:tcBorders>
              <w:top w:val="nil"/>
              <w:left w:val="nil"/>
              <w:bottom w:val="nil"/>
              <w:right w:val="nil"/>
            </w:tcBorders>
            <w:shd w:val="clear" w:color="auto" w:fill="auto"/>
            <w:noWrap/>
            <w:vAlign w:val="bottom"/>
            <w:hideMark/>
          </w:tcPr>
          <w:p w14:paraId="49561DF9"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kW</w:t>
            </w:r>
          </w:p>
        </w:tc>
        <w:tc>
          <w:tcPr>
            <w:tcW w:w="6253" w:type="dxa"/>
            <w:tcBorders>
              <w:top w:val="nil"/>
              <w:left w:val="nil"/>
              <w:bottom w:val="nil"/>
              <w:right w:val="nil"/>
            </w:tcBorders>
            <w:shd w:val="clear" w:color="auto" w:fill="auto"/>
            <w:noWrap/>
            <w:vAlign w:val="bottom"/>
            <w:hideMark/>
          </w:tcPr>
          <w:p w14:paraId="07C8A42A"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Charging output</w:t>
            </w:r>
          </w:p>
        </w:tc>
      </w:tr>
      <w:tr w:rsidR="00C814B9" w:rsidRPr="00E40A8B" w14:paraId="40960049" w14:textId="77777777" w:rsidTr="00806E67">
        <w:trPr>
          <w:trHeight w:val="300"/>
        </w:trPr>
        <w:tc>
          <w:tcPr>
            <w:tcW w:w="1403" w:type="dxa"/>
            <w:tcBorders>
              <w:top w:val="nil"/>
              <w:left w:val="nil"/>
              <w:bottom w:val="nil"/>
              <w:right w:val="nil"/>
            </w:tcBorders>
            <w:shd w:val="clear" w:color="auto" w:fill="auto"/>
            <w:noWrap/>
            <w:vAlign w:val="bottom"/>
            <w:hideMark/>
          </w:tcPr>
          <w:p w14:paraId="5CECE1A1" w14:textId="6BB07937" w:rsidR="00C814B9" w:rsidRPr="0099742A" w:rsidRDefault="00BC19A4" w:rsidP="00C814B9">
            <w:pPr>
              <w:spacing w:after="0" w:line="240" w:lineRule="auto"/>
              <w:ind w:firstLine="0"/>
              <w:rPr>
                <w:rFonts w:eastAsia="Times New Roman"/>
                <w:i/>
                <w:color w:val="000000"/>
              </w:rPr>
            </w:pPr>
            <w:proofErr w:type="spellStart"/>
            <w:r w:rsidRPr="0099742A">
              <w:rPr>
                <w:rFonts w:eastAsia="Times New Roman"/>
                <w:i/>
                <w:color w:val="000000"/>
              </w:rPr>
              <w:t>tc</w:t>
            </w:r>
            <w:proofErr w:type="spellEnd"/>
          </w:p>
        </w:tc>
        <w:tc>
          <w:tcPr>
            <w:tcW w:w="1704" w:type="dxa"/>
            <w:tcBorders>
              <w:top w:val="nil"/>
              <w:left w:val="nil"/>
              <w:bottom w:val="nil"/>
              <w:right w:val="nil"/>
            </w:tcBorders>
            <w:shd w:val="clear" w:color="auto" w:fill="auto"/>
            <w:noWrap/>
            <w:vAlign w:val="bottom"/>
            <w:hideMark/>
          </w:tcPr>
          <w:p w14:paraId="0698D321"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hour</w:t>
            </w:r>
          </w:p>
        </w:tc>
        <w:tc>
          <w:tcPr>
            <w:tcW w:w="6253" w:type="dxa"/>
            <w:tcBorders>
              <w:top w:val="nil"/>
              <w:left w:val="nil"/>
              <w:bottom w:val="nil"/>
              <w:right w:val="nil"/>
            </w:tcBorders>
            <w:shd w:val="clear" w:color="auto" w:fill="auto"/>
            <w:noWrap/>
            <w:vAlign w:val="bottom"/>
            <w:hideMark/>
          </w:tcPr>
          <w:p w14:paraId="2FE85335"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Charging time needed</w:t>
            </w:r>
          </w:p>
        </w:tc>
      </w:tr>
      <w:tr w:rsidR="00C814B9" w:rsidRPr="00E40A8B" w14:paraId="41EBFA59" w14:textId="77777777" w:rsidTr="00806E67">
        <w:trPr>
          <w:trHeight w:val="300"/>
        </w:trPr>
        <w:tc>
          <w:tcPr>
            <w:tcW w:w="1403" w:type="dxa"/>
            <w:tcBorders>
              <w:top w:val="nil"/>
              <w:left w:val="nil"/>
              <w:bottom w:val="nil"/>
              <w:right w:val="nil"/>
            </w:tcBorders>
            <w:shd w:val="clear" w:color="auto" w:fill="auto"/>
            <w:noWrap/>
            <w:vAlign w:val="bottom"/>
            <w:hideMark/>
          </w:tcPr>
          <w:p w14:paraId="1836AB78" w14:textId="24CE31ED" w:rsidR="00C814B9" w:rsidRPr="0099742A" w:rsidRDefault="00BB5848" w:rsidP="00C814B9">
            <w:pPr>
              <w:spacing w:after="0" w:line="240" w:lineRule="auto"/>
              <w:ind w:firstLine="0"/>
              <w:rPr>
                <w:rFonts w:eastAsia="Times New Roman"/>
                <w:i/>
                <w:color w:val="000000"/>
              </w:rPr>
            </w:pPr>
            <w:r w:rsidRPr="0099742A">
              <w:rPr>
                <w:rFonts w:eastAsia="Times New Roman"/>
                <w:i/>
                <w:color w:val="000000"/>
              </w:rPr>
              <w:t>Q</w:t>
            </w:r>
          </w:p>
        </w:tc>
        <w:tc>
          <w:tcPr>
            <w:tcW w:w="1704" w:type="dxa"/>
            <w:tcBorders>
              <w:top w:val="nil"/>
              <w:left w:val="nil"/>
              <w:bottom w:val="nil"/>
              <w:right w:val="nil"/>
            </w:tcBorders>
            <w:shd w:val="clear" w:color="auto" w:fill="auto"/>
            <w:noWrap/>
            <w:vAlign w:val="bottom"/>
            <w:hideMark/>
          </w:tcPr>
          <w:p w14:paraId="045CE441"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7AAD33ED"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Charger availability</w:t>
            </w:r>
          </w:p>
        </w:tc>
      </w:tr>
      <w:tr w:rsidR="00C814B9" w:rsidRPr="00E40A8B" w14:paraId="0E55EA5D" w14:textId="77777777" w:rsidTr="00806E67">
        <w:trPr>
          <w:trHeight w:val="300"/>
        </w:trPr>
        <w:tc>
          <w:tcPr>
            <w:tcW w:w="1403" w:type="dxa"/>
            <w:tcBorders>
              <w:top w:val="nil"/>
              <w:left w:val="nil"/>
              <w:bottom w:val="nil"/>
              <w:right w:val="nil"/>
            </w:tcBorders>
            <w:shd w:val="clear" w:color="auto" w:fill="auto"/>
            <w:noWrap/>
            <w:vAlign w:val="bottom"/>
            <w:hideMark/>
          </w:tcPr>
          <w:p w14:paraId="3AF645ED" w14:textId="4ECE13AA" w:rsidR="00C814B9" w:rsidRPr="0099742A" w:rsidRDefault="005278D0" w:rsidP="00C814B9">
            <w:pPr>
              <w:spacing w:after="0" w:line="240" w:lineRule="auto"/>
              <w:ind w:firstLine="0"/>
              <w:rPr>
                <w:rFonts w:eastAsia="Times New Roman"/>
                <w:i/>
                <w:color w:val="000000"/>
              </w:rPr>
            </w:pPr>
            <m:oMathPara>
              <m:oMathParaPr>
                <m:jc m:val="left"/>
              </m:oMathParaPr>
              <m:oMath>
                <m:r>
                  <w:rPr>
                    <w:rFonts w:ascii="Cambria Math" w:hAnsi="Cambria Math"/>
                  </w:rPr>
                  <m:t>γ</m:t>
                </m:r>
              </m:oMath>
            </m:oMathPara>
          </w:p>
        </w:tc>
        <w:tc>
          <w:tcPr>
            <w:tcW w:w="1704" w:type="dxa"/>
            <w:tcBorders>
              <w:top w:val="nil"/>
              <w:left w:val="nil"/>
              <w:bottom w:val="nil"/>
              <w:right w:val="nil"/>
            </w:tcBorders>
            <w:shd w:val="clear" w:color="auto" w:fill="auto"/>
            <w:noWrap/>
            <w:vAlign w:val="bottom"/>
            <w:hideMark/>
          </w:tcPr>
          <w:p w14:paraId="14E56B7E"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miles per kWh</w:t>
            </w:r>
          </w:p>
        </w:tc>
        <w:tc>
          <w:tcPr>
            <w:tcW w:w="6253" w:type="dxa"/>
            <w:tcBorders>
              <w:top w:val="nil"/>
              <w:left w:val="nil"/>
              <w:bottom w:val="nil"/>
              <w:right w:val="nil"/>
            </w:tcBorders>
            <w:shd w:val="clear" w:color="auto" w:fill="auto"/>
            <w:noWrap/>
            <w:vAlign w:val="bottom"/>
            <w:hideMark/>
          </w:tcPr>
          <w:p w14:paraId="405984CF" w14:textId="531F90B9" w:rsidR="00C814B9" w:rsidRPr="00C53F8C" w:rsidRDefault="00C814B9" w:rsidP="00C814B9">
            <w:pPr>
              <w:spacing w:after="0" w:line="240" w:lineRule="auto"/>
              <w:ind w:firstLine="0"/>
              <w:rPr>
                <w:rFonts w:eastAsia="Times New Roman"/>
                <w:color w:val="000000"/>
              </w:rPr>
            </w:pPr>
            <w:r>
              <w:rPr>
                <w:rFonts w:eastAsia="Times New Roman"/>
                <w:color w:val="000000"/>
              </w:rPr>
              <w:t>F</w:t>
            </w:r>
            <w:r w:rsidRPr="00C53F8C">
              <w:rPr>
                <w:rFonts w:eastAsia="Times New Roman"/>
                <w:color w:val="000000"/>
              </w:rPr>
              <w:t>uel efficiency</w:t>
            </w:r>
          </w:p>
        </w:tc>
      </w:tr>
      <w:tr w:rsidR="00C814B9" w:rsidRPr="00E40A8B" w14:paraId="6C19FE7F" w14:textId="77777777" w:rsidTr="00806E67">
        <w:trPr>
          <w:trHeight w:val="300"/>
        </w:trPr>
        <w:tc>
          <w:tcPr>
            <w:tcW w:w="1403" w:type="dxa"/>
            <w:tcBorders>
              <w:top w:val="nil"/>
              <w:left w:val="nil"/>
              <w:bottom w:val="nil"/>
              <w:right w:val="nil"/>
            </w:tcBorders>
            <w:shd w:val="clear" w:color="auto" w:fill="auto"/>
            <w:noWrap/>
            <w:vAlign w:val="bottom"/>
            <w:hideMark/>
          </w:tcPr>
          <w:p w14:paraId="156D7CF7" w14:textId="5D899C93"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p</w:t>
            </w:r>
          </w:p>
        </w:tc>
        <w:tc>
          <w:tcPr>
            <w:tcW w:w="1704" w:type="dxa"/>
            <w:tcBorders>
              <w:top w:val="nil"/>
              <w:left w:val="nil"/>
              <w:bottom w:val="nil"/>
              <w:right w:val="nil"/>
            </w:tcBorders>
            <w:shd w:val="clear" w:color="auto" w:fill="auto"/>
            <w:noWrap/>
            <w:vAlign w:val="bottom"/>
            <w:hideMark/>
          </w:tcPr>
          <w:p w14:paraId="245FBDAA"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07FBE380" w14:textId="4378F6F3"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Probability of running out of power</w:t>
            </w:r>
          </w:p>
        </w:tc>
      </w:tr>
      <w:tr w:rsidR="00C814B9" w:rsidRPr="00E40A8B" w14:paraId="29187CA3" w14:textId="77777777" w:rsidTr="00806E67">
        <w:trPr>
          <w:trHeight w:val="300"/>
        </w:trPr>
        <w:tc>
          <w:tcPr>
            <w:tcW w:w="1403" w:type="dxa"/>
            <w:tcBorders>
              <w:top w:val="nil"/>
              <w:left w:val="nil"/>
              <w:bottom w:val="nil"/>
              <w:right w:val="nil"/>
            </w:tcBorders>
            <w:shd w:val="clear" w:color="auto" w:fill="auto"/>
            <w:noWrap/>
            <w:vAlign w:val="bottom"/>
            <w:hideMark/>
          </w:tcPr>
          <w:p w14:paraId="492D44A1" w14:textId="12BB258D"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d</w:t>
            </w:r>
          </w:p>
        </w:tc>
        <w:tc>
          <w:tcPr>
            <w:tcW w:w="1704" w:type="dxa"/>
            <w:tcBorders>
              <w:top w:val="nil"/>
              <w:left w:val="nil"/>
              <w:bottom w:val="nil"/>
              <w:right w:val="nil"/>
            </w:tcBorders>
            <w:shd w:val="clear" w:color="auto" w:fill="auto"/>
            <w:noWrap/>
            <w:vAlign w:val="bottom"/>
            <w:hideMark/>
          </w:tcPr>
          <w:p w14:paraId="68AEBEA9"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miles</w:t>
            </w:r>
          </w:p>
        </w:tc>
        <w:tc>
          <w:tcPr>
            <w:tcW w:w="6253" w:type="dxa"/>
            <w:tcBorders>
              <w:top w:val="nil"/>
              <w:left w:val="nil"/>
              <w:bottom w:val="nil"/>
              <w:right w:val="nil"/>
            </w:tcBorders>
            <w:shd w:val="clear" w:color="auto" w:fill="auto"/>
            <w:noWrap/>
            <w:vAlign w:val="bottom"/>
            <w:hideMark/>
          </w:tcPr>
          <w:p w14:paraId="12D541FF" w14:textId="401762BA" w:rsidR="00C814B9" w:rsidRPr="00C53F8C" w:rsidRDefault="00C814B9" w:rsidP="00C814B9">
            <w:pPr>
              <w:spacing w:after="0" w:line="240" w:lineRule="auto"/>
              <w:ind w:firstLine="0"/>
              <w:rPr>
                <w:rFonts w:eastAsia="Times New Roman"/>
                <w:color w:val="000000"/>
              </w:rPr>
            </w:pPr>
            <w:r>
              <w:rPr>
                <w:rFonts w:eastAsia="Times New Roman"/>
                <w:color w:val="000000"/>
              </w:rPr>
              <w:t>D</w:t>
            </w:r>
            <w:r w:rsidRPr="00C53F8C">
              <w:rPr>
                <w:rFonts w:eastAsia="Times New Roman"/>
                <w:color w:val="000000"/>
              </w:rPr>
              <w:t>etour distance</w:t>
            </w:r>
          </w:p>
        </w:tc>
      </w:tr>
      <w:tr w:rsidR="00C814B9" w:rsidRPr="00E40A8B" w14:paraId="20221B14" w14:textId="77777777" w:rsidTr="00806E67">
        <w:trPr>
          <w:trHeight w:val="300"/>
        </w:trPr>
        <w:tc>
          <w:tcPr>
            <w:tcW w:w="1403" w:type="dxa"/>
            <w:tcBorders>
              <w:top w:val="nil"/>
              <w:left w:val="nil"/>
              <w:bottom w:val="nil"/>
              <w:right w:val="nil"/>
            </w:tcBorders>
            <w:shd w:val="clear" w:color="auto" w:fill="auto"/>
            <w:noWrap/>
            <w:vAlign w:val="bottom"/>
            <w:hideMark/>
          </w:tcPr>
          <w:p w14:paraId="48008F72" w14:textId="761C6D59"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α</w:t>
            </w:r>
          </w:p>
        </w:tc>
        <w:tc>
          <w:tcPr>
            <w:tcW w:w="1704" w:type="dxa"/>
            <w:tcBorders>
              <w:top w:val="nil"/>
              <w:left w:val="nil"/>
              <w:bottom w:val="nil"/>
              <w:right w:val="nil"/>
            </w:tcBorders>
            <w:shd w:val="clear" w:color="auto" w:fill="auto"/>
            <w:noWrap/>
            <w:vAlign w:val="bottom"/>
            <w:hideMark/>
          </w:tcPr>
          <w:p w14:paraId="588BD3B7"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07460261" w14:textId="65E95BF7" w:rsidR="00C814B9" w:rsidRPr="00C53F8C" w:rsidRDefault="00C814B9" w:rsidP="00C814B9">
            <w:pPr>
              <w:spacing w:after="0" w:line="240" w:lineRule="auto"/>
              <w:ind w:firstLine="0"/>
              <w:rPr>
                <w:rFonts w:eastAsia="Times New Roman"/>
                <w:color w:val="000000"/>
              </w:rPr>
            </w:pPr>
            <w:r>
              <w:rPr>
                <w:rFonts w:eastAsia="Times New Roman"/>
                <w:color w:val="000000"/>
              </w:rPr>
              <w:t>S</w:t>
            </w:r>
            <w:r w:rsidRPr="00C53F8C">
              <w:rPr>
                <w:rFonts w:eastAsia="Times New Roman"/>
                <w:color w:val="000000"/>
              </w:rPr>
              <w:t>calars for idiosyncratic preference</w:t>
            </w:r>
          </w:p>
        </w:tc>
      </w:tr>
      <w:tr w:rsidR="00C814B9" w:rsidRPr="00E40A8B" w14:paraId="4201FC7A" w14:textId="77777777" w:rsidTr="00806E67">
        <w:trPr>
          <w:trHeight w:val="300"/>
        </w:trPr>
        <w:tc>
          <w:tcPr>
            <w:tcW w:w="1403" w:type="dxa"/>
            <w:tcBorders>
              <w:top w:val="nil"/>
              <w:left w:val="nil"/>
              <w:bottom w:val="nil"/>
              <w:right w:val="nil"/>
            </w:tcBorders>
            <w:shd w:val="clear" w:color="auto" w:fill="auto"/>
            <w:noWrap/>
            <w:vAlign w:val="bottom"/>
            <w:hideMark/>
          </w:tcPr>
          <w:p w14:paraId="6169A788" w14:textId="642ADB97" w:rsidR="00C814B9" w:rsidRPr="0099742A" w:rsidRDefault="00BC19A4" w:rsidP="00C814B9">
            <w:pPr>
              <w:spacing w:after="0" w:line="240" w:lineRule="auto"/>
              <w:ind w:firstLine="0"/>
              <w:rPr>
                <w:rFonts w:eastAsia="Times New Roman"/>
                <w:i/>
                <w:color w:val="000000"/>
              </w:rPr>
            </w:pPr>
            <w:r w:rsidRPr="0099742A">
              <w:rPr>
                <w:rFonts w:eastAsia="Times New Roman"/>
                <w:i/>
                <w:color w:val="000000"/>
              </w:rPr>
              <w:t>c</w:t>
            </w:r>
          </w:p>
        </w:tc>
        <w:tc>
          <w:tcPr>
            <w:tcW w:w="1704" w:type="dxa"/>
            <w:tcBorders>
              <w:top w:val="nil"/>
              <w:left w:val="nil"/>
              <w:bottom w:val="nil"/>
              <w:right w:val="nil"/>
            </w:tcBorders>
            <w:shd w:val="clear" w:color="auto" w:fill="auto"/>
            <w:noWrap/>
            <w:vAlign w:val="bottom"/>
            <w:hideMark/>
          </w:tcPr>
          <w:p w14:paraId="2D4CF72E"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7CB37354" w14:textId="4885D991" w:rsidR="00C814B9" w:rsidRPr="00C53F8C" w:rsidRDefault="00C814B9" w:rsidP="00C814B9">
            <w:pPr>
              <w:spacing w:after="0" w:line="240" w:lineRule="auto"/>
              <w:ind w:firstLine="0"/>
              <w:rPr>
                <w:rFonts w:eastAsia="Times New Roman"/>
                <w:color w:val="000000"/>
              </w:rPr>
            </w:pPr>
            <w:r>
              <w:rPr>
                <w:rFonts w:eastAsia="Times New Roman"/>
                <w:color w:val="000000"/>
              </w:rPr>
              <w:t>S</w:t>
            </w:r>
            <w:r w:rsidRPr="00C53F8C">
              <w:rPr>
                <w:rFonts w:eastAsia="Times New Roman"/>
                <w:color w:val="000000"/>
              </w:rPr>
              <w:t>calars for error term</w:t>
            </w:r>
          </w:p>
        </w:tc>
      </w:tr>
      <w:tr w:rsidR="00C814B9" w:rsidRPr="00E40A8B" w14:paraId="0B5C2A79" w14:textId="77777777" w:rsidTr="00806E67">
        <w:trPr>
          <w:trHeight w:val="300"/>
        </w:trPr>
        <w:tc>
          <w:tcPr>
            <w:tcW w:w="1403" w:type="dxa"/>
            <w:tcBorders>
              <w:top w:val="nil"/>
              <w:left w:val="nil"/>
              <w:bottom w:val="nil"/>
              <w:right w:val="nil"/>
            </w:tcBorders>
            <w:shd w:val="clear" w:color="auto" w:fill="auto"/>
            <w:noWrap/>
            <w:vAlign w:val="bottom"/>
            <w:hideMark/>
          </w:tcPr>
          <w:p w14:paraId="11C76741" w14:textId="5963CF2F" w:rsidR="00C814B9" w:rsidRPr="0099742A" w:rsidRDefault="005278D0" w:rsidP="00C814B9">
            <w:pPr>
              <w:spacing w:after="0" w:line="240" w:lineRule="auto"/>
              <w:ind w:firstLine="0"/>
              <w:rPr>
                <w:rFonts w:eastAsia="Times New Roman"/>
                <w:i/>
                <w:color w:val="000000"/>
              </w:rPr>
            </w:pPr>
            <m:oMathPara>
              <m:oMathParaPr>
                <m:jc m:val="left"/>
              </m:oMathParaPr>
              <m:oMath>
                <m:r>
                  <w:rPr>
                    <w:rFonts w:ascii="Cambria Math" w:hAnsi="Cambria Math"/>
                  </w:rPr>
                  <m:t>β</m:t>
                </m:r>
              </m:oMath>
            </m:oMathPara>
          </w:p>
        </w:tc>
        <w:tc>
          <w:tcPr>
            <w:tcW w:w="1704" w:type="dxa"/>
            <w:tcBorders>
              <w:top w:val="nil"/>
              <w:left w:val="nil"/>
              <w:bottom w:val="nil"/>
              <w:right w:val="nil"/>
            </w:tcBorders>
            <w:shd w:val="clear" w:color="auto" w:fill="auto"/>
            <w:noWrap/>
            <w:vAlign w:val="bottom"/>
            <w:hideMark/>
          </w:tcPr>
          <w:p w14:paraId="29D0D559"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4B957BAB"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Vehicle discount</w:t>
            </w:r>
          </w:p>
        </w:tc>
      </w:tr>
      <w:tr w:rsidR="00C814B9" w:rsidRPr="00E40A8B" w14:paraId="7D7A264B" w14:textId="77777777" w:rsidTr="00806E67">
        <w:trPr>
          <w:trHeight w:val="300"/>
        </w:trPr>
        <w:tc>
          <w:tcPr>
            <w:tcW w:w="1403" w:type="dxa"/>
            <w:tcBorders>
              <w:top w:val="nil"/>
              <w:left w:val="nil"/>
              <w:bottom w:val="nil"/>
              <w:right w:val="nil"/>
            </w:tcBorders>
            <w:shd w:val="clear" w:color="auto" w:fill="auto"/>
            <w:noWrap/>
            <w:vAlign w:val="bottom"/>
          </w:tcPr>
          <w:p w14:paraId="25544DCD" w14:textId="36FEEBD5" w:rsidR="00C814B9" w:rsidRPr="0099742A" w:rsidRDefault="005278D0" w:rsidP="00C814B9">
            <w:pPr>
              <w:spacing w:after="0" w:line="240" w:lineRule="auto"/>
              <w:ind w:firstLine="0"/>
              <w:rPr>
                <w:rFonts w:eastAsia="Times New Roman"/>
                <w:i/>
                <w:color w:val="000000"/>
              </w:rPr>
            </w:pPr>
            <m:oMathPara>
              <m:oMathParaPr>
                <m:jc m:val="left"/>
              </m:oMathParaPr>
              <m:oMath>
                <m:r>
                  <w:rPr>
                    <w:rFonts w:ascii="Cambria Math" w:hAnsi="Cambria Math" w:cstheme="minorBidi"/>
                  </w:rPr>
                  <m:t>κ</m:t>
                </m:r>
              </m:oMath>
            </m:oMathPara>
          </w:p>
        </w:tc>
        <w:tc>
          <w:tcPr>
            <w:tcW w:w="1704" w:type="dxa"/>
            <w:tcBorders>
              <w:top w:val="nil"/>
              <w:left w:val="nil"/>
              <w:bottom w:val="nil"/>
              <w:right w:val="nil"/>
            </w:tcBorders>
            <w:shd w:val="clear" w:color="auto" w:fill="auto"/>
            <w:noWrap/>
            <w:vAlign w:val="bottom"/>
          </w:tcPr>
          <w:p w14:paraId="2E398744" w14:textId="770D63DC" w:rsidR="00C814B9" w:rsidRPr="00C53F8C" w:rsidRDefault="00C814B9" w:rsidP="00C814B9">
            <w:pPr>
              <w:spacing w:after="0" w:line="240" w:lineRule="auto"/>
              <w:ind w:firstLine="0"/>
              <w:rPr>
                <w:rFonts w:eastAsia="Times New Roman"/>
                <w:color w:val="000000"/>
              </w:rPr>
            </w:pPr>
            <w:r>
              <w:rPr>
                <w:rFonts w:eastAsia="Times New Roman"/>
                <w:color w:val="000000"/>
              </w:rPr>
              <w:t>%</w:t>
            </w:r>
          </w:p>
        </w:tc>
        <w:tc>
          <w:tcPr>
            <w:tcW w:w="6253" w:type="dxa"/>
            <w:tcBorders>
              <w:top w:val="nil"/>
              <w:left w:val="nil"/>
              <w:bottom w:val="nil"/>
              <w:right w:val="nil"/>
            </w:tcBorders>
            <w:shd w:val="clear" w:color="auto" w:fill="auto"/>
            <w:noWrap/>
            <w:vAlign w:val="bottom"/>
          </w:tcPr>
          <w:p w14:paraId="700714B7" w14:textId="57BCDD4A" w:rsidR="00C814B9" w:rsidRPr="00C53F8C" w:rsidRDefault="00C814B9" w:rsidP="00C814B9">
            <w:pPr>
              <w:spacing w:after="0" w:line="240" w:lineRule="auto"/>
              <w:ind w:firstLine="0"/>
              <w:rPr>
                <w:rFonts w:eastAsia="Times New Roman"/>
                <w:color w:val="000000"/>
              </w:rPr>
            </w:pPr>
            <w:r>
              <w:rPr>
                <w:rFonts w:eastAsia="Times New Roman"/>
                <w:color w:val="000000"/>
              </w:rPr>
              <w:t>Percentage of mileage driven on fuels for electrified vehicles</w:t>
            </w:r>
          </w:p>
        </w:tc>
      </w:tr>
      <w:tr w:rsidR="00C814B9" w:rsidRPr="00E40A8B" w14:paraId="2E18EF7A" w14:textId="77777777" w:rsidTr="00806E67">
        <w:trPr>
          <w:trHeight w:val="300"/>
        </w:trPr>
        <w:tc>
          <w:tcPr>
            <w:tcW w:w="1403" w:type="dxa"/>
            <w:tcBorders>
              <w:top w:val="nil"/>
              <w:left w:val="nil"/>
              <w:bottom w:val="nil"/>
              <w:right w:val="nil"/>
            </w:tcBorders>
            <w:shd w:val="clear" w:color="auto" w:fill="auto"/>
            <w:noWrap/>
            <w:vAlign w:val="bottom"/>
            <w:hideMark/>
          </w:tcPr>
          <w:p w14:paraId="12FA894B" w14:textId="572DBF27" w:rsidR="00C814B9" w:rsidRPr="0099742A" w:rsidRDefault="005278D0" w:rsidP="00C814B9">
            <w:pPr>
              <w:spacing w:after="0" w:line="240" w:lineRule="auto"/>
              <w:ind w:firstLine="0"/>
              <w:rPr>
                <w:rFonts w:eastAsia="Times New Roman"/>
                <w:i/>
                <w:color w:val="000000"/>
              </w:rPr>
            </w:pPr>
            <m:oMathPara>
              <m:oMathParaPr>
                <m:jc m:val="left"/>
              </m:oMathParaPr>
              <m:oMath>
                <m:r>
                  <w:rPr>
                    <w:rFonts w:ascii="Cambria Math" w:hAnsi="Cambria Math"/>
                  </w:rPr>
                  <m:t>π</m:t>
                </m:r>
              </m:oMath>
            </m:oMathPara>
          </w:p>
        </w:tc>
        <w:tc>
          <w:tcPr>
            <w:tcW w:w="1704" w:type="dxa"/>
            <w:tcBorders>
              <w:top w:val="nil"/>
              <w:left w:val="nil"/>
              <w:bottom w:val="nil"/>
              <w:right w:val="nil"/>
            </w:tcBorders>
            <w:shd w:val="clear" w:color="auto" w:fill="auto"/>
            <w:noWrap/>
            <w:vAlign w:val="bottom"/>
            <w:hideMark/>
          </w:tcPr>
          <w:p w14:paraId="3071ACF5"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w:t>
            </w:r>
          </w:p>
        </w:tc>
        <w:tc>
          <w:tcPr>
            <w:tcW w:w="6253" w:type="dxa"/>
            <w:tcBorders>
              <w:top w:val="nil"/>
              <w:left w:val="nil"/>
              <w:bottom w:val="nil"/>
              <w:right w:val="nil"/>
            </w:tcBorders>
            <w:shd w:val="clear" w:color="auto" w:fill="auto"/>
            <w:noWrap/>
            <w:vAlign w:val="bottom"/>
            <w:hideMark/>
          </w:tcPr>
          <w:p w14:paraId="1404FB03"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Aging factor</w:t>
            </w:r>
          </w:p>
        </w:tc>
      </w:tr>
      <w:tr w:rsidR="00C814B9" w:rsidRPr="0077042D" w14:paraId="19C2185A" w14:textId="77777777" w:rsidTr="00373A86">
        <w:trPr>
          <w:trHeight w:val="300"/>
        </w:trPr>
        <w:tc>
          <w:tcPr>
            <w:tcW w:w="1403" w:type="dxa"/>
            <w:tcBorders>
              <w:top w:val="nil"/>
              <w:left w:val="nil"/>
              <w:bottom w:val="nil"/>
              <w:right w:val="nil"/>
            </w:tcBorders>
            <w:shd w:val="clear" w:color="auto" w:fill="auto"/>
            <w:noWrap/>
            <w:vAlign w:val="bottom"/>
            <w:hideMark/>
          </w:tcPr>
          <w:p w14:paraId="33C5043C" w14:textId="77777777" w:rsidR="00C814B9" w:rsidRPr="0099742A" w:rsidRDefault="00C814B9" w:rsidP="00C814B9">
            <w:pPr>
              <w:spacing w:after="0" w:line="240" w:lineRule="auto"/>
              <w:ind w:firstLine="0"/>
              <w:rPr>
                <w:rFonts w:eastAsia="Times New Roman"/>
                <w:i/>
                <w:color w:val="000000"/>
              </w:rPr>
            </w:pPr>
            <w:proofErr w:type="spellStart"/>
            <w:r w:rsidRPr="0099742A">
              <w:rPr>
                <w:rFonts w:eastAsia="Times New Roman"/>
                <w:i/>
                <w:color w:val="000000"/>
              </w:rPr>
              <w:t>R</w:t>
            </w:r>
            <w:r w:rsidRPr="0099742A">
              <w:rPr>
                <w:rFonts w:eastAsia="Times New Roman"/>
                <w:i/>
                <w:color w:val="000000"/>
                <w:vertAlign w:val="superscript"/>
              </w:rPr>
              <w:t>max</w:t>
            </w:r>
            <w:proofErr w:type="spellEnd"/>
          </w:p>
        </w:tc>
        <w:tc>
          <w:tcPr>
            <w:tcW w:w="1704" w:type="dxa"/>
            <w:tcBorders>
              <w:top w:val="nil"/>
              <w:left w:val="nil"/>
              <w:bottom w:val="nil"/>
              <w:right w:val="nil"/>
            </w:tcBorders>
            <w:shd w:val="clear" w:color="auto" w:fill="auto"/>
            <w:noWrap/>
            <w:vAlign w:val="bottom"/>
            <w:hideMark/>
          </w:tcPr>
          <w:p w14:paraId="28403FA6"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miles</w:t>
            </w:r>
          </w:p>
        </w:tc>
        <w:tc>
          <w:tcPr>
            <w:tcW w:w="6253" w:type="dxa"/>
            <w:tcBorders>
              <w:top w:val="nil"/>
              <w:left w:val="nil"/>
              <w:bottom w:val="nil"/>
              <w:right w:val="nil"/>
            </w:tcBorders>
            <w:shd w:val="clear" w:color="auto" w:fill="auto"/>
            <w:noWrap/>
            <w:vAlign w:val="bottom"/>
            <w:hideMark/>
          </w:tcPr>
          <w:p w14:paraId="43D69294"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BEV range</w:t>
            </w:r>
          </w:p>
        </w:tc>
      </w:tr>
      <w:tr w:rsidR="00C814B9" w:rsidRPr="00E40A8B" w14:paraId="4609AC35" w14:textId="77777777" w:rsidTr="00806E67">
        <w:trPr>
          <w:trHeight w:val="300"/>
        </w:trPr>
        <w:tc>
          <w:tcPr>
            <w:tcW w:w="1403" w:type="dxa"/>
            <w:tcBorders>
              <w:top w:val="nil"/>
              <w:left w:val="nil"/>
              <w:bottom w:val="nil"/>
              <w:right w:val="nil"/>
            </w:tcBorders>
            <w:shd w:val="clear" w:color="auto" w:fill="auto"/>
            <w:noWrap/>
            <w:vAlign w:val="bottom"/>
          </w:tcPr>
          <w:p w14:paraId="4D2D21C2" w14:textId="4850D6D9" w:rsidR="00C814B9" w:rsidRPr="0099742A" w:rsidRDefault="00BC19A4" w:rsidP="00C814B9">
            <w:pPr>
              <w:spacing w:after="0" w:line="240" w:lineRule="auto"/>
              <w:ind w:firstLine="0"/>
              <w:rPr>
                <w:rFonts w:eastAsia="DengXian"/>
                <w:i/>
              </w:rPr>
            </w:pPr>
            <w:r w:rsidRPr="0099742A">
              <w:rPr>
                <w:rFonts w:eastAsia="DengXian"/>
                <w:i/>
              </w:rPr>
              <w:t>w</w:t>
            </w:r>
          </w:p>
        </w:tc>
        <w:tc>
          <w:tcPr>
            <w:tcW w:w="1704" w:type="dxa"/>
            <w:tcBorders>
              <w:top w:val="nil"/>
              <w:left w:val="nil"/>
              <w:bottom w:val="nil"/>
              <w:right w:val="nil"/>
            </w:tcBorders>
            <w:shd w:val="clear" w:color="auto" w:fill="auto"/>
            <w:noWrap/>
            <w:vAlign w:val="bottom"/>
          </w:tcPr>
          <w:p w14:paraId="5774EC3D"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3B97B50E" w14:textId="7E475C35" w:rsidR="00C814B9" w:rsidRPr="00C53F8C" w:rsidRDefault="00C814B9" w:rsidP="00C814B9">
            <w:pPr>
              <w:spacing w:after="0" w:line="240" w:lineRule="auto"/>
              <w:ind w:firstLine="0"/>
              <w:rPr>
                <w:rFonts w:eastAsia="Times New Roman"/>
                <w:color w:val="000000"/>
              </w:rPr>
            </w:pPr>
            <w:r>
              <w:rPr>
                <w:rFonts w:eastAsia="Times New Roman"/>
                <w:color w:val="000000"/>
              </w:rPr>
              <w:t>Interest rate</w:t>
            </w:r>
          </w:p>
        </w:tc>
      </w:tr>
      <w:tr w:rsidR="00C814B9" w:rsidRPr="0077042D" w14:paraId="1E167939" w14:textId="77777777" w:rsidTr="00806E67">
        <w:trPr>
          <w:trHeight w:val="330"/>
        </w:trPr>
        <w:tc>
          <w:tcPr>
            <w:tcW w:w="3107" w:type="dxa"/>
            <w:gridSpan w:val="2"/>
            <w:tcBorders>
              <w:top w:val="single" w:sz="4" w:space="0" w:color="auto"/>
              <w:left w:val="nil"/>
              <w:bottom w:val="single" w:sz="4" w:space="0" w:color="auto"/>
              <w:right w:val="nil"/>
            </w:tcBorders>
            <w:shd w:val="clear" w:color="auto" w:fill="auto"/>
            <w:noWrap/>
            <w:vAlign w:val="bottom"/>
            <w:hideMark/>
          </w:tcPr>
          <w:p w14:paraId="0FF8A87E"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Superscript</w:t>
            </w:r>
          </w:p>
        </w:tc>
        <w:tc>
          <w:tcPr>
            <w:tcW w:w="6253" w:type="dxa"/>
            <w:tcBorders>
              <w:top w:val="single" w:sz="4" w:space="0" w:color="auto"/>
              <w:left w:val="nil"/>
              <w:bottom w:val="single" w:sz="4" w:space="0" w:color="auto"/>
              <w:right w:val="nil"/>
            </w:tcBorders>
            <w:shd w:val="clear" w:color="auto" w:fill="auto"/>
            <w:noWrap/>
            <w:vAlign w:val="bottom"/>
            <w:hideMark/>
          </w:tcPr>
          <w:p w14:paraId="5164AB8F"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 </w:t>
            </w:r>
          </w:p>
        </w:tc>
      </w:tr>
      <w:tr w:rsidR="00C814B9" w:rsidRPr="00E40A8B" w14:paraId="14ABE970" w14:textId="77777777" w:rsidTr="00806E67">
        <w:trPr>
          <w:trHeight w:val="300"/>
        </w:trPr>
        <w:tc>
          <w:tcPr>
            <w:tcW w:w="1403" w:type="dxa"/>
            <w:tcBorders>
              <w:top w:val="nil"/>
              <w:left w:val="nil"/>
              <w:bottom w:val="nil"/>
              <w:right w:val="nil"/>
            </w:tcBorders>
            <w:shd w:val="clear" w:color="auto" w:fill="auto"/>
            <w:noWrap/>
            <w:vAlign w:val="bottom"/>
          </w:tcPr>
          <w:p w14:paraId="55AD3ECB" w14:textId="5EE8B148" w:rsidR="00C814B9" w:rsidRPr="0099742A" w:rsidRDefault="00BC19A4" w:rsidP="00C814B9">
            <w:pPr>
              <w:spacing w:after="0" w:line="240" w:lineRule="auto"/>
              <w:ind w:firstLine="0"/>
              <w:rPr>
                <w:rFonts w:eastAsia="Times New Roman"/>
                <w:i/>
                <w:iCs/>
                <w:color w:val="000000"/>
              </w:rPr>
            </w:pPr>
            <w:proofErr w:type="spellStart"/>
            <w:r w:rsidRPr="0099742A">
              <w:rPr>
                <w:rFonts w:eastAsia="Times New Roman"/>
                <w:i/>
                <w:iCs/>
                <w:color w:val="000000"/>
              </w:rPr>
              <w:t>drow</w:t>
            </w:r>
            <w:proofErr w:type="spellEnd"/>
          </w:p>
        </w:tc>
        <w:tc>
          <w:tcPr>
            <w:tcW w:w="1704" w:type="dxa"/>
            <w:tcBorders>
              <w:top w:val="nil"/>
              <w:left w:val="nil"/>
              <w:bottom w:val="nil"/>
              <w:right w:val="nil"/>
            </w:tcBorders>
            <w:shd w:val="clear" w:color="auto" w:fill="auto"/>
            <w:noWrap/>
            <w:vAlign w:val="bottom"/>
          </w:tcPr>
          <w:p w14:paraId="724ED553"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555ABA5A" w14:textId="4E255000" w:rsidR="00C814B9" w:rsidRPr="00B9539D" w:rsidRDefault="00C814B9" w:rsidP="00C814B9">
            <w:pPr>
              <w:spacing w:after="0" w:line="240" w:lineRule="auto"/>
              <w:ind w:firstLine="0"/>
              <w:rPr>
                <w:rFonts w:eastAsia="Times New Roman"/>
                <w:color w:val="000000"/>
              </w:rPr>
            </w:pPr>
            <w:r>
              <w:rPr>
                <w:rFonts w:eastAsia="Times New Roman"/>
                <w:color w:val="000000"/>
              </w:rPr>
              <w:t>Rest of world demand</w:t>
            </w:r>
          </w:p>
        </w:tc>
      </w:tr>
      <w:tr w:rsidR="00C814B9" w:rsidRPr="00E40A8B" w14:paraId="00DD4D47" w14:textId="77777777" w:rsidTr="00806E67">
        <w:trPr>
          <w:trHeight w:val="300"/>
        </w:trPr>
        <w:tc>
          <w:tcPr>
            <w:tcW w:w="1403" w:type="dxa"/>
            <w:tcBorders>
              <w:top w:val="nil"/>
              <w:left w:val="nil"/>
              <w:bottom w:val="nil"/>
              <w:right w:val="nil"/>
            </w:tcBorders>
            <w:shd w:val="clear" w:color="auto" w:fill="auto"/>
            <w:noWrap/>
            <w:vAlign w:val="bottom"/>
          </w:tcPr>
          <w:p w14:paraId="079E0560" w14:textId="340BB0B1" w:rsidR="00C814B9" w:rsidRPr="0099742A" w:rsidRDefault="00BC19A4" w:rsidP="00C814B9">
            <w:pPr>
              <w:spacing w:after="0" w:line="240" w:lineRule="auto"/>
              <w:ind w:firstLine="0"/>
              <w:rPr>
                <w:rFonts w:eastAsia="Times New Roman"/>
                <w:i/>
                <w:iCs/>
                <w:color w:val="000000"/>
              </w:rPr>
            </w:pPr>
            <w:proofErr w:type="spellStart"/>
            <w:r w:rsidRPr="0099742A">
              <w:rPr>
                <w:rFonts w:eastAsia="Times New Roman"/>
                <w:i/>
                <w:iCs/>
                <w:color w:val="000000"/>
              </w:rPr>
              <w:lastRenderedPageBreak/>
              <w:t>sdom</w:t>
            </w:r>
            <w:proofErr w:type="spellEnd"/>
          </w:p>
        </w:tc>
        <w:tc>
          <w:tcPr>
            <w:tcW w:w="1704" w:type="dxa"/>
            <w:tcBorders>
              <w:top w:val="nil"/>
              <w:left w:val="nil"/>
              <w:bottom w:val="nil"/>
              <w:right w:val="nil"/>
            </w:tcBorders>
            <w:shd w:val="clear" w:color="auto" w:fill="auto"/>
            <w:noWrap/>
            <w:vAlign w:val="bottom"/>
          </w:tcPr>
          <w:p w14:paraId="5440E57A"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58B05C99" w14:textId="65867CCE" w:rsidR="00C814B9" w:rsidRDefault="00C814B9" w:rsidP="00C814B9">
            <w:pPr>
              <w:spacing w:after="0" w:line="240" w:lineRule="auto"/>
              <w:ind w:firstLine="0"/>
              <w:rPr>
                <w:rFonts w:eastAsia="Times New Roman"/>
                <w:color w:val="000000"/>
              </w:rPr>
            </w:pPr>
            <w:r>
              <w:rPr>
                <w:rFonts w:eastAsia="Times New Roman"/>
                <w:color w:val="000000"/>
              </w:rPr>
              <w:t>Domestic supply</w:t>
            </w:r>
          </w:p>
        </w:tc>
      </w:tr>
      <w:tr w:rsidR="00C814B9" w:rsidRPr="00E40A8B" w14:paraId="1C074A4B" w14:textId="77777777" w:rsidTr="00806E67">
        <w:trPr>
          <w:trHeight w:val="300"/>
        </w:trPr>
        <w:tc>
          <w:tcPr>
            <w:tcW w:w="1403" w:type="dxa"/>
            <w:tcBorders>
              <w:top w:val="nil"/>
              <w:left w:val="nil"/>
              <w:bottom w:val="nil"/>
              <w:right w:val="nil"/>
            </w:tcBorders>
            <w:shd w:val="clear" w:color="auto" w:fill="auto"/>
            <w:noWrap/>
            <w:vAlign w:val="bottom"/>
          </w:tcPr>
          <w:p w14:paraId="6B136145" w14:textId="1E83C957"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 xml:space="preserve">row </w:t>
            </w:r>
          </w:p>
        </w:tc>
        <w:tc>
          <w:tcPr>
            <w:tcW w:w="1704" w:type="dxa"/>
            <w:tcBorders>
              <w:top w:val="nil"/>
              <w:left w:val="nil"/>
              <w:bottom w:val="nil"/>
              <w:right w:val="nil"/>
            </w:tcBorders>
            <w:shd w:val="clear" w:color="auto" w:fill="auto"/>
            <w:noWrap/>
            <w:vAlign w:val="bottom"/>
          </w:tcPr>
          <w:p w14:paraId="618787AE"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276D028B" w14:textId="2F628AB5" w:rsidR="00C814B9" w:rsidRDefault="00C814B9" w:rsidP="00C814B9">
            <w:pPr>
              <w:spacing w:after="0" w:line="240" w:lineRule="auto"/>
              <w:ind w:firstLine="0"/>
              <w:rPr>
                <w:rFonts w:eastAsia="Times New Roman"/>
                <w:color w:val="000000"/>
              </w:rPr>
            </w:pPr>
            <w:r>
              <w:rPr>
                <w:rFonts w:eastAsia="Times New Roman"/>
                <w:color w:val="000000"/>
              </w:rPr>
              <w:t>Rest of world</w:t>
            </w:r>
          </w:p>
        </w:tc>
      </w:tr>
      <w:tr w:rsidR="00C814B9" w:rsidRPr="00E40A8B" w14:paraId="12B11540" w14:textId="77777777" w:rsidTr="00806E67">
        <w:trPr>
          <w:trHeight w:val="300"/>
        </w:trPr>
        <w:tc>
          <w:tcPr>
            <w:tcW w:w="1403" w:type="dxa"/>
            <w:tcBorders>
              <w:top w:val="nil"/>
              <w:left w:val="nil"/>
              <w:bottom w:val="nil"/>
              <w:right w:val="nil"/>
            </w:tcBorders>
            <w:shd w:val="clear" w:color="auto" w:fill="auto"/>
            <w:noWrap/>
            <w:vAlign w:val="bottom"/>
          </w:tcPr>
          <w:p w14:paraId="1EDDDD9A" w14:textId="7E1EA83F"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g</w:t>
            </w:r>
          </w:p>
        </w:tc>
        <w:tc>
          <w:tcPr>
            <w:tcW w:w="1704" w:type="dxa"/>
            <w:tcBorders>
              <w:top w:val="nil"/>
              <w:left w:val="nil"/>
              <w:bottom w:val="nil"/>
              <w:right w:val="nil"/>
            </w:tcBorders>
            <w:shd w:val="clear" w:color="auto" w:fill="auto"/>
            <w:noWrap/>
            <w:vAlign w:val="bottom"/>
          </w:tcPr>
          <w:p w14:paraId="408B0C9A"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316F3781" w14:textId="262EB201" w:rsidR="00C814B9" w:rsidRDefault="00C814B9" w:rsidP="00C814B9">
            <w:pPr>
              <w:spacing w:after="0" w:line="240" w:lineRule="auto"/>
              <w:ind w:firstLine="0"/>
              <w:rPr>
                <w:rFonts w:eastAsia="Times New Roman"/>
                <w:color w:val="000000"/>
              </w:rPr>
            </w:pPr>
            <w:r>
              <w:rPr>
                <w:rFonts w:eastAsia="Times New Roman"/>
                <w:color w:val="000000"/>
              </w:rPr>
              <w:t>Gasoline</w:t>
            </w:r>
          </w:p>
        </w:tc>
      </w:tr>
      <w:tr w:rsidR="00C814B9" w:rsidRPr="00E40A8B" w14:paraId="6A454AEB" w14:textId="77777777" w:rsidTr="00806E67">
        <w:trPr>
          <w:trHeight w:val="300"/>
        </w:trPr>
        <w:tc>
          <w:tcPr>
            <w:tcW w:w="1403" w:type="dxa"/>
            <w:tcBorders>
              <w:top w:val="nil"/>
              <w:left w:val="nil"/>
              <w:bottom w:val="nil"/>
              <w:right w:val="nil"/>
            </w:tcBorders>
            <w:shd w:val="clear" w:color="auto" w:fill="auto"/>
            <w:noWrap/>
            <w:vAlign w:val="bottom"/>
          </w:tcPr>
          <w:p w14:paraId="368161F6" w14:textId="69BFA3A8" w:rsidR="00C814B9" w:rsidRPr="0099742A" w:rsidRDefault="00BC19A4" w:rsidP="00C814B9">
            <w:pPr>
              <w:spacing w:after="0" w:line="240" w:lineRule="auto"/>
              <w:ind w:firstLine="0"/>
              <w:rPr>
                <w:rFonts w:eastAsia="Times New Roman"/>
                <w:i/>
                <w:iCs/>
                <w:color w:val="000000"/>
              </w:rPr>
            </w:pPr>
            <w:proofErr w:type="spellStart"/>
            <w:r w:rsidRPr="0099742A">
              <w:rPr>
                <w:rFonts w:eastAsia="Times New Roman"/>
                <w:i/>
                <w:iCs/>
                <w:color w:val="000000"/>
              </w:rPr>
              <w:t>dsl</w:t>
            </w:r>
            <w:proofErr w:type="spellEnd"/>
          </w:p>
        </w:tc>
        <w:tc>
          <w:tcPr>
            <w:tcW w:w="1704" w:type="dxa"/>
            <w:tcBorders>
              <w:top w:val="nil"/>
              <w:left w:val="nil"/>
              <w:bottom w:val="nil"/>
              <w:right w:val="nil"/>
            </w:tcBorders>
            <w:shd w:val="clear" w:color="auto" w:fill="auto"/>
            <w:noWrap/>
            <w:vAlign w:val="bottom"/>
          </w:tcPr>
          <w:p w14:paraId="1C97EF1D"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0BBCEFB9" w14:textId="0EB83A3E" w:rsidR="00C814B9" w:rsidRDefault="00C814B9" w:rsidP="00C814B9">
            <w:pPr>
              <w:spacing w:after="0" w:line="240" w:lineRule="auto"/>
              <w:ind w:firstLine="0"/>
              <w:rPr>
                <w:rFonts w:eastAsia="Times New Roman"/>
                <w:color w:val="000000"/>
              </w:rPr>
            </w:pPr>
            <w:r>
              <w:rPr>
                <w:rFonts w:eastAsia="Times New Roman"/>
                <w:color w:val="000000"/>
              </w:rPr>
              <w:t>Diesel</w:t>
            </w:r>
          </w:p>
        </w:tc>
      </w:tr>
      <w:tr w:rsidR="00C814B9" w:rsidRPr="00E40A8B" w14:paraId="144C132E" w14:textId="77777777" w:rsidTr="00806E67">
        <w:trPr>
          <w:trHeight w:val="300"/>
        </w:trPr>
        <w:tc>
          <w:tcPr>
            <w:tcW w:w="1403" w:type="dxa"/>
            <w:tcBorders>
              <w:top w:val="nil"/>
              <w:left w:val="nil"/>
              <w:bottom w:val="nil"/>
              <w:right w:val="nil"/>
            </w:tcBorders>
            <w:shd w:val="clear" w:color="auto" w:fill="auto"/>
            <w:noWrap/>
            <w:vAlign w:val="bottom"/>
          </w:tcPr>
          <w:p w14:paraId="62CE94BE" w14:textId="54087D45" w:rsidR="00C814B9" w:rsidRPr="0099742A" w:rsidRDefault="00BC19A4" w:rsidP="00C814B9">
            <w:pPr>
              <w:spacing w:after="0" w:line="240" w:lineRule="auto"/>
              <w:ind w:firstLine="0"/>
              <w:rPr>
                <w:rFonts w:eastAsia="Times New Roman"/>
                <w:i/>
                <w:iCs/>
                <w:color w:val="000000"/>
              </w:rPr>
            </w:pPr>
            <w:proofErr w:type="spellStart"/>
            <w:r w:rsidRPr="0099742A">
              <w:rPr>
                <w:rFonts w:eastAsia="Times New Roman"/>
                <w:i/>
                <w:iCs/>
                <w:color w:val="000000"/>
              </w:rPr>
              <w:t>mdsl</w:t>
            </w:r>
            <w:proofErr w:type="spellEnd"/>
          </w:p>
        </w:tc>
        <w:tc>
          <w:tcPr>
            <w:tcW w:w="1704" w:type="dxa"/>
            <w:tcBorders>
              <w:top w:val="nil"/>
              <w:left w:val="nil"/>
              <w:bottom w:val="nil"/>
              <w:right w:val="nil"/>
            </w:tcBorders>
            <w:shd w:val="clear" w:color="auto" w:fill="auto"/>
            <w:noWrap/>
            <w:vAlign w:val="bottom"/>
          </w:tcPr>
          <w:p w14:paraId="2A2D37E8"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23C694ED" w14:textId="1045EA86" w:rsidR="00C814B9" w:rsidRDefault="00C44C95" w:rsidP="00C814B9">
            <w:pPr>
              <w:spacing w:after="0" w:line="240" w:lineRule="auto"/>
              <w:ind w:firstLine="0"/>
              <w:rPr>
                <w:rFonts w:eastAsia="Times New Roman"/>
                <w:color w:val="000000"/>
              </w:rPr>
            </w:pPr>
            <w:r>
              <w:rPr>
                <w:rFonts w:eastAsia="Times New Roman"/>
                <w:color w:val="000000"/>
              </w:rPr>
              <w:t xml:space="preserve">Driving </w:t>
            </w:r>
            <w:r w:rsidR="00C814B9">
              <w:rPr>
                <w:rFonts w:eastAsia="Times New Roman"/>
                <w:color w:val="000000"/>
              </w:rPr>
              <w:t>demand for diesel vehicles</w:t>
            </w:r>
          </w:p>
        </w:tc>
      </w:tr>
      <w:tr w:rsidR="00C814B9" w:rsidRPr="00E40A8B" w14:paraId="6C4F0A5C" w14:textId="77777777" w:rsidTr="00806E67">
        <w:trPr>
          <w:trHeight w:val="300"/>
        </w:trPr>
        <w:tc>
          <w:tcPr>
            <w:tcW w:w="1403" w:type="dxa"/>
            <w:tcBorders>
              <w:top w:val="nil"/>
              <w:left w:val="nil"/>
              <w:bottom w:val="nil"/>
              <w:right w:val="nil"/>
            </w:tcBorders>
            <w:shd w:val="clear" w:color="auto" w:fill="auto"/>
            <w:noWrap/>
            <w:vAlign w:val="bottom"/>
          </w:tcPr>
          <w:p w14:paraId="700EDE45" w14:textId="656A2E0E"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o</w:t>
            </w:r>
          </w:p>
        </w:tc>
        <w:tc>
          <w:tcPr>
            <w:tcW w:w="1704" w:type="dxa"/>
            <w:tcBorders>
              <w:top w:val="nil"/>
              <w:left w:val="nil"/>
              <w:bottom w:val="nil"/>
              <w:right w:val="nil"/>
            </w:tcBorders>
            <w:shd w:val="clear" w:color="auto" w:fill="auto"/>
            <w:noWrap/>
            <w:vAlign w:val="bottom"/>
          </w:tcPr>
          <w:p w14:paraId="057201C5"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01BA8A0F" w14:textId="3FE1F4CF" w:rsidR="00C814B9" w:rsidRDefault="00C814B9" w:rsidP="00C814B9">
            <w:pPr>
              <w:spacing w:after="0" w:line="240" w:lineRule="auto"/>
              <w:ind w:firstLine="0"/>
              <w:rPr>
                <w:rFonts w:eastAsia="Times New Roman"/>
                <w:color w:val="000000"/>
              </w:rPr>
            </w:pPr>
            <w:r>
              <w:rPr>
                <w:rFonts w:eastAsia="Times New Roman"/>
                <w:color w:val="000000"/>
              </w:rPr>
              <w:t>Crude oil</w:t>
            </w:r>
          </w:p>
        </w:tc>
      </w:tr>
      <w:tr w:rsidR="00C814B9" w:rsidRPr="00E40A8B" w14:paraId="18E7CA0D" w14:textId="77777777" w:rsidTr="00806E67">
        <w:trPr>
          <w:trHeight w:val="300"/>
        </w:trPr>
        <w:tc>
          <w:tcPr>
            <w:tcW w:w="1403" w:type="dxa"/>
            <w:tcBorders>
              <w:top w:val="nil"/>
              <w:left w:val="nil"/>
              <w:bottom w:val="nil"/>
              <w:right w:val="nil"/>
            </w:tcBorders>
            <w:shd w:val="clear" w:color="auto" w:fill="auto"/>
            <w:noWrap/>
            <w:vAlign w:val="bottom"/>
          </w:tcPr>
          <w:p w14:paraId="41953EF9" w14:textId="72F88D92" w:rsidR="00C814B9" w:rsidRPr="0099742A" w:rsidRDefault="00BC19A4" w:rsidP="00C814B9">
            <w:pPr>
              <w:spacing w:after="0" w:line="240" w:lineRule="auto"/>
              <w:ind w:firstLine="0"/>
              <w:rPr>
                <w:rFonts w:eastAsia="Times New Roman"/>
                <w:i/>
                <w:iCs/>
                <w:color w:val="000000"/>
              </w:rPr>
            </w:pPr>
            <w:r>
              <w:rPr>
                <w:rFonts w:eastAsia="Times New Roman"/>
                <w:i/>
                <w:iCs/>
                <w:color w:val="000000"/>
              </w:rPr>
              <w:t>CRD</w:t>
            </w:r>
          </w:p>
        </w:tc>
        <w:tc>
          <w:tcPr>
            <w:tcW w:w="1704" w:type="dxa"/>
            <w:tcBorders>
              <w:top w:val="nil"/>
              <w:left w:val="nil"/>
              <w:bottom w:val="nil"/>
              <w:right w:val="nil"/>
            </w:tcBorders>
            <w:shd w:val="clear" w:color="auto" w:fill="auto"/>
            <w:noWrap/>
            <w:vAlign w:val="bottom"/>
          </w:tcPr>
          <w:p w14:paraId="159DB77E"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5E9518DD" w14:textId="6F31B7D0" w:rsidR="00C814B9" w:rsidRDefault="00C814B9" w:rsidP="00C814B9">
            <w:pPr>
              <w:spacing w:after="0" w:line="240" w:lineRule="auto"/>
              <w:ind w:firstLine="0"/>
              <w:rPr>
                <w:rFonts w:eastAsia="Times New Roman"/>
                <w:color w:val="000000"/>
              </w:rPr>
            </w:pPr>
            <w:r>
              <w:rPr>
                <w:rFonts w:eastAsia="Times New Roman"/>
                <w:color w:val="000000"/>
              </w:rPr>
              <w:t>Agricultural region</w:t>
            </w:r>
          </w:p>
        </w:tc>
      </w:tr>
      <w:tr w:rsidR="00C814B9" w:rsidRPr="00E40A8B" w14:paraId="56675FAB" w14:textId="77777777" w:rsidTr="00806E67">
        <w:trPr>
          <w:trHeight w:val="300"/>
        </w:trPr>
        <w:tc>
          <w:tcPr>
            <w:tcW w:w="1403" w:type="dxa"/>
            <w:tcBorders>
              <w:top w:val="nil"/>
              <w:left w:val="nil"/>
              <w:bottom w:val="nil"/>
              <w:right w:val="nil"/>
            </w:tcBorders>
            <w:shd w:val="clear" w:color="auto" w:fill="auto"/>
            <w:noWrap/>
            <w:vAlign w:val="bottom"/>
          </w:tcPr>
          <w:p w14:paraId="1B16835C" w14:textId="46FCFB7F" w:rsidR="00C814B9" w:rsidRPr="0099742A" w:rsidRDefault="00BC19A4" w:rsidP="00C814B9">
            <w:pPr>
              <w:spacing w:after="0" w:line="240" w:lineRule="auto"/>
              <w:ind w:firstLine="0"/>
              <w:rPr>
                <w:rFonts w:eastAsia="Times New Roman"/>
                <w:i/>
                <w:iCs/>
                <w:color w:val="000000"/>
              </w:rPr>
            </w:pPr>
            <w:r w:rsidRPr="005278D0">
              <w:rPr>
                <w:rFonts w:eastAsia="Calibri"/>
                <w:i/>
                <w:iCs/>
              </w:rPr>
              <w:t>et</w:t>
            </w:r>
          </w:p>
        </w:tc>
        <w:tc>
          <w:tcPr>
            <w:tcW w:w="1704" w:type="dxa"/>
            <w:tcBorders>
              <w:top w:val="nil"/>
              <w:left w:val="nil"/>
              <w:bottom w:val="nil"/>
              <w:right w:val="nil"/>
            </w:tcBorders>
            <w:shd w:val="clear" w:color="auto" w:fill="auto"/>
            <w:noWrap/>
            <w:vAlign w:val="bottom"/>
          </w:tcPr>
          <w:p w14:paraId="49BA1CAA"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03EA8119" w14:textId="4B8003CE" w:rsidR="00C814B9" w:rsidRDefault="00C814B9" w:rsidP="00C814B9">
            <w:pPr>
              <w:spacing w:after="0" w:line="240" w:lineRule="auto"/>
              <w:ind w:firstLine="0"/>
              <w:rPr>
                <w:rFonts w:eastAsia="Times New Roman"/>
                <w:color w:val="000000"/>
              </w:rPr>
            </w:pPr>
            <w:r>
              <w:rPr>
                <w:rFonts w:eastAsia="Times New Roman"/>
                <w:color w:val="000000"/>
              </w:rPr>
              <w:t>Electricity technology type</w:t>
            </w:r>
          </w:p>
        </w:tc>
      </w:tr>
      <w:tr w:rsidR="00C814B9" w:rsidRPr="00E40A8B" w14:paraId="510F7539" w14:textId="77777777" w:rsidTr="00806E67">
        <w:trPr>
          <w:trHeight w:val="300"/>
        </w:trPr>
        <w:tc>
          <w:tcPr>
            <w:tcW w:w="1403" w:type="dxa"/>
            <w:tcBorders>
              <w:top w:val="nil"/>
              <w:left w:val="nil"/>
              <w:bottom w:val="nil"/>
              <w:right w:val="nil"/>
            </w:tcBorders>
            <w:shd w:val="clear" w:color="auto" w:fill="auto"/>
            <w:noWrap/>
            <w:vAlign w:val="bottom"/>
          </w:tcPr>
          <w:p w14:paraId="4A4DFB53" w14:textId="41EC06E6" w:rsidR="00C814B9" w:rsidRPr="005278D0" w:rsidRDefault="00BC19A4" w:rsidP="00C814B9">
            <w:pPr>
              <w:spacing w:after="0" w:line="240" w:lineRule="auto"/>
              <w:ind w:firstLine="0"/>
              <w:rPr>
                <w:rFonts w:eastAsia="Calibri"/>
                <w:i/>
                <w:iCs/>
              </w:rPr>
            </w:pPr>
            <w:proofErr w:type="spellStart"/>
            <w:r w:rsidRPr="005278D0">
              <w:rPr>
                <w:rFonts w:eastAsia="Calibri"/>
                <w:i/>
                <w:iCs/>
              </w:rPr>
              <w:t>nt</w:t>
            </w:r>
            <w:proofErr w:type="spellEnd"/>
          </w:p>
        </w:tc>
        <w:tc>
          <w:tcPr>
            <w:tcW w:w="1704" w:type="dxa"/>
            <w:tcBorders>
              <w:top w:val="nil"/>
              <w:left w:val="nil"/>
              <w:bottom w:val="nil"/>
              <w:right w:val="nil"/>
            </w:tcBorders>
            <w:shd w:val="clear" w:color="auto" w:fill="auto"/>
            <w:noWrap/>
            <w:vAlign w:val="bottom"/>
          </w:tcPr>
          <w:p w14:paraId="2CAF759F"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62401FC3" w14:textId="657303C2" w:rsidR="00C814B9" w:rsidRDefault="00C814B9" w:rsidP="00C814B9">
            <w:pPr>
              <w:spacing w:after="0" w:line="240" w:lineRule="auto"/>
              <w:ind w:firstLine="0"/>
              <w:rPr>
                <w:rFonts w:eastAsia="Times New Roman"/>
                <w:color w:val="000000"/>
              </w:rPr>
            </w:pPr>
            <w:r>
              <w:rPr>
                <w:rFonts w:eastAsia="Calibri"/>
              </w:rPr>
              <w:t>N</w:t>
            </w:r>
            <w:r w:rsidRPr="00C53F8C">
              <w:rPr>
                <w:rFonts w:eastAsia="Calibri"/>
              </w:rPr>
              <w:t xml:space="preserve">ew power plant with technology type </w:t>
            </w:r>
          </w:p>
        </w:tc>
      </w:tr>
      <w:tr w:rsidR="00C814B9" w:rsidRPr="00E40A8B" w14:paraId="228F7179" w14:textId="77777777" w:rsidTr="00806E67">
        <w:trPr>
          <w:trHeight w:val="300"/>
        </w:trPr>
        <w:tc>
          <w:tcPr>
            <w:tcW w:w="1403" w:type="dxa"/>
            <w:tcBorders>
              <w:top w:val="nil"/>
              <w:left w:val="nil"/>
              <w:bottom w:val="nil"/>
              <w:right w:val="nil"/>
            </w:tcBorders>
            <w:shd w:val="clear" w:color="auto" w:fill="auto"/>
            <w:noWrap/>
            <w:vAlign w:val="bottom"/>
          </w:tcPr>
          <w:p w14:paraId="0B19FFB5" w14:textId="545212CD" w:rsidR="00C814B9" w:rsidRPr="005278D0" w:rsidRDefault="00BC19A4" w:rsidP="00C814B9">
            <w:pPr>
              <w:spacing w:after="0" w:line="240" w:lineRule="auto"/>
              <w:ind w:firstLine="0"/>
              <w:rPr>
                <w:rFonts w:eastAsia="Calibri"/>
                <w:i/>
                <w:iCs/>
              </w:rPr>
            </w:pPr>
            <w:r w:rsidRPr="005278D0">
              <w:rPr>
                <w:rFonts w:eastAsia="Calibri"/>
                <w:i/>
                <w:iCs/>
              </w:rPr>
              <w:t>ff</w:t>
            </w:r>
          </w:p>
        </w:tc>
        <w:tc>
          <w:tcPr>
            <w:tcW w:w="1704" w:type="dxa"/>
            <w:tcBorders>
              <w:top w:val="nil"/>
              <w:left w:val="nil"/>
              <w:bottom w:val="nil"/>
              <w:right w:val="nil"/>
            </w:tcBorders>
            <w:shd w:val="clear" w:color="auto" w:fill="auto"/>
            <w:noWrap/>
            <w:vAlign w:val="bottom"/>
          </w:tcPr>
          <w:p w14:paraId="7F736BD0" w14:textId="77777777" w:rsidR="00C814B9" w:rsidRPr="00B9539D"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09FBF916" w14:textId="7F06C3CF" w:rsidR="00C814B9" w:rsidRDefault="00C814B9" w:rsidP="00C814B9">
            <w:pPr>
              <w:spacing w:after="0" w:line="240" w:lineRule="auto"/>
              <w:ind w:firstLine="0"/>
              <w:rPr>
                <w:rFonts w:eastAsia="Calibri"/>
              </w:rPr>
            </w:pPr>
            <w:r w:rsidRPr="00C53F8C">
              <w:rPr>
                <w:rFonts w:eastAsia="Calibri"/>
              </w:rPr>
              <w:t>fuel type</w:t>
            </w:r>
            <m:oMath>
              <m:r>
                <w:rPr>
                  <w:rFonts w:ascii="Cambria Math" w:eastAsia="Calibri" w:hAnsi="Cambria Math"/>
                </w:rPr>
                <m:t>∈</m:t>
              </m:r>
              <m:d>
                <m:dPr>
                  <m:begChr m:val="{"/>
                  <m:endChr m:val="}"/>
                  <m:ctrlPr>
                    <w:rPr>
                      <w:rFonts w:ascii="Cambria Math" w:eastAsia="Calibri" w:hAnsi="Cambria Math"/>
                      <w:i/>
                    </w:rPr>
                  </m:ctrlPr>
                </m:dPr>
                <m:e>
                  <m:r>
                    <w:rPr>
                      <w:rFonts w:ascii="Cambria Math" w:eastAsia="Calibri" w:hAnsi="Cambria Math"/>
                    </w:rPr>
                    <m:t>coal,fuel oil</m:t>
                  </m:r>
                </m:e>
              </m:d>
            </m:oMath>
          </w:p>
        </w:tc>
      </w:tr>
      <w:tr w:rsidR="00CD7879" w:rsidRPr="00E40A8B" w14:paraId="66FE14B2" w14:textId="77777777" w:rsidTr="00806E67">
        <w:trPr>
          <w:trHeight w:val="300"/>
        </w:trPr>
        <w:tc>
          <w:tcPr>
            <w:tcW w:w="1403" w:type="dxa"/>
            <w:tcBorders>
              <w:top w:val="nil"/>
              <w:left w:val="nil"/>
              <w:bottom w:val="nil"/>
              <w:right w:val="nil"/>
            </w:tcBorders>
            <w:shd w:val="clear" w:color="auto" w:fill="auto"/>
            <w:noWrap/>
            <w:vAlign w:val="bottom"/>
          </w:tcPr>
          <w:p w14:paraId="55F23539" w14:textId="789F19B6" w:rsidR="00CD7879" w:rsidRPr="005278D0" w:rsidRDefault="00BC19A4" w:rsidP="00C814B9">
            <w:pPr>
              <w:spacing w:after="0" w:line="240" w:lineRule="auto"/>
              <w:ind w:firstLine="0"/>
              <w:rPr>
                <w:rFonts w:eastAsia="Calibri"/>
                <w:i/>
                <w:iCs/>
              </w:rPr>
            </w:pPr>
            <w:proofErr w:type="spellStart"/>
            <w:r w:rsidRPr="005278D0">
              <w:rPr>
                <w:rFonts w:eastAsia="Calibri"/>
                <w:i/>
                <w:iCs/>
              </w:rPr>
              <w:t>fr</w:t>
            </w:r>
            <w:proofErr w:type="spellEnd"/>
          </w:p>
        </w:tc>
        <w:tc>
          <w:tcPr>
            <w:tcW w:w="1704" w:type="dxa"/>
            <w:tcBorders>
              <w:top w:val="nil"/>
              <w:left w:val="nil"/>
              <w:bottom w:val="nil"/>
              <w:right w:val="nil"/>
            </w:tcBorders>
            <w:shd w:val="clear" w:color="auto" w:fill="auto"/>
            <w:noWrap/>
            <w:vAlign w:val="bottom"/>
          </w:tcPr>
          <w:p w14:paraId="47F09CB4" w14:textId="77777777" w:rsidR="00CD7879" w:rsidRPr="00B9539D" w:rsidRDefault="00CD787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74B88CCA" w14:textId="6CB82944" w:rsidR="00CD7879" w:rsidRPr="00C53F8C" w:rsidRDefault="00CD7879" w:rsidP="00C814B9">
            <w:pPr>
              <w:spacing w:after="0" w:line="240" w:lineRule="auto"/>
              <w:ind w:firstLine="0"/>
              <w:rPr>
                <w:rFonts w:eastAsia="Calibri"/>
              </w:rPr>
            </w:pPr>
            <w:r>
              <w:rPr>
                <w:rFonts w:eastAsia="Calibri"/>
              </w:rPr>
              <w:t xml:space="preserve">Set of consisting </w:t>
            </w:r>
            <w:r w:rsidRPr="00C53F8C">
              <w:rPr>
                <w:rFonts w:eastAsia="Calibri"/>
              </w:rPr>
              <w:t>forest residues and pulpwood</w:t>
            </w:r>
          </w:p>
        </w:tc>
      </w:tr>
      <w:tr w:rsidR="00C814B9" w:rsidRPr="00E40A8B" w14:paraId="7E579960" w14:textId="77777777" w:rsidTr="00806E67">
        <w:trPr>
          <w:trHeight w:val="300"/>
        </w:trPr>
        <w:tc>
          <w:tcPr>
            <w:tcW w:w="1403" w:type="dxa"/>
            <w:tcBorders>
              <w:top w:val="nil"/>
              <w:left w:val="nil"/>
              <w:bottom w:val="nil"/>
              <w:right w:val="nil"/>
            </w:tcBorders>
            <w:shd w:val="clear" w:color="auto" w:fill="auto"/>
            <w:noWrap/>
            <w:vAlign w:val="bottom"/>
            <w:hideMark/>
          </w:tcPr>
          <w:p w14:paraId="5F35453D" w14:textId="45E29A80"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i</w:t>
            </w:r>
          </w:p>
        </w:tc>
        <w:tc>
          <w:tcPr>
            <w:tcW w:w="1704" w:type="dxa"/>
            <w:tcBorders>
              <w:top w:val="nil"/>
              <w:left w:val="nil"/>
              <w:bottom w:val="nil"/>
              <w:right w:val="nil"/>
            </w:tcBorders>
            <w:shd w:val="clear" w:color="auto" w:fill="auto"/>
            <w:noWrap/>
            <w:vAlign w:val="bottom"/>
            <w:hideMark/>
          </w:tcPr>
          <w:p w14:paraId="19AE2495"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48BE1F6D" w14:textId="39235AE4" w:rsidR="00C814B9" w:rsidRPr="00C53F8C" w:rsidRDefault="00C814B9" w:rsidP="00C814B9">
            <w:pPr>
              <w:spacing w:after="0" w:line="240" w:lineRule="auto"/>
              <w:ind w:firstLine="0"/>
              <w:rPr>
                <w:rFonts w:eastAsia="Times New Roman"/>
                <w:color w:val="000000"/>
              </w:rPr>
            </w:pPr>
            <w:r>
              <w:rPr>
                <w:rFonts w:eastAsia="Times New Roman"/>
                <w:color w:val="000000"/>
              </w:rPr>
              <w:t>Clones for stochastic process</w:t>
            </w:r>
          </w:p>
        </w:tc>
      </w:tr>
      <w:tr w:rsidR="00C814B9" w:rsidRPr="00E40A8B" w14:paraId="475A3407" w14:textId="77777777" w:rsidTr="00806E67">
        <w:trPr>
          <w:trHeight w:val="300"/>
        </w:trPr>
        <w:tc>
          <w:tcPr>
            <w:tcW w:w="1403" w:type="dxa"/>
            <w:tcBorders>
              <w:top w:val="nil"/>
              <w:left w:val="nil"/>
              <w:bottom w:val="nil"/>
              <w:right w:val="nil"/>
            </w:tcBorders>
            <w:shd w:val="clear" w:color="auto" w:fill="auto"/>
            <w:noWrap/>
            <w:vAlign w:val="bottom"/>
            <w:hideMark/>
          </w:tcPr>
          <w:p w14:paraId="1D80B201" w14:textId="46AC573C"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a</w:t>
            </w:r>
          </w:p>
        </w:tc>
        <w:tc>
          <w:tcPr>
            <w:tcW w:w="1704" w:type="dxa"/>
            <w:tcBorders>
              <w:top w:val="nil"/>
              <w:left w:val="nil"/>
              <w:bottom w:val="nil"/>
              <w:right w:val="nil"/>
            </w:tcBorders>
            <w:shd w:val="clear" w:color="auto" w:fill="auto"/>
            <w:noWrap/>
            <w:vAlign w:val="bottom"/>
            <w:hideMark/>
          </w:tcPr>
          <w:p w14:paraId="6D398CFA"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53E25100" w14:textId="5EA5B3F1" w:rsidR="00C814B9" w:rsidRPr="00C53F8C" w:rsidRDefault="00C814B9" w:rsidP="00C814B9">
            <w:pPr>
              <w:spacing w:after="0" w:line="240" w:lineRule="auto"/>
              <w:ind w:firstLine="0"/>
              <w:rPr>
                <w:rFonts w:eastAsia="Times New Roman"/>
                <w:color w:val="000000"/>
              </w:rPr>
            </w:pPr>
            <w:r>
              <w:rPr>
                <w:rFonts w:eastAsia="Times New Roman"/>
                <w:color w:val="000000"/>
              </w:rPr>
              <w:t>V</w:t>
            </w:r>
            <w:r w:rsidRPr="00C53F8C">
              <w:rPr>
                <w:rFonts w:eastAsia="Times New Roman"/>
                <w:color w:val="000000"/>
              </w:rPr>
              <w:t>ehicle age</w:t>
            </w:r>
          </w:p>
        </w:tc>
      </w:tr>
      <w:tr w:rsidR="00C814B9" w:rsidRPr="00E40A8B" w14:paraId="4935B0E1" w14:textId="77777777" w:rsidTr="00806E67">
        <w:trPr>
          <w:trHeight w:val="300"/>
        </w:trPr>
        <w:tc>
          <w:tcPr>
            <w:tcW w:w="1403" w:type="dxa"/>
            <w:tcBorders>
              <w:top w:val="nil"/>
              <w:left w:val="nil"/>
              <w:bottom w:val="nil"/>
              <w:right w:val="nil"/>
            </w:tcBorders>
            <w:shd w:val="clear" w:color="auto" w:fill="auto"/>
            <w:noWrap/>
            <w:vAlign w:val="bottom"/>
            <w:hideMark/>
          </w:tcPr>
          <w:p w14:paraId="37DFFF8A" w14:textId="5407F7AF"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t</w:t>
            </w:r>
          </w:p>
        </w:tc>
        <w:tc>
          <w:tcPr>
            <w:tcW w:w="1704" w:type="dxa"/>
            <w:tcBorders>
              <w:top w:val="nil"/>
              <w:left w:val="nil"/>
              <w:bottom w:val="nil"/>
              <w:right w:val="nil"/>
            </w:tcBorders>
            <w:shd w:val="clear" w:color="auto" w:fill="auto"/>
            <w:noWrap/>
            <w:vAlign w:val="bottom"/>
            <w:hideMark/>
          </w:tcPr>
          <w:p w14:paraId="275B153F"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6C4AC9A2" w14:textId="6FA2E2B9" w:rsidR="00C814B9" w:rsidRPr="00C53F8C" w:rsidRDefault="00C814B9" w:rsidP="00C814B9">
            <w:pPr>
              <w:spacing w:after="0" w:line="240" w:lineRule="auto"/>
              <w:ind w:firstLine="0"/>
              <w:rPr>
                <w:rFonts w:eastAsia="Times New Roman"/>
                <w:color w:val="000000"/>
              </w:rPr>
            </w:pPr>
            <w:r>
              <w:rPr>
                <w:rFonts w:eastAsia="Times New Roman"/>
                <w:color w:val="000000"/>
              </w:rPr>
              <w:t>Year</w:t>
            </w:r>
          </w:p>
        </w:tc>
      </w:tr>
      <w:tr w:rsidR="00C814B9" w:rsidRPr="00E40A8B" w14:paraId="5EB1A921" w14:textId="77777777" w:rsidTr="00806E67">
        <w:trPr>
          <w:trHeight w:val="300"/>
        </w:trPr>
        <w:tc>
          <w:tcPr>
            <w:tcW w:w="1403" w:type="dxa"/>
            <w:tcBorders>
              <w:top w:val="nil"/>
              <w:left w:val="nil"/>
              <w:bottom w:val="nil"/>
              <w:right w:val="nil"/>
            </w:tcBorders>
            <w:shd w:val="clear" w:color="auto" w:fill="auto"/>
            <w:noWrap/>
            <w:vAlign w:val="bottom"/>
            <w:hideMark/>
          </w:tcPr>
          <w:p w14:paraId="2F4FBFBD" w14:textId="6DC47BC0"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v</w:t>
            </w:r>
          </w:p>
        </w:tc>
        <w:tc>
          <w:tcPr>
            <w:tcW w:w="1704" w:type="dxa"/>
            <w:tcBorders>
              <w:top w:val="nil"/>
              <w:left w:val="nil"/>
              <w:bottom w:val="nil"/>
              <w:right w:val="nil"/>
            </w:tcBorders>
            <w:shd w:val="clear" w:color="auto" w:fill="auto"/>
            <w:noWrap/>
            <w:vAlign w:val="bottom"/>
            <w:hideMark/>
          </w:tcPr>
          <w:p w14:paraId="217B79D9"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18FE388D" w14:textId="7EEB90A2" w:rsidR="00C814B9" w:rsidRPr="00C53F8C" w:rsidRDefault="00C814B9" w:rsidP="00C814B9">
            <w:pPr>
              <w:spacing w:after="0" w:line="240" w:lineRule="auto"/>
              <w:ind w:firstLine="0"/>
              <w:rPr>
                <w:rFonts w:eastAsia="Times New Roman"/>
                <w:color w:val="000000"/>
              </w:rPr>
            </w:pPr>
            <w:r>
              <w:rPr>
                <w:rFonts w:eastAsia="Times New Roman"/>
                <w:color w:val="000000"/>
              </w:rPr>
              <w:t>F</w:t>
            </w:r>
            <w:r w:rsidRPr="00C53F8C">
              <w:rPr>
                <w:rFonts w:eastAsia="Times New Roman"/>
                <w:color w:val="000000"/>
              </w:rPr>
              <w:t xml:space="preserve">ive vehicle </w:t>
            </w:r>
            <w:proofErr w:type="gramStart"/>
            <w:r w:rsidRPr="00C53F8C">
              <w:rPr>
                <w:rFonts w:eastAsia="Times New Roman"/>
                <w:color w:val="000000"/>
              </w:rPr>
              <w:t>powertrain</w:t>
            </w:r>
            <w:proofErr w:type="gramEnd"/>
          </w:p>
        </w:tc>
      </w:tr>
      <w:tr w:rsidR="00C814B9" w:rsidRPr="00E40A8B" w14:paraId="410BF2A5" w14:textId="77777777" w:rsidTr="00806E67">
        <w:trPr>
          <w:trHeight w:val="300"/>
        </w:trPr>
        <w:tc>
          <w:tcPr>
            <w:tcW w:w="1403" w:type="dxa"/>
            <w:tcBorders>
              <w:top w:val="nil"/>
              <w:left w:val="nil"/>
              <w:bottom w:val="nil"/>
              <w:right w:val="nil"/>
            </w:tcBorders>
            <w:shd w:val="clear" w:color="auto" w:fill="auto"/>
            <w:noWrap/>
            <w:vAlign w:val="bottom"/>
            <w:hideMark/>
          </w:tcPr>
          <w:p w14:paraId="130C7E81" w14:textId="56B5B88C" w:rsidR="00C814B9" w:rsidRPr="0099742A" w:rsidRDefault="00BC19A4" w:rsidP="00C814B9">
            <w:pPr>
              <w:spacing w:after="0" w:line="240" w:lineRule="auto"/>
              <w:ind w:firstLine="0"/>
              <w:rPr>
                <w:rFonts w:eastAsia="Times New Roman"/>
                <w:i/>
                <w:iCs/>
                <w:color w:val="000000"/>
              </w:rPr>
            </w:pPr>
            <w:proofErr w:type="spellStart"/>
            <w:r w:rsidRPr="0099742A">
              <w:rPr>
                <w:rFonts w:eastAsia="Times New Roman"/>
                <w:i/>
                <w:iCs/>
                <w:color w:val="000000"/>
              </w:rPr>
              <w:t>chrg</w:t>
            </w:r>
            <w:proofErr w:type="spellEnd"/>
          </w:p>
        </w:tc>
        <w:tc>
          <w:tcPr>
            <w:tcW w:w="1704" w:type="dxa"/>
            <w:tcBorders>
              <w:top w:val="nil"/>
              <w:left w:val="nil"/>
              <w:bottom w:val="nil"/>
              <w:right w:val="nil"/>
            </w:tcBorders>
            <w:shd w:val="clear" w:color="auto" w:fill="auto"/>
            <w:noWrap/>
            <w:vAlign w:val="bottom"/>
            <w:hideMark/>
          </w:tcPr>
          <w:p w14:paraId="615DD4A2"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67B32669" w14:textId="1FDC5F1F" w:rsidR="00C814B9" w:rsidRPr="00C53F8C" w:rsidRDefault="00C814B9" w:rsidP="00C814B9">
            <w:pPr>
              <w:spacing w:after="0" w:line="240" w:lineRule="auto"/>
              <w:ind w:firstLine="0"/>
              <w:rPr>
                <w:rFonts w:eastAsia="Times New Roman"/>
                <w:color w:val="000000"/>
              </w:rPr>
            </w:pPr>
            <w:r>
              <w:rPr>
                <w:rFonts w:eastAsia="Times New Roman"/>
                <w:color w:val="000000"/>
              </w:rPr>
              <w:t>C</w:t>
            </w:r>
            <w:r w:rsidRPr="00C53F8C">
              <w:rPr>
                <w:rFonts w:eastAsia="Times New Roman"/>
                <w:color w:val="000000"/>
              </w:rPr>
              <w:t>harging groups</w:t>
            </w:r>
            <w:r>
              <w:rPr>
                <w:rFonts w:eastAsia="Times New Roman"/>
                <w:color w:val="000000"/>
              </w:rPr>
              <w:t xml:space="preserve">: </w:t>
            </w:r>
            <w:r w:rsidRPr="00C53F8C">
              <w:rPr>
                <w:rFonts w:eastAsia="Times New Roman"/>
                <w:color w:val="000000"/>
              </w:rPr>
              <w:t xml:space="preserve"> H for home, W for work, P for public</w:t>
            </w:r>
          </w:p>
        </w:tc>
      </w:tr>
      <w:tr w:rsidR="00C814B9" w:rsidRPr="00E40A8B" w14:paraId="2C22319D" w14:textId="77777777" w:rsidTr="00806E67">
        <w:trPr>
          <w:trHeight w:val="300"/>
        </w:trPr>
        <w:tc>
          <w:tcPr>
            <w:tcW w:w="1403" w:type="dxa"/>
            <w:tcBorders>
              <w:top w:val="nil"/>
              <w:left w:val="nil"/>
              <w:bottom w:val="nil"/>
              <w:right w:val="nil"/>
            </w:tcBorders>
            <w:shd w:val="clear" w:color="auto" w:fill="auto"/>
            <w:noWrap/>
            <w:vAlign w:val="bottom"/>
            <w:hideMark/>
          </w:tcPr>
          <w:p w14:paraId="40F58C55" w14:textId="05885180"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k</w:t>
            </w:r>
          </w:p>
        </w:tc>
        <w:tc>
          <w:tcPr>
            <w:tcW w:w="1704" w:type="dxa"/>
            <w:tcBorders>
              <w:top w:val="nil"/>
              <w:left w:val="nil"/>
              <w:bottom w:val="nil"/>
              <w:right w:val="nil"/>
            </w:tcBorders>
            <w:shd w:val="clear" w:color="auto" w:fill="auto"/>
            <w:noWrap/>
            <w:vAlign w:val="bottom"/>
            <w:hideMark/>
          </w:tcPr>
          <w:p w14:paraId="27156FB9"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7C6BD3AF" w14:textId="28C8AD90"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Two types of public charging</w:t>
            </w:r>
            <w:r>
              <w:rPr>
                <w:rFonts w:eastAsia="Times New Roman"/>
                <w:color w:val="000000"/>
              </w:rPr>
              <w:t>:</w:t>
            </w:r>
            <w:r w:rsidRPr="00C53F8C">
              <w:rPr>
                <w:rFonts w:eastAsia="Times New Roman"/>
                <w:color w:val="000000"/>
              </w:rPr>
              <w:t xml:space="preserve"> L2</w:t>
            </w:r>
            <w:r>
              <w:rPr>
                <w:rFonts w:eastAsia="Times New Roman"/>
                <w:color w:val="000000"/>
              </w:rPr>
              <w:t xml:space="preserve"> for Level 2</w:t>
            </w:r>
            <w:r w:rsidRPr="00C53F8C">
              <w:rPr>
                <w:rFonts w:eastAsia="Times New Roman"/>
                <w:color w:val="000000"/>
              </w:rPr>
              <w:t>, DC</w:t>
            </w:r>
            <w:r>
              <w:rPr>
                <w:rFonts w:eastAsia="Times New Roman"/>
                <w:color w:val="000000"/>
              </w:rPr>
              <w:t xml:space="preserve"> for DC fast charging</w:t>
            </w:r>
          </w:p>
        </w:tc>
      </w:tr>
      <w:tr w:rsidR="00C814B9" w:rsidRPr="00E40A8B" w14:paraId="7F988965" w14:textId="77777777" w:rsidTr="00806E67">
        <w:trPr>
          <w:trHeight w:val="300"/>
        </w:trPr>
        <w:tc>
          <w:tcPr>
            <w:tcW w:w="1403" w:type="dxa"/>
            <w:tcBorders>
              <w:top w:val="nil"/>
              <w:left w:val="nil"/>
              <w:bottom w:val="nil"/>
              <w:right w:val="nil"/>
            </w:tcBorders>
            <w:shd w:val="clear" w:color="auto" w:fill="auto"/>
            <w:noWrap/>
            <w:vAlign w:val="bottom"/>
            <w:hideMark/>
          </w:tcPr>
          <w:p w14:paraId="04F3B129" w14:textId="4797AF92"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md</w:t>
            </w:r>
          </w:p>
        </w:tc>
        <w:tc>
          <w:tcPr>
            <w:tcW w:w="1704" w:type="dxa"/>
            <w:tcBorders>
              <w:top w:val="nil"/>
              <w:left w:val="nil"/>
              <w:bottom w:val="nil"/>
              <w:right w:val="nil"/>
            </w:tcBorders>
            <w:shd w:val="clear" w:color="auto" w:fill="auto"/>
            <w:noWrap/>
            <w:vAlign w:val="bottom"/>
            <w:hideMark/>
          </w:tcPr>
          <w:p w14:paraId="13E03808"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hideMark/>
          </w:tcPr>
          <w:p w14:paraId="1BD23EFC" w14:textId="4FCAEE18"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Driving demand</w:t>
            </w:r>
            <w:r>
              <w:rPr>
                <w:rFonts w:eastAsia="Times New Roman"/>
                <w:color w:val="000000"/>
              </w:rPr>
              <w:t>:</w:t>
            </w:r>
            <w:r w:rsidRPr="00C53F8C">
              <w:rPr>
                <w:rFonts w:eastAsia="Times New Roman"/>
                <w:color w:val="000000"/>
              </w:rPr>
              <w:t xml:space="preserve"> Low, Medium, High</w:t>
            </w:r>
          </w:p>
        </w:tc>
      </w:tr>
      <w:tr w:rsidR="00C814B9" w:rsidRPr="00E40A8B" w14:paraId="1D9972B6" w14:textId="77777777" w:rsidTr="0099742A">
        <w:trPr>
          <w:trHeight w:val="300"/>
        </w:trPr>
        <w:tc>
          <w:tcPr>
            <w:tcW w:w="1403" w:type="dxa"/>
            <w:tcBorders>
              <w:top w:val="nil"/>
              <w:left w:val="nil"/>
              <w:bottom w:val="nil"/>
              <w:right w:val="nil"/>
            </w:tcBorders>
            <w:shd w:val="clear" w:color="auto" w:fill="auto"/>
            <w:noWrap/>
            <w:vAlign w:val="bottom"/>
            <w:hideMark/>
          </w:tcPr>
          <w:p w14:paraId="4D4730F2" w14:textId="61BC2205"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r</w:t>
            </w:r>
          </w:p>
        </w:tc>
        <w:tc>
          <w:tcPr>
            <w:tcW w:w="1704" w:type="dxa"/>
            <w:tcBorders>
              <w:top w:val="nil"/>
              <w:left w:val="nil"/>
              <w:bottom w:val="nil"/>
              <w:right w:val="nil"/>
            </w:tcBorders>
            <w:shd w:val="clear" w:color="auto" w:fill="auto"/>
            <w:noWrap/>
            <w:vAlign w:val="bottom"/>
            <w:hideMark/>
          </w:tcPr>
          <w:p w14:paraId="3F2D8536"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 </w:t>
            </w:r>
          </w:p>
        </w:tc>
        <w:tc>
          <w:tcPr>
            <w:tcW w:w="6253" w:type="dxa"/>
            <w:tcBorders>
              <w:top w:val="nil"/>
              <w:left w:val="nil"/>
              <w:bottom w:val="nil"/>
              <w:right w:val="nil"/>
            </w:tcBorders>
            <w:shd w:val="clear" w:color="auto" w:fill="auto"/>
            <w:noWrap/>
            <w:vAlign w:val="bottom"/>
            <w:hideMark/>
          </w:tcPr>
          <w:p w14:paraId="505C4587" w14:textId="77777777" w:rsidR="00C814B9" w:rsidRPr="00C53F8C" w:rsidRDefault="00C814B9" w:rsidP="00C814B9">
            <w:pPr>
              <w:spacing w:after="0" w:line="240" w:lineRule="auto"/>
              <w:ind w:firstLine="0"/>
              <w:rPr>
                <w:rFonts w:eastAsia="Times New Roman"/>
                <w:color w:val="000000"/>
              </w:rPr>
            </w:pPr>
            <w:r w:rsidRPr="00C53F8C">
              <w:rPr>
                <w:rFonts w:eastAsia="Times New Roman"/>
                <w:color w:val="000000"/>
              </w:rPr>
              <w:t>Electric market region</w:t>
            </w:r>
          </w:p>
        </w:tc>
      </w:tr>
      <w:tr w:rsidR="00C814B9" w:rsidRPr="00E40A8B" w14:paraId="678AE00E" w14:textId="77777777" w:rsidTr="0099742A">
        <w:trPr>
          <w:trHeight w:val="300"/>
        </w:trPr>
        <w:tc>
          <w:tcPr>
            <w:tcW w:w="1403" w:type="dxa"/>
            <w:tcBorders>
              <w:top w:val="nil"/>
              <w:left w:val="nil"/>
              <w:bottom w:val="nil"/>
              <w:right w:val="nil"/>
            </w:tcBorders>
            <w:shd w:val="clear" w:color="auto" w:fill="auto"/>
            <w:noWrap/>
            <w:vAlign w:val="bottom"/>
          </w:tcPr>
          <w:p w14:paraId="2B274E11" w14:textId="23E1132D"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cc</w:t>
            </w:r>
          </w:p>
        </w:tc>
        <w:tc>
          <w:tcPr>
            <w:tcW w:w="1704" w:type="dxa"/>
            <w:tcBorders>
              <w:top w:val="nil"/>
              <w:left w:val="nil"/>
              <w:bottom w:val="nil"/>
              <w:right w:val="nil"/>
            </w:tcBorders>
            <w:shd w:val="clear" w:color="auto" w:fill="auto"/>
            <w:noWrap/>
            <w:vAlign w:val="bottom"/>
          </w:tcPr>
          <w:p w14:paraId="1DEAAFA7"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4F616C77" w14:textId="2CE59B4D" w:rsidR="00C814B9" w:rsidRPr="00C53F8C" w:rsidRDefault="00C814B9" w:rsidP="00C814B9">
            <w:pPr>
              <w:spacing w:after="0" w:line="240" w:lineRule="auto"/>
              <w:ind w:firstLine="0"/>
              <w:rPr>
                <w:rFonts w:eastAsia="Times New Roman"/>
                <w:color w:val="000000"/>
              </w:rPr>
            </w:pPr>
            <w:r>
              <w:rPr>
                <w:rFonts w:eastAsia="Times New Roman"/>
                <w:color w:val="000000"/>
              </w:rPr>
              <w:t>Crop commodities</w:t>
            </w:r>
          </w:p>
        </w:tc>
      </w:tr>
      <w:tr w:rsidR="00C814B9" w:rsidRPr="00E40A8B" w14:paraId="184ABE20" w14:textId="77777777" w:rsidTr="0099742A">
        <w:trPr>
          <w:trHeight w:val="300"/>
        </w:trPr>
        <w:tc>
          <w:tcPr>
            <w:tcW w:w="1403" w:type="dxa"/>
            <w:tcBorders>
              <w:top w:val="nil"/>
              <w:left w:val="nil"/>
              <w:bottom w:val="nil"/>
              <w:right w:val="nil"/>
            </w:tcBorders>
            <w:shd w:val="clear" w:color="auto" w:fill="auto"/>
            <w:noWrap/>
            <w:vAlign w:val="bottom"/>
          </w:tcPr>
          <w:p w14:paraId="557C7533" w14:textId="0F9D07B5"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lc</w:t>
            </w:r>
          </w:p>
        </w:tc>
        <w:tc>
          <w:tcPr>
            <w:tcW w:w="1704" w:type="dxa"/>
            <w:tcBorders>
              <w:top w:val="nil"/>
              <w:left w:val="nil"/>
              <w:bottom w:val="nil"/>
              <w:right w:val="nil"/>
            </w:tcBorders>
            <w:shd w:val="clear" w:color="auto" w:fill="auto"/>
            <w:noWrap/>
            <w:vAlign w:val="bottom"/>
          </w:tcPr>
          <w:p w14:paraId="22A908A9"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nil"/>
              <w:right w:val="nil"/>
            </w:tcBorders>
            <w:shd w:val="clear" w:color="auto" w:fill="auto"/>
            <w:noWrap/>
            <w:vAlign w:val="bottom"/>
          </w:tcPr>
          <w:p w14:paraId="49BDFAC9" w14:textId="1A3A8153" w:rsidR="00C814B9" w:rsidRDefault="00C814B9" w:rsidP="00C814B9">
            <w:pPr>
              <w:spacing w:after="0" w:line="240" w:lineRule="auto"/>
              <w:ind w:firstLine="0"/>
              <w:rPr>
                <w:rFonts w:eastAsia="Times New Roman"/>
                <w:color w:val="000000"/>
              </w:rPr>
            </w:pPr>
            <w:r>
              <w:rPr>
                <w:rFonts w:eastAsia="Times New Roman"/>
                <w:color w:val="000000"/>
              </w:rPr>
              <w:t>Livestock commodities</w:t>
            </w:r>
          </w:p>
        </w:tc>
      </w:tr>
      <w:tr w:rsidR="00C814B9" w:rsidRPr="00E40A8B" w14:paraId="5BA74222" w14:textId="77777777" w:rsidTr="00806E67">
        <w:trPr>
          <w:trHeight w:val="300"/>
        </w:trPr>
        <w:tc>
          <w:tcPr>
            <w:tcW w:w="1403" w:type="dxa"/>
            <w:tcBorders>
              <w:top w:val="nil"/>
              <w:left w:val="nil"/>
              <w:bottom w:val="single" w:sz="4" w:space="0" w:color="auto"/>
              <w:right w:val="nil"/>
            </w:tcBorders>
            <w:shd w:val="clear" w:color="auto" w:fill="auto"/>
            <w:noWrap/>
            <w:vAlign w:val="bottom"/>
          </w:tcPr>
          <w:p w14:paraId="49DBE933" w14:textId="4B96EC21" w:rsidR="00C814B9" w:rsidRPr="0099742A" w:rsidRDefault="00BC19A4" w:rsidP="00C814B9">
            <w:pPr>
              <w:spacing w:after="0" w:line="240" w:lineRule="auto"/>
              <w:ind w:firstLine="0"/>
              <w:rPr>
                <w:rFonts w:eastAsia="Times New Roman"/>
                <w:i/>
                <w:iCs/>
                <w:color w:val="000000"/>
              </w:rPr>
            </w:pPr>
            <w:r w:rsidRPr="0099742A">
              <w:rPr>
                <w:rFonts w:eastAsia="Times New Roman"/>
                <w:i/>
                <w:iCs/>
                <w:color w:val="000000"/>
              </w:rPr>
              <w:t>j</w:t>
            </w:r>
          </w:p>
        </w:tc>
        <w:tc>
          <w:tcPr>
            <w:tcW w:w="1704" w:type="dxa"/>
            <w:tcBorders>
              <w:top w:val="nil"/>
              <w:left w:val="nil"/>
              <w:bottom w:val="single" w:sz="4" w:space="0" w:color="auto"/>
              <w:right w:val="nil"/>
            </w:tcBorders>
            <w:shd w:val="clear" w:color="auto" w:fill="auto"/>
            <w:noWrap/>
            <w:vAlign w:val="bottom"/>
          </w:tcPr>
          <w:p w14:paraId="148E288A" w14:textId="77777777" w:rsidR="00C814B9" w:rsidRPr="00C53F8C" w:rsidRDefault="00C814B9" w:rsidP="00C814B9">
            <w:pPr>
              <w:spacing w:after="0" w:line="240" w:lineRule="auto"/>
              <w:ind w:firstLine="0"/>
              <w:rPr>
                <w:rFonts w:eastAsia="Times New Roman"/>
                <w:color w:val="000000"/>
              </w:rPr>
            </w:pPr>
          </w:p>
        </w:tc>
        <w:tc>
          <w:tcPr>
            <w:tcW w:w="6253" w:type="dxa"/>
            <w:tcBorders>
              <w:top w:val="nil"/>
              <w:left w:val="nil"/>
              <w:bottom w:val="single" w:sz="4" w:space="0" w:color="auto"/>
              <w:right w:val="nil"/>
            </w:tcBorders>
            <w:shd w:val="clear" w:color="auto" w:fill="auto"/>
            <w:noWrap/>
            <w:vAlign w:val="bottom"/>
          </w:tcPr>
          <w:p w14:paraId="2CB5F5E6" w14:textId="5184D0CA" w:rsidR="00C814B9" w:rsidRDefault="00C814B9" w:rsidP="00C814B9">
            <w:pPr>
              <w:spacing w:after="0" w:line="240" w:lineRule="auto"/>
              <w:ind w:firstLine="0"/>
              <w:rPr>
                <w:rFonts w:eastAsia="Times New Roman"/>
                <w:color w:val="000000"/>
              </w:rPr>
            </w:pPr>
            <w:r>
              <w:rPr>
                <w:rFonts w:eastAsia="Times New Roman"/>
                <w:color w:val="000000"/>
              </w:rPr>
              <w:t>Other vehicles than BEV</w:t>
            </w:r>
          </w:p>
        </w:tc>
      </w:tr>
    </w:tbl>
    <w:p w14:paraId="1A1D18C4" w14:textId="1CD87231" w:rsidR="0077042D" w:rsidRDefault="0077042D" w:rsidP="003B7447"/>
    <w:p w14:paraId="28D58F32" w14:textId="77777777" w:rsidR="00CB6A60" w:rsidRDefault="00CB6A60" w:rsidP="00A9610B">
      <w:pPr>
        <w:pStyle w:val="Subtitle"/>
      </w:pPr>
    </w:p>
    <w:p w14:paraId="5FAA8F17" w14:textId="77777777" w:rsidR="00CB6A60" w:rsidRDefault="00CB6A60">
      <w:pPr>
        <w:spacing w:line="259" w:lineRule="auto"/>
        <w:ind w:firstLine="0"/>
        <w:rPr>
          <w:b/>
          <w:bCs/>
        </w:rPr>
      </w:pPr>
      <w:r>
        <w:br w:type="page"/>
      </w:r>
    </w:p>
    <w:p w14:paraId="36A17C8C" w14:textId="07D576E3" w:rsidR="002C3F92" w:rsidRDefault="002C3F92" w:rsidP="002E3D9C">
      <w:pPr>
        <w:pStyle w:val="Heading1"/>
        <w:numPr>
          <w:ilvl w:val="0"/>
          <w:numId w:val="0"/>
        </w:numPr>
        <w:spacing w:after="0"/>
        <w:ind w:left="432" w:hanging="432"/>
      </w:pPr>
      <w:r>
        <w:lastRenderedPageBreak/>
        <w:t>Reference</w:t>
      </w:r>
      <w:r w:rsidR="00C57986">
        <w:t>s</w:t>
      </w:r>
    </w:p>
    <w:p w14:paraId="53F6C15F" w14:textId="58E085A9" w:rsidR="00167CA8" w:rsidRDefault="00167CA8" w:rsidP="00A30731">
      <w:pPr>
        <w:spacing w:after="0" w:line="240" w:lineRule="auto"/>
        <w:ind w:left="480" w:hanging="480"/>
        <w:rPr>
          <w:rFonts w:eastAsia="Times New Roman"/>
        </w:rPr>
      </w:pPr>
      <w:r w:rsidRPr="000A4F6E">
        <w:rPr>
          <w:rFonts w:eastAsia="Times New Roman"/>
        </w:rPr>
        <w:t>Alternative Fuels Data Center, D. 2020. “Vehicle Cost Calculator Assumptions and Methodology.” Available at: https://afdc.energy.gov/calc/cost_calculator_methodology.html [Accessed June 11, 2019].</w:t>
      </w:r>
    </w:p>
    <w:p w14:paraId="26D14C55" w14:textId="77777777" w:rsidR="00167CA8" w:rsidRPr="00167CA8" w:rsidRDefault="00167CA8" w:rsidP="00A30731">
      <w:pPr>
        <w:spacing w:after="0" w:line="240" w:lineRule="auto"/>
        <w:ind w:left="480" w:hanging="480"/>
        <w:rPr>
          <w:rFonts w:eastAsia="Times New Roman"/>
        </w:rPr>
      </w:pPr>
      <w:r w:rsidRPr="00167CA8">
        <w:rPr>
          <w:rFonts w:eastAsia="Times New Roman"/>
        </w:rPr>
        <w:t>American Automobile Association (AAA). 2016. “Your driving costs.” Available at: http://newsroom.aaa.com/auto/your-driving-costs/.</w:t>
      </w:r>
    </w:p>
    <w:p w14:paraId="196AE25E" w14:textId="030F8F2A" w:rsidR="002C3F92" w:rsidRDefault="002C3F92" w:rsidP="00A30731">
      <w:pPr>
        <w:widowControl w:val="0"/>
        <w:autoSpaceDE w:val="0"/>
        <w:autoSpaceDN w:val="0"/>
        <w:adjustRightInd w:val="0"/>
        <w:snapToGrid w:val="0"/>
        <w:spacing w:after="0" w:line="240" w:lineRule="auto"/>
        <w:ind w:left="475" w:hanging="475"/>
        <w:rPr>
          <w:noProof/>
        </w:rPr>
      </w:pPr>
      <w:r w:rsidRPr="00144194">
        <w:rPr>
          <w:noProof/>
        </w:rPr>
        <w:t xml:space="preserve">Baik, Y., R. Hertzke, H. Patrick, and S. Knupfer. 2019. “Making electric vehicles profitable.” </w:t>
      </w:r>
      <w:r w:rsidRPr="00144194">
        <w:rPr>
          <w:i/>
          <w:iCs/>
          <w:noProof/>
        </w:rPr>
        <w:t>McKinsey</w:t>
      </w:r>
      <w:r w:rsidRPr="00144194">
        <w:rPr>
          <w:noProof/>
        </w:rPr>
        <w:t>. Available at: https://www.mckinsey.com/industries/automotive-and-assembly/our-insights/making-electric-vehicles-profitable [Accessed January 22, 2020].</w:t>
      </w:r>
    </w:p>
    <w:p w14:paraId="08C437B1" w14:textId="38C43DA5" w:rsidR="000A4F6E" w:rsidRDefault="000A4F6E" w:rsidP="00A30731">
      <w:pPr>
        <w:spacing w:after="0" w:line="240" w:lineRule="auto"/>
        <w:ind w:left="480" w:hanging="480"/>
        <w:rPr>
          <w:rFonts w:eastAsia="Times New Roman"/>
        </w:rPr>
      </w:pPr>
      <w:proofErr w:type="spellStart"/>
      <w:r w:rsidRPr="000A4F6E">
        <w:rPr>
          <w:rFonts w:eastAsia="Times New Roman"/>
        </w:rPr>
        <w:t>BloombergNEF</w:t>
      </w:r>
      <w:proofErr w:type="spellEnd"/>
      <w:r w:rsidRPr="000A4F6E">
        <w:rPr>
          <w:rFonts w:eastAsia="Times New Roman"/>
        </w:rPr>
        <w:t>. 2019. “A Behind the Scenes Take on Lithium-ion Battery Prices.” Available at: https://about.bnef.com/blog/behind-scenes-take-lithium-ion-battery-prices/ [Accessed January 22, 2020].</w:t>
      </w:r>
    </w:p>
    <w:p w14:paraId="32723D03" w14:textId="77777777" w:rsidR="00CD7094" w:rsidRPr="00CD7094" w:rsidRDefault="00CD7094" w:rsidP="00A30731">
      <w:pPr>
        <w:spacing w:after="0" w:line="240" w:lineRule="auto"/>
        <w:ind w:left="480" w:hanging="480"/>
        <w:rPr>
          <w:rFonts w:eastAsia="Times New Roman"/>
        </w:rPr>
      </w:pPr>
      <w:r w:rsidRPr="00CD7094">
        <w:rPr>
          <w:rFonts w:eastAsia="Times New Roman"/>
        </w:rPr>
        <w:t xml:space="preserve">Challet, D., A. Bel, and H. Ayed. 2014. “Do Google Trend data contain more predictability than price returns?” </w:t>
      </w:r>
    </w:p>
    <w:p w14:paraId="0F09CAEF" w14:textId="33A7780F" w:rsidR="00CD7094" w:rsidRPr="004D55DC" w:rsidRDefault="004D55DC" w:rsidP="00A30731">
      <w:pPr>
        <w:snapToGrid w:val="0"/>
        <w:spacing w:after="0" w:line="240" w:lineRule="auto"/>
        <w:ind w:left="475" w:hanging="475"/>
        <w:rPr>
          <w:rFonts w:eastAsia="Times New Roman"/>
        </w:rPr>
      </w:pPr>
      <w:r w:rsidRPr="004D55DC">
        <w:rPr>
          <w:rFonts w:eastAsia="Times New Roman"/>
        </w:rPr>
        <w:t xml:space="preserve">Chen, L., D. Debnath, J. Zhong, K. Ferin, A. VanLoocke, and M. Khanna. 2021. “The economic and environmental costs and benefits of the renewable fuel standard.” </w:t>
      </w:r>
      <w:r w:rsidRPr="004D55DC">
        <w:rPr>
          <w:rFonts w:eastAsia="Times New Roman"/>
          <w:i/>
          <w:iCs/>
        </w:rPr>
        <w:t>Environmental Research Letters</w:t>
      </w:r>
      <w:r w:rsidRPr="004D55DC">
        <w:rPr>
          <w:rFonts w:eastAsia="Times New Roman"/>
        </w:rPr>
        <w:t xml:space="preserve"> 16(3):034021. Available at: </w:t>
      </w:r>
      <w:hyperlink r:id="rId44" w:history="1">
        <w:r w:rsidR="00CD7094" w:rsidRPr="004D55DC">
          <w:rPr>
            <w:rStyle w:val="Hyperlink"/>
            <w:rFonts w:eastAsia="Times New Roman"/>
          </w:rPr>
          <w:t>https://iopscience.iop.org/article/10.1088/1748-9326/abd7af</w:t>
        </w:r>
      </w:hyperlink>
      <w:r w:rsidRPr="004D55DC">
        <w:rPr>
          <w:rFonts w:eastAsia="Times New Roman"/>
        </w:rPr>
        <w:t>.</w:t>
      </w:r>
    </w:p>
    <w:p w14:paraId="5A74AFDB" w14:textId="224E609D" w:rsidR="002C3F92" w:rsidRDefault="002C3F92" w:rsidP="00A30731">
      <w:pPr>
        <w:widowControl w:val="0"/>
        <w:autoSpaceDE w:val="0"/>
        <w:autoSpaceDN w:val="0"/>
        <w:adjustRightInd w:val="0"/>
        <w:spacing w:after="0" w:line="240" w:lineRule="auto"/>
        <w:ind w:left="450" w:hanging="450"/>
        <w:rPr>
          <w:noProof/>
        </w:rPr>
      </w:pPr>
      <w:r w:rsidRPr="00144194">
        <w:rPr>
          <w:noProof/>
        </w:rPr>
        <w:t xml:space="preserve">DOE. 2021a. “Alternative Fueling Station Locator.” Available at: </w:t>
      </w:r>
      <w:hyperlink r:id="rId45" w:anchor="/find/nearest" w:history="1">
        <w:r w:rsidR="0087774A" w:rsidRPr="008D7166">
          <w:rPr>
            <w:rStyle w:val="Hyperlink"/>
            <w:noProof/>
          </w:rPr>
          <w:t>https://afdc.energy.gov/stations/#/find/nearest</w:t>
        </w:r>
      </w:hyperlink>
      <w:r w:rsidRPr="00144194">
        <w:rPr>
          <w:noProof/>
        </w:rPr>
        <w:t>.</w:t>
      </w:r>
    </w:p>
    <w:p w14:paraId="63F551A3" w14:textId="4E46F2A2" w:rsidR="0087774A" w:rsidRDefault="0087774A" w:rsidP="00A30731">
      <w:pPr>
        <w:widowControl w:val="0"/>
        <w:autoSpaceDE w:val="0"/>
        <w:autoSpaceDN w:val="0"/>
        <w:adjustRightInd w:val="0"/>
        <w:snapToGrid w:val="0"/>
        <w:spacing w:after="0" w:line="240" w:lineRule="auto"/>
        <w:ind w:left="480" w:hanging="480"/>
        <w:rPr>
          <w:noProof/>
        </w:rPr>
      </w:pPr>
      <w:r w:rsidRPr="00767D73">
        <w:rPr>
          <w:noProof/>
        </w:rPr>
        <w:t>DOT. 2015. “Revised Value of Travel Time Guidance.” Available at: https://www.transportation.gov/sites/dot.gov/files/docs/2015 Revised Value of Travel Time Guidance.pdf [Accessed May 5, 2020].</w:t>
      </w:r>
    </w:p>
    <w:p w14:paraId="0E6FA0FA" w14:textId="77777777" w:rsidR="0087774A" w:rsidRPr="00767D73" w:rsidRDefault="0087774A" w:rsidP="00A30731">
      <w:pPr>
        <w:widowControl w:val="0"/>
        <w:autoSpaceDE w:val="0"/>
        <w:autoSpaceDN w:val="0"/>
        <w:adjustRightInd w:val="0"/>
        <w:snapToGrid w:val="0"/>
        <w:spacing w:after="0" w:line="240" w:lineRule="auto"/>
        <w:ind w:left="480" w:hanging="480"/>
        <w:rPr>
          <w:noProof/>
        </w:rPr>
      </w:pPr>
      <w:r w:rsidRPr="00A34C30">
        <w:rPr>
          <w:noProof/>
        </w:rPr>
        <w:t>EIA. 2019. “Annual Energy Outlook 2019 with projections to 2050.” Available at: https://www.eia.gov/outlooks/aeo/ [Accessed May 23, 2019].</w:t>
      </w:r>
    </w:p>
    <w:p w14:paraId="0839A4B9" w14:textId="77777777" w:rsidR="0087774A" w:rsidRPr="00144194" w:rsidRDefault="0087774A" w:rsidP="00A30731">
      <w:pPr>
        <w:widowControl w:val="0"/>
        <w:autoSpaceDE w:val="0"/>
        <w:autoSpaceDN w:val="0"/>
        <w:adjustRightInd w:val="0"/>
        <w:spacing w:after="0" w:line="240" w:lineRule="auto"/>
        <w:ind w:left="480" w:hanging="480"/>
        <w:rPr>
          <w:noProof/>
        </w:rPr>
      </w:pPr>
    </w:p>
    <w:p w14:paraId="1288CAB0" w14:textId="6AC6893A" w:rsidR="002C3F92" w:rsidRDefault="002C3F92" w:rsidP="00A30731">
      <w:pPr>
        <w:widowControl w:val="0"/>
        <w:autoSpaceDE w:val="0"/>
        <w:autoSpaceDN w:val="0"/>
        <w:adjustRightInd w:val="0"/>
        <w:spacing w:after="0" w:line="240" w:lineRule="auto"/>
        <w:ind w:left="480" w:hanging="480"/>
        <w:rPr>
          <w:noProof/>
        </w:rPr>
      </w:pPr>
      <w:r w:rsidRPr="00144194">
        <w:rPr>
          <w:noProof/>
        </w:rPr>
        <w:t xml:space="preserve">EIA. 2021. “Light-Duty Vehicle Stock by Technology Type.” </w:t>
      </w:r>
      <w:r w:rsidRPr="00144194">
        <w:rPr>
          <w:i/>
          <w:iCs/>
          <w:noProof/>
        </w:rPr>
        <w:t>Annual Energy Outlook 2019</w:t>
      </w:r>
      <w:r w:rsidRPr="00144194">
        <w:rPr>
          <w:noProof/>
        </w:rPr>
        <w:t>. Available at: https://www.eia.gov/outlooks/aeo/data/browser/#/?id=49-AEO2019&amp;cases=ref2019&amp;sourcekey=0 [Accessed June 17, 2019].</w:t>
      </w:r>
    </w:p>
    <w:p w14:paraId="5D37B6BF" w14:textId="77777777" w:rsidR="00167CA8" w:rsidRDefault="00167CA8" w:rsidP="00A30731">
      <w:pPr>
        <w:spacing w:after="0" w:line="240" w:lineRule="auto"/>
        <w:ind w:left="480" w:hanging="480"/>
        <w:rPr>
          <w:rFonts w:eastAsia="Times New Roman"/>
        </w:rPr>
      </w:pPr>
      <w:r w:rsidRPr="00167CA8">
        <w:rPr>
          <w:rFonts w:eastAsia="Times New Roman"/>
        </w:rPr>
        <w:t xml:space="preserve">Federal Highway Administration. 2016. “Highway Statistics 2016.” </w:t>
      </w:r>
      <w:r w:rsidRPr="00167CA8">
        <w:rPr>
          <w:rFonts w:eastAsia="Times New Roman"/>
          <w:i/>
          <w:iCs/>
        </w:rPr>
        <w:t>Highway Statistics 2016</w:t>
      </w:r>
      <w:r w:rsidRPr="00167CA8">
        <w:rPr>
          <w:rFonts w:eastAsia="Times New Roman"/>
        </w:rPr>
        <w:t>. Available at: https://www.fhwa.dot.gov/policyinformation/statistics/2016/ [Accessed June 12, 2019].</w:t>
      </w:r>
    </w:p>
    <w:p w14:paraId="31DCAEF1" w14:textId="27E026A8" w:rsidR="0087774A" w:rsidRDefault="0087774A" w:rsidP="00A30731">
      <w:pPr>
        <w:spacing w:after="0" w:line="240" w:lineRule="auto"/>
        <w:ind w:left="480" w:hanging="480"/>
        <w:rPr>
          <w:rFonts w:eastAsia="Times New Roman"/>
        </w:rPr>
      </w:pPr>
      <w:r w:rsidRPr="00627FD4">
        <w:rPr>
          <w:rFonts w:eastAsia="Times New Roman"/>
        </w:rPr>
        <w:t>Federal Highway Administration. 2017. “National Household Travel Survey.” Available at: https://nhts.ornl.gov/ [Accessed July 26, 2019]</w:t>
      </w:r>
    </w:p>
    <w:p w14:paraId="6BF62FB3" w14:textId="7E81816C" w:rsidR="004D55DC" w:rsidRPr="00C7478D" w:rsidRDefault="004D55DC" w:rsidP="00A30731">
      <w:pPr>
        <w:snapToGrid w:val="0"/>
        <w:spacing w:after="0" w:line="240" w:lineRule="auto"/>
        <w:ind w:left="480" w:hanging="480"/>
        <w:rPr>
          <w:rFonts w:eastAsia="Times New Roman"/>
        </w:rPr>
      </w:pPr>
      <w:r>
        <w:t xml:space="preserve">Ferin, K. M. </w:t>
      </w:r>
      <w:r>
        <w:rPr>
          <w:i/>
          <w:iCs/>
        </w:rPr>
        <w:t>et al.</w:t>
      </w:r>
      <w:r>
        <w:t xml:space="preserve"> Water Quality Effects of Economically Viable Land Use Change in the Mississippi River Basin under the Renewable Fuel Standard. </w:t>
      </w:r>
      <w:r>
        <w:rPr>
          <w:i/>
          <w:iCs/>
        </w:rPr>
        <w:t>Environ. Sci. Technol.</w:t>
      </w:r>
      <w:r>
        <w:t xml:space="preserve"> (2021). </w:t>
      </w:r>
      <w:proofErr w:type="gramStart"/>
      <w:r>
        <w:t>doi:10.1021/acs.est</w:t>
      </w:r>
      <w:proofErr w:type="gramEnd"/>
      <w:r>
        <w:t>.0c04358</w:t>
      </w:r>
    </w:p>
    <w:p w14:paraId="510B1976" w14:textId="688AC982" w:rsidR="0087774A" w:rsidRPr="00144194" w:rsidRDefault="0087774A" w:rsidP="00A30731">
      <w:pPr>
        <w:widowControl w:val="0"/>
        <w:autoSpaceDE w:val="0"/>
        <w:autoSpaceDN w:val="0"/>
        <w:adjustRightInd w:val="0"/>
        <w:spacing w:after="0" w:line="240" w:lineRule="auto"/>
        <w:ind w:left="480" w:hanging="480"/>
        <w:rPr>
          <w:noProof/>
        </w:rPr>
      </w:pPr>
      <w:r w:rsidRPr="00D33598">
        <w:rPr>
          <w:rFonts w:eastAsia="Times New Roman"/>
        </w:rPr>
        <w:t>Greenspan, A., and D. Cohen. 1996. “Motor Vehicle Stocks, Scrappage, and Sales.”</w:t>
      </w:r>
    </w:p>
    <w:p w14:paraId="6B1AD123" w14:textId="77777777" w:rsidR="002C3F92" w:rsidRPr="00767D73" w:rsidRDefault="002C3F92" w:rsidP="00A30731">
      <w:pPr>
        <w:widowControl w:val="0"/>
        <w:autoSpaceDE w:val="0"/>
        <w:autoSpaceDN w:val="0"/>
        <w:adjustRightInd w:val="0"/>
        <w:spacing w:after="0" w:line="240" w:lineRule="auto"/>
        <w:ind w:left="480" w:hanging="480"/>
        <w:rPr>
          <w:noProof/>
        </w:rPr>
      </w:pPr>
      <w:r w:rsidRPr="00144194">
        <w:rPr>
          <w:noProof/>
        </w:rPr>
        <w:t>Lade, G.E., and J. Bushnell. 2019. “Fuel Subsidy Pass-Through and Market Structure: Evidence from the Renewable Fuel Standard.” Available at: http://www.card.iastate.edu/products/publications/pdf/16wp570.pdf [Accessed May 22, 2017].</w:t>
      </w:r>
    </w:p>
    <w:p w14:paraId="6CE45D33" w14:textId="77777777" w:rsidR="0087774A" w:rsidRPr="00D33598" w:rsidRDefault="0087774A" w:rsidP="00A30731">
      <w:pPr>
        <w:snapToGrid w:val="0"/>
        <w:spacing w:after="0" w:line="240" w:lineRule="auto"/>
        <w:ind w:left="480" w:hanging="480"/>
        <w:rPr>
          <w:rFonts w:eastAsia="Times New Roman"/>
        </w:rPr>
      </w:pPr>
      <w:r w:rsidRPr="00627FD4">
        <w:rPr>
          <w:rFonts w:eastAsia="Times New Roman"/>
        </w:rPr>
        <w:t xml:space="preserve">Hudiburg, T.W., W. Wang, M. Khanna, S.P. Long, P. Dwivedi, W.J. Parton, M. Hartman, and E.H. Delucia. 2016. “Impacts of a 32-billion-gallon bioenergy landscape on land and fossil </w:t>
      </w:r>
      <w:r w:rsidRPr="00627FD4">
        <w:rPr>
          <w:rFonts w:eastAsia="Times New Roman"/>
        </w:rPr>
        <w:lastRenderedPageBreak/>
        <w:t xml:space="preserve">fuel use in the US.” </w:t>
      </w:r>
      <w:r w:rsidRPr="00627FD4">
        <w:rPr>
          <w:rFonts w:eastAsia="Times New Roman"/>
          <w:i/>
          <w:iCs/>
        </w:rPr>
        <w:t>Nature Energy</w:t>
      </w:r>
      <w:r w:rsidRPr="00627FD4">
        <w:rPr>
          <w:rFonts w:eastAsia="Times New Roman"/>
        </w:rPr>
        <w:t xml:space="preserve"> 1. Available at: https://www.nature.com/articles/nenergy20155.pdf [Accessed November 17, 2017].</w:t>
      </w:r>
    </w:p>
    <w:p w14:paraId="219BF3F4" w14:textId="77777777" w:rsidR="0087774A" w:rsidRPr="00767D73" w:rsidRDefault="0087774A" w:rsidP="00A30731">
      <w:pPr>
        <w:widowControl w:val="0"/>
        <w:autoSpaceDE w:val="0"/>
        <w:autoSpaceDN w:val="0"/>
        <w:adjustRightInd w:val="0"/>
        <w:snapToGrid w:val="0"/>
        <w:spacing w:after="0" w:line="240" w:lineRule="auto"/>
        <w:ind w:left="480" w:hanging="480"/>
        <w:rPr>
          <w:noProof/>
        </w:rPr>
      </w:pPr>
      <w:r w:rsidRPr="00767D73">
        <w:rPr>
          <w:noProof/>
        </w:rPr>
        <w:t xml:space="preserve">Hu, L., J. Dong, and Z. Lin. 2019. “Modeling charging behavior of battery electric vehicle drivers: A cumulative prospect theory based approach.” </w:t>
      </w:r>
      <w:r w:rsidRPr="00767D73">
        <w:rPr>
          <w:i/>
          <w:iCs/>
          <w:noProof/>
        </w:rPr>
        <w:t>Transportation Research Part C: Emerging Technologies</w:t>
      </w:r>
      <w:r w:rsidRPr="00767D73">
        <w:rPr>
          <w:noProof/>
        </w:rPr>
        <w:t xml:space="preserve"> 102:474–489.</w:t>
      </w:r>
    </w:p>
    <w:p w14:paraId="46328D53" w14:textId="62A95A0A" w:rsidR="0087774A" w:rsidRDefault="0087774A" w:rsidP="00A30731">
      <w:pPr>
        <w:snapToGrid w:val="0"/>
        <w:spacing w:after="0" w:line="240" w:lineRule="auto"/>
        <w:ind w:left="480" w:hanging="480"/>
        <w:rPr>
          <w:rFonts w:eastAsia="Times New Roman"/>
        </w:rPr>
      </w:pPr>
      <w:r w:rsidRPr="00D33598">
        <w:rPr>
          <w:rFonts w:eastAsia="Times New Roman"/>
        </w:rPr>
        <w:t xml:space="preserve">Lin, Z., J. Dong, C. Liu, and D.L. Greene. 2012. “PHEV Energy Use Estimation: Validating the Gamma Distribution for Representing the Random Daily Driving Distance.” </w:t>
      </w:r>
      <w:r w:rsidRPr="00D33598">
        <w:rPr>
          <w:rFonts w:eastAsia="Times New Roman"/>
          <w:i/>
          <w:iCs/>
        </w:rPr>
        <w:t>Transportation Research Record</w:t>
      </w:r>
      <w:r w:rsidRPr="00D33598">
        <w:rPr>
          <w:rFonts w:eastAsia="Times New Roman"/>
        </w:rPr>
        <w:t xml:space="preserve"> 2287:37–43. Available at: https://www.ornl.gov/publication/phev-energy-use-estimation-validating-gamma-distribution-representing-random-daily-0 [Accessed September 16, 2020]</w:t>
      </w:r>
    </w:p>
    <w:p w14:paraId="15F02A0C" w14:textId="21A07325" w:rsidR="00CD7094" w:rsidRPr="00796B29" w:rsidRDefault="00CD7094" w:rsidP="00A30731">
      <w:pPr>
        <w:spacing w:after="0" w:line="240" w:lineRule="auto"/>
        <w:ind w:left="480" w:hanging="480"/>
        <w:rPr>
          <w:rFonts w:eastAsia="Times New Roman"/>
        </w:rPr>
      </w:pPr>
      <w:proofErr w:type="spellStart"/>
      <w:r w:rsidRPr="00CD7094">
        <w:rPr>
          <w:rFonts w:eastAsia="Times New Roman"/>
        </w:rPr>
        <w:t>Mavragani</w:t>
      </w:r>
      <w:proofErr w:type="spellEnd"/>
      <w:r w:rsidRPr="00CD7094">
        <w:rPr>
          <w:rFonts w:eastAsia="Times New Roman"/>
        </w:rPr>
        <w:t xml:space="preserve">, A., and G. Ochoa. 2019. “Google Trends in </w:t>
      </w:r>
      <w:proofErr w:type="spellStart"/>
      <w:r w:rsidRPr="00CD7094">
        <w:rPr>
          <w:rFonts w:eastAsia="Times New Roman"/>
        </w:rPr>
        <w:t>Infodemiology</w:t>
      </w:r>
      <w:proofErr w:type="spellEnd"/>
      <w:r w:rsidRPr="00CD7094">
        <w:rPr>
          <w:rFonts w:eastAsia="Times New Roman"/>
        </w:rPr>
        <w:t xml:space="preserve"> and </w:t>
      </w:r>
      <w:proofErr w:type="spellStart"/>
      <w:r w:rsidRPr="00CD7094">
        <w:rPr>
          <w:rFonts w:eastAsia="Times New Roman"/>
        </w:rPr>
        <w:t>Infoveillance</w:t>
      </w:r>
      <w:proofErr w:type="spellEnd"/>
      <w:r w:rsidRPr="00CD7094">
        <w:rPr>
          <w:rFonts w:eastAsia="Times New Roman"/>
        </w:rPr>
        <w:t xml:space="preserve">: </w:t>
      </w:r>
      <w:r w:rsidRPr="00796B29">
        <w:rPr>
          <w:rFonts w:eastAsia="Times New Roman"/>
        </w:rPr>
        <w:t xml:space="preserve">Methodology Framework.” </w:t>
      </w:r>
      <w:r w:rsidRPr="00796B29">
        <w:rPr>
          <w:rFonts w:eastAsia="Times New Roman"/>
          <w:i/>
          <w:iCs/>
        </w:rPr>
        <w:t>JMIR Public Health and Surveillance</w:t>
      </w:r>
      <w:r w:rsidRPr="00796B29">
        <w:rPr>
          <w:rFonts w:eastAsia="Times New Roman"/>
        </w:rPr>
        <w:t xml:space="preserve"> 5(2</w:t>
      </w:r>
      <w:proofErr w:type="gramStart"/>
      <w:r w:rsidRPr="00796B29">
        <w:rPr>
          <w:rFonts w:eastAsia="Times New Roman"/>
        </w:rPr>
        <w:t>):e</w:t>
      </w:r>
      <w:proofErr w:type="gramEnd"/>
      <w:r w:rsidRPr="00796B29">
        <w:rPr>
          <w:rFonts w:eastAsia="Times New Roman"/>
        </w:rPr>
        <w:t>13439. Available at: http://publichealth.jmir.org/2019/2/e13439/.</w:t>
      </w:r>
    </w:p>
    <w:p w14:paraId="53F84D99" w14:textId="37CCE7B1" w:rsidR="008C7472" w:rsidRPr="00796B29" w:rsidRDefault="008C7472" w:rsidP="00A30731">
      <w:pPr>
        <w:spacing w:after="0" w:line="240" w:lineRule="auto"/>
        <w:ind w:left="480" w:hanging="480"/>
        <w:rPr>
          <w:rFonts w:eastAsia="Times New Roman"/>
        </w:rPr>
      </w:pPr>
      <w:r w:rsidRPr="00796B29">
        <w:rPr>
          <w:rFonts w:eastAsia="Times New Roman"/>
        </w:rPr>
        <w:t xml:space="preserve">National Automobile Dealers Association. 2014. “Volatility in Used Vehicle </w:t>
      </w:r>
      <w:proofErr w:type="gramStart"/>
      <w:r w:rsidRPr="00796B29">
        <w:rPr>
          <w:rFonts w:eastAsia="Times New Roman"/>
        </w:rPr>
        <w:t>Depreciation :</w:t>
      </w:r>
      <w:proofErr w:type="gramEnd"/>
      <w:r w:rsidRPr="00796B29">
        <w:rPr>
          <w:rFonts w:eastAsia="Times New Roman"/>
        </w:rPr>
        <w:t xml:space="preserve"> Historical Trends &amp; Future Outlook.”</w:t>
      </w:r>
      <w:r w:rsidR="00796B29" w:rsidRPr="00796B29">
        <w:rPr>
          <w:rFonts w:eastAsia="Times New Roman"/>
        </w:rPr>
        <w:t xml:space="preserve"> Available at: </w:t>
      </w:r>
      <w:r w:rsidR="00796B29" w:rsidRPr="00796B29">
        <w:t>kansasdealers.org/wp-content/uploads/2019/05/NADA-Report-Volatility-in-Used-Vehicle-Depreciation.pdf</w:t>
      </w:r>
    </w:p>
    <w:p w14:paraId="79170EF7" w14:textId="16BE7B65" w:rsidR="0087774A" w:rsidRPr="00796B29" w:rsidRDefault="0087774A" w:rsidP="00A30731">
      <w:pPr>
        <w:widowControl w:val="0"/>
        <w:autoSpaceDE w:val="0"/>
        <w:autoSpaceDN w:val="0"/>
        <w:adjustRightInd w:val="0"/>
        <w:snapToGrid w:val="0"/>
        <w:spacing w:after="0" w:line="240" w:lineRule="auto"/>
        <w:ind w:left="480" w:hanging="480"/>
        <w:rPr>
          <w:noProof/>
        </w:rPr>
      </w:pPr>
      <w:r w:rsidRPr="00796B29">
        <w:rPr>
          <w:noProof/>
        </w:rPr>
        <w:t xml:space="preserve">NREL. 2021. “Alternative Fuel Stations API.” </w:t>
      </w:r>
      <w:r w:rsidRPr="00796B29">
        <w:rPr>
          <w:i/>
          <w:iCs/>
          <w:noProof/>
        </w:rPr>
        <w:t>Developer Network</w:t>
      </w:r>
      <w:r w:rsidRPr="00796B29">
        <w:rPr>
          <w:noProof/>
        </w:rPr>
        <w:t>. Available at: https://developer.nrel.gov/docs/transportation/alt-fuel-stations-v1/ [Accessed April 20, 2021].</w:t>
      </w:r>
    </w:p>
    <w:p w14:paraId="3FAF9BCA" w14:textId="59919D47" w:rsidR="008C7472" w:rsidRPr="00796B29" w:rsidRDefault="008C7472" w:rsidP="00A30731">
      <w:pPr>
        <w:spacing w:after="0" w:line="240" w:lineRule="auto"/>
        <w:ind w:left="480" w:hanging="480"/>
        <w:rPr>
          <w:rFonts w:eastAsia="Times New Roman"/>
        </w:rPr>
      </w:pPr>
      <w:r w:rsidRPr="00796B29">
        <w:rPr>
          <w:rFonts w:eastAsia="Times New Roman"/>
        </w:rPr>
        <w:t xml:space="preserve">Oliver, A., and M. Khanna. 2017. “What Is the Cost of a Renewable Energy-Based Approach to Greenhouse Gas Mitigation?” </w:t>
      </w:r>
      <w:r w:rsidRPr="00796B29">
        <w:rPr>
          <w:rFonts w:eastAsia="Times New Roman"/>
          <w:i/>
          <w:iCs/>
        </w:rPr>
        <w:t>Land Economics</w:t>
      </w:r>
      <w:r w:rsidRPr="00796B29">
        <w:rPr>
          <w:rFonts w:eastAsia="Times New Roman"/>
        </w:rPr>
        <w:t xml:space="preserve"> 93(3):437–458.</w:t>
      </w:r>
    </w:p>
    <w:p w14:paraId="1032B96E" w14:textId="77777777" w:rsidR="0087774A" w:rsidRPr="00796B29" w:rsidRDefault="0087774A" w:rsidP="00A30731">
      <w:pPr>
        <w:widowControl w:val="0"/>
        <w:autoSpaceDE w:val="0"/>
        <w:autoSpaceDN w:val="0"/>
        <w:adjustRightInd w:val="0"/>
        <w:snapToGrid w:val="0"/>
        <w:spacing w:after="0" w:line="240" w:lineRule="auto"/>
        <w:ind w:left="480" w:hanging="480"/>
        <w:rPr>
          <w:noProof/>
        </w:rPr>
      </w:pPr>
      <w:r w:rsidRPr="00796B29">
        <w:rPr>
          <w:noProof/>
        </w:rPr>
        <w:t xml:space="preserve">Pouliot, S., and B.A. Babcock. 2014. “The demand for E85: Geographical location and retail capacity constraints.” </w:t>
      </w:r>
      <w:r w:rsidRPr="00796B29">
        <w:rPr>
          <w:i/>
          <w:iCs/>
          <w:noProof/>
        </w:rPr>
        <w:t>Energy Economics</w:t>
      </w:r>
      <w:r w:rsidRPr="00796B29">
        <w:rPr>
          <w:noProof/>
        </w:rPr>
        <w:t xml:space="preserve"> 45:134–143. Available at: http://www.sciencedirect.com/science/article/pii/S0140988314001558 [Accessed May 18, 2016].</w:t>
      </w:r>
    </w:p>
    <w:p w14:paraId="440623F0" w14:textId="2632CF0C" w:rsidR="0087774A" w:rsidRPr="00796B29" w:rsidRDefault="0087774A" w:rsidP="00A30731">
      <w:pPr>
        <w:widowControl w:val="0"/>
        <w:autoSpaceDE w:val="0"/>
        <w:autoSpaceDN w:val="0"/>
        <w:adjustRightInd w:val="0"/>
        <w:snapToGrid w:val="0"/>
        <w:spacing w:after="0" w:line="240" w:lineRule="auto"/>
        <w:ind w:left="480" w:hanging="480"/>
        <w:rPr>
          <w:noProof/>
        </w:rPr>
      </w:pPr>
      <w:r w:rsidRPr="00796B29">
        <w:rPr>
          <w:noProof/>
        </w:rPr>
        <w:t>Semega, J.L., K.R. Fontenot, and M.A. Kollar. 2017. “Income and Poverty in the United States: 2016.” Available at: https://www.census.gov/library/publications/2017/demo/p60-259.html [Accessed March 19, 2021].</w:t>
      </w:r>
    </w:p>
    <w:p w14:paraId="38CB6470" w14:textId="77777777" w:rsidR="008C7472" w:rsidRPr="00796B29" w:rsidRDefault="008C7472" w:rsidP="00A30731">
      <w:pPr>
        <w:spacing w:after="0" w:line="240" w:lineRule="auto"/>
        <w:ind w:left="480" w:hanging="480"/>
        <w:rPr>
          <w:rFonts w:eastAsia="Times New Roman"/>
        </w:rPr>
      </w:pPr>
      <w:r w:rsidRPr="00796B29">
        <w:rPr>
          <w:rFonts w:eastAsia="Times New Roman"/>
        </w:rPr>
        <w:t xml:space="preserve">Ramea, K., D.S. Bunch, C. Yang, S. Yeh, and J.M. Ogden. 2018. “Integration of behavioral effects from vehicle choice models into long-term energy systems optimization models.” </w:t>
      </w:r>
      <w:r w:rsidRPr="00796B29">
        <w:rPr>
          <w:rFonts w:eastAsia="Times New Roman"/>
          <w:i/>
          <w:iCs/>
        </w:rPr>
        <w:t>Energy Economics</w:t>
      </w:r>
      <w:r w:rsidRPr="00796B29">
        <w:rPr>
          <w:rFonts w:eastAsia="Times New Roman"/>
        </w:rPr>
        <w:t xml:space="preserve"> 74:663–676. Available at: https://www.sciencedirect.com/science/article/pii/S0140988318302573 [Accessed August 13, 2018].</w:t>
      </w:r>
    </w:p>
    <w:p w14:paraId="3B93C8E9" w14:textId="27555E8B" w:rsidR="0087774A" w:rsidRPr="00796B29" w:rsidRDefault="0087774A" w:rsidP="00A30731">
      <w:pPr>
        <w:widowControl w:val="0"/>
        <w:autoSpaceDE w:val="0"/>
        <w:autoSpaceDN w:val="0"/>
        <w:adjustRightInd w:val="0"/>
        <w:snapToGrid w:val="0"/>
        <w:spacing w:after="0" w:line="240" w:lineRule="auto"/>
        <w:ind w:left="480" w:hanging="480"/>
        <w:rPr>
          <w:rFonts w:eastAsia="Times New Roman"/>
        </w:rPr>
      </w:pPr>
      <w:r w:rsidRPr="00796B29">
        <w:rPr>
          <w:noProof/>
        </w:rPr>
        <w:t xml:space="preserve">Train, K.E. 2003. </w:t>
      </w:r>
      <w:r w:rsidRPr="00796B29">
        <w:rPr>
          <w:i/>
          <w:iCs/>
          <w:noProof/>
        </w:rPr>
        <w:t>Discrete choice methods with simulation</w:t>
      </w:r>
      <w:r w:rsidRPr="00796B29">
        <w:rPr>
          <w:noProof/>
        </w:rPr>
        <w:t>.</w:t>
      </w:r>
      <w:r w:rsidR="00796B29" w:rsidRPr="00796B29">
        <w:rPr>
          <w:rFonts w:ascii="Roboto" w:hAnsi="Roboto"/>
          <w:color w:val="111111"/>
          <w:shd w:val="clear" w:color="auto" w:fill="F9F9F9"/>
        </w:rPr>
        <w:t xml:space="preserve"> </w:t>
      </w:r>
      <w:r w:rsidR="00796B29" w:rsidRPr="00796B29">
        <w:rPr>
          <w:rFonts w:eastAsia="Times New Roman"/>
        </w:rPr>
        <w:t>Cambridge University Press, 2003, ISBN: 0-521-81696-3</w:t>
      </w:r>
    </w:p>
    <w:p w14:paraId="16C6C147" w14:textId="0124EE7A" w:rsidR="00167CA8" w:rsidRPr="00167CA8" w:rsidRDefault="00167CA8" w:rsidP="00A30731">
      <w:pPr>
        <w:spacing w:after="0" w:line="240" w:lineRule="auto"/>
        <w:ind w:left="480" w:hanging="480"/>
        <w:rPr>
          <w:rFonts w:eastAsia="Times New Roman"/>
        </w:rPr>
      </w:pPr>
      <w:r w:rsidRPr="00796B29">
        <w:rPr>
          <w:rFonts w:eastAsia="Times New Roman"/>
        </w:rPr>
        <w:t>US Energy Information Administration. 2019. “Assumptions to the Annual Energy Outlook 2019: Transportation Demand Module.” (February):1–29. Available</w:t>
      </w:r>
      <w:r w:rsidRPr="00167CA8">
        <w:rPr>
          <w:rFonts w:eastAsia="Times New Roman"/>
        </w:rPr>
        <w:t xml:space="preserve"> at: https://www.eia.gov/outlooks/aeo/assumptions/pdf/transportation.pdf</w:t>
      </w:r>
    </w:p>
    <w:p w14:paraId="1B505E4A" w14:textId="77777777" w:rsidR="0087774A" w:rsidRPr="00767D73" w:rsidRDefault="0087774A" w:rsidP="00A30731">
      <w:pPr>
        <w:widowControl w:val="0"/>
        <w:autoSpaceDE w:val="0"/>
        <w:autoSpaceDN w:val="0"/>
        <w:adjustRightInd w:val="0"/>
        <w:snapToGrid w:val="0"/>
        <w:spacing w:after="0" w:line="240" w:lineRule="auto"/>
        <w:ind w:left="480" w:hanging="480"/>
        <w:rPr>
          <w:noProof/>
        </w:rPr>
      </w:pPr>
      <w:r w:rsidRPr="00767D73">
        <w:rPr>
          <w:noProof/>
        </w:rPr>
        <w:t xml:space="preserve">US EPA, and NTHSA. 2018. “The Safer Affordable Fuel-Efficient (SAFE) Vehicles Rule for Model Years 2021-2026 Passenger Cars and Light Trucks.” </w:t>
      </w:r>
    </w:p>
    <w:p w14:paraId="594A21A9" w14:textId="536A3BBA" w:rsidR="002C3F92" w:rsidRDefault="00C54377" w:rsidP="00C54377">
      <w:pPr>
        <w:widowControl w:val="0"/>
        <w:autoSpaceDE w:val="0"/>
        <w:autoSpaceDN w:val="0"/>
        <w:adjustRightInd w:val="0"/>
        <w:snapToGrid w:val="0"/>
        <w:spacing w:after="0" w:line="240" w:lineRule="auto"/>
        <w:ind w:left="480" w:hanging="480"/>
        <w:rPr>
          <w:noProof/>
        </w:rPr>
      </w:pPr>
      <w:r w:rsidRPr="00C54377">
        <w:rPr>
          <w:noProof/>
        </w:rPr>
        <w:t>US Energy Information Administration. 2021 “U.S. Energy-Related Carbon Dioxide Emissions, 2021”</w:t>
      </w:r>
      <w:r w:rsidRPr="00C54377">
        <w:rPr>
          <w:rFonts w:eastAsia="Times New Roman"/>
        </w:rPr>
        <w:t xml:space="preserve"> </w:t>
      </w:r>
      <w:r w:rsidRPr="00796B29">
        <w:rPr>
          <w:rFonts w:eastAsia="Times New Roman"/>
        </w:rPr>
        <w:t>Available</w:t>
      </w:r>
      <w:r w:rsidRPr="00167CA8">
        <w:rPr>
          <w:rFonts w:eastAsia="Times New Roman"/>
        </w:rPr>
        <w:t xml:space="preserve"> at: </w:t>
      </w:r>
      <w:hyperlink r:id="rId46" w:history="1">
        <w:r w:rsidRPr="00C54377">
          <w:rPr>
            <w:noProof/>
          </w:rPr>
          <w:t>https://www.eia.gov/environment/emissions/carbon/archive/2021/</w:t>
        </w:r>
      </w:hyperlink>
    </w:p>
    <w:sectPr w:rsidR="002C3F92" w:rsidSect="00806E6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7" w:author="Madhu Khanna" w:date="2023-12-25T09:18:00Z" w:initials="MK">
    <w:p w14:paraId="451E2D97" w14:textId="77777777" w:rsidR="009F57B9" w:rsidRDefault="009F57B9" w:rsidP="009F57B9">
      <w:pPr>
        <w:pStyle w:val="CommentText"/>
        <w:ind w:firstLine="0"/>
      </w:pPr>
      <w:r>
        <w:rPr>
          <w:rStyle w:val="CommentReference"/>
        </w:rPr>
        <w:annotationRef/>
      </w:r>
      <w:r>
        <w:t>These numbers are exactly the same as in the table below for model outcomes- shouldn’t they be differerent since fuel consumption is different?  Also not sure what you mean by observed emissions is summ of all coal and natural gas - is it not possibiel to get coal and natural gas for electricity only separate from heating and other uses?</w:t>
      </w:r>
    </w:p>
  </w:comment>
  <w:comment w:id="8" w:author="Jia Zhong" w:date="2024-01-02T21:56:00Z" w:initials="JZ">
    <w:p w14:paraId="1DF49391" w14:textId="77777777" w:rsidR="009F57B9" w:rsidRDefault="009F57B9" w:rsidP="001F6EB2">
      <w:pPr>
        <w:pStyle w:val="CommentText"/>
        <w:ind w:firstLine="0"/>
      </w:pPr>
      <w:r>
        <w:rPr>
          <w:rStyle w:val="CommentReference"/>
        </w:rPr>
        <w:annotationRef/>
      </w:r>
      <w:r>
        <w:t>I have added more explanation in the note below</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451E2D97" w15:done="1"/>
  <w15:commentEx w15:paraId="1DF49391" w15:paraIdParent="451E2D9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EE80F93" w16cex:dateUtc="2023-12-25T15:18:00Z"/>
  <w16cex:commentExtensible w16cex:durableId="293F051C" w16cex:dateUtc="2024-01-03T02: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51E2D97" w16cid:durableId="7EE80F93"/>
  <w16cid:commentId w16cid:paraId="1DF49391" w16cid:durableId="293F051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514A52" w14:textId="77777777" w:rsidR="006108CE" w:rsidRDefault="006108CE">
      <w:pPr>
        <w:spacing w:after="0" w:line="240" w:lineRule="auto"/>
      </w:pPr>
      <w:r>
        <w:separator/>
      </w:r>
    </w:p>
  </w:endnote>
  <w:endnote w:type="continuationSeparator" w:id="0">
    <w:p w14:paraId="32279798" w14:textId="77777777" w:rsidR="006108CE" w:rsidRDefault="00610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F3A38E" w14:textId="77777777" w:rsidR="006108CE" w:rsidRDefault="006108CE">
      <w:pPr>
        <w:spacing w:after="0" w:line="240" w:lineRule="auto"/>
      </w:pPr>
      <w:r>
        <w:separator/>
      </w:r>
    </w:p>
  </w:footnote>
  <w:footnote w:type="continuationSeparator" w:id="0">
    <w:p w14:paraId="59A06D09" w14:textId="77777777" w:rsidR="006108CE" w:rsidRDefault="006108CE">
      <w:pPr>
        <w:spacing w:after="0" w:line="240" w:lineRule="auto"/>
      </w:pPr>
      <w:r>
        <w:continuationSeparator/>
      </w:r>
    </w:p>
  </w:footnote>
  <w:footnote w:id="1">
    <w:p w14:paraId="51116258" w14:textId="2E3B7E0A" w:rsidR="002F7F80" w:rsidRDefault="002F7F80" w:rsidP="002F7F80">
      <w:pPr>
        <w:pStyle w:val="FootnoteText"/>
      </w:pPr>
      <w:r>
        <w:rPr>
          <w:rStyle w:val="FootnoteReference"/>
        </w:rPr>
        <w:footnoteRef/>
      </w:r>
      <w:r>
        <w:t xml:space="preserve"> Source: </w:t>
      </w:r>
      <w:hyperlink r:id="rId1" w:history="1">
        <w:r>
          <w:rPr>
            <w:rStyle w:val="Hyperlink"/>
          </w:rPr>
          <w:t>Highway Statistics Series - Policy | Federal Highway Administration (dot.gov)</w:t>
        </w:r>
      </w:hyperlink>
      <w:r>
        <w:t>.</w:t>
      </w:r>
      <w:r>
        <w:rPr>
          <w:rFonts w:hint="eastAsia"/>
        </w:rPr>
        <w:t>We</w:t>
      </w:r>
      <w:r>
        <w:t xml:space="preserve"> use the actual VKT by regions and demand preference group in 2016 and the interceptions of aggregated national demand function </w:t>
      </w:r>
      <w:r w:rsidR="00D55F12">
        <w:t xml:space="preserve">(defined as in </w:t>
      </w:r>
      <w:r>
        <w:fldChar w:fldCharType="begin" w:fldLock="1"/>
      </w:r>
      <w:r w:rsidR="00973E1B">
        <w:instrText>ADDIN CSL_CITATION {"citationItems":[{"id":"ITEM-1","itemData":{"DOI":"10.1088/1748-9326/abd7af","ISSN":"1748-9326","abstract":"Mandates, like the renewable fuel standard (RFS), for biofuels from corn and cellulosic feedstocks, impact the environment in multiple ways by affecting land use, nitrogen (N)-leakage, and greenhouse gas (GHG) emissions. We analyze the differing trade-offs these different types of biofuels offer among these multi-dimensional environmental effects and convert them to a monetized value of environmental damages (or benefits) that can be compared with the economic costs of extending these mandates over the 2016–2030 period. The discounted values of cumulative net benefits (or costs) are then compared to those with a counterfactual level of biofuels that would have been produced in the absence of the RFS over this period. We find that maintaining the corn ethanol mandate at 56 billion l till 2030 will lead to a discounted cumulative value of an economic cost of $199 billion over the 2016–2030 period compared to the counterfactual scenario; this includes $109 billion of economic costs and $85 billion of net monetized environmental damages. The additional implementation of a cellulosic biofuel mandate for 60 billion l by 2030 will increase this economic cost by $69 billion which will be partly offset by the net discounted monetized value of environmental benefits of $20 billion, resulting in a net cost of $49 billion over the 2016–2030 period. We explore the sensitivity of these net (economic and environmental) costs to alternative values of the social costs of carbon and nitrogen and other technological and market parameters. We find that, unlike corn ethanol, cellulosic biofuels can result in positive net benefits if the monetary benefits of GHG mitigation are valued high and those of N-damages are not very high.","author":[{"dropping-particle":"","family":"Chen","given":"Luoye","non-dropping-particle":"","parse-names":false,"suffix":""},{"dropping-particle":"","family":"Debnath","given":"Deepayan","non-dropping-particle":"","parse-names":false,"suffix":""},{"dropping-particle":"","family":"Zhong","given":"Jia","non-dropping-particle":"","parse-names":false,"suffix":""},{"dropping-particle":"","family":"Ferin","given":"Kelsie","non-dropping-particle":"","parse-names":false,"suffix":""},{"dropping-particle":"","family":"VanLoocke","given":"Andy","non-dropping-particle":"","parse-names":false,"suffix":""},{"dropping-particle":"","family":"Khanna","given":"Madhu","non-dropping-particle":"","parse-names":false,"suffix":""}],"container-title":"Environmental Research Letters","id":"ITEM-1","issue":"3","issued":{"date-parts":[["2021","3","1"]]},"page":"034021","publisher":"IOP Publishing","title":"The economic and environmental costs and benefits of the renewable fuel standard","type":"article-journal","volume":"16"},"uris":["http://www.mendeley.com/documents/?uuid=9de02e63-eb9d-425b-9fb5-e7bebf9f97d2"]}],"mendeley":{"formattedCitation":"(Chen et al. 2021)","manualFormatting":"Chen et al. (2021)","plainTextFormattedCitation":"(Chen et al. 2021)","previouslyFormattedCitation":"(Chen et al. 2021)"},"properties":{"noteIndex":0},"schema":"https://github.com/citation-style-language/schema/raw/master/csl-citation.json"}</w:instrText>
      </w:r>
      <w:r>
        <w:fldChar w:fldCharType="separate"/>
      </w:r>
      <w:r>
        <w:rPr>
          <w:noProof/>
        </w:rPr>
        <w:t>Chen et al. (2021)</w:t>
      </w:r>
      <w:r>
        <w:fldChar w:fldCharType="end"/>
      </w:r>
      <w:r w:rsidR="00D55F12">
        <w:t>)</w:t>
      </w:r>
      <w:r>
        <w:t xml:space="preserve"> to construct the demand functions by 20 regions and 3 demand preference groups.</w:t>
      </w:r>
    </w:p>
  </w:footnote>
  <w:footnote w:id="2">
    <w:p w14:paraId="5B756FB5" w14:textId="77777777" w:rsidR="006F0909" w:rsidRDefault="006F0909" w:rsidP="006F0909">
      <w:pPr>
        <w:pStyle w:val="FootnoteText"/>
      </w:pPr>
      <w:r w:rsidRPr="003A74F4">
        <w:rPr>
          <w:rStyle w:val="FootnoteReference"/>
        </w:rPr>
        <w:footnoteRef/>
      </w:r>
      <w:r>
        <w:t xml:space="preserve"> This cost does not apply to electricity generated as a co-product at cellulosic ethanol refineries.</w:t>
      </w:r>
    </w:p>
  </w:footnote>
  <w:footnote w:id="3">
    <w:p w14:paraId="598F6C04" w14:textId="77777777" w:rsidR="00DD2980" w:rsidRPr="00E63C79" w:rsidRDefault="00DD2980" w:rsidP="00DD2980">
      <w:pPr>
        <w:spacing w:line="240" w:lineRule="auto"/>
        <w:rPr>
          <w:sz w:val="20"/>
          <w:szCs w:val="20"/>
        </w:rPr>
      </w:pPr>
      <w:r w:rsidRPr="008312A5">
        <w:rPr>
          <w:rStyle w:val="FootnoteReference"/>
        </w:rPr>
        <w:footnoteRef/>
      </w:r>
      <w:r w:rsidRPr="00E63C79">
        <w:rPr>
          <w:sz w:val="20"/>
          <w:szCs w:val="20"/>
        </w:rPr>
        <w:t xml:space="preserve"> </w:t>
      </w:r>
      <w:r w:rsidRPr="00C53F8C">
        <w:rPr>
          <w:sz w:val="20"/>
          <w:szCs w:val="20"/>
        </w:rPr>
        <w:t>We use the full age range of the vehicle up to age 24 to describe the whole picture of the vehicle still in use and consume the energy that is observed from the National Household Transportation Survey.</w:t>
      </w:r>
    </w:p>
  </w:footnote>
  <w:footnote w:id="4">
    <w:p w14:paraId="1290689C" w14:textId="6390BEAC" w:rsidR="00446388" w:rsidRDefault="00446388">
      <w:pPr>
        <w:pStyle w:val="FootnoteText"/>
      </w:pPr>
      <w:r>
        <w:rPr>
          <w:rStyle w:val="FootnoteReference"/>
        </w:rPr>
        <w:footnoteRef/>
      </w:r>
      <w:r>
        <w:t xml:space="preserve"> </w:t>
      </w:r>
      <w:hyperlink r:id="rId2" w:anchor="/?id=48-AEO2023&amp;cases=ref2023&amp;sourcekey=0" w:history="1">
        <w:r>
          <w:rPr>
            <w:rStyle w:val="Hyperlink"/>
          </w:rPr>
          <w:t>U.S. Energy Information Administration - EIA - Independent Statistics and Analysis</w:t>
        </w:r>
      </w:hyperlink>
    </w:p>
  </w:footnote>
  <w:footnote w:id="5">
    <w:p w14:paraId="6DE891FC" w14:textId="77777777" w:rsidR="00446388" w:rsidRDefault="00446388" w:rsidP="00446388">
      <w:pPr>
        <w:pStyle w:val="FootnoteText"/>
      </w:pPr>
      <w:r>
        <w:rPr>
          <w:rStyle w:val="FootnoteReference"/>
        </w:rPr>
        <w:footnoteRef/>
      </w:r>
      <w:r>
        <w:t xml:space="preserve"> Level 2 chargers are most common in the US for charging options at home, at work, and in public charging with a </w:t>
      </w:r>
      <w:proofErr w:type="gramStart"/>
      <w:r>
        <w:t>charging rates</w:t>
      </w:r>
      <w:proofErr w:type="gramEnd"/>
      <w:r>
        <w:t xml:space="preserve"> up to 25 miles of range per hour; DC fast charging provides 8 time faster charging rate but typically found in major highways with higher volumes and for longer trip conveniences.</w:t>
      </w:r>
    </w:p>
  </w:footnote>
  <w:footnote w:id="6">
    <w:p w14:paraId="4BBCA7FA" w14:textId="77777777" w:rsidR="00446388" w:rsidRDefault="00446388" w:rsidP="00446388">
      <w:pPr>
        <w:pStyle w:val="FootnoteText"/>
      </w:pPr>
      <w:r>
        <w:rPr>
          <w:rStyle w:val="FootnoteReference"/>
        </w:rPr>
        <w:footnoteRef/>
      </w:r>
      <w:r>
        <w:t xml:space="preserve"> </w:t>
      </w:r>
      <w:hyperlink r:id="rId3" w:anchor="/find/nearest" w:history="1">
        <w:r>
          <w:rPr>
            <w:rStyle w:val="Hyperlink"/>
          </w:rPr>
          <w:t>Alternative Fuels Data Center: Alternative Fueling Station Locator (energy.gov)</w:t>
        </w:r>
      </w:hyperlink>
      <w:r>
        <w:t xml:space="preserve">: </w:t>
      </w:r>
      <w:r w:rsidRPr="00640C5C">
        <w:t>https://afdc.energy.gov/stations/#/find/nearest</w:t>
      </w:r>
    </w:p>
  </w:footnote>
  <w:footnote w:id="7">
    <w:p w14:paraId="1F8500C2" w14:textId="77777777" w:rsidR="00446388" w:rsidRDefault="00446388" w:rsidP="00446388">
      <w:pPr>
        <w:pStyle w:val="FootnoteText"/>
      </w:pPr>
      <w:r>
        <w:rPr>
          <w:rStyle w:val="FootnoteReference"/>
        </w:rPr>
        <w:footnoteRef/>
      </w:r>
      <w:r>
        <w:t xml:space="preserve"> </w:t>
      </w:r>
      <w:hyperlink r:id="rId4" w:history="1">
        <w:r>
          <w:rPr>
            <w:rStyle w:val="Hyperlink"/>
          </w:rPr>
          <w:t>North American Industry Classification System (NAICS) U.S. Census Bureau</w:t>
        </w:r>
      </w:hyperlink>
      <w:r>
        <w:t xml:space="preserve">: </w:t>
      </w:r>
      <w:r w:rsidRPr="00640C5C">
        <w:t>https://www.census.gov/naics/</w:t>
      </w:r>
    </w:p>
  </w:footnote>
  <w:footnote w:id="8">
    <w:p w14:paraId="6F9E2D6D" w14:textId="27B8A1E7" w:rsidR="008775B3" w:rsidRDefault="008775B3" w:rsidP="008775B3">
      <w:pPr>
        <w:pStyle w:val="Caption"/>
      </w:pPr>
      <w:r>
        <w:rPr>
          <w:rStyle w:val="FootnoteReference"/>
        </w:rPr>
        <w:footnoteRef/>
      </w:r>
      <w:r>
        <w:t xml:space="preserve"> DC fast charging is from: </w:t>
      </w:r>
      <w:hyperlink r:id="rId5" w:history="1">
        <w:r w:rsidRPr="008775B3">
          <w:rPr>
            <w:rStyle w:val="Hyperlink"/>
          </w:rPr>
          <w:t>https://developer.nrel.gov/docs/transportation/alt-fuel-stations-v1/</w:t>
        </w:r>
      </w:hyperlink>
      <w:r>
        <w:t xml:space="preserve">. Electricity price is from: </w:t>
      </w:r>
      <w:proofErr w:type="gramStart"/>
      <w:r w:rsidRPr="008775B3">
        <w:t>https://www.eia.gov/electricity/</w:t>
      </w:r>
      <w:proofErr w:type="gramEnd"/>
    </w:p>
  </w:footnote>
  <w:footnote w:id="9">
    <w:p w14:paraId="12A12366" w14:textId="77777777" w:rsidR="00086AEC" w:rsidRDefault="00FC7AC7">
      <w:pPr>
        <w:pStyle w:val="FootnoteText"/>
      </w:pPr>
      <w:r>
        <w:rPr>
          <w:rStyle w:val="FootnoteReference"/>
        </w:rPr>
        <w:footnoteRef/>
      </w:r>
      <w:r>
        <w:t xml:space="preserve"> https://developer.nrel.gov/docs/transportation/alt-fuel-stations-v1/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86337"/>
    <w:multiLevelType w:val="multilevel"/>
    <w:tmpl w:val="FD3ECC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4486C9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2A2129"/>
    <w:multiLevelType w:val="multilevel"/>
    <w:tmpl w:val="3B708C94"/>
    <w:lvl w:ilvl="0">
      <w:start w:val="1"/>
      <w:numFmt w:val="decimal"/>
      <w:lvlText w:val="Chapter %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08863221"/>
    <w:multiLevelType w:val="hybridMultilevel"/>
    <w:tmpl w:val="2CCCEC4A"/>
    <w:lvl w:ilvl="0" w:tplc="E0862D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5B674A"/>
    <w:multiLevelType w:val="multilevel"/>
    <w:tmpl w:val="4ADEA13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 w15:restartNumberingAfterBreak="0">
    <w:nsid w:val="0E4F1C84"/>
    <w:multiLevelType w:val="hybridMultilevel"/>
    <w:tmpl w:val="3DE01734"/>
    <w:lvl w:ilvl="0" w:tplc="E0862D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5A7B7C"/>
    <w:multiLevelType w:val="hybridMultilevel"/>
    <w:tmpl w:val="DD546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3D5AF7"/>
    <w:multiLevelType w:val="multilevel"/>
    <w:tmpl w:val="3FE2156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rPr>
        <w:b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5965984"/>
    <w:multiLevelType w:val="hybridMultilevel"/>
    <w:tmpl w:val="CE38B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ED4A06"/>
    <w:multiLevelType w:val="multilevel"/>
    <w:tmpl w:val="596AB718"/>
    <w:lvl w:ilvl="0">
      <w:start w:val="1"/>
      <w:numFmt w:val="decimal"/>
      <w:pStyle w:val="Heading1"/>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0" w15:restartNumberingAfterBreak="0">
    <w:nsid w:val="1692088D"/>
    <w:multiLevelType w:val="hybridMultilevel"/>
    <w:tmpl w:val="46B60C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834086"/>
    <w:multiLevelType w:val="multilevel"/>
    <w:tmpl w:val="860E431E"/>
    <w:lvl w:ilvl="0">
      <w:start w:val="1"/>
      <w:numFmt w:val="decimal"/>
      <w:suff w:val="space"/>
      <w:lvlText w:val="Chapter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decimal"/>
      <w:suff w:val="nothing"/>
      <w:lvlText w:val="%1.%2.%3 "/>
      <w:lvlJc w:val="left"/>
      <w:pPr>
        <w:ind w:left="0" w:firstLine="0"/>
      </w:pPr>
      <w:rPr>
        <w:rFonts w:hint="default"/>
      </w:rPr>
    </w:lvl>
    <w:lvl w:ilvl="3">
      <w:start w:val="1"/>
      <w:numFmt w:val="decimal"/>
      <w:suff w:val="nothing"/>
      <w:lvlText w:val="%1.%2.%3.%4 "/>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188C60B9"/>
    <w:multiLevelType w:val="multilevel"/>
    <w:tmpl w:val="F57C1E02"/>
    <w:lvl w:ilvl="0">
      <w:start w:val="1"/>
      <w:numFmt w:val="decimal"/>
      <w:suff w:val="space"/>
      <w:lvlText w:val="Table %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AEB6B1A"/>
    <w:multiLevelType w:val="hybridMultilevel"/>
    <w:tmpl w:val="BB2E7D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D9E5F49"/>
    <w:multiLevelType w:val="hybridMultilevel"/>
    <w:tmpl w:val="AC0CDC6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BC6B30"/>
    <w:multiLevelType w:val="multilevel"/>
    <w:tmpl w:val="23B07700"/>
    <w:lvl w:ilvl="0">
      <w:start w:val="1"/>
      <w:numFmt w:val="upperLetter"/>
      <w:lvlText w:val="%1"/>
      <w:lvlJc w:val="left"/>
      <w:pPr>
        <w:ind w:left="360" w:hanging="360"/>
      </w:pPr>
      <w:rPr>
        <w:rFonts w:eastAsia="Times New Roman" w:hint="default"/>
        <w:b w:val="0"/>
        <w:color w:val="000000"/>
      </w:rPr>
    </w:lvl>
    <w:lvl w:ilvl="1">
      <w:start w:val="7"/>
      <w:numFmt w:val="decimal"/>
      <w:lvlText w:val="%1.%2"/>
      <w:lvlJc w:val="left"/>
      <w:pPr>
        <w:ind w:left="360" w:hanging="360"/>
      </w:pPr>
      <w:rPr>
        <w:rFonts w:eastAsia="Times New Roman" w:hint="default"/>
        <w:b w:val="0"/>
        <w:color w:val="000000"/>
      </w:rPr>
    </w:lvl>
    <w:lvl w:ilvl="2">
      <w:start w:val="1"/>
      <w:numFmt w:val="decimal"/>
      <w:lvlText w:val="%1.%2.%3"/>
      <w:lvlJc w:val="left"/>
      <w:pPr>
        <w:ind w:left="720" w:hanging="720"/>
      </w:pPr>
      <w:rPr>
        <w:rFonts w:eastAsia="Times New Roman" w:hint="default"/>
        <w:b w:val="0"/>
        <w:color w:val="000000"/>
      </w:rPr>
    </w:lvl>
    <w:lvl w:ilvl="3">
      <w:start w:val="1"/>
      <w:numFmt w:val="decimal"/>
      <w:lvlText w:val="%1.%2.%3.%4"/>
      <w:lvlJc w:val="left"/>
      <w:pPr>
        <w:ind w:left="720" w:hanging="720"/>
      </w:pPr>
      <w:rPr>
        <w:rFonts w:eastAsia="Times New Roman" w:hint="default"/>
        <w:b w:val="0"/>
        <w:color w:val="000000"/>
      </w:rPr>
    </w:lvl>
    <w:lvl w:ilvl="4">
      <w:start w:val="1"/>
      <w:numFmt w:val="decimal"/>
      <w:lvlText w:val="%1.%2.%3.%4.%5"/>
      <w:lvlJc w:val="left"/>
      <w:pPr>
        <w:ind w:left="1080" w:hanging="1080"/>
      </w:pPr>
      <w:rPr>
        <w:rFonts w:eastAsia="Times New Roman" w:hint="default"/>
        <w:b w:val="0"/>
        <w:color w:val="000000"/>
      </w:rPr>
    </w:lvl>
    <w:lvl w:ilvl="5">
      <w:start w:val="1"/>
      <w:numFmt w:val="decimal"/>
      <w:lvlText w:val="%1.%2.%3.%4.%5.%6"/>
      <w:lvlJc w:val="left"/>
      <w:pPr>
        <w:ind w:left="1080" w:hanging="1080"/>
      </w:pPr>
      <w:rPr>
        <w:rFonts w:eastAsia="Times New Roman" w:hint="default"/>
        <w:b w:val="0"/>
        <w:color w:val="000000"/>
      </w:rPr>
    </w:lvl>
    <w:lvl w:ilvl="6">
      <w:start w:val="1"/>
      <w:numFmt w:val="decimal"/>
      <w:lvlText w:val="%1.%2.%3.%4.%5.%6.%7"/>
      <w:lvlJc w:val="left"/>
      <w:pPr>
        <w:ind w:left="1440" w:hanging="1440"/>
      </w:pPr>
      <w:rPr>
        <w:rFonts w:eastAsia="Times New Roman" w:hint="default"/>
        <w:b w:val="0"/>
        <w:color w:val="000000"/>
      </w:rPr>
    </w:lvl>
    <w:lvl w:ilvl="7">
      <w:start w:val="1"/>
      <w:numFmt w:val="decimal"/>
      <w:lvlText w:val="%1.%2.%3.%4.%5.%6.%7.%8"/>
      <w:lvlJc w:val="left"/>
      <w:pPr>
        <w:ind w:left="1440" w:hanging="1440"/>
      </w:pPr>
      <w:rPr>
        <w:rFonts w:eastAsia="Times New Roman" w:hint="default"/>
        <w:b w:val="0"/>
        <w:color w:val="000000"/>
      </w:rPr>
    </w:lvl>
    <w:lvl w:ilvl="8">
      <w:start w:val="1"/>
      <w:numFmt w:val="decimal"/>
      <w:lvlText w:val="%1.%2.%3.%4.%5.%6.%7.%8.%9"/>
      <w:lvlJc w:val="left"/>
      <w:pPr>
        <w:ind w:left="1800" w:hanging="1800"/>
      </w:pPr>
      <w:rPr>
        <w:rFonts w:eastAsia="Times New Roman" w:hint="default"/>
        <w:b w:val="0"/>
        <w:color w:val="000000"/>
      </w:rPr>
    </w:lvl>
  </w:abstractNum>
  <w:abstractNum w:abstractNumId="16" w15:restartNumberingAfterBreak="0">
    <w:nsid w:val="22287F2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22E6FD2"/>
    <w:multiLevelType w:val="hybridMultilevel"/>
    <w:tmpl w:val="E0CC86D8"/>
    <w:lvl w:ilvl="0" w:tplc="E0862D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5C06CE6"/>
    <w:multiLevelType w:val="multilevel"/>
    <w:tmpl w:val="04090027"/>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9" w15:restartNumberingAfterBreak="0">
    <w:nsid w:val="26764320"/>
    <w:multiLevelType w:val="hybridMultilevel"/>
    <w:tmpl w:val="E0CC86D8"/>
    <w:lvl w:ilvl="0" w:tplc="E0862D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79176D"/>
    <w:multiLevelType w:val="hybridMultilevel"/>
    <w:tmpl w:val="49EC5A7E"/>
    <w:lvl w:ilvl="0" w:tplc="E0862D38">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0B15CA"/>
    <w:multiLevelType w:val="hybridMultilevel"/>
    <w:tmpl w:val="3DFA0934"/>
    <w:lvl w:ilvl="0" w:tplc="F428503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C0B62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2C53356B"/>
    <w:multiLevelType w:val="hybridMultilevel"/>
    <w:tmpl w:val="01F68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9D7D8E"/>
    <w:multiLevelType w:val="hybridMultilevel"/>
    <w:tmpl w:val="968AA1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3BB37B1"/>
    <w:multiLevelType w:val="hybridMultilevel"/>
    <w:tmpl w:val="AEC2E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EF458D"/>
    <w:multiLevelType w:val="hybridMultilevel"/>
    <w:tmpl w:val="CE089BC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162B8A"/>
    <w:multiLevelType w:val="hybridMultilevel"/>
    <w:tmpl w:val="3482D4CA"/>
    <w:lvl w:ilvl="0" w:tplc="439C424E">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7E6434"/>
    <w:multiLevelType w:val="hybridMultilevel"/>
    <w:tmpl w:val="B2FE722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E237729"/>
    <w:multiLevelType w:val="multilevel"/>
    <w:tmpl w:val="36CE0CF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E4E6EB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3E5C1862"/>
    <w:multiLevelType w:val="multilevel"/>
    <w:tmpl w:val="199848F8"/>
    <w:lvl w:ilvl="0">
      <w:start w:val="1"/>
      <w:numFmt w:val="upperLetter"/>
      <w:pStyle w:val="AAppendix"/>
      <w:lvlText w:val="Appendix %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AAppendix"/>
      <w:lvlText w:val="%1.%2"/>
      <w:lvlJc w:val="left"/>
      <w:pPr>
        <w:ind w:left="720" w:hanging="360"/>
      </w:pPr>
      <w:rPr>
        <w:rFonts w:hint="default"/>
      </w:rPr>
    </w:lvl>
    <w:lvl w:ilvl="2">
      <w:start w:val="1"/>
      <w:numFmt w:val="decimal"/>
      <w:pStyle w:val="ApendixA11"/>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FFD19C8"/>
    <w:multiLevelType w:val="hybridMultilevel"/>
    <w:tmpl w:val="C3B691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27E30B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43B41E5E"/>
    <w:multiLevelType w:val="hybridMultilevel"/>
    <w:tmpl w:val="D02A71BE"/>
    <w:lvl w:ilvl="0" w:tplc="BD482072">
      <w:start w:val="2"/>
      <w:numFmt w:val="decimal"/>
      <w:pStyle w:val="Equationnumber"/>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88C75C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15B5305"/>
    <w:multiLevelType w:val="hybridMultilevel"/>
    <w:tmpl w:val="E514DC6A"/>
    <w:lvl w:ilvl="0" w:tplc="A91E884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5BC26E78"/>
    <w:multiLevelType w:val="hybridMultilevel"/>
    <w:tmpl w:val="8638ACB0"/>
    <w:lvl w:ilvl="0" w:tplc="564AF122">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D7A5D52"/>
    <w:multiLevelType w:val="hybridMultilevel"/>
    <w:tmpl w:val="449A40D2"/>
    <w:lvl w:ilvl="0" w:tplc="5B9E157A">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DA67A5B"/>
    <w:multiLevelType w:val="hybridMultilevel"/>
    <w:tmpl w:val="41E0BEF0"/>
    <w:lvl w:ilvl="0" w:tplc="04090013">
      <w:start w:val="1"/>
      <w:numFmt w:val="upp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EFC40F7"/>
    <w:multiLevelType w:val="hybridMultilevel"/>
    <w:tmpl w:val="9FB0BC9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3922510"/>
    <w:multiLevelType w:val="multilevel"/>
    <w:tmpl w:val="2FFAD71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39E73C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65954598"/>
    <w:multiLevelType w:val="hybridMultilevel"/>
    <w:tmpl w:val="2CCCEC4A"/>
    <w:lvl w:ilvl="0" w:tplc="E0862D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C815E60"/>
    <w:multiLevelType w:val="hybridMultilevel"/>
    <w:tmpl w:val="1A14CF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1226605"/>
    <w:multiLevelType w:val="hybridMultilevel"/>
    <w:tmpl w:val="12360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1540665"/>
    <w:multiLevelType w:val="multilevel"/>
    <w:tmpl w:val="23B07700"/>
    <w:lvl w:ilvl="0">
      <w:start w:val="1"/>
      <w:numFmt w:val="upperLetter"/>
      <w:lvlText w:val="%1"/>
      <w:lvlJc w:val="left"/>
      <w:pPr>
        <w:ind w:left="360" w:hanging="360"/>
      </w:pPr>
      <w:rPr>
        <w:rFonts w:eastAsia="Times New Roman" w:hint="default"/>
        <w:b w:val="0"/>
        <w:color w:val="000000"/>
      </w:rPr>
    </w:lvl>
    <w:lvl w:ilvl="1">
      <w:start w:val="7"/>
      <w:numFmt w:val="decimal"/>
      <w:lvlText w:val="%1.%2"/>
      <w:lvlJc w:val="left"/>
      <w:pPr>
        <w:ind w:left="360" w:hanging="360"/>
      </w:pPr>
      <w:rPr>
        <w:rFonts w:eastAsia="Times New Roman" w:hint="default"/>
        <w:b w:val="0"/>
        <w:color w:val="000000"/>
      </w:rPr>
    </w:lvl>
    <w:lvl w:ilvl="2">
      <w:start w:val="1"/>
      <w:numFmt w:val="decimal"/>
      <w:lvlText w:val="%1.%2.%3"/>
      <w:lvlJc w:val="left"/>
      <w:pPr>
        <w:ind w:left="720" w:hanging="720"/>
      </w:pPr>
      <w:rPr>
        <w:rFonts w:eastAsia="Times New Roman" w:hint="default"/>
        <w:b w:val="0"/>
        <w:color w:val="000000"/>
      </w:rPr>
    </w:lvl>
    <w:lvl w:ilvl="3">
      <w:start w:val="1"/>
      <w:numFmt w:val="decimal"/>
      <w:lvlText w:val="%1.%2.%3.%4"/>
      <w:lvlJc w:val="left"/>
      <w:pPr>
        <w:ind w:left="720" w:hanging="720"/>
      </w:pPr>
      <w:rPr>
        <w:rFonts w:eastAsia="Times New Roman" w:hint="default"/>
        <w:b w:val="0"/>
        <w:color w:val="000000"/>
      </w:rPr>
    </w:lvl>
    <w:lvl w:ilvl="4">
      <w:start w:val="1"/>
      <w:numFmt w:val="decimal"/>
      <w:lvlText w:val="%1.%2.%3.%4.%5"/>
      <w:lvlJc w:val="left"/>
      <w:pPr>
        <w:ind w:left="1080" w:hanging="1080"/>
      </w:pPr>
      <w:rPr>
        <w:rFonts w:eastAsia="Times New Roman" w:hint="default"/>
        <w:b w:val="0"/>
        <w:color w:val="000000"/>
      </w:rPr>
    </w:lvl>
    <w:lvl w:ilvl="5">
      <w:start w:val="1"/>
      <w:numFmt w:val="decimal"/>
      <w:lvlText w:val="%1.%2.%3.%4.%5.%6"/>
      <w:lvlJc w:val="left"/>
      <w:pPr>
        <w:ind w:left="1080" w:hanging="1080"/>
      </w:pPr>
      <w:rPr>
        <w:rFonts w:eastAsia="Times New Roman" w:hint="default"/>
        <w:b w:val="0"/>
        <w:color w:val="000000"/>
      </w:rPr>
    </w:lvl>
    <w:lvl w:ilvl="6">
      <w:start w:val="1"/>
      <w:numFmt w:val="decimal"/>
      <w:lvlText w:val="%1.%2.%3.%4.%5.%6.%7"/>
      <w:lvlJc w:val="left"/>
      <w:pPr>
        <w:ind w:left="1440" w:hanging="1440"/>
      </w:pPr>
      <w:rPr>
        <w:rFonts w:eastAsia="Times New Roman" w:hint="default"/>
        <w:b w:val="0"/>
        <w:color w:val="000000"/>
      </w:rPr>
    </w:lvl>
    <w:lvl w:ilvl="7">
      <w:start w:val="1"/>
      <w:numFmt w:val="decimal"/>
      <w:lvlText w:val="%1.%2.%3.%4.%5.%6.%7.%8"/>
      <w:lvlJc w:val="left"/>
      <w:pPr>
        <w:ind w:left="1440" w:hanging="1440"/>
      </w:pPr>
      <w:rPr>
        <w:rFonts w:eastAsia="Times New Roman" w:hint="default"/>
        <w:b w:val="0"/>
        <w:color w:val="000000"/>
      </w:rPr>
    </w:lvl>
    <w:lvl w:ilvl="8">
      <w:start w:val="1"/>
      <w:numFmt w:val="decimal"/>
      <w:lvlText w:val="%1.%2.%3.%4.%5.%6.%7.%8.%9"/>
      <w:lvlJc w:val="left"/>
      <w:pPr>
        <w:ind w:left="1800" w:hanging="1800"/>
      </w:pPr>
      <w:rPr>
        <w:rFonts w:eastAsia="Times New Roman" w:hint="default"/>
        <w:b w:val="0"/>
        <w:color w:val="000000"/>
      </w:rPr>
    </w:lvl>
  </w:abstractNum>
  <w:abstractNum w:abstractNumId="47" w15:restartNumberingAfterBreak="0">
    <w:nsid w:val="74152378"/>
    <w:multiLevelType w:val="hybridMultilevel"/>
    <w:tmpl w:val="430EDDFE"/>
    <w:lvl w:ilvl="0" w:tplc="E0862D38">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4A61EA"/>
    <w:multiLevelType w:val="hybridMultilevel"/>
    <w:tmpl w:val="D9E262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9BC7DC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7E4D1DED"/>
    <w:multiLevelType w:val="hybridMultilevel"/>
    <w:tmpl w:val="00D2E7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FF07A23"/>
    <w:multiLevelType w:val="multilevel"/>
    <w:tmpl w:val="C8F864B4"/>
    <w:lvl w:ilvl="0">
      <w:start w:val="1"/>
      <w:numFmt w:val="upperLetter"/>
      <w:lvlText w:val="%1"/>
      <w:lvlJc w:val="left"/>
      <w:pPr>
        <w:ind w:left="360" w:hanging="360"/>
      </w:pPr>
      <w:rPr>
        <w:rFonts w:eastAsia="Times New Roman" w:hint="default"/>
        <w:b w:val="0"/>
        <w:color w:val="000000"/>
      </w:rPr>
    </w:lvl>
    <w:lvl w:ilvl="1">
      <w:start w:val="7"/>
      <w:numFmt w:val="decimal"/>
      <w:lvlText w:val="%1.%2"/>
      <w:lvlJc w:val="left"/>
      <w:pPr>
        <w:ind w:left="360" w:hanging="360"/>
      </w:pPr>
      <w:rPr>
        <w:rFonts w:eastAsia="Times New Roman" w:hint="default"/>
        <w:b w:val="0"/>
        <w:color w:val="000000"/>
      </w:rPr>
    </w:lvl>
    <w:lvl w:ilvl="2">
      <w:start w:val="1"/>
      <w:numFmt w:val="decimal"/>
      <w:lvlText w:val="%1.%2.%3"/>
      <w:lvlJc w:val="left"/>
      <w:pPr>
        <w:ind w:left="720" w:hanging="720"/>
      </w:pPr>
      <w:rPr>
        <w:rFonts w:eastAsia="Times New Roman" w:hint="default"/>
        <w:b w:val="0"/>
        <w:color w:val="000000"/>
      </w:rPr>
    </w:lvl>
    <w:lvl w:ilvl="3">
      <w:start w:val="1"/>
      <w:numFmt w:val="decimal"/>
      <w:lvlText w:val="%1.%2.%3.%4"/>
      <w:lvlJc w:val="left"/>
      <w:pPr>
        <w:ind w:left="720" w:hanging="720"/>
      </w:pPr>
      <w:rPr>
        <w:rFonts w:eastAsia="Times New Roman" w:hint="default"/>
        <w:b w:val="0"/>
        <w:color w:val="000000"/>
      </w:rPr>
    </w:lvl>
    <w:lvl w:ilvl="4">
      <w:start w:val="1"/>
      <w:numFmt w:val="decimal"/>
      <w:lvlText w:val="%1.%2.%3.%4.%5"/>
      <w:lvlJc w:val="left"/>
      <w:pPr>
        <w:ind w:left="1080" w:hanging="1080"/>
      </w:pPr>
      <w:rPr>
        <w:rFonts w:eastAsia="Times New Roman" w:hint="default"/>
        <w:b w:val="0"/>
        <w:color w:val="000000"/>
      </w:rPr>
    </w:lvl>
    <w:lvl w:ilvl="5">
      <w:start w:val="1"/>
      <w:numFmt w:val="decimal"/>
      <w:lvlText w:val="%1.%2.%3.%4.%5.%6"/>
      <w:lvlJc w:val="left"/>
      <w:pPr>
        <w:ind w:left="1080" w:hanging="1080"/>
      </w:pPr>
      <w:rPr>
        <w:rFonts w:eastAsia="Times New Roman" w:hint="default"/>
        <w:b w:val="0"/>
        <w:color w:val="000000"/>
      </w:rPr>
    </w:lvl>
    <w:lvl w:ilvl="6">
      <w:start w:val="1"/>
      <w:numFmt w:val="decimal"/>
      <w:lvlText w:val="%1.%2.%3.%4.%5.%6.%7"/>
      <w:lvlJc w:val="left"/>
      <w:pPr>
        <w:ind w:left="1440" w:hanging="1440"/>
      </w:pPr>
      <w:rPr>
        <w:rFonts w:eastAsia="Times New Roman" w:hint="default"/>
        <w:b w:val="0"/>
        <w:color w:val="000000"/>
      </w:rPr>
    </w:lvl>
    <w:lvl w:ilvl="7">
      <w:start w:val="1"/>
      <w:numFmt w:val="decimal"/>
      <w:lvlText w:val="%1.%2.%3.%4.%5.%6.%7.%8"/>
      <w:lvlJc w:val="left"/>
      <w:pPr>
        <w:ind w:left="1440" w:hanging="1440"/>
      </w:pPr>
      <w:rPr>
        <w:rFonts w:eastAsia="Times New Roman" w:hint="default"/>
        <w:b w:val="0"/>
        <w:color w:val="000000"/>
      </w:rPr>
    </w:lvl>
    <w:lvl w:ilvl="8">
      <w:start w:val="1"/>
      <w:numFmt w:val="decimal"/>
      <w:lvlText w:val="%1.%2.%3.%4.%5.%6.%7.%8.%9"/>
      <w:lvlJc w:val="left"/>
      <w:pPr>
        <w:ind w:left="1800" w:hanging="1800"/>
      </w:pPr>
      <w:rPr>
        <w:rFonts w:eastAsia="Times New Roman" w:hint="default"/>
        <w:b w:val="0"/>
        <w:color w:val="000000"/>
      </w:rPr>
    </w:lvl>
  </w:abstractNum>
  <w:num w:numId="1" w16cid:durableId="493304586">
    <w:abstractNumId w:val="9"/>
  </w:num>
  <w:num w:numId="2" w16cid:durableId="1349525006">
    <w:abstractNumId w:val="32"/>
  </w:num>
  <w:num w:numId="3" w16cid:durableId="639000643">
    <w:abstractNumId w:val="48"/>
  </w:num>
  <w:num w:numId="4" w16cid:durableId="389039029">
    <w:abstractNumId w:val="28"/>
  </w:num>
  <w:num w:numId="5" w16cid:durableId="604653854">
    <w:abstractNumId w:val="26"/>
  </w:num>
  <w:num w:numId="6" w16cid:durableId="113537410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75753075">
    <w:abstractNumId w:val="21"/>
  </w:num>
  <w:num w:numId="8" w16cid:durableId="1771855095">
    <w:abstractNumId w:val="44"/>
  </w:num>
  <w:num w:numId="9" w16cid:durableId="1104494778">
    <w:abstractNumId w:val="11"/>
  </w:num>
  <w:num w:numId="10" w16cid:durableId="121505547">
    <w:abstractNumId w:val="0"/>
  </w:num>
  <w:num w:numId="11" w16cid:durableId="104739424">
    <w:abstractNumId w:val="36"/>
  </w:num>
  <w:num w:numId="12" w16cid:durableId="528881223">
    <w:abstractNumId w:val="7"/>
  </w:num>
  <w:num w:numId="13" w16cid:durableId="1930846490">
    <w:abstractNumId w:val="41"/>
  </w:num>
  <w:num w:numId="14" w16cid:durableId="1643075685">
    <w:abstractNumId w:val="33"/>
  </w:num>
  <w:num w:numId="15" w16cid:durableId="1957364378">
    <w:abstractNumId w:val="1"/>
  </w:num>
  <w:num w:numId="16" w16cid:durableId="232011749">
    <w:abstractNumId w:val="37"/>
  </w:num>
  <w:num w:numId="17" w16cid:durableId="431515984">
    <w:abstractNumId w:val="5"/>
  </w:num>
  <w:num w:numId="18" w16cid:durableId="1957053390">
    <w:abstractNumId w:val="24"/>
  </w:num>
  <w:num w:numId="19" w16cid:durableId="2079396925">
    <w:abstractNumId w:val="50"/>
  </w:num>
  <w:num w:numId="20" w16cid:durableId="655036317">
    <w:abstractNumId w:val="39"/>
  </w:num>
  <w:num w:numId="21" w16cid:durableId="648218273">
    <w:abstractNumId w:val="49"/>
  </w:num>
  <w:num w:numId="22" w16cid:durableId="1957246587">
    <w:abstractNumId w:val="35"/>
  </w:num>
  <w:num w:numId="23" w16cid:durableId="1041713688">
    <w:abstractNumId w:val="6"/>
  </w:num>
  <w:num w:numId="24" w16cid:durableId="1189682586">
    <w:abstractNumId w:val="14"/>
  </w:num>
  <w:num w:numId="25" w16cid:durableId="1233152579">
    <w:abstractNumId w:val="40"/>
  </w:num>
  <w:num w:numId="26" w16cid:durableId="1742604563">
    <w:abstractNumId w:val="13"/>
  </w:num>
  <w:num w:numId="27" w16cid:durableId="1456025544">
    <w:abstractNumId w:val="10"/>
  </w:num>
  <w:num w:numId="28" w16cid:durableId="1087072779">
    <w:abstractNumId w:val="38"/>
  </w:num>
  <w:num w:numId="29" w16cid:durableId="2141802242">
    <w:abstractNumId w:val="27"/>
  </w:num>
  <w:num w:numId="30" w16cid:durableId="1140227435">
    <w:abstractNumId w:val="34"/>
  </w:num>
  <w:num w:numId="31" w16cid:durableId="1101409600">
    <w:abstractNumId w:val="29"/>
  </w:num>
  <w:num w:numId="32" w16cid:durableId="793405248">
    <w:abstractNumId w:val="17"/>
  </w:num>
  <w:num w:numId="33" w16cid:durableId="1359701084">
    <w:abstractNumId w:val="19"/>
  </w:num>
  <w:num w:numId="34" w16cid:durableId="1758475012">
    <w:abstractNumId w:val="22"/>
  </w:num>
  <w:num w:numId="35" w16cid:durableId="1743485291">
    <w:abstractNumId w:val="30"/>
  </w:num>
  <w:num w:numId="36" w16cid:durableId="1365248029">
    <w:abstractNumId w:val="42"/>
  </w:num>
  <w:num w:numId="37" w16cid:durableId="1594699833">
    <w:abstractNumId w:val="16"/>
  </w:num>
  <w:num w:numId="38" w16cid:durableId="921719311">
    <w:abstractNumId w:val="12"/>
  </w:num>
  <w:num w:numId="39" w16cid:durableId="1167090970">
    <w:abstractNumId w:val="4"/>
  </w:num>
  <w:num w:numId="40" w16cid:durableId="1641576393">
    <w:abstractNumId w:val="43"/>
  </w:num>
  <w:num w:numId="41" w16cid:durableId="1044065756">
    <w:abstractNumId w:val="3"/>
  </w:num>
  <w:num w:numId="42" w16cid:durableId="95642552">
    <w:abstractNumId w:val="31"/>
  </w:num>
  <w:num w:numId="43" w16cid:durableId="1702779085">
    <w:abstractNumId w:val="2"/>
  </w:num>
  <w:num w:numId="44" w16cid:durableId="13753532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861864153">
    <w:abstractNumId w:val="25"/>
  </w:num>
  <w:num w:numId="46" w16cid:durableId="660233780">
    <w:abstractNumId w:val="47"/>
  </w:num>
  <w:num w:numId="47" w16cid:durableId="1100881383">
    <w:abstractNumId w:val="20"/>
  </w:num>
  <w:num w:numId="48" w16cid:durableId="1631276948">
    <w:abstractNumId w:val="46"/>
  </w:num>
  <w:num w:numId="49" w16cid:durableId="1637250514">
    <w:abstractNumId w:val="51"/>
  </w:num>
  <w:num w:numId="50" w16cid:durableId="1279221760">
    <w:abstractNumId w:val="15"/>
  </w:num>
  <w:num w:numId="51" w16cid:durableId="1867055948">
    <w:abstractNumId w:val="18"/>
  </w:num>
  <w:num w:numId="52" w16cid:durableId="926227538">
    <w:abstractNumId w:val="34"/>
    <w:lvlOverride w:ilvl="0">
      <w:startOverride w:val="1"/>
    </w:lvlOverride>
  </w:num>
  <w:num w:numId="53" w16cid:durableId="144325675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36918657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484547978">
    <w:abstractNumId w:val="45"/>
  </w:num>
  <w:num w:numId="56" w16cid:durableId="1387147097">
    <w:abstractNumId w:val="23"/>
  </w:num>
  <w:num w:numId="57" w16cid:durableId="779960334">
    <w:abstractNumId w:val="8"/>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adhu Khanna">
    <w15:presenceInfo w15:providerId="None" w15:userId="Madhu Khanna"/>
  </w15:person>
  <w15:person w15:author="Jia Zhong">
    <w15:presenceInfo w15:providerId="Windows Live" w15:userId="8d018d6007de8e1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7"/>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IzsrQwtjQ1trCwMDNW0lEKTi0uzszPAykwN6wFAEf1jRItAAAA"/>
  </w:docVars>
  <w:rsids>
    <w:rsidRoot w:val="00086AEC"/>
    <w:rsid w:val="00001A6D"/>
    <w:rsid w:val="00004316"/>
    <w:rsid w:val="0000736B"/>
    <w:rsid w:val="00015FDE"/>
    <w:rsid w:val="000170E1"/>
    <w:rsid w:val="000233BA"/>
    <w:rsid w:val="00023F7A"/>
    <w:rsid w:val="00025BB3"/>
    <w:rsid w:val="00026DEB"/>
    <w:rsid w:val="00032531"/>
    <w:rsid w:val="000339F9"/>
    <w:rsid w:val="000351D8"/>
    <w:rsid w:val="00051857"/>
    <w:rsid w:val="00051B4C"/>
    <w:rsid w:val="0006120F"/>
    <w:rsid w:val="0006127C"/>
    <w:rsid w:val="0006225F"/>
    <w:rsid w:val="000635BF"/>
    <w:rsid w:val="000652C3"/>
    <w:rsid w:val="00065AC6"/>
    <w:rsid w:val="00071971"/>
    <w:rsid w:val="0007211A"/>
    <w:rsid w:val="000738E3"/>
    <w:rsid w:val="0007426C"/>
    <w:rsid w:val="00074F5C"/>
    <w:rsid w:val="000751C3"/>
    <w:rsid w:val="0008138C"/>
    <w:rsid w:val="00082A38"/>
    <w:rsid w:val="0008328E"/>
    <w:rsid w:val="000851F7"/>
    <w:rsid w:val="00086AEC"/>
    <w:rsid w:val="00090278"/>
    <w:rsid w:val="00090950"/>
    <w:rsid w:val="00095C93"/>
    <w:rsid w:val="0009687D"/>
    <w:rsid w:val="000A002F"/>
    <w:rsid w:val="000A0A5E"/>
    <w:rsid w:val="000A0F7C"/>
    <w:rsid w:val="000A1364"/>
    <w:rsid w:val="000A2003"/>
    <w:rsid w:val="000A4F6E"/>
    <w:rsid w:val="000A6C3B"/>
    <w:rsid w:val="000B077D"/>
    <w:rsid w:val="000B1783"/>
    <w:rsid w:val="000B359C"/>
    <w:rsid w:val="000B5075"/>
    <w:rsid w:val="000B63F3"/>
    <w:rsid w:val="000B64E8"/>
    <w:rsid w:val="000B73E2"/>
    <w:rsid w:val="000C593E"/>
    <w:rsid w:val="000D13DD"/>
    <w:rsid w:val="000D2E16"/>
    <w:rsid w:val="000D6392"/>
    <w:rsid w:val="000E1AB6"/>
    <w:rsid w:val="000E6C69"/>
    <w:rsid w:val="000F1493"/>
    <w:rsid w:val="000F2625"/>
    <w:rsid w:val="000F327A"/>
    <w:rsid w:val="000F5FC1"/>
    <w:rsid w:val="000F671D"/>
    <w:rsid w:val="000F71F7"/>
    <w:rsid w:val="001047F1"/>
    <w:rsid w:val="00105DEF"/>
    <w:rsid w:val="00106C54"/>
    <w:rsid w:val="00110AE7"/>
    <w:rsid w:val="0011139E"/>
    <w:rsid w:val="00116248"/>
    <w:rsid w:val="00120CBC"/>
    <w:rsid w:val="00120F6C"/>
    <w:rsid w:val="001228D6"/>
    <w:rsid w:val="001237B3"/>
    <w:rsid w:val="0012431F"/>
    <w:rsid w:val="00124B62"/>
    <w:rsid w:val="001304A3"/>
    <w:rsid w:val="00130DBA"/>
    <w:rsid w:val="0013368B"/>
    <w:rsid w:val="00136AF6"/>
    <w:rsid w:val="00136B4F"/>
    <w:rsid w:val="00143634"/>
    <w:rsid w:val="00144194"/>
    <w:rsid w:val="00146B95"/>
    <w:rsid w:val="001518C1"/>
    <w:rsid w:val="00155C45"/>
    <w:rsid w:val="00163944"/>
    <w:rsid w:val="00167A71"/>
    <w:rsid w:val="00167CA8"/>
    <w:rsid w:val="0017005C"/>
    <w:rsid w:val="001765EA"/>
    <w:rsid w:val="0018002F"/>
    <w:rsid w:val="001806DB"/>
    <w:rsid w:val="00191CED"/>
    <w:rsid w:val="0019259A"/>
    <w:rsid w:val="001936F2"/>
    <w:rsid w:val="001A1F60"/>
    <w:rsid w:val="001A253D"/>
    <w:rsid w:val="001A4EB0"/>
    <w:rsid w:val="001A4F78"/>
    <w:rsid w:val="001B0B2C"/>
    <w:rsid w:val="001B2AF8"/>
    <w:rsid w:val="001B385F"/>
    <w:rsid w:val="001C0EC7"/>
    <w:rsid w:val="001C43DB"/>
    <w:rsid w:val="001C6A7D"/>
    <w:rsid w:val="001D2ACC"/>
    <w:rsid w:val="001D3541"/>
    <w:rsid w:val="001D467E"/>
    <w:rsid w:val="001D5845"/>
    <w:rsid w:val="001D648F"/>
    <w:rsid w:val="001D7A32"/>
    <w:rsid w:val="001E2F29"/>
    <w:rsid w:val="001E39F2"/>
    <w:rsid w:val="001E473D"/>
    <w:rsid w:val="001E4EE1"/>
    <w:rsid w:val="001E53E2"/>
    <w:rsid w:val="001E6C30"/>
    <w:rsid w:val="001E7B1E"/>
    <w:rsid w:val="001F0396"/>
    <w:rsid w:val="002034F6"/>
    <w:rsid w:val="00204AD9"/>
    <w:rsid w:val="002063B6"/>
    <w:rsid w:val="00206B6A"/>
    <w:rsid w:val="00207798"/>
    <w:rsid w:val="00210857"/>
    <w:rsid w:val="00212E61"/>
    <w:rsid w:val="00212F9D"/>
    <w:rsid w:val="0021489E"/>
    <w:rsid w:val="002155D7"/>
    <w:rsid w:val="00216802"/>
    <w:rsid w:val="00216BFC"/>
    <w:rsid w:val="00217577"/>
    <w:rsid w:val="00217C3A"/>
    <w:rsid w:val="00221209"/>
    <w:rsid w:val="00221893"/>
    <w:rsid w:val="00222FEA"/>
    <w:rsid w:val="002255B4"/>
    <w:rsid w:val="002351FE"/>
    <w:rsid w:val="00241069"/>
    <w:rsid w:val="00247154"/>
    <w:rsid w:val="0025025B"/>
    <w:rsid w:val="00252D12"/>
    <w:rsid w:val="00252D70"/>
    <w:rsid w:val="0025327E"/>
    <w:rsid w:val="00255D19"/>
    <w:rsid w:val="00255FB5"/>
    <w:rsid w:val="00260761"/>
    <w:rsid w:val="00260826"/>
    <w:rsid w:val="00260BD8"/>
    <w:rsid w:val="002610C7"/>
    <w:rsid w:val="00262E49"/>
    <w:rsid w:val="002644AE"/>
    <w:rsid w:val="00270BD6"/>
    <w:rsid w:val="00271386"/>
    <w:rsid w:val="00273144"/>
    <w:rsid w:val="00273797"/>
    <w:rsid w:val="00274584"/>
    <w:rsid w:val="00274618"/>
    <w:rsid w:val="0027502B"/>
    <w:rsid w:val="00276CA3"/>
    <w:rsid w:val="00280B8A"/>
    <w:rsid w:val="00281198"/>
    <w:rsid w:val="00285ED8"/>
    <w:rsid w:val="0029396E"/>
    <w:rsid w:val="00294A87"/>
    <w:rsid w:val="002A1C35"/>
    <w:rsid w:val="002A32A9"/>
    <w:rsid w:val="002A5A73"/>
    <w:rsid w:val="002A5B60"/>
    <w:rsid w:val="002A6AD8"/>
    <w:rsid w:val="002B1EBF"/>
    <w:rsid w:val="002B2271"/>
    <w:rsid w:val="002B2564"/>
    <w:rsid w:val="002B2C2C"/>
    <w:rsid w:val="002B427E"/>
    <w:rsid w:val="002B4B4C"/>
    <w:rsid w:val="002B54CD"/>
    <w:rsid w:val="002C2471"/>
    <w:rsid w:val="002C3F92"/>
    <w:rsid w:val="002C5206"/>
    <w:rsid w:val="002D0B54"/>
    <w:rsid w:val="002D3621"/>
    <w:rsid w:val="002D5602"/>
    <w:rsid w:val="002D5A3F"/>
    <w:rsid w:val="002D5EB9"/>
    <w:rsid w:val="002D7D22"/>
    <w:rsid w:val="002E1178"/>
    <w:rsid w:val="002E3D9C"/>
    <w:rsid w:val="002E6327"/>
    <w:rsid w:val="002E6A5D"/>
    <w:rsid w:val="002F02A2"/>
    <w:rsid w:val="002F4051"/>
    <w:rsid w:val="002F7F80"/>
    <w:rsid w:val="003002E0"/>
    <w:rsid w:val="003033F7"/>
    <w:rsid w:val="00307C22"/>
    <w:rsid w:val="00312B07"/>
    <w:rsid w:val="00312DE9"/>
    <w:rsid w:val="00314E46"/>
    <w:rsid w:val="0031517A"/>
    <w:rsid w:val="00316298"/>
    <w:rsid w:val="00322E3D"/>
    <w:rsid w:val="00323147"/>
    <w:rsid w:val="00324BFF"/>
    <w:rsid w:val="00325E4A"/>
    <w:rsid w:val="003271D2"/>
    <w:rsid w:val="0033174D"/>
    <w:rsid w:val="00332216"/>
    <w:rsid w:val="0033572E"/>
    <w:rsid w:val="00335D94"/>
    <w:rsid w:val="003363EA"/>
    <w:rsid w:val="00341BA0"/>
    <w:rsid w:val="00344906"/>
    <w:rsid w:val="003456D4"/>
    <w:rsid w:val="00355DA9"/>
    <w:rsid w:val="00363761"/>
    <w:rsid w:val="00363B1D"/>
    <w:rsid w:val="00363D9D"/>
    <w:rsid w:val="00363F28"/>
    <w:rsid w:val="00366590"/>
    <w:rsid w:val="00374D37"/>
    <w:rsid w:val="00375956"/>
    <w:rsid w:val="00376A48"/>
    <w:rsid w:val="00382723"/>
    <w:rsid w:val="00385B26"/>
    <w:rsid w:val="0039200A"/>
    <w:rsid w:val="003941DA"/>
    <w:rsid w:val="003963CE"/>
    <w:rsid w:val="003A0987"/>
    <w:rsid w:val="003A162E"/>
    <w:rsid w:val="003A22C1"/>
    <w:rsid w:val="003A25F9"/>
    <w:rsid w:val="003A7D4B"/>
    <w:rsid w:val="003B29D1"/>
    <w:rsid w:val="003B3DB1"/>
    <w:rsid w:val="003B7447"/>
    <w:rsid w:val="003C0ABD"/>
    <w:rsid w:val="003C1746"/>
    <w:rsid w:val="003C2B8A"/>
    <w:rsid w:val="003C40A2"/>
    <w:rsid w:val="003D1FF4"/>
    <w:rsid w:val="003D2238"/>
    <w:rsid w:val="003D40CF"/>
    <w:rsid w:val="003D45F9"/>
    <w:rsid w:val="003D4FC8"/>
    <w:rsid w:val="003E0790"/>
    <w:rsid w:val="003E0951"/>
    <w:rsid w:val="003E3182"/>
    <w:rsid w:val="003E5699"/>
    <w:rsid w:val="003E72A2"/>
    <w:rsid w:val="003F2B53"/>
    <w:rsid w:val="003F34D0"/>
    <w:rsid w:val="003F615F"/>
    <w:rsid w:val="003F7CA4"/>
    <w:rsid w:val="003F7CE5"/>
    <w:rsid w:val="00400539"/>
    <w:rsid w:val="004037A6"/>
    <w:rsid w:val="004075A7"/>
    <w:rsid w:val="00415310"/>
    <w:rsid w:val="004153D9"/>
    <w:rsid w:val="00417FE7"/>
    <w:rsid w:val="004202D6"/>
    <w:rsid w:val="00421FBE"/>
    <w:rsid w:val="00422752"/>
    <w:rsid w:val="00423619"/>
    <w:rsid w:val="00431F67"/>
    <w:rsid w:val="0043385B"/>
    <w:rsid w:val="00437ADE"/>
    <w:rsid w:val="00441A6E"/>
    <w:rsid w:val="00443EC0"/>
    <w:rsid w:val="00446388"/>
    <w:rsid w:val="004518EE"/>
    <w:rsid w:val="00452251"/>
    <w:rsid w:val="00456642"/>
    <w:rsid w:val="00464C60"/>
    <w:rsid w:val="00470117"/>
    <w:rsid w:val="00473686"/>
    <w:rsid w:val="004739DF"/>
    <w:rsid w:val="00474FD4"/>
    <w:rsid w:val="00480D83"/>
    <w:rsid w:val="0048248B"/>
    <w:rsid w:val="004834D1"/>
    <w:rsid w:val="0048585C"/>
    <w:rsid w:val="0049297E"/>
    <w:rsid w:val="00495DD0"/>
    <w:rsid w:val="004A1985"/>
    <w:rsid w:val="004A281E"/>
    <w:rsid w:val="004A3DB9"/>
    <w:rsid w:val="004A3DE5"/>
    <w:rsid w:val="004A4B27"/>
    <w:rsid w:val="004B2A72"/>
    <w:rsid w:val="004B3565"/>
    <w:rsid w:val="004B691C"/>
    <w:rsid w:val="004B7EAF"/>
    <w:rsid w:val="004C00E2"/>
    <w:rsid w:val="004C0E9E"/>
    <w:rsid w:val="004C327C"/>
    <w:rsid w:val="004C34FF"/>
    <w:rsid w:val="004C4719"/>
    <w:rsid w:val="004C48E5"/>
    <w:rsid w:val="004D01AC"/>
    <w:rsid w:val="004D31AF"/>
    <w:rsid w:val="004D55DC"/>
    <w:rsid w:val="004D61E4"/>
    <w:rsid w:val="004D6D3F"/>
    <w:rsid w:val="004E1533"/>
    <w:rsid w:val="004E1DD3"/>
    <w:rsid w:val="004E389B"/>
    <w:rsid w:val="004E5074"/>
    <w:rsid w:val="004E5709"/>
    <w:rsid w:val="004E61A3"/>
    <w:rsid w:val="004F0491"/>
    <w:rsid w:val="004F08DD"/>
    <w:rsid w:val="004F5121"/>
    <w:rsid w:val="004F729E"/>
    <w:rsid w:val="00500C0F"/>
    <w:rsid w:val="005022D5"/>
    <w:rsid w:val="0050593D"/>
    <w:rsid w:val="0050618F"/>
    <w:rsid w:val="005066C1"/>
    <w:rsid w:val="005131C5"/>
    <w:rsid w:val="0051623D"/>
    <w:rsid w:val="00521C6B"/>
    <w:rsid w:val="005278D0"/>
    <w:rsid w:val="00530169"/>
    <w:rsid w:val="005320C3"/>
    <w:rsid w:val="0054646A"/>
    <w:rsid w:val="005549AC"/>
    <w:rsid w:val="00554B9F"/>
    <w:rsid w:val="005572BD"/>
    <w:rsid w:val="00557366"/>
    <w:rsid w:val="00563804"/>
    <w:rsid w:val="00565333"/>
    <w:rsid w:val="005653FC"/>
    <w:rsid w:val="00567189"/>
    <w:rsid w:val="00572987"/>
    <w:rsid w:val="005734B6"/>
    <w:rsid w:val="005754D0"/>
    <w:rsid w:val="005754D9"/>
    <w:rsid w:val="00575823"/>
    <w:rsid w:val="00577776"/>
    <w:rsid w:val="00585043"/>
    <w:rsid w:val="00585829"/>
    <w:rsid w:val="00593196"/>
    <w:rsid w:val="0059582C"/>
    <w:rsid w:val="0059717B"/>
    <w:rsid w:val="005B3F98"/>
    <w:rsid w:val="005B54EA"/>
    <w:rsid w:val="005B5E03"/>
    <w:rsid w:val="005B5FB4"/>
    <w:rsid w:val="005B7A40"/>
    <w:rsid w:val="005C6765"/>
    <w:rsid w:val="005C72D1"/>
    <w:rsid w:val="005C7D96"/>
    <w:rsid w:val="005E1D8F"/>
    <w:rsid w:val="005E2FE8"/>
    <w:rsid w:val="005E4EFB"/>
    <w:rsid w:val="005E7A84"/>
    <w:rsid w:val="005F3CFA"/>
    <w:rsid w:val="005F66BA"/>
    <w:rsid w:val="00600CA8"/>
    <w:rsid w:val="00601455"/>
    <w:rsid w:val="006108CE"/>
    <w:rsid w:val="006126D7"/>
    <w:rsid w:val="00614735"/>
    <w:rsid w:val="0061555E"/>
    <w:rsid w:val="0062504B"/>
    <w:rsid w:val="00631551"/>
    <w:rsid w:val="006354B3"/>
    <w:rsid w:val="006374E7"/>
    <w:rsid w:val="00637D95"/>
    <w:rsid w:val="00640C5C"/>
    <w:rsid w:val="00640D17"/>
    <w:rsid w:val="0064153C"/>
    <w:rsid w:val="00642A6D"/>
    <w:rsid w:val="00642F45"/>
    <w:rsid w:val="00644950"/>
    <w:rsid w:val="0064537A"/>
    <w:rsid w:val="00651C3F"/>
    <w:rsid w:val="00664CF0"/>
    <w:rsid w:val="00664EC1"/>
    <w:rsid w:val="00665FEF"/>
    <w:rsid w:val="00667765"/>
    <w:rsid w:val="00671E1F"/>
    <w:rsid w:val="00674403"/>
    <w:rsid w:val="00677093"/>
    <w:rsid w:val="00681946"/>
    <w:rsid w:val="006830F9"/>
    <w:rsid w:val="00686BD8"/>
    <w:rsid w:val="00691578"/>
    <w:rsid w:val="00691AB3"/>
    <w:rsid w:val="00694932"/>
    <w:rsid w:val="006A1BE5"/>
    <w:rsid w:val="006A5A36"/>
    <w:rsid w:val="006A73A7"/>
    <w:rsid w:val="006B0403"/>
    <w:rsid w:val="006B3C7C"/>
    <w:rsid w:val="006B5DD8"/>
    <w:rsid w:val="006C1442"/>
    <w:rsid w:val="006C30DE"/>
    <w:rsid w:val="006C452E"/>
    <w:rsid w:val="006C702F"/>
    <w:rsid w:val="006D325F"/>
    <w:rsid w:val="006D35A7"/>
    <w:rsid w:val="006D7877"/>
    <w:rsid w:val="006E01D0"/>
    <w:rsid w:val="006E036E"/>
    <w:rsid w:val="006E1894"/>
    <w:rsid w:val="006E1F38"/>
    <w:rsid w:val="006E22E7"/>
    <w:rsid w:val="006E5B21"/>
    <w:rsid w:val="006E6818"/>
    <w:rsid w:val="006E6D84"/>
    <w:rsid w:val="006E78DC"/>
    <w:rsid w:val="006F0909"/>
    <w:rsid w:val="006F45F7"/>
    <w:rsid w:val="006F6C8A"/>
    <w:rsid w:val="00701F28"/>
    <w:rsid w:val="00703527"/>
    <w:rsid w:val="00707FCE"/>
    <w:rsid w:val="007151CD"/>
    <w:rsid w:val="00716F9B"/>
    <w:rsid w:val="007204A4"/>
    <w:rsid w:val="0072091E"/>
    <w:rsid w:val="007226B6"/>
    <w:rsid w:val="00731496"/>
    <w:rsid w:val="007315B8"/>
    <w:rsid w:val="00735FD2"/>
    <w:rsid w:val="00736925"/>
    <w:rsid w:val="00736DC4"/>
    <w:rsid w:val="007441F6"/>
    <w:rsid w:val="007448DF"/>
    <w:rsid w:val="00745E6D"/>
    <w:rsid w:val="007464AC"/>
    <w:rsid w:val="00747389"/>
    <w:rsid w:val="00747F1D"/>
    <w:rsid w:val="00751D2A"/>
    <w:rsid w:val="00756686"/>
    <w:rsid w:val="00757712"/>
    <w:rsid w:val="00761496"/>
    <w:rsid w:val="00761954"/>
    <w:rsid w:val="00762268"/>
    <w:rsid w:val="007635F6"/>
    <w:rsid w:val="007658B8"/>
    <w:rsid w:val="00767832"/>
    <w:rsid w:val="0077042D"/>
    <w:rsid w:val="00770A93"/>
    <w:rsid w:val="007718B0"/>
    <w:rsid w:val="00774953"/>
    <w:rsid w:val="00774F42"/>
    <w:rsid w:val="00775F39"/>
    <w:rsid w:val="007823E8"/>
    <w:rsid w:val="00784036"/>
    <w:rsid w:val="00784B00"/>
    <w:rsid w:val="00793C37"/>
    <w:rsid w:val="00795EE4"/>
    <w:rsid w:val="0079667B"/>
    <w:rsid w:val="00796B29"/>
    <w:rsid w:val="007A419B"/>
    <w:rsid w:val="007A7788"/>
    <w:rsid w:val="007A78C7"/>
    <w:rsid w:val="007B6D75"/>
    <w:rsid w:val="007B6E09"/>
    <w:rsid w:val="007C2234"/>
    <w:rsid w:val="007C3877"/>
    <w:rsid w:val="007C47D6"/>
    <w:rsid w:val="007D06F8"/>
    <w:rsid w:val="007D738C"/>
    <w:rsid w:val="007E36FB"/>
    <w:rsid w:val="007E7825"/>
    <w:rsid w:val="007E7BA0"/>
    <w:rsid w:val="007F2FB5"/>
    <w:rsid w:val="007F6A61"/>
    <w:rsid w:val="00800AA9"/>
    <w:rsid w:val="0080128F"/>
    <w:rsid w:val="00801996"/>
    <w:rsid w:val="00804F10"/>
    <w:rsid w:val="00806E67"/>
    <w:rsid w:val="008136F3"/>
    <w:rsid w:val="00813C6F"/>
    <w:rsid w:val="00817C5B"/>
    <w:rsid w:val="00820F18"/>
    <w:rsid w:val="00822F6A"/>
    <w:rsid w:val="00825E81"/>
    <w:rsid w:val="008260D7"/>
    <w:rsid w:val="00831646"/>
    <w:rsid w:val="00831C31"/>
    <w:rsid w:val="00835F25"/>
    <w:rsid w:val="008417B8"/>
    <w:rsid w:val="008427B2"/>
    <w:rsid w:val="0084647E"/>
    <w:rsid w:val="00852133"/>
    <w:rsid w:val="00852A8C"/>
    <w:rsid w:val="00852BCF"/>
    <w:rsid w:val="00853594"/>
    <w:rsid w:val="00857B52"/>
    <w:rsid w:val="00857B89"/>
    <w:rsid w:val="0087290B"/>
    <w:rsid w:val="00875BBE"/>
    <w:rsid w:val="0087709E"/>
    <w:rsid w:val="008775B3"/>
    <w:rsid w:val="0087774A"/>
    <w:rsid w:val="00882D70"/>
    <w:rsid w:val="00884509"/>
    <w:rsid w:val="00886F8C"/>
    <w:rsid w:val="008872FE"/>
    <w:rsid w:val="00896A88"/>
    <w:rsid w:val="008A6450"/>
    <w:rsid w:val="008B088E"/>
    <w:rsid w:val="008B1A9A"/>
    <w:rsid w:val="008C144D"/>
    <w:rsid w:val="008C3B99"/>
    <w:rsid w:val="008C4B4C"/>
    <w:rsid w:val="008C59EC"/>
    <w:rsid w:val="008C7472"/>
    <w:rsid w:val="008D0A50"/>
    <w:rsid w:val="008D1F6E"/>
    <w:rsid w:val="008D5ADF"/>
    <w:rsid w:val="008E0C51"/>
    <w:rsid w:val="008E2210"/>
    <w:rsid w:val="008E31D0"/>
    <w:rsid w:val="008E6A6E"/>
    <w:rsid w:val="008F13A4"/>
    <w:rsid w:val="008F3930"/>
    <w:rsid w:val="008F4658"/>
    <w:rsid w:val="008F5389"/>
    <w:rsid w:val="008F7B3D"/>
    <w:rsid w:val="00901CF2"/>
    <w:rsid w:val="009033E3"/>
    <w:rsid w:val="009038EC"/>
    <w:rsid w:val="00903B70"/>
    <w:rsid w:val="0090638E"/>
    <w:rsid w:val="00906A48"/>
    <w:rsid w:val="00911A6A"/>
    <w:rsid w:val="00911CAE"/>
    <w:rsid w:val="00913633"/>
    <w:rsid w:val="0091567F"/>
    <w:rsid w:val="00915C8E"/>
    <w:rsid w:val="009168DA"/>
    <w:rsid w:val="009244E7"/>
    <w:rsid w:val="00924DE8"/>
    <w:rsid w:val="00925A47"/>
    <w:rsid w:val="00926887"/>
    <w:rsid w:val="00930D98"/>
    <w:rsid w:val="00937B3B"/>
    <w:rsid w:val="009443FB"/>
    <w:rsid w:val="009453A8"/>
    <w:rsid w:val="00945756"/>
    <w:rsid w:val="00945ABA"/>
    <w:rsid w:val="0095236F"/>
    <w:rsid w:val="009566EE"/>
    <w:rsid w:val="00957EC7"/>
    <w:rsid w:val="00961507"/>
    <w:rsid w:val="00964466"/>
    <w:rsid w:val="00967587"/>
    <w:rsid w:val="00967C29"/>
    <w:rsid w:val="00967C74"/>
    <w:rsid w:val="00971296"/>
    <w:rsid w:val="009717CA"/>
    <w:rsid w:val="009718D5"/>
    <w:rsid w:val="009738F4"/>
    <w:rsid w:val="00973B31"/>
    <w:rsid w:val="00973E1B"/>
    <w:rsid w:val="00975068"/>
    <w:rsid w:val="00975BAC"/>
    <w:rsid w:val="00980E59"/>
    <w:rsid w:val="00982375"/>
    <w:rsid w:val="00983392"/>
    <w:rsid w:val="00983432"/>
    <w:rsid w:val="009838BE"/>
    <w:rsid w:val="009919E5"/>
    <w:rsid w:val="009965B1"/>
    <w:rsid w:val="0099742A"/>
    <w:rsid w:val="009A16DF"/>
    <w:rsid w:val="009A1DAE"/>
    <w:rsid w:val="009A51B7"/>
    <w:rsid w:val="009A5C32"/>
    <w:rsid w:val="009A74D3"/>
    <w:rsid w:val="009A7A1A"/>
    <w:rsid w:val="009B160D"/>
    <w:rsid w:val="009B2A9D"/>
    <w:rsid w:val="009B43C5"/>
    <w:rsid w:val="009C03E1"/>
    <w:rsid w:val="009C07CE"/>
    <w:rsid w:val="009C3871"/>
    <w:rsid w:val="009C7939"/>
    <w:rsid w:val="009D1AA5"/>
    <w:rsid w:val="009D27DB"/>
    <w:rsid w:val="009D4042"/>
    <w:rsid w:val="009D5D55"/>
    <w:rsid w:val="009D6CE3"/>
    <w:rsid w:val="009D791E"/>
    <w:rsid w:val="009E202A"/>
    <w:rsid w:val="009E5E4F"/>
    <w:rsid w:val="009F08FE"/>
    <w:rsid w:val="009F2538"/>
    <w:rsid w:val="009F57B9"/>
    <w:rsid w:val="009F7C68"/>
    <w:rsid w:val="00A042AE"/>
    <w:rsid w:val="00A12681"/>
    <w:rsid w:val="00A17FD9"/>
    <w:rsid w:val="00A223D8"/>
    <w:rsid w:val="00A23814"/>
    <w:rsid w:val="00A267A1"/>
    <w:rsid w:val="00A275AF"/>
    <w:rsid w:val="00A30731"/>
    <w:rsid w:val="00A324DB"/>
    <w:rsid w:val="00A36943"/>
    <w:rsid w:val="00A40066"/>
    <w:rsid w:val="00A42FF4"/>
    <w:rsid w:val="00A4360A"/>
    <w:rsid w:val="00A518B4"/>
    <w:rsid w:val="00A51B04"/>
    <w:rsid w:val="00A52A10"/>
    <w:rsid w:val="00A52A58"/>
    <w:rsid w:val="00A533F3"/>
    <w:rsid w:val="00A53901"/>
    <w:rsid w:val="00A57FCF"/>
    <w:rsid w:val="00A63597"/>
    <w:rsid w:val="00A65AD5"/>
    <w:rsid w:val="00A70744"/>
    <w:rsid w:val="00A7374B"/>
    <w:rsid w:val="00A75348"/>
    <w:rsid w:val="00A753CD"/>
    <w:rsid w:val="00A75C61"/>
    <w:rsid w:val="00A75FEC"/>
    <w:rsid w:val="00A77B7C"/>
    <w:rsid w:val="00A80520"/>
    <w:rsid w:val="00A85A7F"/>
    <w:rsid w:val="00A86CF2"/>
    <w:rsid w:val="00A87C55"/>
    <w:rsid w:val="00A9094B"/>
    <w:rsid w:val="00A93F2D"/>
    <w:rsid w:val="00A95FD1"/>
    <w:rsid w:val="00A9610B"/>
    <w:rsid w:val="00A9655A"/>
    <w:rsid w:val="00AA1339"/>
    <w:rsid w:val="00AB014E"/>
    <w:rsid w:val="00AC22E7"/>
    <w:rsid w:val="00AC46D7"/>
    <w:rsid w:val="00AC4BF9"/>
    <w:rsid w:val="00AD0E8B"/>
    <w:rsid w:val="00AD4923"/>
    <w:rsid w:val="00AD60C0"/>
    <w:rsid w:val="00AD62A7"/>
    <w:rsid w:val="00AE3552"/>
    <w:rsid w:val="00AE7DAC"/>
    <w:rsid w:val="00AF30A5"/>
    <w:rsid w:val="00AF334E"/>
    <w:rsid w:val="00AF5479"/>
    <w:rsid w:val="00AF6A78"/>
    <w:rsid w:val="00B00824"/>
    <w:rsid w:val="00B03909"/>
    <w:rsid w:val="00B07366"/>
    <w:rsid w:val="00B1079F"/>
    <w:rsid w:val="00B14202"/>
    <w:rsid w:val="00B228BC"/>
    <w:rsid w:val="00B234AD"/>
    <w:rsid w:val="00B26694"/>
    <w:rsid w:val="00B2726E"/>
    <w:rsid w:val="00B30D46"/>
    <w:rsid w:val="00B316AD"/>
    <w:rsid w:val="00B35117"/>
    <w:rsid w:val="00B41AAD"/>
    <w:rsid w:val="00B43FE8"/>
    <w:rsid w:val="00B5669C"/>
    <w:rsid w:val="00B64FB8"/>
    <w:rsid w:val="00B67340"/>
    <w:rsid w:val="00B73774"/>
    <w:rsid w:val="00B7380D"/>
    <w:rsid w:val="00B73EE9"/>
    <w:rsid w:val="00B85558"/>
    <w:rsid w:val="00B86AEB"/>
    <w:rsid w:val="00B873AD"/>
    <w:rsid w:val="00B90BA8"/>
    <w:rsid w:val="00B92A3A"/>
    <w:rsid w:val="00B9539D"/>
    <w:rsid w:val="00BA02EC"/>
    <w:rsid w:val="00BA10A4"/>
    <w:rsid w:val="00BA2D10"/>
    <w:rsid w:val="00BA36D0"/>
    <w:rsid w:val="00BA784F"/>
    <w:rsid w:val="00BB40DA"/>
    <w:rsid w:val="00BB4E49"/>
    <w:rsid w:val="00BB5262"/>
    <w:rsid w:val="00BB5848"/>
    <w:rsid w:val="00BC19A4"/>
    <w:rsid w:val="00BC21D2"/>
    <w:rsid w:val="00BC2D64"/>
    <w:rsid w:val="00BC5933"/>
    <w:rsid w:val="00BD06DB"/>
    <w:rsid w:val="00BD7F6B"/>
    <w:rsid w:val="00BE354F"/>
    <w:rsid w:val="00BE3BEC"/>
    <w:rsid w:val="00BE675A"/>
    <w:rsid w:val="00BF5C90"/>
    <w:rsid w:val="00C01FEA"/>
    <w:rsid w:val="00C02D98"/>
    <w:rsid w:val="00C0449E"/>
    <w:rsid w:val="00C04BED"/>
    <w:rsid w:val="00C04E62"/>
    <w:rsid w:val="00C12141"/>
    <w:rsid w:val="00C13C61"/>
    <w:rsid w:val="00C16268"/>
    <w:rsid w:val="00C1697A"/>
    <w:rsid w:val="00C16F6A"/>
    <w:rsid w:val="00C21C44"/>
    <w:rsid w:val="00C2208D"/>
    <w:rsid w:val="00C32DB8"/>
    <w:rsid w:val="00C358E2"/>
    <w:rsid w:val="00C36918"/>
    <w:rsid w:val="00C442F0"/>
    <w:rsid w:val="00C44C95"/>
    <w:rsid w:val="00C4656D"/>
    <w:rsid w:val="00C52DAD"/>
    <w:rsid w:val="00C53F8C"/>
    <w:rsid w:val="00C54377"/>
    <w:rsid w:val="00C5762F"/>
    <w:rsid w:val="00C57986"/>
    <w:rsid w:val="00C600FE"/>
    <w:rsid w:val="00C6372A"/>
    <w:rsid w:val="00C63F8C"/>
    <w:rsid w:val="00C6412F"/>
    <w:rsid w:val="00C70354"/>
    <w:rsid w:val="00C72569"/>
    <w:rsid w:val="00C76E92"/>
    <w:rsid w:val="00C80B79"/>
    <w:rsid w:val="00C814B9"/>
    <w:rsid w:val="00C9040D"/>
    <w:rsid w:val="00C96C8E"/>
    <w:rsid w:val="00C96C93"/>
    <w:rsid w:val="00C97015"/>
    <w:rsid w:val="00CA670F"/>
    <w:rsid w:val="00CA7805"/>
    <w:rsid w:val="00CB4867"/>
    <w:rsid w:val="00CB6A60"/>
    <w:rsid w:val="00CB7861"/>
    <w:rsid w:val="00CC320F"/>
    <w:rsid w:val="00CC38E4"/>
    <w:rsid w:val="00CC3E6E"/>
    <w:rsid w:val="00CC429A"/>
    <w:rsid w:val="00CC5796"/>
    <w:rsid w:val="00CC5976"/>
    <w:rsid w:val="00CC6828"/>
    <w:rsid w:val="00CC6A50"/>
    <w:rsid w:val="00CC6E30"/>
    <w:rsid w:val="00CD00ED"/>
    <w:rsid w:val="00CD045F"/>
    <w:rsid w:val="00CD203E"/>
    <w:rsid w:val="00CD279B"/>
    <w:rsid w:val="00CD7094"/>
    <w:rsid w:val="00CD7879"/>
    <w:rsid w:val="00CF5983"/>
    <w:rsid w:val="00CF771E"/>
    <w:rsid w:val="00D066BB"/>
    <w:rsid w:val="00D0671D"/>
    <w:rsid w:val="00D12179"/>
    <w:rsid w:val="00D1739C"/>
    <w:rsid w:val="00D2194C"/>
    <w:rsid w:val="00D21D45"/>
    <w:rsid w:val="00D224DA"/>
    <w:rsid w:val="00D22702"/>
    <w:rsid w:val="00D246DB"/>
    <w:rsid w:val="00D24E0E"/>
    <w:rsid w:val="00D30854"/>
    <w:rsid w:val="00D3398F"/>
    <w:rsid w:val="00D34E88"/>
    <w:rsid w:val="00D410BA"/>
    <w:rsid w:val="00D424DC"/>
    <w:rsid w:val="00D42EDF"/>
    <w:rsid w:val="00D430A2"/>
    <w:rsid w:val="00D446AB"/>
    <w:rsid w:val="00D455FA"/>
    <w:rsid w:val="00D45FF1"/>
    <w:rsid w:val="00D46CF6"/>
    <w:rsid w:val="00D47EED"/>
    <w:rsid w:val="00D50508"/>
    <w:rsid w:val="00D55F12"/>
    <w:rsid w:val="00D5671A"/>
    <w:rsid w:val="00D56BE5"/>
    <w:rsid w:val="00D60AF6"/>
    <w:rsid w:val="00D634BC"/>
    <w:rsid w:val="00D63D6E"/>
    <w:rsid w:val="00D64DBA"/>
    <w:rsid w:val="00D7323E"/>
    <w:rsid w:val="00D736FA"/>
    <w:rsid w:val="00D73875"/>
    <w:rsid w:val="00D82C80"/>
    <w:rsid w:val="00D837E6"/>
    <w:rsid w:val="00D83B21"/>
    <w:rsid w:val="00D85B64"/>
    <w:rsid w:val="00D85E25"/>
    <w:rsid w:val="00D91073"/>
    <w:rsid w:val="00D93C5B"/>
    <w:rsid w:val="00DA2DE3"/>
    <w:rsid w:val="00DB25DE"/>
    <w:rsid w:val="00DB7D7B"/>
    <w:rsid w:val="00DC1FE7"/>
    <w:rsid w:val="00DC4C79"/>
    <w:rsid w:val="00DC5EA6"/>
    <w:rsid w:val="00DC7EC2"/>
    <w:rsid w:val="00DD2980"/>
    <w:rsid w:val="00DD2C9D"/>
    <w:rsid w:val="00DD3379"/>
    <w:rsid w:val="00DD3C19"/>
    <w:rsid w:val="00DD466B"/>
    <w:rsid w:val="00DE1FD0"/>
    <w:rsid w:val="00DE542D"/>
    <w:rsid w:val="00DF2CFE"/>
    <w:rsid w:val="00DF7C2E"/>
    <w:rsid w:val="00E01254"/>
    <w:rsid w:val="00E07213"/>
    <w:rsid w:val="00E10A99"/>
    <w:rsid w:val="00E10AEA"/>
    <w:rsid w:val="00E151A0"/>
    <w:rsid w:val="00E225F1"/>
    <w:rsid w:val="00E234F1"/>
    <w:rsid w:val="00E236CB"/>
    <w:rsid w:val="00E239E0"/>
    <w:rsid w:val="00E24A71"/>
    <w:rsid w:val="00E258A0"/>
    <w:rsid w:val="00E27ED5"/>
    <w:rsid w:val="00E31E2E"/>
    <w:rsid w:val="00E32201"/>
    <w:rsid w:val="00E340E5"/>
    <w:rsid w:val="00E353BE"/>
    <w:rsid w:val="00E35A82"/>
    <w:rsid w:val="00E366A4"/>
    <w:rsid w:val="00E40A8B"/>
    <w:rsid w:val="00E42117"/>
    <w:rsid w:val="00E5476E"/>
    <w:rsid w:val="00E56A39"/>
    <w:rsid w:val="00E628A8"/>
    <w:rsid w:val="00E70EE7"/>
    <w:rsid w:val="00E815B6"/>
    <w:rsid w:val="00E825DC"/>
    <w:rsid w:val="00E83A60"/>
    <w:rsid w:val="00E86367"/>
    <w:rsid w:val="00E86FE1"/>
    <w:rsid w:val="00E907D6"/>
    <w:rsid w:val="00E90A83"/>
    <w:rsid w:val="00E92116"/>
    <w:rsid w:val="00E934CD"/>
    <w:rsid w:val="00EA08DC"/>
    <w:rsid w:val="00EA1B43"/>
    <w:rsid w:val="00EA77AD"/>
    <w:rsid w:val="00EB097F"/>
    <w:rsid w:val="00EB6E17"/>
    <w:rsid w:val="00EC0A8B"/>
    <w:rsid w:val="00ED1016"/>
    <w:rsid w:val="00ED2242"/>
    <w:rsid w:val="00ED2D7D"/>
    <w:rsid w:val="00ED39D8"/>
    <w:rsid w:val="00ED4999"/>
    <w:rsid w:val="00ED79B3"/>
    <w:rsid w:val="00EE03F5"/>
    <w:rsid w:val="00EE78F5"/>
    <w:rsid w:val="00EF5352"/>
    <w:rsid w:val="00EF75F3"/>
    <w:rsid w:val="00F10D5B"/>
    <w:rsid w:val="00F144B6"/>
    <w:rsid w:val="00F157CB"/>
    <w:rsid w:val="00F3038D"/>
    <w:rsid w:val="00F311A8"/>
    <w:rsid w:val="00F3248F"/>
    <w:rsid w:val="00F33EBA"/>
    <w:rsid w:val="00F3658C"/>
    <w:rsid w:val="00F3685C"/>
    <w:rsid w:val="00F37477"/>
    <w:rsid w:val="00F40C0C"/>
    <w:rsid w:val="00F42260"/>
    <w:rsid w:val="00F430EE"/>
    <w:rsid w:val="00F44038"/>
    <w:rsid w:val="00F45962"/>
    <w:rsid w:val="00F5230B"/>
    <w:rsid w:val="00F54C1B"/>
    <w:rsid w:val="00F56C9D"/>
    <w:rsid w:val="00F62AFE"/>
    <w:rsid w:val="00F638E9"/>
    <w:rsid w:val="00F64D4C"/>
    <w:rsid w:val="00F6549A"/>
    <w:rsid w:val="00F66B41"/>
    <w:rsid w:val="00F66BA8"/>
    <w:rsid w:val="00F716A6"/>
    <w:rsid w:val="00F736B6"/>
    <w:rsid w:val="00F76A32"/>
    <w:rsid w:val="00F77B4D"/>
    <w:rsid w:val="00F80060"/>
    <w:rsid w:val="00F80B42"/>
    <w:rsid w:val="00F818EC"/>
    <w:rsid w:val="00F82D4D"/>
    <w:rsid w:val="00F82EFC"/>
    <w:rsid w:val="00F83BAB"/>
    <w:rsid w:val="00F84E39"/>
    <w:rsid w:val="00F872C5"/>
    <w:rsid w:val="00F9530A"/>
    <w:rsid w:val="00F953D5"/>
    <w:rsid w:val="00F96C97"/>
    <w:rsid w:val="00FA2CB1"/>
    <w:rsid w:val="00FB04C6"/>
    <w:rsid w:val="00FB187D"/>
    <w:rsid w:val="00FB1893"/>
    <w:rsid w:val="00FB66CE"/>
    <w:rsid w:val="00FB784B"/>
    <w:rsid w:val="00FC0103"/>
    <w:rsid w:val="00FC2900"/>
    <w:rsid w:val="00FC5749"/>
    <w:rsid w:val="00FC7AC7"/>
    <w:rsid w:val="00FD1148"/>
    <w:rsid w:val="00FD2099"/>
    <w:rsid w:val="00FD4ECE"/>
    <w:rsid w:val="00FD5633"/>
    <w:rsid w:val="00FD6FAD"/>
    <w:rsid w:val="00FD7832"/>
    <w:rsid w:val="00FE26A4"/>
    <w:rsid w:val="00FE456C"/>
    <w:rsid w:val="00FE5F88"/>
    <w:rsid w:val="00FE657C"/>
    <w:rsid w:val="00FF0170"/>
    <w:rsid w:val="00FF4599"/>
    <w:rsid w:val="00FF6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17B9BB5C"/>
  <w15:chartTrackingRefBased/>
  <w15:docId w15:val="{FCD3C3CA-CC4D-490F-912A-C4E39CCB3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A40"/>
    <w:pPr>
      <w:spacing w:line="480" w:lineRule="auto"/>
      <w:ind w:firstLine="432"/>
    </w:pPr>
    <w:rPr>
      <w:rFonts w:ascii="Times New Roman" w:hAnsi="Times New Roman" w:cs="Times New Roman"/>
      <w:sz w:val="24"/>
      <w:szCs w:val="24"/>
    </w:rPr>
  </w:style>
  <w:style w:type="paragraph" w:styleId="Heading1">
    <w:name w:val="heading 1"/>
    <w:basedOn w:val="ListParagraph"/>
    <w:next w:val="Normal"/>
    <w:link w:val="Heading1Char"/>
    <w:uiPriority w:val="9"/>
    <w:qFormat/>
    <w:pPr>
      <w:numPr>
        <w:numId w:val="1"/>
      </w:numPr>
      <w:tabs>
        <w:tab w:val="left" w:pos="8550"/>
      </w:tabs>
      <w:outlineLvl w:val="0"/>
    </w:pPr>
    <w:rPr>
      <w:b/>
      <w:bCs/>
    </w:rPr>
  </w:style>
  <w:style w:type="paragraph" w:styleId="Heading2">
    <w:name w:val="heading 2"/>
    <w:basedOn w:val="Normal"/>
    <w:link w:val="Heading2Char"/>
    <w:autoRedefine/>
    <w:uiPriority w:val="9"/>
    <w:unhideWhenUsed/>
    <w:qFormat/>
    <w:rsid w:val="007B6D75"/>
    <w:pPr>
      <w:tabs>
        <w:tab w:val="left" w:pos="630"/>
        <w:tab w:val="left" w:pos="810"/>
      </w:tabs>
      <w:spacing w:after="0" w:line="240" w:lineRule="auto"/>
      <w:ind w:firstLine="0"/>
      <w:contextualSpacing/>
      <w:outlineLvl w:val="1"/>
    </w:pPr>
    <w:rPr>
      <w:b/>
    </w:rPr>
  </w:style>
  <w:style w:type="paragraph" w:styleId="Heading3">
    <w:name w:val="heading 3"/>
    <w:basedOn w:val="Normal"/>
    <w:next w:val="Normal"/>
    <w:link w:val="Heading3Char"/>
    <w:uiPriority w:val="9"/>
    <w:unhideWhenUsed/>
    <w:qFormat/>
    <w:pPr>
      <w:keepNext/>
      <w:keepLines/>
      <w:numPr>
        <w:ilvl w:val="2"/>
        <w:numId w:val="1"/>
      </w:numPr>
      <w:spacing w:before="40" w:after="0"/>
      <w:outlineLvl w:val="2"/>
    </w:pPr>
    <w:rPr>
      <w:rFonts w:eastAsiaTheme="majorEastAsia"/>
      <w:b/>
      <w:bCs/>
    </w:rPr>
  </w:style>
  <w:style w:type="paragraph" w:styleId="Heading4">
    <w:name w:val="heading 4"/>
    <w:basedOn w:val="Normal"/>
    <w:next w:val="Normal"/>
    <w:link w:val="Heading4Char"/>
    <w:uiPriority w:val="9"/>
    <w:unhideWhenUsed/>
    <w:qFormat/>
    <w:pPr>
      <w:keepNext/>
      <w:keepLines/>
      <w:numPr>
        <w:ilvl w:val="3"/>
        <w:numId w:val="1"/>
      </w:numPr>
      <w:spacing w:before="40" w:after="0"/>
      <w:ind w:left="864"/>
      <w:outlineLvl w:val="3"/>
    </w:pPr>
    <w:rPr>
      <w:rFonts w:eastAsiaTheme="majorEastAsia"/>
    </w:rPr>
  </w:style>
  <w:style w:type="paragraph" w:styleId="Heading5">
    <w:name w:val="heading 5"/>
    <w:basedOn w:val="Normal"/>
    <w:next w:val="Normal"/>
    <w:link w:val="Heading5Char"/>
    <w:uiPriority w:val="9"/>
    <w:semiHidden/>
    <w:unhideWhenUsed/>
    <w:qFormat/>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imes New Roman" w:hAnsi="Times New Roman" w:cs="Times New Roman"/>
      <w:b/>
      <w:bCs/>
      <w:sz w:val="24"/>
      <w:szCs w:val="24"/>
    </w:rPr>
  </w:style>
  <w:style w:type="character" w:customStyle="1" w:styleId="Heading2Char">
    <w:name w:val="Heading 2 Char"/>
    <w:basedOn w:val="DefaultParagraphFont"/>
    <w:link w:val="Heading2"/>
    <w:uiPriority w:val="9"/>
    <w:rsid w:val="007B6D75"/>
    <w:rPr>
      <w:rFonts w:ascii="Times New Roman" w:hAnsi="Times New Roman" w:cs="Times New Roman"/>
      <w:b/>
      <w:sz w:val="24"/>
      <w:szCs w:val="24"/>
    </w:rPr>
  </w:style>
  <w:style w:type="character" w:customStyle="1" w:styleId="Heading3Char">
    <w:name w:val="Heading 3 Char"/>
    <w:basedOn w:val="DefaultParagraphFont"/>
    <w:link w:val="Heading3"/>
    <w:uiPriority w:val="9"/>
    <w:rPr>
      <w:rFonts w:ascii="Times New Roman" w:eastAsiaTheme="majorEastAsia" w:hAnsi="Times New Roman" w:cs="Times New Roman"/>
      <w:b/>
      <w:bCs/>
      <w:sz w:val="24"/>
      <w:szCs w:val="24"/>
    </w:rPr>
  </w:style>
  <w:style w:type="character" w:customStyle="1" w:styleId="Heading4Char">
    <w:name w:val="Heading 4 Char"/>
    <w:basedOn w:val="DefaultParagraphFont"/>
    <w:link w:val="Heading4"/>
    <w:uiPriority w:val="9"/>
    <w:rPr>
      <w:rFonts w:ascii="Times New Roman" w:eastAsiaTheme="majorEastAsia" w:hAnsi="Times New Roman" w:cs="Times New Roman"/>
      <w:sz w:val="24"/>
      <w:szCs w:val="2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sz w:val="24"/>
      <w:szCs w:val="2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1F3763" w:themeColor="accent1" w:themeShade="7F"/>
      <w:sz w:val="24"/>
      <w:szCs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1F3763" w:themeColor="accent1" w:themeShade="7F"/>
      <w:sz w:val="24"/>
      <w:szCs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link w:val="ListParagraphChar"/>
    <w:uiPriority w:val="34"/>
    <w:qFormat/>
    <w:pPr>
      <w:ind w:left="720"/>
      <w:contextualSpacing/>
    </w:pPr>
  </w:style>
  <w:style w:type="character" w:styleId="Strong">
    <w:name w:val="Strong"/>
    <w:basedOn w:val="DefaultParagraphFont"/>
    <w:uiPriority w:val="22"/>
    <w:qFormat/>
    <w:rPr>
      <w:b/>
      <w:bCs/>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hAnsi="Times New Roman" w:cs="Times New Roman"/>
      <w:b/>
      <w:bCs/>
      <w:sz w:val="20"/>
      <w:szCs w:val="20"/>
    </w:rPr>
  </w:style>
  <w:style w:type="paragraph" w:styleId="FootnoteText">
    <w:name w:val="footnote text"/>
    <w:basedOn w:val="Normal"/>
    <w:link w:val="FootnoteTextChar"/>
    <w:uiPriority w:val="99"/>
    <w:unhideWhenUsed/>
    <w:pPr>
      <w:spacing w:after="0" w:line="240" w:lineRule="auto"/>
    </w:pPr>
    <w:rPr>
      <w:sz w:val="20"/>
      <w:szCs w:val="20"/>
    </w:rPr>
  </w:style>
  <w:style w:type="character" w:customStyle="1" w:styleId="FootnoteTextChar">
    <w:name w:val="Footnote Text Char"/>
    <w:basedOn w:val="DefaultParagraphFont"/>
    <w:link w:val="FootnoteText"/>
    <w:uiPriority w:val="99"/>
    <w:rPr>
      <w:rFonts w:ascii="Times New Roman" w:hAnsi="Times New Roman" w:cs="Times New Roman"/>
      <w:sz w:val="20"/>
      <w:szCs w:val="20"/>
    </w:rPr>
  </w:style>
  <w:style w:type="character" w:styleId="FootnoteReference">
    <w:name w:val="footnote reference"/>
    <w:basedOn w:val="DefaultParagraphFont"/>
    <w:uiPriority w:val="99"/>
    <w:unhideWhenUsed/>
    <w:rPr>
      <w:vertAlign w:val="superscript"/>
    </w:rPr>
  </w:style>
  <w:style w:type="character" w:customStyle="1" w:styleId="highlight">
    <w:name w:val="highlight"/>
    <w:basedOn w:val="DefaultParagraphFont"/>
  </w:style>
  <w:style w:type="character" w:styleId="Hyperlink">
    <w:name w:val="Hyperlink"/>
    <w:basedOn w:val="DefaultParagraphFont"/>
    <w:uiPriority w:val="99"/>
    <w:unhideWhenUsed/>
    <w:rPr>
      <w:color w:val="0000FF"/>
      <w:u w:val="single"/>
    </w:rPr>
  </w:style>
  <w:style w:type="paragraph" w:styleId="Caption">
    <w:name w:val="caption"/>
    <w:basedOn w:val="Normal"/>
    <w:next w:val="Normal"/>
    <w:link w:val="CaptionChar"/>
    <w:uiPriority w:val="35"/>
    <w:unhideWhenUsed/>
    <w:qFormat/>
    <w:pPr>
      <w:keepNext/>
      <w:spacing w:after="200" w:line="240" w:lineRule="auto"/>
    </w:pPr>
  </w:style>
  <w:style w:type="paragraph" w:styleId="NoSpacing">
    <w:name w:val="No Spacing"/>
    <w:uiPriority w:val="1"/>
    <w:qFormat/>
    <w:pPr>
      <w:spacing w:after="0" w:line="240" w:lineRule="auto"/>
      <w:ind w:firstLine="432"/>
    </w:pPr>
    <w:rPr>
      <w:rFonts w:ascii="Times New Roman" w:eastAsia="DengXian" w:hAnsi="Times New Roman" w:cs="Times New Roman"/>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rPr>
      <w:rFonts w:ascii="Times New Roman" w:hAnsi="Times New Roman" w:cs="Times New Roman"/>
      <w:sz w:val="24"/>
      <w:szCs w:val="24"/>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rPr>
      <w:rFonts w:ascii="Times New Roman" w:hAnsi="Times New Roman" w:cs="Times New Roman"/>
      <w:sz w:val="24"/>
      <w:szCs w:val="24"/>
    </w:rPr>
  </w:style>
  <w:style w:type="paragraph" w:styleId="Revision">
    <w:name w:val="Revision"/>
    <w:hidden/>
    <w:uiPriority w:val="99"/>
    <w:semiHidden/>
    <w:pPr>
      <w:spacing w:after="0" w:line="240" w:lineRule="auto"/>
    </w:pPr>
    <w:rPr>
      <w:rFonts w:ascii="Times New Roman" w:hAnsi="Times New Roman" w:cs="Times New Roman"/>
      <w:sz w:val="24"/>
      <w:szCs w:val="24"/>
    </w:rPr>
  </w:style>
  <w:style w:type="paragraph" w:styleId="NormalWeb">
    <w:name w:val="Normal (Web)"/>
    <w:basedOn w:val="Normal"/>
    <w:uiPriority w:val="99"/>
    <w:unhideWhenUsed/>
    <w:pPr>
      <w:spacing w:before="100" w:beforeAutospacing="1" w:after="100" w:afterAutospacing="1" w:line="240" w:lineRule="auto"/>
    </w:pPr>
    <w:rPr>
      <w:rFonts w:eastAsia="Times New Roman"/>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character" w:customStyle="1" w:styleId="CommentSubjectChar1">
    <w:name w:val="Comment Subject Char1"/>
    <w:basedOn w:val="DefaultParagraphFont"/>
    <w:uiPriority w:val="99"/>
    <w:semiHidden/>
    <w:rPr>
      <w:rFonts w:ascii="Times New Roman" w:hAnsi="Times New Roman" w:cs="Times New Roman"/>
      <w:b/>
      <w:bCs/>
      <w:sz w:val="20"/>
      <w:szCs w:val="20"/>
    </w:rPr>
  </w:style>
  <w:style w:type="character" w:styleId="EndnoteReference">
    <w:name w:val="endnote reference"/>
    <w:basedOn w:val="DefaultParagraphFont"/>
    <w:uiPriority w:val="99"/>
    <w:unhideWhenUsed/>
    <w:rPr>
      <w:vertAlign w:val="superscript"/>
    </w:rPr>
  </w:style>
  <w:style w:type="paragraph" w:customStyle="1" w:styleId="msonormal0">
    <w:name w:val="msonormal"/>
    <w:basedOn w:val="Normal"/>
    <w:pPr>
      <w:spacing w:before="100" w:beforeAutospacing="1" w:after="100" w:afterAutospacing="1" w:line="240" w:lineRule="auto"/>
    </w:pPr>
    <w:rPr>
      <w:rFonts w:eastAsia="Times New Roman"/>
    </w:rPr>
  </w:style>
  <w:style w:type="paragraph" w:customStyle="1" w:styleId="Default">
    <w:name w:val="Default"/>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customStyle="1" w:styleId="CM1">
    <w:name w:val="CM1"/>
    <w:basedOn w:val="Default"/>
    <w:next w:val="Default"/>
    <w:uiPriority w:val="99"/>
    <w:pPr>
      <w:spacing w:line="280" w:lineRule="atLeast"/>
    </w:pPr>
    <w:rPr>
      <w:color w:val="auto"/>
    </w:rPr>
  </w:style>
  <w:style w:type="paragraph" w:customStyle="1" w:styleId="CM5">
    <w:name w:val="CM5"/>
    <w:basedOn w:val="Default"/>
    <w:next w:val="Default"/>
    <w:uiPriority w:val="99"/>
    <w:pPr>
      <w:spacing w:line="276" w:lineRule="atLeast"/>
    </w:pPr>
    <w:rPr>
      <w:color w:val="auto"/>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nhideWhenUsed/>
    <w:pPr>
      <w:spacing w:after="0" w:line="240" w:lineRule="auto"/>
    </w:pPr>
    <w:rPr>
      <w:sz w:val="20"/>
      <w:szCs w:val="20"/>
    </w:rPr>
  </w:style>
  <w:style w:type="character" w:customStyle="1" w:styleId="EndnoteTextChar">
    <w:name w:val="Endnote Text Char"/>
    <w:basedOn w:val="DefaultParagraphFont"/>
    <w:link w:val="EndnoteText"/>
    <w:rPr>
      <w:rFonts w:ascii="Times New Roman" w:hAnsi="Times New Roman" w:cs="Times New Roman"/>
      <w:sz w:val="20"/>
      <w:szCs w:val="20"/>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UnresolvedMention2">
    <w:name w:val="Unresolved Mention2"/>
    <w:basedOn w:val="DefaultParagraphFont"/>
    <w:uiPriority w:val="99"/>
    <w:semiHidden/>
    <w:unhideWhenUsed/>
    <w:rPr>
      <w:color w:val="605E5C"/>
      <w:shd w:val="clear" w:color="auto" w:fill="E1DFDD"/>
    </w:rPr>
  </w:style>
  <w:style w:type="paragraph" w:styleId="PlainText">
    <w:name w:val="Plain Text"/>
    <w:basedOn w:val="Normal"/>
    <w:link w:val="PlainTextChar"/>
    <w:uiPriority w:val="99"/>
    <w:semiHidden/>
    <w:unhideWhenUsed/>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Pr>
      <w:rFonts w:ascii="Calibri" w:hAnsi="Calibri" w:cs="Times New Roman"/>
      <w:sz w:val="24"/>
      <w:szCs w:val="21"/>
    </w:rPr>
  </w:style>
  <w:style w:type="character" w:customStyle="1" w:styleId="ListParagraphChar">
    <w:name w:val="List Paragraph Char"/>
    <w:basedOn w:val="DefaultParagraphFont"/>
    <w:link w:val="ListParagraph"/>
    <w:uiPriority w:val="34"/>
    <w:rPr>
      <w:rFonts w:ascii="Times New Roman" w:hAnsi="Times New Roman" w:cs="Times New Roman"/>
      <w:sz w:val="24"/>
      <w:szCs w:val="24"/>
    </w:r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rFonts w:ascii="Times New Roman" w:hAnsi="Times New Roman" w:cs="Times New Roman"/>
      <w:sz w:val="24"/>
      <w:szCs w:val="24"/>
    </w:rPr>
  </w:style>
  <w:style w:type="character" w:customStyle="1" w:styleId="UnresolvedMention3">
    <w:name w:val="Unresolved Mention3"/>
    <w:basedOn w:val="DefaultParagraphFont"/>
    <w:uiPriority w:val="99"/>
    <w:semiHidden/>
    <w:unhideWhenUsed/>
    <w:rPr>
      <w:color w:val="605E5C"/>
      <w:shd w:val="clear" w:color="auto" w:fill="E1DFDD"/>
    </w:rPr>
  </w:style>
  <w:style w:type="character" w:styleId="FollowedHyperlink">
    <w:name w:val="FollowedHyperlink"/>
    <w:basedOn w:val="DefaultParagraphFont"/>
    <w:uiPriority w:val="99"/>
    <w:semiHidden/>
    <w:unhideWhenUsed/>
    <w:rPr>
      <w:color w:val="954F72" w:themeColor="followedHyperlink"/>
      <w:u w:val="single"/>
    </w:rPr>
  </w:style>
  <w:style w:type="paragraph" w:styleId="BodyText">
    <w:name w:val="Body Text"/>
    <w:basedOn w:val="Normal"/>
    <w:link w:val="BodyTextChar"/>
    <w:uiPriority w:val="1"/>
    <w:qFormat/>
    <w:pPr>
      <w:spacing w:after="0"/>
      <w:ind w:firstLine="0"/>
    </w:pPr>
  </w:style>
  <w:style w:type="character" w:customStyle="1" w:styleId="BodyTextChar">
    <w:name w:val="Body Text Char"/>
    <w:basedOn w:val="DefaultParagraphFont"/>
    <w:link w:val="BodyText"/>
    <w:uiPriority w:val="1"/>
    <w:rPr>
      <w:rFonts w:ascii="Times New Roman" w:hAnsi="Times New Roman" w:cs="Times New Roman"/>
      <w:sz w:val="24"/>
      <w:szCs w:val="24"/>
    </w:rPr>
  </w:style>
  <w:style w:type="character" w:customStyle="1" w:styleId="hotkey-layer">
    <w:name w:val="hotkey-layer"/>
    <w:basedOn w:val="DefaultParagraphFont"/>
  </w:style>
  <w:style w:type="character" w:customStyle="1" w:styleId="UnresolvedMention4">
    <w:name w:val="Unresolved Mention4"/>
    <w:basedOn w:val="DefaultParagraphFont"/>
    <w:uiPriority w:val="99"/>
    <w:semiHidden/>
    <w:unhideWhenUsed/>
    <w:rPr>
      <w:color w:val="605E5C"/>
      <w:shd w:val="clear" w:color="auto" w:fill="E1DFDD"/>
    </w:rPr>
  </w:style>
  <w:style w:type="character" w:customStyle="1" w:styleId="text">
    <w:name w:val="text"/>
    <w:basedOn w:val="DefaultParagraphFont"/>
  </w:style>
  <w:style w:type="paragraph" w:styleId="Title">
    <w:name w:val="Title"/>
    <w:basedOn w:val="Normal"/>
    <w:next w:val="Normal"/>
    <w:link w:val="TitleChar"/>
    <w:uiPriority w:val="10"/>
    <w:qFormat/>
    <w:rPr>
      <w:b/>
      <w:bCs/>
    </w:rPr>
  </w:style>
  <w:style w:type="character" w:customStyle="1" w:styleId="TitleChar">
    <w:name w:val="Title Char"/>
    <w:basedOn w:val="DefaultParagraphFont"/>
    <w:link w:val="Title"/>
    <w:uiPriority w:val="10"/>
    <w:rPr>
      <w:rFonts w:ascii="Times New Roman" w:hAnsi="Times New Roman" w:cs="Times New Roman"/>
      <w:b/>
      <w:bCs/>
      <w:sz w:val="24"/>
      <w:szCs w:val="24"/>
    </w:rPr>
  </w:style>
  <w:style w:type="character" w:customStyle="1" w:styleId="UnresolvedMention5">
    <w:name w:val="Unresolved Mention5"/>
    <w:basedOn w:val="DefaultParagraphFont"/>
    <w:uiPriority w:val="99"/>
    <w:semiHidden/>
    <w:unhideWhenUsed/>
    <w:rPr>
      <w:color w:val="605E5C"/>
      <w:shd w:val="clear" w:color="auto" w:fill="E1DFDD"/>
    </w:rPr>
  </w:style>
  <w:style w:type="character" w:styleId="UnresolvedMention">
    <w:name w:val="Unresolved Mention"/>
    <w:basedOn w:val="DefaultParagraphFont"/>
    <w:uiPriority w:val="99"/>
    <w:semiHidden/>
    <w:unhideWhenUsed/>
    <w:rsid w:val="008775B3"/>
    <w:rPr>
      <w:color w:val="605E5C"/>
      <w:shd w:val="clear" w:color="auto" w:fill="E1DFDD"/>
    </w:rPr>
  </w:style>
  <w:style w:type="paragraph" w:styleId="Bibliography">
    <w:name w:val="Bibliography"/>
    <w:basedOn w:val="Normal"/>
    <w:next w:val="Normal"/>
    <w:uiPriority w:val="37"/>
    <w:unhideWhenUsed/>
    <w:rsid w:val="006F0909"/>
    <w:pPr>
      <w:spacing w:after="240" w:line="240" w:lineRule="auto"/>
      <w:ind w:left="720" w:hanging="720"/>
    </w:pPr>
    <w:rPr>
      <w:rFonts w:eastAsiaTheme="minorHAnsi"/>
      <w:lang w:eastAsia="en-US"/>
    </w:rPr>
  </w:style>
  <w:style w:type="paragraph" w:styleId="TOCHeading">
    <w:name w:val="TOC Heading"/>
    <w:basedOn w:val="Heading1"/>
    <w:next w:val="Normal"/>
    <w:uiPriority w:val="39"/>
    <w:unhideWhenUsed/>
    <w:qFormat/>
    <w:rsid w:val="006F0909"/>
    <w:pPr>
      <w:keepNext/>
      <w:keepLines/>
      <w:tabs>
        <w:tab w:val="clear" w:pos="8550"/>
      </w:tabs>
      <w:spacing w:before="240" w:after="0" w:line="259" w:lineRule="auto"/>
      <w:contextualSpacing w:val="0"/>
      <w:outlineLvl w:val="9"/>
    </w:pPr>
    <w:rPr>
      <w:rFonts w:asciiTheme="majorHAnsi" w:eastAsiaTheme="majorEastAsia" w:hAnsiTheme="majorHAnsi" w:cstheme="majorBidi"/>
      <w:b w:val="0"/>
      <w:bCs w:val="0"/>
      <w:color w:val="2F5496" w:themeColor="accent1" w:themeShade="BF"/>
      <w:sz w:val="32"/>
      <w:szCs w:val="32"/>
      <w:lang w:eastAsia="en-US"/>
    </w:rPr>
  </w:style>
  <w:style w:type="paragraph" w:styleId="TOC1">
    <w:name w:val="toc 1"/>
    <w:basedOn w:val="Normal"/>
    <w:next w:val="Normal"/>
    <w:autoRedefine/>
    <w:uiPriority w:val="39"/>
    <w:unhideWhenUsed/>
    <w:qFormat/>
    <w:rsid w:val="006F0909"/>
    <w:pPr>
      <w:spacing w:after="100" w:line="276" w:lineRule="auto"/>
      <w:ind w:firstLine="0"/>
    </w:pPr>
    <w:rPr>
      <w:rFonts w:eastAsiaTheme="minorHAnsi"/>
      <w:lang w:eastAsia="en-US"/>
    </w:rPr>
  </w:style>
  <w:style w:type="paragraph" w:styleId="TOC2">
    <w:name w:val="toc 2"/>
    <w:basedOn w:val="Normal"/>
    <w:next w:val="Normal"/>
    <w:autoRedefine/>
    <w:uiPriority w:val="39"/>
    <w:unhideWhenUsed/>
    <w:qFormat/>
    <w:rsid w:val="006F0909"/>
    <w:pPr>
      <w:spacing w:after="100" w:line="276" w:lineRule="auto"/>
      <w:ind w:left="240" w:firstLine="0"/>
    </w:pPr>
    <w:rPr>
      <w:rFonts w:eastAsiaTheme="minorHAnsi"/>
      <w:lang w:eastAsia="en-US"/>
    </w:rPr>
  </w:style>
  <w:style w:type="paragraph" w:styleId="TOC3">
    <w:name w:val="toc 3"/>
    <w:basedOn w:val="Normal"/>
    <w:next w:val="Normal"/>
    <w:autoRedefine/>
    <w:uiPriority w:val="39"/>
    <w:unhideWhenUsed/>
    <w:rsid w:val="006F0909"/>
    <w:pPr>
      <w:spacing w:after="100" w:line="276" w:lineRule="auto"/>
      <w:ind w:left="480" w:firstLine="0"/>
    </w:pPr>
    <w:rPr>
      <w:rFonts w:eastAsiaTheme="minorHAnsi"/>
      <w:lang w:eastAsia="en-US"/>
    </w:rPr>
  </w:style>
  <w:style w:type="character" w:customStyle="1" w:styleId="CommentTextChar1">
    <w:name w:val="Comment Text Char1"/>
    <w:basedOn w:val="DefaultParagraphFont"/>
    <w:uiPriority w:val="99"/>
    <w:semiHidden/>
    <w:rsid w:val="006F0909"/>
    <w:rPr>
      <w:rFonts w:ascii="Times New Roman" w:eastAsiaTheme="minorHAnsi" w:hAnsi="Times New Roman" w:cs="Times New Roman"/>
      <w:sz w:val="20"/>
      <w:szCs w:val="20"/>
      <w:lang w:eastAsia="en-US"/>
    </w:rPr>
  </w:style>
  <w:style w:type="character" w:customStyle="1" w:styleId="BalloonTextChar1">
    <w:name w:val="Balloon Text Char1"/>
    <w:basedOn w:val="DefaultParagraphFont"/>
    <w:uiPriority w:val="99"/>
    <w:semiHidden/>
    <w:rsid w:val="006F0909"/>
    <w:rPr>
      <w:rFonts w:ascii="Segoe UI" w:eastAsiaTheme="minorHAnsi" w:hAnsi="Segoe UI" w:cs="Segoe UI"/>
      <w:sz w:val="18"/>
      <w:szCs w:val="18"/>
      <w:lang w:eastAsia="en-US"/>
    </w:rPr>
  </w:style>
  <w:style w:type="character" w:styleId="Emphasis">
    <w:name w:val="Emphasis"/>
    <w:uiPriority w:val="20"/>
    <w:qFormat/>
    <w:rsid w:val="006F0909"/>
    <w:rPr>
      <w:i/>
      <w:iCs/>
    </w:rPr>
  </w:style>
  <w:style w:type="character" w:customStyle="1" w:styleId="eudoraheader">
    <w:name w:val="eudoraheader"/>
    <w:basedOn w:val="DefaultParagraphFont"/>
    <w:rsid w:val="006F0909"/>
  </w:style>
  <w:style w:type="character" w:customStyle="1" w:styleId="author">
    <w:name w:val="author"/>
    <w:basedOn w:val="DefaultParagraphFont"/>
    <w:rsid w:val="006F0909"/>
  </w:style>
  <w:style w:type="table" w:customStyle="1" w:styleId="TableGridLight1">
    <w:name w:val="Table Grid Light1"/>
    <w:basedOn w:val="TableNormal"/>
    <w:uiPriority w:val="40"/>
    <w:rsid w:val="006F0909"/>
    <w:pPr>
      <w:spacing w:after="0" w:line="240" w:lineRule="auto"/>
    </w:pPr>
    <w:rPr>
      <w:rFonts w:ascii="Times New Roman" w:eastAsiaTheme="minorHAnsi" w:hAnsi="Times New Roman" w:cs="Times New Roman"/>
      <w:sz w:val="24"/>
      <w:szCs w:val="24"/>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Appendix">
    <w:name w:val="A Appendix"/>
    <w:basedOn w:val="Heading1"/>
    <w:next w:val="Normal"/>
    <w:link w:val="AAppendixChar"/>
    <w:qFormat/>
    <w:rsid w:val="006F0909"/>
    <w:pPr>
      <w:numPr>
        <w:numId w:val="42"/>
      </w:numPr>
      <w:tabs>
        <w:tab w:val="clear" w:pos="8550"/>
      </w:tabs>
      <w:spacing w:after="0"/>
      <w:contextualSpacing w:val="0"/>
    </w:pPr>
    <w:rPr>
      <w:rFonts w:eastAsiaTheme="minorHAnsi"/>
      <w:bCs w:val="0"/>
      <w:sz w:val="44"/>
      <w:szCs w:val="44"/>
      <w:lang w:eastAsia="en-US"/>
    </w:rPr>
  </w:style>
  <w:style w:type="paragraph" w:customStyle="1" w:styleId="AppendixA1">
    <w:name w:val="Appendix A.1"/>
    <w:basedOn w:val="Heading2"/>
    <w:next w:val="Normal"/>
    <w:link w:val="AppendixA1Char"/>
    <w:qFormat/>
    <w:rsid w:val="006F0909"/>
    <w:pPr>
      <w:keepNext/>
      <w:keepLines/>
      <w:tabs>
        <w:tab w:val="clear" w:pos="630"/>
        <w:tab w:val="clear" w:pos="810"/>
      </w:tabs>
      <w:spacing w:before="40" w:line="276" w:lineRule="auto"/>
      <w:ind w:left="720" w:hanging="360"/>
      <w:contextualSpacing w:val="0"/>
    </w:pPr>
    <w:rPr>
      <w:rFonts w:eastAsiaTheme="majorEastAsia"/>
      <w:lang w:eastAsia="en-US"/>
    </w:rPr>
  </w:style>
  <w:style w:type="character" w:customStyle="1" w:styleId="AAppendixChar">
    <w:name w:val="A Appendix Char"/>
    <w:basedOn w:val="DefaultParagraphFont"/>
    <w:link w:val="AAppendix"/>
    <w:rsid w:val="006F0909"/>
    <w:rPr>
      <w:rFonts w:ascii="Times New Roman" w:eastAsiaTheme="minorHAnsi" w:hAnsi="Times New Roman" w:cs="Times New Roman"/>
      <w:b/>
      <w:sz w:val="44"/>
      <w:szCs w:val="44"/>
      <w:lang w:eastAsia="en-US"/>
    </w:rPr>
  </w:style>
  <w:style w:type="paragraph" w:customStyle="1" w:styleId="ApendixA11">
    <w:name w:val="Apendix A.1.1"/>
    <w:basedOn w:val="Heading3"/>
    <w:next w:val="Normal"/>
    <w:link w:val="ApendixA11Char"/>
    <w:qFormat/>
    <w:rsid w:val="006F0909"/>
    <w:pPr>
      <w:numPr>
        <w:numId w:val="42"/>
      </w:numPr>
      <w:spacing w:line="276" w:lineRule="auto"/>
    </w:pPr>
    <w:rPr>
      <w:rFonts w:eastAsia="Calibri"/>
      <w:bCs w:val="0"/>
      <w:lang w:eastAsia="en-US"/>
    </w:rPr>
  </w:style>
  <w:style w:type="character" w:customStyle="1" w:styleId="AppendixA1Char">
    <w:name w:val="Appendix A.1 Char"/>
    <w:basedOn w:val="AAppendixChar"/>
    <w:link w:val="AppendixA1"/>
    <w:rsid w:val="006F0909"/>
    <w:rPr>
      <w:rFonts w:ascii="Times New Roman" w:eastAsiaTheme="majorEastAsia" w:hAnsi="Times New Roman" w:cs="Times New Roman"/>
      <w:b/>
      <w:sz w:val="24"/>
      <w:szCs w:val="24"/>
      <w:lang w:eastAsia="en-US"/>
    </w:rPr>
  </w:style>
  <w:style w:type="paragraph" w:customStyle="1" w:styleId="References">
    <w:name w:val="References"/>
    <w:basedOn w:val="Heading1"/>
    <w:next w:val="Normal"/>
    <w:link w:val="ReferencesChar"/>
    <w:qFormat/>
    <w:rsid w:val="006F0909"/>
    <w:pPr>
      <w:numPr>
        <w:numId w:val="0"/>
      </w:numPr>
      <w:tabs>
        <w:tab w:val="clear" w:pos="8550"/>
      </w:tabs>
      <w:spacing w:after="0"/>
      <w:ind w:left="432"/>
      <w:contextualSpacing w:val="0"/>
    </w:pPr>
    <w:rPr>
      <w:rFonts w:eastAsiaTheme="minorHAnsi"/>
      <w:bCs w:val="0"/>
      <w:sz w:val="44"/>
      <w:lang w:eastAsia="en-US"/>
    </w:rPr>
  </w:style>
  <w:style w:type="character" w:customStyle="1" w:styleId="ApendixA11Char">
    <w:name w:val="Apendix A.1.1 Char"/>
    <w:basedOn w:val="Heading3Char"/>
    <w:link w:val="ApendixA11"/>
    <w:rsid w:val="006F0909"/>
    <w:rPr>
      <w:rFonts w:ascii="Times New Roman" w:eastAsia="Calibri" w:hAnsi="Times New Roman" w:cs="Times New Roman"/>
      <w:b/>
      <w:bCs w:val="0"/>
      <w:sz w:val="24"/>
      <w:szCs w:val="24"/>
      <w:lang w:eastAsia="en-US"/>
    </w:rPr>
  </w:style>
  <w:style w:type="paragraph" w:customStyle="1" w:styleId="Table">
    <w:name w:val="Table"/>
    <w:basedOn w:val="Caption"/>
    <w:link w:val="TableChar"/>
    <w:qFormat/>
    <w:rsid w:val="006F0909"/>
    <w:pPr>
      <w:ind w:firstLine="0"/>
    </w:pPr>
    <w:rPr>
      <w:b/>
      <w:i/>
    </w:rPr>
  </w:style>
  <w:style w:type="character" w:customStyle="1" w:styleId="ReferencesChar">
    <w:name w:val="References Char"/>
    <w:basedOn w:val="DefaultParagraphFont"/>
    <w:link w:val="References"/>
    <w:rsid w:val="006F0909"/>
    <w:rPr>
      <w:rFonts w:ascii="Times New Roman" w:eastAsiaTheme="minorHAnsi" w:hAnsi="Times New Roman" w:cs="Times New Roman"/>
      <w:b/>
      <w:sz w:val="44"/>
      <w:szCs w:val="24"/>
      <w:lang w:eastAsia="en-US"/>
    </w:rPr>
  </w:style>
  <w:style w:type="paragraph" w:styleId="TableofFigures">
    <w:name w:val="table of figures"/>
    <w:basedOn w:val="Normal"/>
    <w:next w:val="Normal"/>
    <w:uiPriority w:val="99"/>
    <w:unhideWhenUsed/>
    <w:rsid w:val="006F0909"/>
    <w:pPr>
      <w:spacing w:after="0" w:line="276" w:lineRule="auto"/>
      <w:ind w:firstLine="0"/>
    </w:pPr>
    <w:rPr>
      <w:rFonts w:eastAsiaTheme="minorHAnsi"/>
      <w:lang w:eastAsia="en-US"/>
    </w:rPr>
  </w:style>
  <w:style w:type="character" w:customStyle="1" w:styleId="CaptionChar">
    <w:name w:val="Caption Char"/>
    <w:basedOn w:val="DefaultParagraphFont"/>
    <w:link w:val="Caption"/>
    <w:uiPriority w:val="35"/>
    <w:rsid w:val="006F0909"/>
    <w:rPr>
      <w:rFonts w:ascii="Times New Roman" w:hAnsi="Times New Roman" w:cs="Times New Roman"/>
      <w:sz w:val="24"/>
      <w:szCs w:val="24"/>
    </w:rPr>
  </w:style>
  <w:style w:type="character" w:customStyle="1" w:styleId="TableChar">
    <w:name w:val="Table Char"/>
    <w:basedOn w:val="CaptionChar"/>
    <w:link w:val="Table"/>
    <w:rsid w:val="006F0909"/>
    <w:rPr>
      <w:rFonts w:ascii="Times New Roman" w:hAnsi="Times New Roman" w:cs="Times New Roman"/>
      <w:b/>
      <w:i/>
      <w:sz w:val="24"/>
      <w:szCs w:val="24"/>
    </w:rPr>
  </w:style>
  <w:style w:type="paragraph" w:customStyle="1" w:styleId="Equationnumber">
    <w:name w:val="Equation number"/>
    <w:basedOn w:val="ListParagraph"/>
    <w:link w:val="EquationnumberChar"/>
    <w:qFormat/>
    <w:rsid w:val="00441A6E"/>
    <w:pPr>
      <w:numPr>
        <w:numId w:val="30"/>
      </w:numPr>
      <w:spacing w:after="0" w:line="240" w:lineRule="auto"/>
    </w:pPr>
  </w:style>
  <w:style w:type="character" w:customStyle="1" w:styleId="EquationnumberChar">
    <w:name w:val="Equation number Char"/>
    <w:basedOn w:val="ListParagraphChar"/>
    <w:link w:val="Equationnumber"/>
    <w:rsid w:val="00441A6E"/>
    <w:rPr>
      <w:rFonts w:ascii="Times New Roman" w:hAnsi="Times New Roman" w:cs="Times New Roman"/>
      <w:sz w:val="24"/>
      <w:szCs w:val="24"/>
    </w:rPr>
  </w:style>
  <w:style w:type="paragraph" w:styleId="Subtitle">
    <w:name w:val="Subtitle"/>
    <w:basedOn w:val="Normal"/>
    <w:next w:val="Normal"/>
    <w:link w:val="SubtitleChar"/>
    <w:uiPriority w:val="11"/>
    <w:qFormat/>
    <w:rsid w:val="00A9610B"/>
    <w:pPr>
      <w:numPr>
        <w:ilvl w:val="1"/>
      </w:numPr>
      <w:ind w:firstLine="432"/>
    </w:pPr>
    <w:rPr>
      <w:rFonts w:asciiTheme="minorHAnsi"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A9610B"/>
    <w:rPr>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17852">
      <w:bodyDiv w:val="1"/>
      <w:marLeft w:val="0"/>
      <w:marRight w:val="0"/>
      <w:marTop w:val="0"/>
      <w:marBottom w:val="0"/>
      <w:divBdr>
        <w:top w:val="none" w:sz="0" w:space="0" w:color="auto"/>
        <w:left w:val="none" w:sz="0" w:space="0" w:color="auto"/>
        <w:bottom w:val="none" w:sz="0" w:space="0" w:color="auto"/>
        <w:right w:val="none" w:sz="0" w:space="0" w:color="auto"/>
      </w:divBdr>
    </w:div>
    <w:div w:id="89398528">
      <w:bodyDiv w:val="1"/>
      <w:marLeft w:val="0"/>
      <w:marRight w:val="0"/>
      <w:marTop w:val="0"/>
      <w:marBottom w:val="0"/>
      <w:divBdr>
        <w:top w:val="none" w:sz="0" w:space="0" w:color="auto"/>
        <w:left w:val="none" w:sz="0" w:space="0" w:color="auto"/>
        <w:bottom w:val="none" w:sz="0" w:space="0" w:color="auto"/>
        <w:right w:val="none" w:sz="0" w:space="0" w:color="auto"/>
      </w:divBdr>
    </w:div>
    <w:div w:id="131755334">
      <w:bodyDiv w:val="1"/>
      <w:marLeft w:val="0"/>
      <w:marRight w:val="0"/>
      <w:marTop w:val="0"/>
      <w:marBottom w:val="0"/>
      <w:divBdr>
        <w:top w:val="none" w:sz="0" w:space="0" w:color="auto"/>
        <w:left w:val="none" w:sz="0" w:space="0" w:color="auto"/>
        <w:bottom w:val="none" w:sz="0" w:space="0" w:color="auto"/>
        <w:right w:val="none" w:sz="0" w:space="0" w:color="auto"/>
      </w:divBdr>
    </w:div>
    <w:div w:id="195586339">
      <w:bodyDiv w:val="1"/>
      <w:marLeft w:val="0"/>
      <w:marRight w:val="0"/>
      <w:marTop w:val="0"/>
      <w:marBottom w:val="0"/>
      <w:divBdr>
        <w:top w:val="none" w:sz="0" w:space="0" w:color="auto"/>
        <w:left w:val="none" w:sz="0" w:space="0" w:color="auto"/>
        <w:bottom w:val="none" w:sz="0" w:space="0" w:color="auto"/>
        <w:right w:val="none" w:sz="0" w:space="0" w:color="auto"/>
      </w:divBdr>
    </w:div>
    <w:div w:id="436558201">
      <w:bodyDiv w:val="1"/>
      <w:marLeft w:val="0"/>
      <w:marRight w:val="0"/>
      <w:marTop w:val="0"/>
      <w:marBottom w:val="0"/>
      <w:divBdr>
        <w:top w:val="none" w:sz="0" w:space="0" w:color="auto"/>
        <w:left w:val="none" w:sz="0" w:space="0" w:color="auto"/>
        <w:bottom w:val="none" w:sz="0" w:space="0" w:color="auto"/>
        <w:right w:val="none" w:sz="0" w:space="0" w:color="auto"/>
      </w:divBdr>
    </w:div>
    <w:div w:id="445201569">
      <w:bodyDiv w:val="1"/>
      <w:marLeft w:val="0"/>
      <w:marRight w:val="0"/>
      <w:marTop w:val="0"/>
      <w:marBottom w:val="0"/>
      <w:divBdr>
        <w:top w:val="none" w:sz="0" w:space="0" w:color="auto"/>
        <w:left w:val="none" w:sz="0" w:space="0" w:color="auto"/>
        <w:bottom w:val="none" w:sz="0" w:space="0" w:color="auto"/>
        <w:right w:val="none" w:sz="0" w:space="0" w:color="auto"/>
      </w:divBdr>
    </w:div>
    <w:div w:id="529494880">
      <w:bodyDiv w:val="1"/>
      <w:marLeft w:val="0"/>
      <w:marRight w:val="0"/>
      <w:marTop w:val="0"/>
      <w:marBottom w:val="0"/>
      <w:divBdr>
        <w:top w:val="none" w:sz="0" w:space="0" w:color="auto"/>
        <w:left w:val="none" w:sz="0" w:space="0" w:color="auto"/>
        <w:bottom w:val="none" w:sz="0" w:space="0" w:color="auto"/>
        <w:right w:val="none" w:sz="0" w:space="0" w:color="auto"/>
      </w:divBdr>
    </w:div>
    <w:div w:id="616643484">
      <w:bodyDiv w:val="1"/>
      <w:marLeft w:val="0"/>
      <w:marRight w:val="0"/>
      <w:marTop w:val="0"/>
      <w:marBottom w:val="0"/>
      <w:divBdr>
        <w:top w:val="none" w:sz="0" w:space="0" w:color="auto"/>
        <w:left w:val="none" w:sz="0" w:space="0" w:color="auto"/>
        <w:bottom w:val="none" w:sz="0" w:space="0" w:color="auto"/>
        <w:right w:val="none" w:sz="0" w:space="0" w:color="auto"/>
      </w:divBdr>
    </w:div>
    <w:div w:id="629558545">
      <w:bodyDiv w:val="1"/>
      <w:marLeft w:val="0"/>
      <w:marRight w:val="0"/>
      <w:marTop w:val="0"/>
      <w:marBottom w:val="0"/>
      <w:divBdr>
        <w:top w:val="none" w:sz="0" w:space="0" w:color="auto"/>
        <w:left w:val="none" w:sz="0" w:space="0" w:color="auto"/>
        <w:bottom w:val="none" w:sz="0" w:space="0" w:color="auto"/>
        <w:right w:val="none" w:sz="0" w:space="0" w:color="auto"/>
      </w:divBdr>
    </w:div>
    <w:div w:id="744302345">
      <w:bodyDiv w:val="1"/>
      <w:marLeft w:val="0"/>
      <w:marRight w:val="0"/>
      <w:marTop w:val="0"/>
      <w:marBottom w:val="0"/>
      <w:divBdr>
        <w:top w:val="none" w:sz="0" w:space="0" w:color="auto"/>
        <w:left w:val="none" w:sz="0" w:space="0" w:color="auto"/>
        <w:bottom w:val="none" w:sz="0" w:space="0" w:color="auto"/>
        <w:right w:val="none" w:sz="0" w:space="0" w:color="auto"/>
      </w:divBdr>
    </w:div>
    <w:div w:id="746731958">
      <w:bodyDiv w:val="1"/>
      <w:marLeft w:val="0"/>
      <w:marRight w:val="0"/>
      <w:marTop w:val="0"/>
      <w:marBottom w:val="0"/>
      <w:divBdr>
        <w:top w:val="none" w:sz="0" w:space="0" w:color="auto"/>
        <w:left w:val="none" w:sz="0" w:space="0" w:color="auto"/>
        <w:bottom w:val="none" w:sz="0" w:space="0" w:color="auto"/>
        <w:right w:val="none" w:sz="0" w:space="0" w:color="auto"/>
      </w:divBdr>
    </w:div>
    <w:div w:id="747774078">
      <w:bodyDiv w:val="1"/>
      <w:marLeft w:val="0"/>
      <w:marRight w:val="0"/>
      <w:marTop w:val="0"/>
      <w:marBottom w:val="0"/>
      <w:divBdr>
        <w:top w:val="none" w:sz="0" w:space="0" w:color="auto"/>
        <w:left w:val="none" w:sz="0" w:space="0" w:color="auto"/>
        <w:bottom w:val="none" w:sz="0" w:space="0" w:color="auto"/>
        <w:right w:val="none" w:sz="0" w:space="0" w:color="auto"/>
      </w:divBdr>
    </w:div>
    <w:div w:id="803699524">
      <w:bodyDiv w:val="1"/>
      <w:marLeft w:val="0"/>
      <w:marRight w:val="0"/>
      <w:marTop w:val="0"/>
      <w:marBottom w:val="0"/>
      <w:divBdr>
        <w:top w:val="none" w:sz="0" w:space="0" w:color="auto"/>
        <w:left w:val="none" w:sz="0" w:space="0" w:color="auto"/>
        <w:bottom w:val="none" w:sz="0" w:space="0" w:color="auto"/>
        <w:right w:val="none" w:sz="0" w:space="0" w:color="auto"/>
      </w:divBdr>
    </w:div>
    <w:div w:id="837236465">
      <w:bodyDiv w:val="1"/>
      <w:marLeft w:val="0"/>
      <w:marRight w:val="0"/>
      <w:marTop w:val="0"/>
      <w:marBottom w:val="0"/>
      <w:divBdr>
        <w:top w:val="none" w:sz="0" w:space="0" w:color="auto"/>
        <w:left w:val="none" w:sz="0" w:space="0" w:color="auto"/>
        <w:bottom w:val="none" w:sz="0" w:space="0" w:color="auto"/>
        <w:right w:val="none" w:sz="0" w:space="0" w:color="auto"/>
      </w:divBdr>
    </w:div>
    <w:div w:id="841555500">
      <w:bodyDiv w:val="1"/>
      <w:marLeft w:val="0"/>
      <w:marRight w:val="0"/>
      <w:marTop w:val="0"/>
      <w:marBottom w:val="0"/>
      <w:divBdr>
        <w:top w:val="none" w:sz="0" w:space="0" w:color="auto"/>
        <w:left w:val="none" w:sz="0" w:space="0" w:color="auto"/>
        <w:bottom w:val="none" w:sz="0" w:space="0" w:color="auto"/>
        <w:right w:val="none" w:sz="0" w:space="0" w:color="auto"/>
      </w:divBdr>
    </w:div>
    <w:div w:id="1031078882">
      <w:bodyDiv w:val="1"/>
      <w:marLeft w:val="0"/>
      <w:marRight w:val="0"/>
      <w:marTop w:val="0"/>
      <w:marBottom w:val="0"/>
      <w:divBdr>
        <w:top w:val="none" w:sz="0" w:space="0" w:color="auto"/>
        <w:left w:val="none" w:sz="0" w:space="0" w:color="auto"/>
        <w:bottom w:val="none" w:sz="0" w:space="0" w:color="auto"/>
        <w:right w:val="none" w:sz="0" w:space="0" w:color="auto"/>
      </w:divBdr>
    </w:div>
    <w:div w:id="1094134908">
      <w:bodyDiv w:val="1"/>
      <w:marLeft w:val="0"/>
      <w:marRight w:val="0"/>
      <w:marTop w:val="0"/>
      <w:marBottom w:val="0"/>
      <w:divBdr>
        <w:top w:val="none" w:sz="0" w:space="0" w:color="auto"/>
        <w:left w:val="none" w:sz="0" w:space="0" w:color="auto"/>
        <w:bottom w:val="none" w:sz="0" w:space="0" w:color="auto"/>
        <w:right w:val="none" w:sz="0" w:space="0" w:color="auto"/>
      </w:divBdr>
    </w:div>
    <w:div w:id="1298027129">
      <w:bodyDiv w:val="1"/>
      <w:marLeft w:val="0"/>
      <w:marRight w:val="0"/>
      <w:marTop w:val="0"/>
      <w:marBottom w:val="0"/>
      <w:divBdr>
        <w:top w:val="none" w:sz="0" w:space="0" w:color="auto"/>
        <w:left w:val="none" w:sz="0" w:space="0" w:color="auto"/>
        <w:bottom w:val="none" w:sz="0" w:space="0" w:color="auto"/>
        <w:right w:val="none" w:sz="0" w:space="0" w:color="auto"/>
      </w:divBdr>
    </w:div>
    <w:div w:id="1316298281">
      <w:bodyDiv w:val="1"/>
      <w:marLeft w:val="0"/>
      <w:marRight w:val="0"/>
      <w:marTop w:val="0"/>
      <w:marBottom w:val="0"/>
      <w:divBdr>
        <w:top w:val="none" w:sz="0" w:space="0" w:color="auto"/>
        <w:left w:val="none" w:sz="0" w:space="0" w:color="auto"/>
        <w:bottom w:val="none" w:sz="0" w:space="0" w:color="auto"/>
        <w:right w:val="none" w:sz="0" w:space="0" w:color="auto"/>
      </w:divBdr>
    </w:div>
    <w:div w:id="1336496886">
      <w:bodyDiv w:val="1"/>
      <w:marLeft w:val="0"/>
      <w:marRight w:val="0"/>
      <w:marTop w:val="0"/>
      <w:marBottom w:val="0"/>
      <w:divBdr>
        <w:top w:val="none" w:sz="0" w:space="0" w:color="auto"/>
        <w:left w:val="none" w:sz="0" w:space="0" w:color="auto"/>
        <w:bottom w:val="none" w:sz="0" w:space="0" w:color="auto"/>
        <w:right w:val="none" w:sz="0" w:space="0" w:color="auto"/>
      </w:divBdr>
    </w:div>
    <w:div w:id="1372419619">
      <w:bodyDiv w:val="1"/>
      <w:marLeft w:val="0"/>
      <w:marRight w:val="0"/>
      <w:marTop w:val="0"/>
      <w:marBottom w:val="0"/>
      <w:divBdr>
        <w:top w:val="none" w:sz="0" w:space="0" w:color="auto"/>
        <w:left w:val="none" w:sz="0" w:space="0" w:color="auto"/>
        <w:bottom w:val="none" w:sz="0" w:space="0" w:color="auto"/>
        <w:right w:val="none" w:sz="0" w:space="0" w:color="auto"/>
      </w:divBdr>
    </w:div>
    <w:div w:id="1411653427">
      <w:bodyDiv w:val="1"/>
      <w:marLeft w:val="0"/>
      <w:marRight w:val="0"/>
      <w:marTop w:val="0"/>
      <w:marBottom w:val="0"/>
      <w:divBdr>
        <w:top w:val="none" w:sz="0" w:space="0" w:color="auto"/>
        <w:left w:val="none" w:sz="0" w:space="0" w:color="auto"/>
        <w:bottom w:val="none" w:sz="0" w:space="0" w:color="auto"/>
        <w:right w:val="none" w:sz="0" w:space="0" w:color="auto"/>
      </w:divBdr>
    </w:div>
    <w:div w:id="1722050253">
      <w:bodyDiv w:val="1"/>
      <w:marLeft w:val="0"/>
      <w:marRight w:val="0"/>
      <w:marTop w:val="0"/>
      <w:marBottom w:val="0"/>
      <w:divBdr>
        <w:top w:val="none" w:sz="0" w:space="0" w:color="auto"/>
        <w:left w:val="none" w:sz="0" w:space="0" w:color="auto"/>
        <w:bottom w:val="none" w:sz="0" w:space="0" w:color="auto"/>
        <w:right w:val="none" w:sz="0" w:space="0" w:color="auto"/>
      </w:divBdr>
    </w:div>
    <w:div w:id="1756591566">
      <w:bodyDiv w:val="1"/>
      <w:marLeft w:val="0"/>
      <w:marRight w:val="0"/>
      <w:marTop w:val="0"/>
      <w:marBottom w:val="0"/>
      <w:divBdr>
        <w:top w:val="none" w:sz="0" w:space="0" w:color="auto"/>
        <w:left w:val="none" w:sz="0" w:space="0" w:color="auto"/>
        <w:bottom w:val="none" w:sz="0" w:space="0" w:color="auto"/>
        <w:right w:val="none" w:sz="0" w:space="0" w:color="auto"/>
      </w:divBdr>
    </w:div>
    <w:div w:id="1765610357">
      <w:bodyDiv w:val="1"/>
      <w:marLeft w:val="0"/>
      <w:marRight w:val="0"/>
      <w:marTop w:val="0"/>
      <w:marBottom w:val="0"/>
      <w:divBdr>
        <w:top w:val="none" w:sz="0" w:space="0" w:color="auto"/>
        <w:left w:val="none" w:sz="0" w:space="0" w:color="auto"/>
        <w:bottom w:val="none" w:sz="0" w:space="0" w:color="auto"/>
        <w:right w:val="none" w:sz="0" w:space="0" w:color="auto"/>
      </w:divBdr>
    </w:div>
    <w:div w:id="1829982477">
      <w:bodyDiv w:val="1"/>
      <w:marLeft w:val="0"/>
      <w:marRight w:val="0"/>
      <w:marTop w:val="0"/>
      <w:marBottom w:val="0"/>
      <w:divBdr>
        <w:top w:val="none" w:sz="0" w:space="0" w:color="auto"/>
        <w:left w:val="none" w:sz="0" w:space="0" w:color="auto"/>
        <w:bottom w:val="none" w:sz="0" w:space="0" w:color="auto"/>
        <w:right w:val="none" w:sz="0" w:space="0" w:color="auto"/>
      </w:divBdr>
      <w:divsChild>
        <w:div w:id="825631109">
          <w:marLeft w:val="446"/>
          <w:marRight w:val="0"/>
          <w:marTop w:val="0"/>
          <w:marBottom w:val="0"/>
          <w:divBdr>
            <w:top w:val="none" w:sz="0" w:space="0" w:color="auto"/>
            <w:left w:val="none" w:sz="0" w:space="0" w:color="auto"/>
            <w:bottom w:val="none" w:sz="0" w:space="0" w:color="auto"/>
            <w:right w:val="none" w:sz="0" w:space="0" w:color="auto"/>
          </w:divBdr>
        </w:div>
      </w:divsChild>
    </w:div>
    <w:div w:id="1840805118">
      <w:bodyDiv w:val="1"/>
      <w:marLeft w:val="0"/>
      <w:marRight w:val="0"/>
      <w:marTop w:val="0"/>
      <w:marBottom w:val="0"/>
      <w:divBdr>
        <w:top w:val="none" w:sz="0" w:space="0" w:color="auto"/>
        <w:left w:val="none" w:sz="0" w:space="0" w:color="auto"/>
        <w:bottom w:val="none" w:sz="0" w:space="0" w:color="auto"/>
        <w:right w:val="none" w:sz="0" w:space="0" w:color="auto"/>
      </w:divBdr>
    </w:div>
    <w:div w:id="1873033779">
      <w:bodyDiv w:val="1"/>
      <w:marLeft w:val="0"/>
      <w:marRight w:val="0"/>
      <w:marTop w:val="0"/>
      <w:marBottom w:val="0"/>
      <w:divBdr>
        <w:top w:val="none" w:sz="0" w:space="0" w:color="auto"/>
        <w:left w:val="none" w:sz="0" w:space="0" w:color="auto"/>
        <w:bottom w:val="none" w:sz="0" w:space="0" w:color="auto"/>
        <w:right w:val="none" w:sz="0" w:space="0" w:color="auto"/>
      </w:divBdr>
    </w:div>
    <w:div w:id="1875078421">
      <w:bodyDiv w:val="1"/>
      <w:marLeft w:val="0"/>
      <w:marRight w:val="0"/>
      <w:marTop w:val="0"/>
      <w:marBottom w:val="0"/>
      <w:divBdr>
        <w:top w:val="none" w:sz="0" w:space="0" w:color="auto"/>
        <w:left w:val="none" w:sz="0" w:space="0" w:color="auto"/>
        <w:bottom w:val="none" w:sz="0" w:space="0" w:color="auto"/>
        <w:right w:val="none" w:sz="0" w:space="0" w:color="auto"/>
      </w:divBdr>
    </w:div>
    <w:div w:id="210240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image" Target="media/image6.jpeg"/><Relationship Id="rId26" Type="http://schemas.openxmlformats.org/officeDocument/2006/relationships/chart" Target="charts/chart9.xml"/><Relationship Id="rId39" Type="http://schemas.openxmlformats.org/officeDocument/2006/relationships/chart" Target="charts/chart17.xml"/><Relationship Id="rId21" Type="http://schemas.openxmlformats.org/officeDocument/2006/relationships/image" Target="media/image8.png"/><Relationship Id="rId34" Type="http://schemas.openxmlformats.org/officeDocument/2006/relationships/chart" Target="charts/chart12.xml"/><Relationship Id="rId42" Type="http://schemas.openxmlformats.org/officeDocument/2006/relationships/chart" Target="charts/chart20.xm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microsoft.com/office/2016/09/relationships/commentsIds" Target="commentsIds.xml"/><Relationship Id="rId11" Type="http://schemas.openxmlformats.org/officeDocument/2006/relationships/oleObject" Target="embeddings/oleObject1.bin"/><Relationship Id="rId24" Type="http://schemas.openxmlformats.org/officeDocument/2006/relationships/chart" Target="charts/chart7.xml"/><Relationship Id="rId32" Type="http://schemas.openxmlformats.org/officeDocument/2006/relationships/chart" Target="charts/chart10.xml"/><Relationship Id="rId37" Type="http://schemas.openxmlformats.org/officeDocument/2006/relationships/chart" Target="charts/chart15.xml"/><Relationship Id="rId40" Type="http://schemas.openxmlformats.org/officeDocument/2006/relationships/chart" Target="charts/chart18.xml"/><Relationship Id="rId45" Type="http://schemas.openxmlformats.org/officeDocument/2006/relationships/hyperlink" Target="https://afdc.energy.gov/stations/" TargetMode="Externa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chart" Target="charts/chart6.xml"/><Relationship Id="rId28" Type="http://schemas.microsoft.com/office/2011/relationships/commentsExtended" Target="commentsExtended.xml"/><Relationship Id="rId36" Type="http://schemas.openxmlformats.org/officeDocument/2006/relationships/chart" Target="charts/chart14.xml"/><Relationship Id="rId49"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chart" Target="charts/chart5.xml"/><Relationship Id="rId31" Type="http://schemas.openxmlformats.org/officeDocument/2006/relationships/hyperlink" Target="https://www.eia.gov/outlooks/aeo/" TargetMode="External"/><Relationship Id="rId44" Type="http://schemas.openxmlformats.org/officeDocument/2006/relationships/hyperlink" Target="https://iopscience.iop.org/article/10.1088/1748-9326/abd7a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 Id="rId22" Type="http://schemas.openxmlformats.org/officeDocument/2006/relationships/image" Target="media/image9.png"/><Relationship Id="rId27" Type="http://schemas.openxmlformats.org/officeDocument/2006/relationships/comments" Target="comments.xml"/><Relationship Id="rId30" Type="http://schemas.microsoft.com/office/2018/08/relationships/commentsExtensible" Target="commentsExtensible.xml"/><Relationship Id="rId35" Type="http://schemas.openxmlformats.org/officeDocument/2006/relationships/chart" Target="charts/chart13.xml"/><Relationship Id="rId43" Type="http://schemas.openxmlformats.org/officeDocument/2006/relationships/chart" Target="charts/chart21.xml"/><Relationship Id="rId48" Type="http://schemas.microsoft.com/office/2011/relationships/people" Target="people.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chart" Target="charts/chart1.xml"/><Relationship Id="rId17" Type="http://schemas.openxmlformats.org/officeDocument/2006/relationships/image" Target="media/image5.png"/><Relationship Id="rId25" Type="http://schemas.openxmlformats.org/officeDocument/2006/relationships/chart" Target="charts/chart8.xml"/><Relationship Id="rId33" Type="http://schemas.openxmlformats.org/officeDocument/2006/relationships/chart" Target="charts/chart11.xml"/><Relationship Id="rId38" Type="http://schemas.openxmlformats.org/officeDocument/2006/relationships/chart" Target="charts/chart16.xml"/><Relationship Id="rId46" Type="http://schemas.openxmlformats.org/officeDocument/2006/relationships/hyperlink" Target="https://www.eia.gov/environment/emissions/carbon/archive/2021/" TargetMode="External"/><Relationship Id="rId20" Type="http://schemas.openxmlformats.org/officeDocument/2006/relationships/image" Target="media/image7.jpeg"/><Relationship Id="rId41" Type="http://schemas.openxmlformats.org/officeDocument/2006/relationships/chart" Target="charts/chart19.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afdc.energy.gov/stations/" TargetMode="External"/><Relationship Id="rId2" Type="http://schemas.openxmlformats.org/officeDocument/2006/relationships/hyperlink" Target="https://www.eia.gov/outlooks/aeo/data/browser/" TargetMode="External"/><Relationship Id="rId1" Type="http://schemas.openxmlformats.org/officeDocument/2006/relationships/hyperlink" Target="https://www.fhwa.dot.gov/policyinformation/statistics.cfm" TargetMode="External"/><Relationship Id="rId5" Type="http://schemas.openxmlformats.org/officeDocument/2006/relationships/hyperlink" Target="https://developer.nrel.gov/docs/transportation/alt-fuel-stations-v1/" TargetMode="External"/><Relationship Id="rId4" Type="http://schemas.openxmlformats.org/officeDocument/2006/relationships/hyperlink" Target="https://www.census.gov/naics/"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zhj07\Documents\Dissertation\PaperII\Results_EVpaper06042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ad.uillinois.edu\aces\ace\Graduate%20Student%20Personal%20Drives\jzhong11\Critical\NTHS2017\vehpub_1.1_Jia_revised.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C:\Users\zhj07\OneDrive\EV%20paper\BEPAM-Vehicle_chp23\USDAERS_update\WeightedVprice_2022AEO.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zhj07\Dropbox\Dissertation\PaperII\Results_EVpaper11022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1" Type="http://schemas.openxmlformats.org/officeDocument/2006/relationships/oleObject" Target="file:///C:\Users\zhj07\Dropbox\Dissertation\PaperII\Weighted%20Tax%20Credit.xlsx" TargetMode="External"/></Relationships>
</file>

<file path=word/charts/_rels/chart8.xml.rels><?xml version="1.0" encoding="UTF-8" standalone="yes"?>
<Relationships xmlns="http://schemas.openxmlformats.org/package/2006/relationships"><Relationship Id="rId3" Type="http://schemas.openxmlformats.org/officeDocument/2006/relationships/oleObject" Target="file:///C:\Users\zhj07\Documents\Dissertation\PaperII\Results_EVpaper060423.xlsx" TargetMode="External"/><Relationship Id="rId2" Type="http://schemas.microsoft.com/office/2011/relationships/chartColorStyle" Target="colors7.xml"/><Relationship Id="rId1" Type="http://schemas.microsoft.com/office/2011/relationships/chartStyle" Target="style7.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zhj07\Documents\Dissertation\PaperII\Results_EVpaper060423.xlsx" TargetMode="External"/><Relationship Id="rId2" Type="http://schemas.microsoft.com/office/2011/relationships/chartColorStyle" Target="colors8.xml"/><Relationship Id="rId1" Type="http://schemas.microsoft.com/office/2011/relationships/chartStyle" Target="style8.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chartUserShapes" Target="../drawings/drawing1.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chartUserShapes" Target="../drawings/drawing2.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1.xml"/><Relationship Id="rId1" Type="http://schemas.microsoft.com/office/2011/relationships/chartStyle" Target="style11.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2.xml"/><Relationship Id="rId1" Type="http://schemas.microsoft.com/office/2011/relationships/chartStyle" Target="style12.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3.xml"/><Relationship Id="rId1" Type="http://schemas.microsoft.com/office/2011/relationships/chartStyle" Target="style13.xml"/></Relationships>
</file>

<file path=word/charts/_rels/chart15.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4.xml"/><Relationship Id="rId1" Type="http://schemas.microsoft.com/office/2011/relationships/chartStyle" Target="style14.xml"/></Relationships>
</file>

<file path=word/charts/_rels/chart16.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5.xml"/><Relationship Id="rId1" Type="http://schemas.microsoft.com/office/2011/relationships/chartStyle" Target="style15.xml"/></Relationships>
</file>

<file path=word/charts/_rels/chart17.xml.rels><?xml version="1.0" encoding="UTF-8" standalone="yes"?>
<Relationships xmlns="http://schemas.openxmlformats.org/package/2006/relationships"><Relationship Id="rId3" Type="http://schemas.openxmlformats.org/officeDocument/2006/relationships/oleObject" Target="file:///C:\Users\zhj07\Documents\Dissertation\PaperII\Results_EVpaper110723.xlsx" TargetMode="External"/><Relationship Id="rId2" Type="http://schemas.microsoft.com/office/2011/relationships/chartColorStyle" Target="colors16.xml"/><Relationship Id="rId1" Type="http://schemas.microsoft.com/office/2011/relationships/chartStyle" Target="style16.xml"/></Relationships>
</file>

<file path=word/charts/_rels/chart18.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17.xml"/><Relationship Id="rId1" Type="http://schemas.microsoft.com/office/2011/relationships/chartStyle" Target="style17.xml"/><Relationship Id="rId4" Type="http://schemas.openxmlformats.org/officeDocument/2006/relationships/oleObject" Target="file:///C:\Users\zhj07\Documents\Dissertation\PaperII\Results_EVpaper110723.xlsx" TargetMode="External"/></Relationships>
</file>

<file path=word/charts/_rels/chart19.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18.xml"/><Relationship Id="rId1" Type="http://schemas.microsoft.com/office/2011/relationships/chartStyle" Target="style18.xml"/><Relationship Id="rId4" Type="http://schemas.openxmlformats.org/officeDocument/2006/relationships/oleObject" Target="file:///C:\Users\zhj07\Documents\Dissertation\PaperII\Results_EVpaper110723.xlsx" TargetMode="External"/></Relationships>
</file>

<file path=word/charts/_rels/chart20.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19.xml"/><Relationship Id="rId1" Type="http://schemas.microsoft.com/office/2011/relationships/chartStyle" Target="style19.xml"/><Relationship Id="rId4" Type="http://schemas.openxmlformats.org/officeDocument/2006/relationships/oleObject" Target="file:///C:\Users\zhj07\Documents\Dissertation\PaperII\Results_EVpaper110723.xlsx" TargetMode="External"/></Relationships>
</file>

<file path=word/charts/_rels/chart21.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20.xml"/><Relationship Id="rId1" Type="http://schemas.microsoft.com/office/2011/relationships/chartStyle" Target="style20.xml"/><Relationship Id="rId4" Type="http://schemas.openxmlformats.org/officeDocument/2006/relationships/oleObject" Target="file:///C:\Users\zhj07\Documents\Dissertation\PaperII\Results_EVpaper11072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Annual kilometers demand per vehicle</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Mileage!$H$1</c:f>
              <c:strCache>
                <c:ptCount val="1"/>
                <c:pt idx="0">
                  <c:v>L</c:v>
                </c:pt>
              </c:strCache>
            </c:strRef>
          </c:tx>
          <c:spPr>
            <a:ln w="28575" cap="rnd">
              <a:solidFill>
                <a:schemeClr val="accent1"/>
              </a:solidFill>
              <a:round/>
            </a:ln>
            <a:effectLst/>
          </c:spPr>
          <c:marker>
            <c:symbol val="none"/>
          </c:marker>
          <c:cat>
            <c:strRef>
              <c:f>Mileage!$G$2:$G$25</c:f>
              <c:strCache>
                <c:ptCount val="24"/>
                <c:pt idx="0">
                  <c:v>age01</c:v>
                </c:pt>
                <c:pt idx="1">
                  <c:v>age02</c:v>
                </c:pt>
                <c:pt idx="2">
                  <c:v>age03</c:v>
                </c:pt>
                <c:pt idx="3">
                  <c:v>age04</c:v>
                </c:pt>
                <c:pt idx="4">
                  <c:v>age05</c:v>
                </c:pt>
                <c:pt idx="5">
                  <c:v>age06</c:v>
                </c:pt>
                <c:pt idx="6">
                  <c:v>age07</c:v>
                </c:pt>
                <c:pt idx="7">
                  <c:v>age08</c:v>
                </c:pt>
                <c:pt idx="8">
                  <c:v>age09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Mileage!$H$2:$H$25</c:f>
              <c:numCache>
                <c:formatCode>General</c:formatCode>
                <c:ptCount val="24"/>
                <c:pt idx="0">
                  <c:v>3600.7499999999995</c:v>
                </c:pt>
                <c:pt idx="1">
                  <c:v>3605.2499999999995</c:v>
                </c:pt>
                <c:pt idx="2">
                  <c:v>3598.5</c:v>
                </c:pt>
                <c:pt idx="3">
                  <c:v>3605.2499999999995</c:v>
                </c:pt>
                <c:pt idx="4">
                  <c:v>3600.7499999999995</c:v>
                </c:pt>
                <c:pt idx="5">
                  <c:v>3574.4999999999995</c:v>
                </c:pt>
                <c:pt idx="6">
                  <c:v>3585</c:v>
                </c:pt>
                <c:pt idx="7">
                  <c:v>3386.25</c:v>
                </c:pt>
                <c:pt idx="8">
                  <c:v>3375</c:v>
                </c:pt>
                <c:pt idx="9">
                  <c:v>3329.25</c:v>
                </c:pt>
                <c:pt idx="10">
                  <c:v>3206.9999999999995</c:v>
                </c:pt>
                <c:pt idx="11">
                  <c:v>3175.5</c:v>
                </c:pt>
                <c:pt idx="12">
                  <c:v>3129.75</c:v>
                </c:pt>
                <c:pt idx="13">
                  <c:v>3082.5</c:v>
                </c:pt>
                <c:pt idx="14">
                  <c:v>3087.7499999999995</c:v>
                </c:pt>
                <c:pt idx="15">
                  <c:v>2903.2499999999995</c:v>
                </c:pt>
                <c:pt idx="16">
                  <c:v>2821.4999999999995</c:v>
                </c:pt>
                <c:pt idx="17">
                  <c:v>2826.75</c:v>
                </c:pt>
                <c:pt idx="18">
                  <c:v>2844.75</c:v>
                </c:pt>
                <c:pt idx="19">
                  <c:v>2736.75</c:v>
                </c:pt>
                <c:pt idx="20">
                  <c:v>2767.5</c:v>
                </c:pt>
                <c:pt idx="21">
                  <c:v>2666.25</c:v>
                </c:pt>
                <c:pt idx="22">
                  <c:v>2628</c:v>
                </c:pt>
                <c:pt idx="23">
                  <c:v>2689.4999999999995</c:v>
                </c:pt>
              </c:numCache>
            </c:numRef>
          </c:val>
          <c:smooth val="0"/>
          <c:extLst>
            <c:ext xmlns:c16="http://schemas.microsoft.com/office/drawing/2014/chart" uri="{C3380CC4-5D6E-409C-BE32-E72D297353CC}">
              <c16:uniqueId val="{00000000-72CA-4134-BC99-774E0C7B171D}"/>
            </c:ext>
          </c:extLst>
        </c:ser>
        <c:ser>
          <c:idx val="1"/>
          <c:order val="1"/>
          <c:tx>
            <c:strRef>
              <c:f>Mileage!$I$1</c:f>
              <c:strCache>
                <c:ptCount val="1"/>
                <c:pt idx="0">
                  <c:v>M</c:v>
                </c:pt>
              </c:strCache>
            </c:strRef>
          </c:tx>
          <c:spPr>
            <a:ln w="28575" cap="rnd">
              <a:solidFill>
                <a:schemeClr val="accent2"/>
              </a:solidFill>
              <a:round/>
            </a:ln>
            <a:effectLst/>
          </c:spPr>
          <c:marker>
            <c:symbol val="none"/>
          </c:marker>
          <c:cat>
            <c:strRef>
              <c:f>Mileage!$G$2:$G$25</c:f>
              <c:strCache>
                <c:ptCount val="24"/>
                <c:pt idx="0">
                  <c:v>age01</c:v>
                </c:pt>
                <c:pt idx="1">
                  <c:v>age02</c:v>
                </c:pt>
                <c:pt idx="2">
                  <c:v>age03</c:v>
                </c:pt>
                <c:pt idx="3">
                  <c:v>age04</c:v>
                </c:pt>
                <c:pt idx="4">
                  <c:v>age05</c:v>
                </c:pt>
                <c:pt idx="5">
                  <c:v>age06</c:v>
                </c:pt>
                <c:pt idx="6">
                  <c:v>age07</c:v>
                </c:pt>
                <c:pt idx="7">
                  <c:v>age08</c:v>
                </c:pt>
                <c:pt idx="8">
                  <c:v>age09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Mileage!$I$2:$I$25</c:f>
              <c:numCache>
                <c:formatCode>General</c:formatCode>
                <c:ptCount val="24"/>
                <c:pt idx="0">
                  <c:v>8743.5</c:v>
                </c:pt>
                <c:pt idx="1">
                  <c:v>8697.75</c:v>
                </c:pt>
                <c:pt idx="2">
                  <c:v>8745.75</c:v>
                </c:pt>
                <c:pt idx="3">
                  <c:v>8758.5</c:v>
                </c:pt>
                <c:pt idx="4">
                  <c:v>8724</c:v>
                </c:pt>
                <c:pt idx="5">
                  <c:v>8672.9999999999982</c:v>
                </c:pt>
                <c:pt idx="6">
                  <c:v>8629.5</c:v>
                </c:pt>
                <c:pt idx="7">
                  <c:v>8585.25</c:v>
                </c:pt>
                <c:pt idx="8">
                  <c:v>8602.5</c:v>
                </c:pt>
                <c:pt idx="9">
                  <c:v>8544.75</c:v>
                </c:pt>
                <c:pt idx="10">
                  <c:v>8487</c:v>
                </c:pt>
                <c:pt idx="11">
                  <c:v>8460</c:v>
                </c:pt>
                <c:pt idx="12">
                  <c:v>8412</c:v>
                </c:pt>
                <c:pt idx="13">
                  <c:v>8346</c:v>
                </c:pt>
                <c:pt idx="14">
                  <c:v>8385.75</c:v>
                </c:pt>
                <c:pt idx="15">
                  <c:v>8259.75</c:v>
                </c:pt>
                <c:pt idx="16">
                  <c:v>8199</c:v>
                </c:pt>
                <c:pt idx="17">
                  <c:v>8226.7499999999982</c:v>
                </c:pt>
                <c:pt idx="18">
                  <c:v>8168.9999999999991</c:v>
                </c:pt>
                <c:pt idx="19">
                  <c:v>8106</c:v>
                </c:pt>
                <c:pt idx="20">
                  <c:v>8057.9999999999991</c:v>
                </c:pt>
                <c:pt idx="21">
                  <c:v>8148.75</c:v>
                </c:pt>
                <c:pt idx="22">
                  <c:v>7956</c:v>
                </c:pt>
                <c:pt idx="23">
                  <c:v>7941</c:v>
                </c:pt>
              </c:numCache>
            </c:numRef>
          </c:val>
          <c:smooth val="0"/>
          <c:extLst>
            <c:ext xmlns:c16="http://schemas.microsoft.com/office/drawing/2014/chart" uri="{C3380CC4-5D6E-409C-BE32-E72D297353CC}">
              <c16:uniqueId val="{00000001-72CA-4134-BC99-774E0C7B171D}"/>
            </c:ext>
          </c:extLst>
        </c:ser>
        <c:ser>
          <c:idx val="2"/>
          <c:order val="2"/>
          <c:tx>
            <c:strRef>
              <c:f>Mileage!$J$1</c:f>
              <c:strCache>
                <c:ptCount val="1"/>
                <c:pt idx="0">
                  <c:v>H</c:v>
                </c:pt>
              </c:strCache>
            </c:strRef>
          </c:tx>
          <c:spPr>
            <a:ln w="28575" cap="rnd">
              <a:solidFill>
                <a:schemeClr val="accent3"/>
              </a:solidFill>
              <a:round/>
            </a:ln>
            <a:effectLst/>
          </c:spPr>
          <c:marker>
            <c:symbol val="none"/>
          </c:marker>
          <c:cat>
            <c:strRef>
              <c:f>Mileage!$G$2:$G$25</c:f>
              <c:strCache>
                <c:ptCount val="24"/>
                <c:pt idx="0">
                  <c:v>age01</c:v>
                </c:pt>
                <c:pt idx="1">
                  <c:v>age02</c:v>
                </c:pt>
                <c:pt idx="2">
                  <c:v>age03</c:v>
                </c:pt>
                <c:pt idx="3">
                  <c:v>age04</c:v>
                </c:pt>
                <c:pt idx="4">
                  <c:v>age05</c:v>
                </c:pt>
                <c:pt idx="5">
                  <c:v>age06</c:v>
                </c:pt>
                <c:pt idx="6">
                  <c:v>age07</c:v>
                </c:pt>
                <c:pt idx="7">
                  <c:v>age08</c:v>
                </c:pt>
                <c:pt idx="8">
                  <c:v>age09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Mileage!$J$2:$J$25</c:f>
              <c:numCache>
                <c:formatCode>General</c:formatCode>
                <c:ptCount val="24"/>
                <c:pt idx="0">
                  <c:v>14940.625</c:v>
                </c:pt>
                <c:pt idx="1">
                  <c:v>16088.75</c:v>
                </c:pt>
                <c:pt idx="2">
                  <c:v>14486.25</c:v>
                </c:pt>
                <c:pt idx="3">
                  <c:v>14399.375</c:v>
                </c:pt>
                <c:pt idx="4">
                  <c:v>14463.125</c:v>
                </c:pt>
                <c:pt idx="5">
                  <c:v>14623.125</c:v>
                </c:pt>
                <c:pt idx="6">
                  <c:v>14358.125</c:v>
                </c:pt>
                <c:pt idx="7">
                  <c:v>14118.125</c:v>
                </c:pt>
                <c:pt idx="8">
                  <c:v>14403.75</c:v>
                </c:pt>
                <c:pt idx="9">
                  <c:v>14281.25</c:v>
                </c:pt>
                <c:pt idx="10">
                  <c:v>14235</c:v>
                </c:pt>
                <c:pt idx="11">
                  <c:v>14057.5</c:v>
                </c:pt>
                <c:pt idx="12">
                  <c:v>14152.5</c:v>
                </c:pt>
                <c:pt idx="13">
                  <c:v>13808.75</c:v>
                </c:pt>
                <c:pt idx="14">
                  <c:v>14293.75</c:v>
                </c:pt>
                <c:pt idx="15">
                  <c:v>14112.5</c:v>
                </c:pt>
                <c:pt idx="16">
                  <c:v>14118.75</c:v>
                </c:pt>
                <c:pt idx="17">
                  <c:v>14774.375</c:v>
                </c:pt>
                <c:pt idx="18">
                  <c:v>13165.625</c:v>
                </c:pt>
                <c:pt idx="19">
                  <c:v>13583.75</c:v>
                </c:pt>
                <c:pt idx="20">
                  <c:v>13346.875</c:v>
                </c:pt>
                <c:pt idx="21">
                  <c:v>14753.125</c:v>
                </c:pt>
                <c:pt idx="22">
                  <c:v>14896.25</c:v>
                </c:pt>
                <c:pt idx="23">
                  <c:v>18407.5</c:v>
                </c:pt>
              </c:numCache>
            </c:numRef>
          </c:val>
          <c:smooth val="0"/>
          <c:extLst>
            <c:ext xmlns:c16="http://schemas.microsoft.com/office/drawing/2014/chart" uri="{C3380CC4-5D6E-409C-BE32-E72D297353CC}">
              <c16:uniqueId val="{00000002-72CA-4134-BC99-774E0C7B171D}"/>
            </c:ext>
          </c:extLst>
        </c:ser>
        <c:dLbls>
          <c:showLegendKey val="0"/>
          <c:showVal val="0"/>
          <c:showCatName val="0"/>
          <c:showSerName val="0"/>
          <c:showPercent val="0"/>
          <c:showBubbleSize val="0"/>
        </c:dLbls>
        <c:smooth val="0"/>
        <c:axId val="126960655"/>
        <c:axId val="132821391"/>
      </c:lineChart>
      <c:catAx>
        <c:axId val="12696065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32821391"/>
        <c:crosses val="autoZero"/>
        <c:auto val="1"/>
        <c:lblAlgn val="ctr"/>
        <c:lblOffset val="100"/>
        <c:noMultiLvlLbl val="0"/>
      </c:catAx>
      <c:valAx>
        <c:axId val="13282139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Kilometers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26960655"/>
        <c:crosses val="autoZero"/>
        <c:crossBetween val="between"/>
        <c:majorUnit val="4000"/>
      </c:valAx>
      <c:spPr>
        <a:noFill/>
        <a:ln>
          <a:noFill/>
        </a:ln>
        <a:effectLst/>
      </c:spPr>
    </c:plotArea>
    <c:legend>
      <c:legendPos val="b"/>
      <c:layout>
        <c:manualLayout>
          <c:xMode val="edge"/>
          <c:yMode val="edge"/>
          <c:x val="0.35708027121609798"/>
          <c:y val="0.16724482356372117"/>
          <c:w val="0.29695034995625547"/>
          <c:h val="7.8125546806649182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'avgVMT2 by age by VMTgrp'!$AB$2</c:f>
              <c:strCache>
                <c:ptCount val="1"/>
                <c:pt idx="0">
                  <c:v>H</c:v>
                </c:pt>
              </c:strCache>
            </c:strRef>
          </c:tx>
          <c:spPr>
            <a:solidFill>
              <a:schemeClr val="accent1"/>
            </a:solidFill>
            <a:ln>
              <a:noFill/>
            </a:ln>
            <a:effectLst/>
          </c:spPr>
          <c:invertIfNegative val="0"/>
          <c:cat>
            <c:strRef>
              <c:f>'avgVMT2 by age by VMTgrp'!$AA$3:$AA$26</c:f>
              <c:strCache>
                <c:ptCount val="24"/>
                <c:pt idx="0">
                  <c:v>age1</c:v>
                </c:pt>
                <c:pt idx="1">
                  <c:v>age2</c:v>
                </c:pt>
                <c:pt idx="2">
                  <c:v>age3</c:v>
                </c:pt>
                <c:pt idx="3">
                  <c:v>age4</c:v>
                </c:pt>
                <c:pt idx="4">
                  <c:v>age5</c:v>
                </c:pt>
                <c:pt idx="5">
                  <c:v>age6</c:v>
                </c:pt>
                <c:pt idx="6">
                  <c:v>age7</c:v>
                </c:pt>
                <c:pt idx="7">
                  <c:v>age8</c:v>
                </c:pt>
                <c:pt idx="8">
                  <c:v>age9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'avgVMT2 by age by VMTgrp'!$AB$3:$AB$26</c:f>
              <c:numCache>
                <c:formatCode>0.0000</c:formatCode>
                <c:ptCount val="24"/>
                <c:pt idx="0">
                  <c:v>1.8423390367309105E-2</c:v>
                </c:pt>
                <c:pt idx="1">
                  <c:v>1.5990112394268279E-2</c:v>
                </c:pt>
                <c:pt idx="2">
                  <c:v>1.6675678807307557E-2</c:v>
                </c:pt>
                <c:pt idx="3">
                  <c:v>1.7790931211617938E-2</c:v>
                </c:pt>
                <c:pt idx="4">
                  <c:v>1.5265922521339462E-2</c:v>
                </c:pt>
                <c:pt idx="5">
                  <c:v>1.1041481595921363E-2</c:v>
                </c:pt>
                <c:pt idx="6">
                  <c:v>9.8007029469699899E-3</c:v>
                </c:pt>
                <c:pt idx="7">
                  <c:v>8.1060986443165575E-3</c:v>
                </c:pt>
                <c:pt idx="8">
                  <c:v>1.0621451469622649E-2</c:v>
                </c:pt>
                <c:pt idx="9">
                  <c:v>9.7620794870804523E-3</c:v>
                </c:pt>
                <c:pt idx="10">
                  <c:v>7.7584875053107261E-3</c:v>
                </c:pt>
                <c:pt idx="11">
                  <c:v>6.7011702908346526E-3</c:v>
                </c:pt>
                <c:pt idx="12">
                  <c:v>5.8949055656405697E-3</c:v>
                </c:pt>
                <c:pt idx="13">
                  <c:v>4.6541269166891974E-3</c:v>
                </c:pt>
                <c:pt idx="14">
                  <c:v>3.5871538372407399E-3</c:v>
                </c:pt>
                <c:pt idx="15">
                  <c:v>2.7181259897261596E-3</c:v>
                </c:pt>
                <c:pt idx="16">
                  <c:v>2.1918813487312194E-3</c:v>
                </c:pt>
                <c:pt idx="17">
                  <c:v>1.5256266656367078E-3</c:v>
                </c:pt>
                <c:pt idx="18">
                  <c:v>1.1490479317137229E-3</c:v>
                </c:pt>
                <c:pt idx="19">
                  <c:v>8.5454405005600399E-4</c:v>
                </c:pt>
                <c:pt idx="20">
                  <c:v>5.4072843845351663E-4</c:v>
                </c:pt>
                <c:pt idx="21">
                  <c:v>3.9106253138156117E-4</c:v>
                </c:pt>
                <c:pt idx="22">
                  <c:v>2.3174075933722144E-4</c:v>
                </c:pt>
                <c:pt idx="23">
                  <c:v>1.496659070719555E-4</c:v>
                </c:pt>
              </c:numCache>
            </c:numRef>
          </c:val>
          <c:extLst>
            <c:ext xmlns:c16="http://schemas.microsoft.com/office/drawing/2014/chart" uri="{C3380CC4-5D6E-409C-BE32-E72D297353CC}">
              <c16:uniqueId val="{00000000-14A7-40E4-93DA-1474788D1ED6}"/>
            </c:ext>
          </c:extLst>
        </c:ser>
        <c:ser>
          <c:idx val="2"/>
          <c:order val="1"/>
          <c:tx>
            <c:strRef>
              <c:f>'avgVMT2 by age by VMTgrp'!$AD$2</c:f>
              <c:strCache>
                <c:ptCount val="1"/>
                <c:pt idx="0">
                  <c:v>M</c:v>
                </c:pt>
              </c:strCache>
            </c:strRef>
          </c:tx>
          <c:spPr>
            <a:solidFill>
              <a:schemeClr val="accent3"/>
            </a:solidFill>
            <a:ln>
              <a:noFill/>
            </a:ln>
            <a:effectLst/>
          </c:spPr>
          <c:invertIfNegative val="0"/>
          <c:cat>
            <c:strRef>
              <c:f>'avgVMT2 by age by VMTgrp'!$AA$3:$AA$26</c:f>
              <c:strCache>
                <c:ptCount val="24"/>
                <c:pt idx="0">
                  <c:v>age1</c:v>
                </c:pt>
                <c:pt idx="1">
                  <c:v>age2</c:v>
                </c:pt>
                <c:pt idx="2">
                  <c:v>age3</c:v>
                </c:pt>
                <c:pt idx="3">
                  <c:v>age4</c:v>
                </c:pt>
                <c:pt idx="4">
                  <c:v>age5</c:v>
                </c:pt>
                <c:pt idx="5">
                  <c:v>age6</c:v>
                </c:pt>
                <c:pt idx="6">
                  <c:v>age7</c:v>
                </c:pt>
                <c:pt idx="7">
                  <c:v>age8</c:v>
                </c:pt>
                <c:pt idx="8">
                  <c:v>age9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'avgVMT2 by age by VMTgrp'!$AD$3:$AD$26</c:f>
              <c:numCache>
                <c:formatCode>0.0000</c:formatCode>
                <c:ptCount val="24"/>
                <c:pt idx="0">
                  <c:v>2.7639913483449848E-2</c:v>
                </c:pt>
                <c:pt idx="1">
                  <c:v>3.0623575759916574E-2</c:v>
                </c:pt>
                <c:pt idx="2">
                  <c:v>3.1202927658259626E-2</c:v>
                </c:pt>
                <c:pt idx="3">
                  <c:v>3.0266308755938356E-2</c:v>
                </c:pt>
                <c:pt idx="4">
                  <c:v>2.6867444285659108E-2</c:v>
                </c:pt>
                <c:pt idx="5">
                  <c:v>2.2329187748638523E-2</c:v>
                </c:pt>
                <c:pt idx="6">
                  <c:v>2.1146344289521456E-2</c:v>
                </c:pt>
                <c:pt idx="7">
                  <c:v>1.6868796106755242E-2</c:v>
                </c:pt>
                <c:pt idx="8">
                  <c:v>2.2189177706538953E-2</c:v>
                </c:pt>
                <c:pt idx="9">
                  <c:v>2.1981576609632691E-2</c:v>
                </c:pt>
                <c:pt idx="10">
                  <c:v>1.9809006990846239E-2</c:v>
                </c:pt>
                <c:pt idx="11">
                  <c:v>1.8442702097253873E-2</c:v>
                </c:pt>
                <c:pt idx="12">
                  <c:v>1.645359391294272E-2</c:v>
                </c:pt>
                <c:pt idx="13">
                  <c:v>1.3996176277470936E-2</c:v>
                </c:pt>
                <c:pt idx="14">
                  <c:v>1.2335367502220848E-2</c:v>
                </c:pt>
                <c:pt idx="15">
                  <c:v>9.1537599938202457E-3</c:v>
                </c:pt>
                <c:pt idx="16">
                  <c:v>8.0626472519408285E-3</c:v>
                </c:pt>
                <c:pt idx="17">
                  <c:v>6.2280329071878263E-3</c:v>
                </c:pt>
                <c:pt idx="18">
                  <c:v>4.5527403344791627E-3</c:v>
                </c:pt>
                <c:pt idx="19">
                  <c:v>3.9299370437603804E-3</c:v>
                </c:pt>
                <c:pt idx="20">
                  <c:v>2.737437719670928E-3</c:v>
                </c:pt>
                <c:pt idx="21">
                  <c:v>2.4043103781236723E-3</c:v>
                </c:pt>
                <c:pt idx="22">
                  <c:v>1.7283998300567764E-3</c:v>
                </c:pt>
                <c:pt idx="23">
                  <c:v>1.3228535012166391E-3</c:v>
                </c:pt>
              </c:numCache>
            </c:numRef>
          </c:val>
          <c:extLst>
            <c:ext xmlns:c16="http://schemas.microsoft.com/office/drawing/2014/chart" uri="{C3380CC4-5D6E-409C-BE32-E72D297353CC}">
              <c16:uniqueId val="{00000001-14A7-40E4-93DA-1474788D1ED6}"/>
            </c:ext>
          </c:extLst>
        </c:ser>
        <c:ser>
          <c:idx val="1"/>
          <c:order val="2"/>
          <c:tx>
            <c:strRef>
              <c:f>'avgVMT2 by age by VMTgrp'!$AC$2</c:f>
              <c:strCache>
                <c:ptCount val="1"/>
                <c:pt idx="0">
                  <c:v>L</c:v>
                </c:pt>
              </c:strCache>
            </c:strRef>
          </c:tx>
          <c:spPr>
            <a:solidFill>
              <a:schemeClr val="accent2"/>
            </a:solidFill>
            <a:ln>
              <a:noFill/>
            </a:ln>
            <a:effectLst/>
          </c:spPr>
          <c:invertIfNegative val="0"/>
          <c:cat>
            <c:strRef>
              <c:f>'avgVMT2 by age by VMTgrp'!$AA$3:$AA$26</c:f>
              <c:strCache>
                <c:ptCount val="24"/>
                <c:pt idx="0">
                  <c:v>age1</c:v>
                </c:pt>
                <c:pt idx="1">
                  <c:v>age2</c:v>
                </c:pt>
                <c:pt idx="2">
                  <c:v>age3</c:v>
                </c:pt>
                <c:pt idx="3">
                  <c:v>age4</c:v>
                </c:pt>
                <c:pt idx="4">
                  <c:v>age5</c:v>
                </c:pt>
                <c:pt idx="5">
                  <c:v>age6</c:v>
                </c:pt>
                <c:pt idx="6">
                  <c:v>age7</c:v>
                </c:pt>
                <c:pt idx="7">
                  <c:v>age8</c:v>
                </c:pt>
                <c:pt idx="8">
                  <c:v>age9</c:v>
                </c:pt>
                <c:pt idx="9">
                  <c:v>age10</c:v>
                </c:pt>
                <c:pt idx="10">
                  <c:v>age11</c:v>
                </c:pt>
                <c:pt idx="11">
                  <c:v>age12</c:v>
                </c:pt>
                <c:pt idx="12">
                  <c:v>age13</c:v>
                </c:pt>
                <c:pt idx="13">
                  <c:v>age14</c:v>
                </c:pt>
                <c:pt idx="14">
                  <c:v>age15</c:v>
                </c:pt>
                <c:pt idx="15">
                  <c:v>age16</c:v>
                </c:pt>
                <c:pt idx="16">
                  <c:v>age17</c:v>
                </c:pt>
                <c:pt idx="17">
                  <c:v>age18</c:v>
                </c:pt>
                <c:pt idx="18">
                  <c:v>age19</c:v>
                </c:pt>
                <c:pt idx="19">
                  <c:v>age20</c:v>
                </c:pt>
                <c:pt idx="20">
                  <c:v>age21</c:v>
                </c:pt>
                <c:pt idx="21">
                  <c:v>age22</c:v>
                </c:pt>
                <c:pt idx="22">
                  <c:v>age23</c:v>
                </c:pt>
                <c:pt idx="23">
                  <c:v>age24</c:v>
                </c:pt>
              </c:strCache>
            </c:strRef>
          </c:cat>
          <c:val>
            <c:numRef>
              <c:f>'avgVMT2 by age by VMTgrp'!$AC$3:$AC$26</c:f>
              <c:numCache>
                <c:formatCode>0.0000</c:formatCode>
                <c:ptCount val="24"/>
                <c:pt idx="0">
                  <c:v>2.1291182264107218E-2</c:v>
                </c:pt>
                <c:pt idx="1">
                  <c:v>2.5626665636707735E-2</c:v>
                </c:pt>
                <c:pt idx="2">
                  <c:v>2.3594106060020856E-2</c:v>
                </c:pt>
                <c:pt idx="3">
                  <c:v>2.1769147580240237E-2</c:v>
                </c:pt>
                <c:pt idx="4">
                  <c:v>2.0494573403885521E-2</c:v>
                </c:pt>
                <c:pt idx="5">
                  <c:v>1.8447530029740065E-2</c:v>
                </c:pt>
                <c:pt idx="6">
                  <c:v>1.9108956780348383E-2</c:v>
                </c:pt>
                <c:pt idx="7">
                  <c:v>1.841856243482291E-2</c:v>
                </c:pt>
                <c:pt idx="8">
                  <c:v>2.4443822177590668E-2</c:v>
                </c:pt>
                <c:pt idx="9">
                  <c:v>2.5365957282453361E-2</c:v>
                </c:pt>
                <c:pt idx="10">
                  <c:v>2.7128152639913482E-2</c:v>
                </c:pt>
                <c:pt idx="11">
                  <c:v>2.8021320149859023E-2</c:v>
                </c:pt>
                <c:pt idx="12">
                  <c:v>2.6123942682785523E-2</c:v>
                </c:pt>
                <c:pt idx="13">
                  <c:v>2.4395542852728748E-2</c:v>
                </c:pt>
                <c:pt idx="14">
                  <c:v>2.1991232474605073E-2</c:v>
                </c:pt>
                <c:pt idx="15">
                  <c:v>2.2116758719246069E-2</c:v>
                </c:pt>
                <c:pt idx="16">
                  <c:v>2.0209725387200186E-2</c:v>
                </c:pt>
                <c:pt idx="17">
                  <c:v>1.5898381677030629E-2</c:v>
                </c:pt>
                <c:pt idx="18">
                  <c:v>1.3585802016144606E-2</c:v>
                </c:pt>
                <c:pt idx="19">
                  <c:v>1.1176663705534742E-2</c:v>
                </c:pt>
                <c:pt idx="20">
                  <c:v>7.9081534123826812E-3</c:v>
                </c:pt>
                <c:pt idx="21">
                  <c:v>8.0674751844270216E-3</c:v>
                </c:pt>
                <c:pt idx="22">
                  <c:v>6.0831949326020625E-3</c:v>
                </c:pt>
                <c:pt idx="23">
                  <c:v>4.6348151867444285E-3</c:v>
                </c:pt>
              </c:numCache>
            </c:numRef>
          </c:val>
          <c:extLst>
            <c:ext xmlns:c16="http://schemas.microsoft.com/office/drawing/2014/chart" uri="{C3380CC4-5D6E-409C-BE32-E72D297353CC}">
              <c16:uniqueId val="{00000002-14A7-40E4-93DA-1474788D1ED6}"/>
            </c:ext>
          </c:extLst>
        </c:ser>
        <c:dLbls>
          <c:showLegendKey val="0"/>
          <c:showVal val="0"/>
          <c:showCatName val="0"/>
          <c:showSerName val="0"/>
          <c:showPercent val="0"/>
          <c:showBubbleSize val="0"/>
        </c:dLbls>
        <c:gapWidth val="150"/>
        <c:overlap val="100"/>
        <c:axId val="2080586607"/>
        <c:axId val="2080585359"/>
      </c:barChart>
      <c:catAx>
        <c:axId val="20805866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80585359"/>
        <c:crosses val="autoZero"/>
        <c:auto val="1"/>
        <c:lblAlgn val="ctr"/>
        <c:lblOffset val="100"/>
        <c:noMultiLvlLbl val="0"/>
      </c:catAx>
      <c:valAx>
        <c:axId val="2080585359"/>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Distribution</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8058660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b="1"/>
              <a:t>Vehicle Costs ($)</a:t>
            </a:r>
          </a:p>
        </c:rich>
      </c:tx>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BEPAM_PRICE!$N$2</c:f>
              <c:strCache>
                <c:ptCount val="1"/>
                <c:pt idx="0">
                  <c:v>CV</c:v>
                </c:pt>
              </c:strCache>
            </c:strRef>
          </c:tx>
          <c:spPr>
            <a:ln w="28575" cap="rnd">
              <a:solidFill>
                <a:schemeClr val="accent1"/>
              </a:solidFill>
              <a:round/>
            </a:ln>
            <a:effectLst/>
          </c:spPr>
          <c:marker>
            <c:symbol val="none"/>
          </c:marker>
          <c:cat>
            <c:numRef>
              <c:f>BEPAM_PRICE!$A$3:$A$37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BEPAM_PRICE!$N$3:$N$37</c:f>
              <c:numCache>
                <c:formatCode>0</c:formatCode>
                <c:ptCount val="35"/>
                <c:pt idx="0">
                  <c:v>25640.948223641539</c:v>
                </c:pt>
                <c:pt idx="1">
                  <c:v>24808.365475811534</c:v>
                </c:pt>
                <c:pt idx="2">
                  <c:v>24974.932611389133</c:v>
                </c:pt>
                <c:pt idx="3">
                  <c:v>29270.999065576205</c:v>
                </c:pt>
                <c:pt idx="4">
                  <c:v>29306.801767541467</c:v>
                </c:pt>
                <c:pt idx="5">
                  <c:v>31962.224526284717</c:v>
                </c:pt>
                <c:pt idx="6">
                  <c:v>32044.939690142837</c:v>
                </c:pt>
                <c:pt idx="7">
                  <c:v>32211.120925013729</c:v>
                </c:pt>
                <c:pt idx="8">
                  <c:v>32363.227868983726</c:v>
                </c:pt>
                <c:pt idx="9">
                  <c:v>32525.226701299878</c:v>
                </c:pt>
                <c:pt idx="10">
                  <c:v>32736.263418947645</c:v>
                </c:pt>
                <c:pt idx="11">
                  <c:v>32792.656987438211</c:v>
                </c:pt>
                <c:pt idx="12">
                  <c:v>32847.529678342769</c:v>
                </c:pt>
                <c:pt idx="13">
                  <c:v>32904.451123665596</c:v>
                </c:pt>
                <c:pt idx="14">
                  <c:v>32950.62308758228</c:v>
                </c:pt>
                <c:pt idx="15">
                  <c:v>33011.354291765201</c:v>
                </c:pt>
                <c:pt idx="16">
                  <c:v>33069.138094873349</c:v>
                </c:pt>
                <c:pt idx="17">
                  <c:v>33129.285241080041</c:v>
                </c:pt>
                <c:pt idx="18">
                  <c:v>33166.549588727517</c:v>
                </c:pt>
                <c:pt idx="19">
                  <c:v>33201.395941966686</c:v>
                </c:pt>
                <c:pt idx="20">
                  <c:v>33234.394563445792</c:v>
                </c:pt>
                <c:pt idx="21">
                  <c:v>33267.003127295546</c:v>
                </c:pt>
                <c:pt idx="22">
                  <c:v>33297.257107056619</c:v>
                </c:pt>
                <c:pt idx="23">
                  <c:v>33333.114571530612</c:v>
                </c:pt>
                <c:pt idx="24">
                  <c:v>33359.522766215436</c:v>
                </c:pt>
                <c:pt idx="25">
                  <c:v>33390.897478613275</c:v>
                </c:pt>
                <c:pt idx="26">
                  <c:v>33424.882942720615</c:v>
                </c:pt>
                <c:pt idx="27">
                  <c:v>33455.490328825952</c:v>
                </c:pt>
                <c:pt idx="28">
                  <c:v>33488.51634778858</c:v>
                </c:pt>
                <c:pt idx="29">
                  <c:v>33524.143794228774</c:v>
                </c:pt>
                <c:pt idx="30">
                  <c:v>33553.149644244782</c:v>
                </c:pt>
                <c:pt idx="31">
                  <c:v>33587.766652810067</c:v>
                </c:pt>
                <c:pt idx="32">
                  <c:v>33621.598349442254</c:v>
                </c:pt>
                <c:pt idx="33">
                  <c:v>33654.944331807936</c:v>
                </c:pt>
                <c:pt idx="34">
                  <c:v>33668.110696143078</c:v>
                </c:pt>
              </c:numCache>
            </c:numRef>
          </c:val>
          <c:smooth val="0"/>
          <c:extLst>
            <c:ext xmlns:c16="http://schemas.microsoft.com/office/drawing/2014/chart" uri="{C3380CC4-5D6E-409C-BE32-E72D297353CC}">
              <c16:uniqueId val="{00000000-4018-4C4B-9BD6-C1B7FA42A0E4}"/>
            </c:ext>
          </c:extLst>
        </c:ser>
        <c:ser>
          <c:idx val="1"/>
          <c:order val="1"/>
          <c:tx>
            <c:strRef>
              <c:f>BEPAM_PRICE!$O$2</c:f>
              <c:strCache>
                <c:ptCount val="1"/>
                <c:pt idx="0">
                  <c:v>FFV</c:v>
                </c:pt>
              </c:strCache>
            </c:strRef>
          </c:tx>
          <c:spPr>
            <a:ln w="28575" cap="rnd">
              <a:solidFill>
                <a:schemeClr val="accent2"/>
              </a:solidFill>
              <a:round/>
            </a:ln>
            <a:effectLst/>
          </c:spPr>
          <c:marker>
            <c:symbol val="none"/>
          </c:marker>
          <c:cat>
            <c:numRef>
              <c:f>BEPAM_PRICE!$A$3:$A$37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BEPAM_PRICE!$O$3:$O$37</c:f>
              <c:numCache>
                <c:formatCode>0</c:formatCode>
                <c:ptCount val="35"/>
                <c:pt idx="0">
                  <c:v>25751.206586939876</c:v>
                </c:pt>
                <c:pt idx="1">
                  <c:v>24915.299346195479</c:v>
                </c:pt>
                <c:pt idx="2">
                  <c:v>25081.008487950719</c:v>
                </c:pt>
                <c:pt idx="3">
                  <c:v>29376.545440526272</c:v>
                </c:pt>
                <c:pt idx="4">
                  <c:v>29409.200629255953</c:v>
                </c:pt>
                <c:pt idx="5">
                  <c:v>32828.509143069648</c:v>
                </c:pt>
                <c:pt idx="6">
                  <c:v>32866.660397346939</c:v>
                </c:pt>
                <c:pt idx="7">
                  <c:v>33017.160812280636</c:v>
                </c:pt>
                <c:pt idx="8">
                  <c:v>33116.556071161103</c:v>
                </c:pt>
                <c:pt idx="9">
                  <c:v>33280.760726034445</c:v>
                </c:pt>
                <c:pt idx="10">
                  <c:v>33456.138437881884</c:v>
                </c:pt>
                <c:pt idx="11">
                  <c:v>33531.489551373197</c:v>
                </c:pt>
                <c:pt idx="12">
                  <c:v>33603.44633932002</c:v>
                </c:pt>
                <c:pt idx="13">
                  <c:v>33674.963895636683</c:v>
                </c:pt>
                <c:pt idx="14">
                  <c:v>33735.947348965856</c:v>
                </c:pt>
                <c:pt idx="15">
                  <c:v>33795.573997666666</c:v>
                </c:pt>
                <c:pt idx="16">
                  <c:v>33872.93157361354</c:v>
                </c:pt>
                <c:pt idx="17">
                  <c:v>33945.232630034836</c:v>
                </c:pt>
                <c:pt idx="18">
                  <c:v>33996.135856986941</c:v>
                </c:pt>
                <c:pt idx="19">
                  <c:v>34046.144707608953</c:v>
                </c:pt>
                <c:pt idx="20">
                  <c:v>34091.323059525675</c:v>
                </c:pt>
                <c:pt idx="21">
                  <c:v>34138.229721532553</c:v>
                </c:pt>
                <c:pt idx="22">
                  <c:v>34179.293973637257</c:v>
                </c:pt>
                <c:pt idx="23">
                  <c:v>34229.51775555253</c:v>
                </c:pt>
                <c:pt idx="24">
                  <c:v>34267.047189757177</c:v>
                </c:pt>
                <c:pt idx="25">
                  <c:v>34307.148409430658</c:v>
                </c:pt>
                <c:pt idx="26">
                  <c:v>34349.676733442873</c:v>
                </c:pt>
                <c:pt idx="27">
                  <c:v>34382.862914671343</c:v>
                </c:pt>
                <c:pt idx="28">
                  <c:v>34419.253306697334</c:v>
                </c:pt>
                <c:pt idx="29">
                  <c:v>34460.707487825814</c:v>
                </c:pt>
                <c:pt idx="30">
                  <c:v>34495.712461275572</c:v>
                </c:pt>
                <c:pt idx="31">
                  <c:v>34537.058108837955</c:v>
                </c:pt>
                <c:pt idx="32">
                  <c:v>34578.174211237805</c:v>
                </c:pt>
                <c:pt idx="33">
                  <c:v>34616.740457165812</c:v>
                </c:pt>
                <c:pt idx="34">
                  <c:v>34636.015336886616</c:v>
                </c:pt>
              </c:numCache>
            </c:numRef>
          </c:val>
          <c:smooth val="0"/>
          <c:extLst>
            <c:ext xmlns:c16="http://schemas.microsoft.com/office/drawing/2014/chart" uri="{C3380CC4-5D6E-409C-BE32-E72D297353CC}">
              <c16:uniqueId val="{00000001-4018-4C4B-9BD6-C1B7FA42A0E4}"/>
            </c:ext>
          </c:extLst>
        </c:ser>
        <c:ser>
          <c:idx val="2"/>
          <c:order val="2"/>
          <c:tx>
            <c:strRef>
              <c:f>BEPAM_PRICE!$P$2</c:f>
              <c:strCache>
                <c:ptCount val="1"/>
                <c:pt idx="0">
                  <c:v>HBV</c:v>
                </c:pt>
              </c:strCache>
            </c:strRef>
          </c:tx>
          <c:spPr>
            <a:ln w="28575" cap="rnd">
              <a:solidFill>
                <a:schemeClr val="accent3"/>
              </a:solidFill>
              <a:round/>
            </a:ln>
            <a:effectLst/>
          </c:spPr>
          <c:marker>
            <c:symbol val="none"/>
          </c:marker>
          <c:cat>
            <c:numRef>
              <c:f>BEPAM_PRICE!$A$3:$A$37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BEPAM_PRICE!$P$3:$P$37</c:f>
              <c:numCache>
                <c:formatCode>0</c:formatCode>
                <c:ptCount val="35"/>
                <c:pt idx="0">
                  <c:v>31685.955761991529</c:v>
                </c:pt>
                <c:pt idx="1">
                  <c:v>30133.153211043948</c:v>
                </c:pt>
                <c:pt idx="2">
                  <c:v>30230.976656971896</c:v>
                </c:pt>
                <c:pt idx="3">
                  <c:v>33849.745137227954</c:v>
                </c:pt>
                <c:pt idx="4">
                  <c:v>32811.262728237351</c:v>
                </c:pt>
                <c:pt idx="5">
                  <c:v>36086.149780688429</c:v>
                </c:pt>
                <c:pt idx="6">
                  <c:v>36026.831230327814</c:v>
                </c:pt>
                <c:pt idx="7">
                  <c:v>36099.303623833403</c:v>
                </c:pt>
                <c:pt idx="8">
                  <c:v>36090.243852045081</c:v>
                </c:pt>
                <c:pt idx="9">
                  <c:v>36227.744406001759</c:v>
                </c:pt>
                <c:pt idx="10">
                  <c:v>36354.354333326279</c:v>
                </c:pt>
                <c:pt idx="11">
                  <c:v>36386.490739319182</c:v>
                </c:pt>
                <c:pt idx="12">
                  <c:v>36423.701680535174</c:v>
                </c:pt>
                <c:pt idx="13">
                  <c:v>36460.065761595004</c:v>
                </c:pt>
                <c:pt idx="14">
                  <c:v>36486.874947413737</c:v>
                </c:pt>
                <c:pt idx="15">
                  <c:v>36512.065286308134</c:v>
                </c:pt>
                <c:pt idx="16">
                  <c:v>36580.964278884712</c:v>
                </c:pt>
                <c:pt idx="17">
                  <c:v>36631.974801217941</c:v>
                </c:pt>
                <c:pt idx="18">
                  <c:v>36662.221287094551</c:v>
                </c:pt>
                <c:pt idx="19">
                  <c:v>36693.372057642206</c:v>
                </c:pt>
                <c:pt idx="20">
                  <c:v>36718.926548238494</c:v>
                </c:pt>
                <c:pt idx="21">
                  <c:v>36748.283339006855</c:v>
                </c:pt>
                <c:pt idx="22">
                  <c:v>36772.245156288227</c:v>
                </c:pt>
                <c:pt idx="23">
                  <c:v>36809.269056920901</c:v>
                </c:pt>
                <c:pt idx="24">
                  <c:v>36830.257542415675</c:v>
                </c:pt>
                <c:pt idx="25">
                  <c:v>37084.383301441369</c:v>
                </c:pt>
                <c:pt idx="26">
                  <c:v>37114.60517426984</c:v>
                </c:pt>
                <c:pt idx="27">
                  <c:v>37135.894149314983</c:v>
                </c:pt>
                <c:pt idx="28">
                  <c:v>37160.98840344436</c:v>
                </c:pt>
                <c:pt idx="29">
                  <c:v>37191.441769100689</c:v>
                </c:pt>
                <c:pt idx="30">
                  <c:v>37215.21007417154</c:v>
                </c:pt>
                <c:pt idx="31">
                  <c:v>37246.65591562404</c:v>
                </c:pt>
                <c:pt idx="32">
                  <c:v>37277.383419062302</c:v>
                </c:pt>
                <c:pt idx="33">
                  <c:v>37306.05964914924</c:v>
                </c:pt>
                <c:pt idx="34">
                  <c:v>37315.677400458095</c:v>
                </c:pt>
              </c:numCache>
            </c:numRef>
          </c:val>
          <c:smooth val="0"/>
          <c:extLst>
            <c:ext xmlns:c16="http://schemas.microsoft.com/office/drawing/2014/chart" uri="{C3380CC4-5D6E-409C-BE32-E72D297353CC}">
              <c16:uniqueId val="{00000002-4018-4C4B-9BD6-C1B7FA42A0E4}"/>
            </c:ext>
          </c:extLst>
        </c:ser>
        <c:ser>
          <c:idx val="3"/>
          <c:order val="3"/>
          <c:tx>
            <c:strRef>
              <c:f>BEPAM_PRICE!$Q$2</c:f>
              <c:strCache>
                <c:ptCount val="1"/>
                <c:pt idx="0">
                  <c:v>PHEV</c:v>
                </c:pt>
              </c:strCache>
            </c:strRef>
          </c:tx>
          <c:spPr>
            <a:ln w="28575" cap="rnd">
              <a:solidFill>
                <a:schemeClr val="accent4"/>
              </a:solidFill>
              <a:round/>
            </a:ln>
            <a:effectLst/>
          </c:spPr>
          <c:marker>
            <c:symbol val="none"/>
          </c:marker>
          <c:cat>
            <c:numRef>
              <c:f>BEPAM_PRICE!$A$3:$A$37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BEPAM_PRICE!$Q$3:$Q$37</c:f>
              <c:numCache>
                <c:formatCode>0</c:formatCode>
                <c:ptCount val="35"/>
                <c:pt idx="0">
                  <c:v>39167.789902540273</c:v>
                </c:pt>
                <c:pt idx="1">
                  <c:v>37907.53305020868</c:v>
                </c:pt>
                <c:pt idx="2">
                  <c:v>37891.16432116113</c:v>
                </c:pt>
                <c:pt idx="3">
                  <c:v>39172.406936863197</c:v>
                </c:pt>
                <c:pt idx="4">
                  <c:v>37811.833722955809</c:v>
                </c:pt>
                <c:pt idx="5">
                  <c:v>43807.399817543796</c:v>
                </c:pt>
                <c:pt idx="6">
                  <c:v>43199.96939661252</c:v>
                </c:pt>
                <c:pt idx="7">
                  <c:v>42805.331495588784</c:v>
                </c:pt>
                <c:pt idx="8">
                  <c:v>42275.183717738459</c:v>
                </c:pt>
                <c:pt idx="9">
                  <c:v>42126.679147176364</c:v>
                </c:pt>
                <c:pt idx="10">
                  <c:v>41830.411218408197</c:v>
                </c:pt>
                <c:pt idx="11">
                  <c:v>41552.219549932997</c:v>
                </c:pt>
                <c:pt idx="12">
                  <c:v>41331.188911242243</c:v>
                </c:pt>
                <c:pt idx="13">
                  <c:v>41154.797741549992</c:v>
                </c:pt>
                <c:pt idx="14">
                  <c:v>41002.872297132039</c:v>
                </c:pt>
                <c:pt idx="15">
                  <c:v>40884.185473625788</c:v>
                </c:pt>
                <c:pt idx="16">
                  <c:v>40835.854876261699</c:v>
                </c:pt>
                <c:pt idx="17">
                  <c:v>40786.304220488266</c:v>
                </c:pt>
                <c:pt idx="18">
                  <c:v>40728.610144198123</c:v>
                </c:pt>
                <c:pt idx="19">
                  <c:v>40683.867759343673</c:v>
                </c:pt>
                <c:pt idx="20">
                  <c:v>40637.891291075466</c:v>
                </c:pt>
                <c:pt idx="21">
                  <c:v>40603.241086327376</c:v>
                </c:pt>
                <c:pt idx="22">
                  <c:v>40565.99062538959</c:v>
                </c:pt>
                <c:pt idx="23">
                  <c:v>40552.368675618025</c:v>
                </c:pt>
                <c:pt idx="24">
                  <c:v>40516.395410081277</c:v>
                </c:pt>
                <c:pt idx="25">
                  <c:v>40508.126639775386</c:v>
                </c:pt>
                <c:pt idx="26">
                  <c:v>40505.007288121466</c:v>
                </c:pt>
                <c:pt idx="27">
                  <c:v>40488.039640415671</c:v>
                </c:pt>
                <c:pt idx="28">
                  <c:v>40481.482492494535</c:v>
                </c:pt>
                <c:pt idx="29">
                  <c:v>40485.084140820007</c:v>
                </c:pt>
                <c:pt idx="30">
                  <c:v>40477.387355968785</c:v>
                </c:pt>
                <c:pt idx="31">
                  <c:v>40485.252255723673</c:v>
                </c:pt>
                <c:pt idx="32">
                  <c:v>40491.816762236223</c:v>
                </c:pt>
                <c:pt idx="33">
                  <c:v>40494.579767976116</c:v>
                </c:pt>
                <c:pt idx="34">
                  <c:v>40480.423302625</c:v>
                </c:pt>
              </c:numCache>
            </c:numRef>
          </c:val>
          <c:smooth val="0"/>
          <c:extLst>
            <c:ext xmlns:c16="http://schemas.microsoft.com/office/drawing/2014/chart" uri="{C3380CC4-5D6E-409C-BE32-E72D297353CC}">
              <c16:uniqueId val="{00000003-4018-4C4B-9BD6-C1B7FA42A0E4}"/>
            </c:ext>
          </c:extLst>
        </c:ser>
        <c:ser>
          <c:idx val="4"/>
          <c:order val="4"/>
          <c:tx>
            <c:strRef>
              <c:f>BEPAM_PRICE!$R$2</c:f>
              <c:strCache>
                <c:ptCount val="1"/>
                <c:pt idx="0">
                  <c:v>BEV</c:v>
                </c:pt>
              </c:strCache>
            </c:strRef>
          </c:tx>
          <c:spPr>
            <a:ln w="28575" cap="rnd">
              <a:solidFill>
                <a:schemeClr val="accent5"/>
              </a:solidFill>
              <a:round/>
            </a:ln>
            <a:effectLst/>
          </c:spPr>
          <c:marker>
            <c:symbol val="none"/>
          </c:marker>
          <c:cat>
            <c:numRef>
              <c:f>BEPAM_PRICE!$A$3:$A$37</c:f>
              <c:numCache>
                <c:formatCode>General</c:formatCode>
                <c:ptCount val="3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pt idx="25">
                  <c:v>2041</c:v>
                </c:pt>
                <c:pt idx="26">
                  <c:v>2042</c:v>
                </c:pt>
                <c:pt idx="27">
                  <c:v>2043</c:v>
                </c:pt>
                <c:pt idx="28">
                  <c:v>2044</c:v>
                </c:pt>
                <c:pt idx="29">
                  <c:v>2045</c:v>
                </c:pt>
                <c:pt idx="30">
                  <c:v>2046</c:v>
                </c:pt>
                <c:pt idx="31">
                  <c:v>2047</c:v>
                </c:pt>
                <c:pt idx="32">
                  <c:v>2048</c:v>
                </c:pt>
                <c:pt idx="33">
                  <c:v>2049</c:v>
                </c:pt>
                <c:pt idx="34">
                  <c:v>2050</c:v>
                </c:pt>
              </c:numCache>
            </c:numRef>
          </c:cat>
          <c:val>
            <c:numRef>
              <c:f>BEPAM_PRICE!$R$3:$R$37</c:f>
              <c:numCache>
                <c:formatCode>0</c:formatCode>
                <c:ptCount val="35"/>
                <c:pt idx="0">
                  <c:v>45831.718788486098</c:v>
                </c:pt>
                <c:pt idx="1">
                  <c:v>47172.974507511477</c:v>
                </c:pt>
                <c:pt idx="2">
                  <c:v>49385.25274395648</c:v>
                </c:pt>
                <c:pt idx="3">
                  <c:v>52019.747227986671</c:v>
                </c:pt>
                <c:pt idx="4">
                  <c:v>48104.011034428157</c:v>
                </c:pt>
                <c:pt idx="5">
                  <c:v>48298.288073243995</c:v>
                </c:pt>
                <c:pt idx="6">
                  <c:v>47242.571038721631</c:v>
                </c:pt>
                <c:pt idx="7">
                  <c:v>46336.92021397761</c:v>
                </c:pt>
                <c:pt idx="8">
                  <c:v>45482.001131203157</c:v>
                </c:pt>
                <c:pt idx="9">
                  <c:v>45046.240459115827</c:v>
                </c:pt>
                <c:pt idx="10">
                  <c:v>44672.177107519106</c:v>
                </c:pt>
                <c:pt idx="11">
                  <c:v>44368.695472013111</c:v>
                </c:pt>
                <c:pt idx="12">
                  <c:v>44142.272054173241</c:v>
                </c:pt>
                <c:pt idx="13">
                  <c:v>43922.310167553791</c:v>
                </c:pt>
                <c:pt idx="14">
                  <c:v>43743.891918260553</c:v>
                </c:pt>
                <c:pt idx="15">
                  <c:v>43607.532977861629</c:v>
                </c:pt>
                <c:pt idx="16">
                  <c:v>43479.741915450686</c:v>
                </c:pt>
                <c:pt idx="17">
                  <c:v>43344.576424541054</c:v>
                </c:pt>
                <c:pt idx="18">
                  <c:v>43195.171313917133</c:v>
                </c:pt>
                <c:pt idx="19">
                  <c:v>43051.628415374958</c:v>
                </c:pt>
                <c:pt idx="20">
                  <c:v>42922.86624014446</c:v>
                </c:pt>
                <c:pt idx="21">
                  <c:v>42802.416253951546</c:v>
                </c:pt>
                <c:pt idx="22">
                  <c:v>42683.135077627747</c:v>
                </c:pt>
                <c:pt idx="23">
                  <c:v>42579.405361199213</c:v>
                </c:pt>
                <c:pt idx="24">
                  <c:v>42473.470645982517</c:v>
                </c:pt>
                <c:pt idx="25">
                  <c:v>42379.521925412926</c:v>
                </c:pt>
                <c:pt idx="26">
                  <c:v>42291.76296925699</c:v>
                </c:pt>
                <c:pt idx="27">
                  <c:v>42201.26931578615</c:v>
                </c:pt>
                <c:pt idx="28">
                  <c:v>42124.144916782214</c:v>
                </c:pt>
                <c:pt idx="29">
                  <c:v>42055.476593068153</c:v>
                </c:pt>
                <c:pt idx="30">
                  <c:v>41983.657670945278</c:v>
                </c:pt>
                <c:pt idx="31">
                  <c:v>41923.824615132224</c:v>
                </c:pt>
                <c:pt idx="32">
                  <c:v>41865.671799452342</c:v>
                </c:pt>
                <c:pt idx="33">
                  <c:v>41808.536753057786</c:v>
                </c:pt>
                <c:pt idx="34">
                  <c:v>41735.599675332247</c:v>
                </c:pt>
              </c:numCache>
            </c:numRef>
          </c:val>
          <c:smooth val="0"/>
          <c:extLst>
            <c:ext xmlns:c16="http://schemas.microsoft.com/office/drawing/2014/chart" uri="{C3380CC4-5D6E-409C-BE32-E72D297353CC}">
              <c16:uniqueId val="{00000004-4018-4C4B-9BD6-C1B7FA42A0E4}"/>
            </c:ext>
          </c:extLst>
        </c:ser>
        <c:dLbls>
          <c:showLegendKey val="0"/>
          <c:showVal val="0"/>
          <c:showCatName val="0"/>
          <c:showSerName val="0"/>
          <c:showPercent val="0"/>
          <c:showBubbleSize val="0"/>
        </c:dLbls>
        <c:smooth val="0"/>
        <c:axId val="593426367"/>
        <c:axId val="593429279"/>
      </c:lineChart>
      <c:catAx>
        <c:axId val="5934263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93429279"/>
        <c:crosses val="autoZero"/>
        <c:auto val="1"/>
        <c:lblAlgn val="ctr"/>
        <c:lblOffset val="100"/>
        <c:noMultiLvlLbl val="0"/>
      </c:catAx>
      <c:valAx>
        <c:axId val="593429279"/>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934263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4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b="0"/>
              <a:t>Distribution of daily kilometer driven of three groups</a:t>
            </a:r>
          </a:p>
        </c:rich>
      </c:tx>
      <c:overlay val="0"/>
      <c:spPr>
        <a:noFill/>
        <a:ln>
          <a:noFill/>
        </a:ln>
        <a:effectLst/>
      </c:spPr>
      <c:txPr>
        <a:bodyPr rot="0" spcFirstLastPara="1" vertOverflow="ellipsis" vert="horz" wrap="square" anchor="ctr" anchorCtr="1"/>
        <a:lstStyle/>
        <a:p>
          <a:pPr>
            <a:defRPr sz="144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3155314960629921"/>
          <c:y val="0.17171296296296298"/>
          <c:w val="0.82580008748906386"/>
          <c:h val="0.61498432487605714"/>
        </c:manualLayout>
      </c:layout>
      <c:scatterChart>
        <c:scatterStyle val="smoothMarker"/>
        <c:varyColors val="0"/>
        <c:ser>
          <c:idx val="1"/>
          <c:order val="0"/>
          <c:tx>
            <c:v>Low</c:v>
          </c:tx>
          <c:spPr>
            <a:ln w="28575" cap="rnd">
              <a:solidFill>
                <a:schemeClr val="accent5"/>
              </a:solidFill>
              <a:round/>
            </a:ln>
            <a:effectLst/>
          </c:spPr>
          <c:marker>
            <c:symbol val="none"/>
          </c:marker>
          <c:xVal>
            <c:numRef>
              <c:f>Sheet1!$A$1:$A$21</c:f>
              <c:numCache>
                <c:formatCode>General</c:formatCode>
                <c:ptCount val="2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numCache>
            </c:numRef>
          </c:xVal>
          <c:yVal>
            <c:numRef>
              <c:f>Sheet1!$B$1:$B$21</c:f>
              <c:numCache>
                <c:formatCode>General</c:formatCode>
                <c:ptCount val="21"/>
                <c:pt idx="0">
                  <c:v>0</c:v>
                </c:pt>
                <c:pt idx="1">
                  <c:v>4.2341408019002727E-2</c:v>
                </c:pt>
                <c:pt idx="2">
                  <c:v>2.3386124506605585E-2</c:v>
                </c:pt>
                <c:pt idx="3">
                  <c:v>1.0621671805379018E-2</c:v>
                </c:pt>
                <c:pt idx="4">
                  <c:v>4.4529086276769471E-3</c:v>
                </c:pt>
                <c:pt idx="5">
                  <c:v>1.7866322004668285E-3</c:v>
                </c:pt>
                <c:pt idx="6">
                  <c:v>6.9722181788833707E-4</c:v>
                </c:pt>
                <c:pt idx="7">
                  <c:v>2.669238315800306E-4</c:v>
                </c:pt>
                <c:pt idx="8">
                  <c:v>1.0076609736514888E-4</c:v>
                </c:pt>
                <c:pt idx="9">
                  <c:v>3.7634895858672278E-5</c:v>
                </c:pt>
                <c:pt idx="10">
                  <c:v>1.3937933134956958E-5</c:v>
                </c:pt>
                <c:pt idx="11">
                  <c:v>5.1267007398267878E-6</c:v>
                </c:pt>
                <c:pt idx="12">
                  <c:v>1.8751100137399702E-6</c:v>
                </c:pt>
                <c:pt idx="13">
                  <c:v>6.8258627245048198E-7</c:v>
                </c:pt>
                <c:pt idx="14">
                  <c:v>2.4747748801365897E-7</c:v>
                </c:pt>
                <c:pt idx="15">
                  <c:v>8.9413533008548649E-8</c:v>
                </c:pt>
                <c:pt idx="16">
                  <c:v>3.2207376646904578E-8</c:v>
                </c:pt>
                <c:pt idx="17">
                  <c:v>1.1570485835099558E-8</c:v>
                </c:pt>
                <c:pt idx="18">
                  <c:v>4.1469060511928388E-9</c:v>
                </c:pt>
                <c:pt idx="19">
                  <c:v>1.4831460046326237E-9</c:v>
                </c:pt>
                <c:pt idx="20">
                  <c:v>5.2944934957521728E-10</c:v>
                </c:pt>
              </c:numCache>
            </c:numRef>
          </c:yVal>
          <c:smooth val="1"/>
          <c:extLst>
            <c:ext xmlns:c16="http://schemas.microsoft.com/office/drawing/2014/chart" uri="{C3380CC4-5D6E-409C-BE32-E72D297353CC}">
              <c16:uniqueId val="{00000000-7CB5-4EFB-ABCB-CEB8A2893738}"/>
            </c:ext>
          </c:extLst>
        </c:ser>
        <c:ser>
          <c:idx val="2"/>
          <c:order val="1"/>
          <c:tx>
            <c:v>Medium</c:v>
          </c:tx>
          <c:spPr>
            <a:ln w="28575" cap="rnd">
              <a:solidFill>
                <a:schemeClr val="accent4"/>
              </a:solidFill>
              <a:round/>
            </a:ln>
            <a:effectLst/>
          </c:spPr>
          <c:marker>
            <c:symbol val="none"/>
          </c:marker>
          <c:xVal>
            <c:numRef>
              <c:f>Sheet1!$A$1:$A$21</c:f>
              <c:numCache>
                <c:formatCode>General</c:formatCode>
                <c:ptCount val="2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numCache>
            </c:numRef>
          </c:xVal>
          <c:yVal>
            <c:numRef>
              <c:f>Sheet1!$C$1:$C$21</c:f>
              <c:numCache>
                <c:formatCode>General</c:formatCode>
                <c:ptCount val="21"/>
                <c:pt idx="0">
                  <c:v>0</c:v>
                </c:pt>
                <c:pt idx="1">
                  <c:v>1.7845977763953934E-2</c:v>
                </c:pt>
                <c:pt idx="2">
                  <c:v>1.8439991165496716E-2</c:v>
                </c:pt>
                <c:pt idx="3">
                  <c:v>1.5668330684709478E-2</c:v>
                </c:pt>
                <c:pt idx="4">
                  <c:v>1.2288561119178787E-2</c:v>
                </c:pt>
                <c:pt idx="5">
                  <c:v>9.2240108848545155E-3</c:v>
                </c:pt>
                <c:pt idx="6">
                  <c:v>6.7341536021163564E-3</c:v>
                </c:pt>
                <c:pt idx="7">
                  <c:v>4.8231059160924001E-3</c:v>
                </c:pt>
                <c:pt idx="8">
                  <c:v>3.4062873933279219E-3</c:v>
                </c:pt>
                <c:pt idx="9">
                  <c:v>2.380043893701808E-3</c:v>
                </c:pt>
                <c:pt idx="10">
                  <c:v>1.6489976024991399E-3</c:v>
                </c:pt>
                <c:pt idx="11">
                  <c:v>1.1347155703336918E-3</c:v>
                </c:pt>
                <c:pt idx="12">
                  <c:v>7.7643159508825076E-4</c:v>
                </c:pt>
                <c:pt idx="13">
                  <c:v>5.2876341161760872E-4</c:v>
                </c:pt>
                <c:pt idx="14">
                  <c:v>3.586467872507364E-4</c:v>
                </c:pt>
                <c:pt idx="15">
                  <c:v>2.4241634602539813E-4</c:v>
                </c:pt>
                <c:pt idx="16">
                  <c:v>1.6335837208468875E-4</c:v>
                </c:pt>
                <c:pt idx="17">
                  <c:v>1.0979056986929581E-4</c:v>
                </c:pt>
                <c:pt idx="18">
                  <c:v>7.3614783692804055E-5</c:v>
                </c:pt>
                <c:pt idx="19">
                  <c:v>4.9255207111972844E-5</c:v>
                </c:pt>
                <c:pt idx="20">
                  <c:v>3.2894255548805824E-5</c:v>
                </c:pt>
              </c:numCache>
            </c:numRef>
          </c:yVal>
          <c:smooth val="1"/>
          <c:extLst>
            <c:ext xmlns:c16="http://schemas.microsoft.com/office/drawing/2014/chart" uri="{C3380CC4-5D6E-409C-BE32-E72D297353CC}">
              <c16:uniqueId val="{00000001-7CB5-4EFB-ABCB-CEB8A2893738}"/>
            </c:ext>
          </c:extLst>
        </c:ser>
        <c:ser>
          <c:idx val="3"/>
          <c:order val="2"/>
          <c:tx>
            <c:v>High</c:v>
          </c:tx>
          <c:spPr>
            <a:ln w="28575" cap="rnd">
              <a:solidFill>
                <a:schemeClr val="accent6">
                  <a:lumMod val="60000"/>
                </a:schemeClr>
              </a:solidFill>
              <a:round/>
            </a:ln>
            <a:effectLst/>
          </c:spPr>
          <c:marker>
            <c:symbol val="none"/>
          </c:marker>
          <c:xVal>
            <c:numRef>
              <c:f>Sheet1!$A$1:$A$21</c:f>
              <c:numCache>
                <c:formatCode>General</c:formatCode>
                <c:ptCount val="21"/>
                <c:pt idx="0">
                  <c:v>0</c:v>
                </c:pt>
                <c:pt idx="1">
                  <c:v>10</c:v>
                </c:pt>
                <c:pt idx="2">
                  <c:v>20</c:v>
                </c:pt>
                <c:pt idx="3">
                  <c:v>30</c:v>
                </c:pt>
                <c:pt idx="4">
                  <c:v>40</c:v>
                </c:pt>
                <c:pt idx="5">
                  <c:v>50</c:v>
                </c:pt>
                <c:pt idx="6">
                  <c:v>60</c:v>
                </c:pt>
                <c:pt idx="7">
                  <c:v>70</c:v>
                </c:pt>
                <c:pt idx="8">
                  <c:v>80</c:v>
                </c:pt>
                <c:pt idx="9">
                  <c:v>90</c:v>
                </c:pt>
                <c:pt idx="10">
                  <c:v>100</c:v>
                </c:pt>
                <c:pt idx="11">
                  <c:v>110</c:v>
                </c:pt>
                <c:pt idx="12">
                  <c:v>120</c:v>
                </c:pt>
                <c:pt idx="13">
                  <c:v>130</c:v>
                </c:pt>
                <c:pt idx="14">
                  <c:v>140</c:v>
                </c:pt>
                <c:pt idx="15">
                  <c:v>150</c:v>
                </c:pt>
                <c:pt idx="16">
                  <c:v>160</c:v>
                </c:pt>
                <c:pt idx="17">
                  <c:v>170</c:v>
                </c:pt>
                <c:pt idx="18">
                  <c:v>180</c:v>
                </c:pt>
                <c:pt idx="19">
                  <c:v>190</c:v>
                </c:pt>
                <c:pt idx="20">
                  <c:v>200</c:v>
                </c:pt>
              </c:numCache>
            </c:numRef>
          </c:xVal>
          <c:yVal>
            <c:numRef>
              <c:f>Sheet1!$D$1:$D$21</c:f>
              <c:numCache>
                <c:formatCode>General</c:formatCode>
                <c:ptCount val="21"/>
                <c:pt idx="0">
                  <c:v>0</c:v>
                </c:pt>
                <c:pt idx="1">
                  <c:v>7.9721814038004237E-3</c:v>
                </c:pt>
                <c:pt idx="2">
                  <c:v>1.0546042034583926E-2</c:v>
                </c:pt>
                <c:pt idx="3">
                  <c:v>1.1082834154121044E-2</c:v>
                </c:pt>
                <c:pt idx="4">
                  <c:v>1.0599616507541147E-2</c:v>
                </c:pt>
                <c:pt idx="5">
                  <c:v>9.6273440506748666E-3</c:v>
                </c:pt>
                <c:pt idx="6">
                  <c:v>8.4633016121187961E-3</c:v>
                </c:pt>
                <c:pt idx="7">
                  <c:v>7.2742057228122967E-3</c:v>
                </c:pt>
                <c:pt idx="8">
                  <c:v>6.1498916727516168E-3</c:v>
                </c:pt>
                <c:pt idx="9">
                  <c:v>5.1342594728967985E-3</c:v>
                </c:pt>
                <c:pt idx="10">
                  <c:v>4.2439683327721951E-3</c:v>
                </c:pt>
                <c:pt idx="11">
                  <c:v>3.4799628839419024E-3</c:v>
                </c:pt>
                <c:pt idx="12">
                  <c:v>2.8346130995993671E-3</c:v>
                </c:pt>
                <c:pt idx="13">
                  <c:v>2.2961053153851478E-3</c:v>
                </c:pt>
                <c:pt idx="14">
                  <c:v>1.8510914710574316E-3</c:v>
                </c:pt>
                <c:pt idx="15">
                  <c:v>1.4862326153086292E-3</c:v>
                </c:pt>
                <c:pt idx="16">
                  <c:v>1.1890444651672784E-3</c:v>
                </c:pt>
                <c:pt idx="17">
                  <c:v>9.4830835260880178E-4</c:v>
                </c:pt>
                <c:pt idx="18">
                  <c:v>7.542177897927677E-4</c:v>
                </c:pt>
                <c:pt idx="19">
                  <c:v>5.9837022902991437E-4</c:v>
                </c:pt>
                <c:pt idx="20">
                  <c:v>4.7367386447748008E-4</c:v>
                </c:pt>
              </c:numCache>
            </c:numRef>
          </c:yVal>
          <c:smooth val="1"/>
          <c:extLst>
            <c:ext xmlns:c16="http://schemas.microsoft.com/office/drawing/2014/chart" uri="{C3380CC4-5D6E-409C-BE32-E72D297353CC}">
              <c16:uniqueId val="{00000002-7CB5-4EFB-ABCB-CEB8A2893738}"/>
            </c:ext>
          </c:extLst>
        </c:ser>
        <c:dLbls>
          <c:showLegendKey val="0"/>
          <c:showVal val="0"/>
          <c:showCatName val="0"/>
          <c:showSerName val="0"/>
          <c:showPercent val="0"/>
          <c:showBubbleSize val="0"/>
        </c:dLbls>
        <c:axId val="1750788703"/>
        <c:axId val="1741886975"/>
      </c:scatterChart>
      <c:valAx>
        <c:axId val="1750788703"/>
        <c:scaling>
          <c:orientation val="minMax"/>
          <c:max val="200"/>
        </c:scaling>
        <c:delete val="0"/>
        <c:axPos val="b"/>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Daily Mileage</a:t>
                </a:r>
                <a:r>
                  <a:rPr lang="en-US" baseline="0"/>
                  <a:t> Driven (mile)</a:t>
                </a:r>
                <a:endParaRPr lang="en-US"/>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41886975"/>
        <c:crosses val="autoZero"/>
        <c:crossBetween val="midCat"/>
      </c:valAx>
      <c:valAx>
        <c:axId val="174188697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Probability distribution</a:t>
                </a: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50788703"/>
        <c:crosses val="autoZero"/>
        <c:crossBetween val="midCat"/>
      </c:valAx>
      <c:spPr>
        <a:noFill/>
        <a:ln>
          <a:noFill/>
        </a:ln>
        <a:effectLst/>
      </c:spPr>
    </c:plotArea>
    <c:legend>
      <c:legendPos val="b"/>
      <c:layout>
        <c:manualLayout>
          <c:xMode val="edge"/>
          <c:yMode val="edge"/>
          <c:x val="0.29111942257217843"/>
          <c:y val="0.17191965587634875"/>
          <c:w val="0.45665004374453194"/>
          <c:h val="7.3450714494021574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Random Terms Distribution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scatterChart>
        <c:scatterStyle val="smoothMarker"/>
        <c:varyColors val="0"/>
        <c:ser>
          <c:idx val="0"/>
          <c:order val="0"/>
          <c:tx>
            <c:v>CV</c:v>
          </c:tx>
          <c:spPr>
            <a:ln w="19050" cap="rnd">
              <a:solidFill>
                <a:schemeClr val="accent1"/>
              </a:solidFill>
              <a:round/>
            </a:ln>
            <a:effectLst/>
          </c:spPr>
          <c:marker>
            <c:symbol val="none"/>
          </c:marker>
          <c:xVal>
            <c:numRef>
              <c:f>rterm!$M$2:$M$69</c:f>
              <c:numCache>
                <c:formatCode>General</c:formatCode>
                <c:ptCount val="68"/>
                <c:pt idx="0">
                  <c:v>-1500</c:v>
                </c:pt>
                <c:pt idx="1">
                  <c:v>-1400</c:v>
                </c:pt>
                <c:pt idx="2">
                  <c:v>-1300</c:v>
                </c:pt>
                <c:pt idx="3">
                  <c:v>-1200</c:v>
                </c:pt>
                <c:pt idx="4">
                  <c:v>-1100</c:v>
                </c:pt>
                <c:pt idx="5">
                  <c:v>-1000</c:v>
                </c:pt>
                <c:pt idx="6">
                  <c:v>-900</c:v>
                </c:pt>
                <c:pt idx="7">
                  <c:v>-800</c:v>
                </c:pt>
                <c:pt idx="8">
                  <c:v>-700</c:v>
                </c:pt>
                <c:pt idx="9">
                  <c:v>-600</c:v>
                </c:pt>
                <c:pt idx="10">
                  <c:v>-500</c:v>
                </c:pt>
                <c:pt idx="11">
                  <c:v>-400</c:v>
                </c:pt>
                <c:pt idx="12">
                  <c:v>-300</c:v>
                </c:pt>
                <c:pt idx="13">
                  <c:v>-200</c:v>
                </c:pt>
                <c:pt idx="14">
                  <c:v>-100</c:v>
                </c:pt>
                <c:pt idx="15">
                  <c:v>0</c:v>
                </c:pt>
                <c:pt idx="16">
                  <c:v>100</c:v>
                </c:pt>
                <c:pt idx="17">
                  <c:v>200</c:v>
                </c:pt>
                <c:pt idx="18">
                  <c:v>300</c:v>
                </c:pt>
                <c:pt idx="19">
                  <c:v>400</c:v>
                </c:pt>
                <c:pt idx="20">
                  <c:v>500</c:v>
                </c:pt>
                <c:pt idx="21">
                  <c:v>600</c:v>
                </c:pt>
                <c:pt idx="22">
                  <c:v>700</c:v>
                </c:pt>
                <c:pt idx="23">
                  <c:v>800</c:v>
                </c:pt>
                <c:pt idx="24">
                  <c:v>900</c:v>
                </c:pt>
                <c:pt idx="25">
                  <c:v>1000</c:v>
                </c:pt>
                <c:pt idx="26">
                  <c:v>1100</c:v>
                </c:pt>
                <c:pt idx="27">
                  <c:v>1200</c:v>
                </c:pt>
                <c:pt idx="28">
                  <c:v>1300</c:v>
                </c:pt>
                <c:pt idx="29">
                  <c:v>1400</c:v>
                </c:pt>
                <c:pt idx="30">
                  <c:v>1500</c:v>
                </c:pt>
                <c:pt idx="31">
                  <c:v>1600</c:v>
                </c:pt>
                <c:pt idx="32">
                  <c:v>1700</c:v>
                </c:pt>
                <c:pt idx="33">
                  <c:v>1800</c:v>
                </c:pt>
                <c:pt idx="34">
                  <c:v>1900</c:v>
                </c:pt>
                <c:pt idx="35">
                  <c:v>2000</c:v>
                </c:pt>
                <c:pt idx="36">
                  <c:v>2100</c:v>
                </c:pt>
                <c:pt idx="37">
                  <c:v>2200</c:v>
                </c:pt>
                <c:pt idx="38">
                  <c:v>2300</c:v>
                </c:pt>
                <c:pt idx="39">
                  <c:v>2400</c:v>
                </c:pt>
                <c:pt idx="40">
                  <c:v>2500</c:v>
                </c:pt>
                <c:pt idx="41">
                  <c:v>2600</c:v>
                </c:pt>
                <c:pt idx="42">
                  <c:v>2700</c:v>
                </c:pt>
                <c:pt idx="43">
                  <c:v>2800</c:v>
                </c:pt>
                <c:pt idx="44">
                  <c:v>2900</c:v>
                </c:pt>
                <c:pt idx="45">
                  <c:v>3000</c:v>
                </c:pt>
                <c:pt idx="46">
                  <c:v>3100</c:v>
                </c:pt>
                <c:pt idx="47">
                  <c:v>3200</c:v>
                </c:pt>
                <c:pt idx="48">
                  <c:v>3300</c:v>
                </c:pt>
                <c:pt idx="49">
                  <c:v>3400</c:v>
                </c:pt>
                <c:pt idx="50">
                  <c:v>3500</c:v>
                </c:pt>
                <c:pt idx="51">
                  <c:v>3600</c:v>
                </c:pt>
                <c:pt idx="52">
                  <c:v>3700</c:v>
                </c:pt>
                <c:pt idx="53">
                  <c:v>3800</c:v>
                </c:pt>
                <c:pt idx="54">
                  <c:v>3900</c:v>
                </c:pt>
                <c:pt idx="55">
                  <c:v>4000</c:v>
                </c:pt>
                <c:pt idx="56">
                  <c:v>4100</c:v>
                </c:pt>
                <c:pt idx="57">
                  <c:v>4200</c:v>
                </c:pt>
                <c:pt idx="58">
                  <c:v>4300</c:v>
                </c:pt>
                <c:pt idx="59">
                  <c:v>4400</c:v>
                </c:pt>
                <c:pt idx="60">
                  <c:v>4500</c:v>
                </c:pt>
                <c:pt idx="61">
                  <c:v>4600</c:v>
                </c:pt>
                <c:pt idx="62">
                  <c:v>4700</c:v>
                </c:pt>
                <c:pt idx="63">
                  <c:v>4800</c:v>
                </c:pt>
                <c:pt idx="64">
                  <c:v>4900</c:v>
                </c:pt>
                <c:pt idx="65">
                  <c:v>5000</c:v>
                </c:pt>
                <c:pt idx="66">
                  <c:v>5100</c:v>
                </c:pt>
                <c:pt idx="67">
                  <c:v>5200</c:v>
                </c:pt>
              </c:numCache>
            </c:numRef>
          </c:xVal>
          <c:yVal>
            <c:numRef>
              <c:f>rterm!$AF$2:$AF$69</c:f>
              <c:numCache>
                <c:formatCode>General</c:formatCode>
                <c:ptCount val="68"/>
                <c:pt idx="0">
                  <c:v>0</c:v>
                </c:pt>
                <c:pt idx="1">
                  <c:v>0</c:v>
                </c:pt>
                <c:pt idx="2">
                  <c:v>0</c:v>
                </c:pt>
                <c:pt idx="3">
                  <c:v>0</c:v>
                </c:pt>
                <c:pt idx="4">
                  <c:v>0</c:v>
                </c:pt>
                <c:pt idx="5">
                  <c:v>0</c:v>
                </c:pt>
                <c:pt idx="6">
                  <c:v>0</c:v>
                </c:pt>
                <c:pt idx="7">
                  <c:v>0</c:v>
                </c:pt>
                <c:pt idx="8">
                  <c:v>0</c:v>
                </c:pt>
                <c:pt idx="9">
                  <c:v>0</c:v>
                </c:pt>
                <c:pt idx="10">
                  <c:v>0</c:v>
                </c:pt>
                <c:pt idx="11">
                  <c:v>9</c:v>
                </c:pt>
                <c:pt idx="12">
                  <c:v>88</c:v>
                </c:pt>
                <c:pt idx="13">
                  <c:v>538</c:v>
                </c:pt>
                <c:pt idx="14">
                  <c:v>3174</c:v>
                </c:pt>
                <c:pt idx="15">
                  <c:v>11291</c:v>
                </c:pt>
                <c:pt idx="16">
                  <c:v>29226</c:v>
                </c:pt>
                <c:pt idx="17">
                  <c:v>51114</c:v>
                </c:pt>
                <c:pt idx="18">
                  <c:v>72083</c:v>
                </c:pt>
                <c:pt idx="19">
                  <c:v>84925</c:v>
                </c:pt>
                <c:pt idx="20">
                  <c:v>90950</c:v>
                </c:pt>
                <c:pt idx="21">
                  <c:v>91030</c:v>
                </c:pt>
                <c:pt idx="22">
                  <c:v>85972</c:v>
                </c:pt>
                <c:pt idx="23">
                  <c:v>78932</c:v>
                </c:pt>
                <c:pt idx="24">
                  <c:v>69907</c:v>
                </c:pt>
                <c:pt idx="25">
                  <c:v>62217</c:v>
                </c:pt>
                <c:pt idx="26">
                  <c:v>52990</c:v>
                </c:pt>
                <c:pt idx="27">
                  <c:v>45159</c:v>
                </c:pt>
                <c:pt idx="28">
                  <c:v>37923</c:v>
                </c:pt>
                <c:pt idx="29">
                  <c:v>31359</c:v>
                </c:pt>
                <c:pt idx="30">
                  <c:v>26399</c:v>
                </c:pt>
                <c:pt idx="31">
                  <c:v>21979</c:v>
                </c:pt>
                <c:pt idx="32">
                  <c:v>18046</c:v>
                </c:pt>
                <c:pt idx="33">
                  <c:v>14996</c:v>
                </c:pt>
                <c:pt idx="34">
                  <c:v>12116</c:v>
                </c:pt>
                <c:pt idx="35">
                  <c:v>10125</c:v>
                </c:pt>
                <c:pt idx="36">
                  <c:v>8164</c:v>
                </c:pt>
                <c:pt idx="37">
                  <c:v>6777</c:v>
                </c:pt>
                <c:pt idx="38">
                  <c:v>5486</c:v>
                </c:pt>
                <c:pt idx="39">
                  <c:v>4481</c:v>
                </c:pt>
                <c:pt idx="40">
                  <c:v>3732</c:v>
                </c:pt>
                <c:pt idx="41">
                  <c:v>3149</c:v>
                </c:pt>
                <c:pt idx="42">
                  <c:v>2426</c:v>
                </c:pt>
                <c:pt idx="43">
                  <c:v>2095</c:v>
                </c:pt>
                <c:pt idx="44">
                  <c:v>1686</c:v>
                </c:pt>
                <c:pt idx="45">
                  <c:v>1387</c:v>
                </c:pt>
                <c:pt idx="46">
                  <c:v>1179</c:v>
                </c:pt>
                <c:pt idx="47">
                  <c:v>917</c:v>
                </c:pt>
                <c:pt idx="48">
                  <c:v>808</c:v>
                </c:pt>
                <c:pt idx="49">
                  <c:v>663</c:v>
                </c:pt>
                <c:pt idx="50">
                  <c:v>525</c:v>
                </c:pt>
                <c:pt idx="51">
                  <c:v>414</c:v>
                </c:pt>
                <c:pt idx="52">
                  <c:v>327</c:v>
                </c:pt>
                <c:pt idx="53">
                  <c:v>244</c:v>
                </c:pt>
                <c:pt idx="54">
                  <c:v>237</c:v>
                </c:pt>
                <c:pt idx="55">
                  <c:v>247</c:v>
                </c:pt>
                <c:pt idx="56">
                  <c:v>198</c:v>
                </c:pt>
                <c:pt idx="57">
                  <c:v>141</c:v>
                </c:pt>
                <c:pt idx="58">
                  <c:v>125</c:v>
                </c:pt>
                <c:pt idx="59">
                  <c:v>95</c:v>
                </c:pt>
                <c:pt idx="60">
                  <c:v>59</c:v>
                </c:pt>
                <c:pt idx="61">
                  <c:v>57</c:v>
                </c:pt>
                <c:pt idx="62">
                  <c:v>68</c:v>
                </c:pt>
                <c:pt idx="63">
                  <c:v>46</c:v>
                </c:pt>
                <c:pt idx="64">
                  <c:v>42</c:v>
                </c:pt>
                <c:pt idx="65">
                  <c:v>39</c:v>
                </c:pt>
                <c:pt idx="66">
                  <c:v>40</c:v>
                </c:pt>
                <c:pt idx="67">
                  <c:v>27</c:v>
                </c:pt>
              </c:numCache>
            </c:numRef>
          </c:yVal>
          <c:smooth val="1"/>
          <c:extLst>
            <c:ext xmlns:c16="http://schemas.microsoft.com/office/drawing/2014/chart" uri="{C3380CC4-5D6E-409C-BE32-E72D297353CC}">
              <c16:uniqueId val="{00000000-099E-40A5-B289-37B5A0984B9D}"/>
            </c:ext>
          </c:extLst>
        </c:ser>
        <c:ser>
          <c:idx val="1"/>
          <c:order val="1"/>
          <c:tx>
            <c:strRef>
              <c:f>rterm!$AG$1</c:f>
              <c:strCache>
                <c:ptCount val="1"/>
                <c:pt idx="0">
                  <c:v>FFV</c:v>
                </c:pt>
              </c:strCache>
            </c:strRef>
          </c:tx>
          <c:spPr>
            <a:ln w="19050" cap="rnd">
              <a:solidFill>
                <a:schemeClr val="accent2"/>
              </a:solidFill>
              <a:round/>
            </a:ln>
            <a:effectLst/>
          </c:spPr>
          <c:marker>
            <c:symbol val="none"/>
          </c:marker>
          <c:xVal>
            <c:numRef>
              <c:f>rterm!$M$2:$M$69</c:f>
              <c:numCache>
                <c:formatCode>General</c:formatCode>
                <c:ptCount val="68"/>
                <c:pt idx="0">
                  <c:v>-1500</c:v>
                </c:pt>
                <c:pt idx="1">
                  <c:v>-1400</c:v>
                </c:pt>
                <c:pt idx="2">
                  <c:v>-1300</c:v>
                </c:pt>
                <c:pt idx="3">
                  <c:v>-1200</c:v>
                </c:pt>
                <c:pt idx="4">
                  <c:v>-1100</c:v>
                </c:pt>
                <c:pt idx="5">
                  <c:v>-1000</c:v>
                </c:pt>
                <c:pt idx="6">
                  <c:v>-900</c:v>
                </c:pt>
                <c:pt idx="7">
                  <c:v>-800</c:v>
                </c:pt>
                <c:pt idx="8">
                  <c:v>-700</c:v>
                </c:pt>
                <c:pt idx="9">
                  <c:v>-600</c:v>
                </c:pt>
                <c:pt idx="10">
                  <c:v>-500</c:v>
                </c:pt>
                <c:pt idx="11">
                  <c:v>-400</c:v>
                </c:pt>
                <c:pt idx="12">
                  <c:v>-300</c:v>
                </c:pt>
                <c:pt idx="13">
                  <c:v>-200</c:v>
                </c:pt>
                <c:pt idx="14">
                  <c:v>-100</c:v>
                </c:pt>
                <c:pt idx="15">
                  <c:v>0</c:v>
                </c:pt>
                <c:pt idx="16">
                  <c:v>100</c:v>
                </c:pt>
                <c:pt idx="17">
                  <c:v>200</c:v>
                </c:pt>
                <c:pt idx="18">
                  <c:v>300</c:v>
                </c:pt>
                <c:pt idx="19">
                  <c:v>400</c:v>
                </c:pt>
                <c:pt idx="20">
                  <c:v>500</c:v>
                </c:pt>
                <c:pt idx="21">
                  <c:v>600</c:v>
                </c:pt>
                <c:pt idx="22">
                  <c:v>700</c:v>
                </c:pt>
                <c:pt idx="23">
                  <c:v>800</c:v>
                </c:pt>
                <c:pt idx="24">
                  <c:v>900</c:v>
                </c:pt>
                <c:pt idx="25">
                  <c:v>1000</c:v>
                </c:pt>
                <c:pt idx="26">
                  <c:v>1100</c:v>
                </c:pt>
                <c:pt idx="27">
                  <c:v>1200</c:v>
                </c:pt>
                <c:pt idx="28">
                  <c:v>1300</c:v>
                </c:pt>
                <c:pt idx="29">
                  <c:v>1400</c:v>
                </c:pt>
                <c:pt idx="30">
                  <c:v>1500</c:v>
                </c:pt>
                <c:pt idx="31">
                  <c:v>1600</c:v>
                </c:pt>
                <c:pt idx="32">
                  <c:v>1700</c:v>
                </c:pt>
                <c:pt idx="33">
                  <c:v>1800</c:v>
                </c:pt>
                <c:pt idx="34">
                  <c:v>1900</c:v>
                </c:pt>
                <c:pt idx="35">
                  <c:v>2000</c:v>
                </c:pt>
                <c:pt idx="36">
                  <c:v>2100</c:v>
                </c:pt>
                <c:pt idx="37">
                  <c:v>2200</c:v>
                </c:pt>
                <c:pt idx="38">
                  <c:v>2300</c:v>
                </c:pt>
                <c:pt idx="39">
                  <c:v>2400</c:v>
                </c:pt>
                <c:pt idx="40">
                  <c:v>2500</c:v>
                </c:pt>
                <c:pt idx="41">
                  <c:v>2600</c:v>
                </c:pt>
                <c:pt idx="42">
                  <c:v>2700</c:v>
                </c:pt>
                <c:pt idx="43">
                  <c:v>2800</c:v>
                </c:pt>
                <c:pt idx="44">
                  <c:v>2900</c:v>
                </c:pt>
                <c:pt idx="45">
                  <c:v>3000</c:v>
                </c:pt>
                <c:pt idx="46">
                  <c:v>3100</c:v>
                </c:pt>
                <c:pt idx="47">
                  <c:v>3200</c:v>
                </c:pt>
                <c:pt idx="48">
                  <c:v>3300</c:v>
                </c:pt>
                <c:pt idx="49">
                  <c:v>3400</c:v>
                </c:pt>
                <c:pt idx="50">
                  <c:v>3500</c:v>
                </c:pt>
                <c:pt idx="51">
                  <c:v>3600</c:v>
                </c:pt>
                <c:pt idx="52">
                  <c:v>3700</c:v>
                </c:pt>
                <c:pt idx="53">
                  <c:v>3800</c:v>
                </c:pt>
                <c:pt idx="54">
                  <c:v>3900</c:v>
                </c:pt>
                <c:pt idx="55">
                  <c:v>4000</c:v>
                </c:pt>
                <c:pt idx="56">
                  <c:v>4100</c:v>
                </c:pt>
                <c:pt idx="57">
                  <c:v>4200</c:v>
                </c:pt>
                <c:pt idx="58">
                  <c:v>4300</c:v>
                </c:pt>
                <c:pt idx="59">
                  <c:v>4400</c:v>
                </c:pt>
                <c:pt idx="60">
                  <c:v>4500</c:v>
                </c:pt>
                <c:pt idx="61">
                  <c:v>4600</c:v>
                </c:pt>
                <c:pt idx="62">
                  <c:v>4700</c:v>
                </c:pt>
                <c:pt idx="63">
                  <c:v>4800</c:v>
                </c:pt>
                <c:pt idx="64">
                  <c:v>4900</c:v>
                </c:pt>
                <c:pt idx="65">
                  <c:v>5000</c:v>
                </c:pt>
                <c:pt idx="66">
                  <c:v>5100</c:v>
                </c:pt>
                <c:pt idx="67">
                  <c:v>5200</c:v>
                </c:pt>
              </c:numCache>
            </c:numRef>
          </c:xVal>
          <c:yVal>
            <c:numRef>
              <c:f>rterm!$AG$2:$AG$69</c:f>
              <c:numCache>
                <c:formatCode>General</c:formatCode>
                <c:ptCount val="68"/>
                <c:pt idx="0">
                  <c:v>0</c:v>
                </c:pt>
                <c:pt idx="1">
                  <c:v>2</c:v>
                </c:pt>
                <c:pt idx="2">
                  <c:v>21</c:v>
                </c:pt>
                <c:pt idx="3">
                  <c:v>130</c:v>
                </c:pt>
                <c:pt idx="4">
                  <c:v>459</c:v>
                </c:pt>
                <c:pt idx="5">
                  <c:v>1349</c:v>
                </c:pt>
                <c:pt idx="6">
                  <c:v>3185</c:v>
                </c:pt>
                <c:pt idx="7">
                  <c:v>6737</c:v>
                </c:pt>
                <c:pt idx="8">
                  <c:v>12615</c:v>
                </c:pt>
                <c:pt idx="9">
                  <c:v>21125</c:v>
                </c:pt>
                <c:pt idx="10">
                  <c:v>32199</c:v>
                </c:pt>
                <c:pt idx="11">
                  <c:v>45410</c:v>
                </c:pt>
                <c:pt idx="12">
                  <c:v>60832</c:v>
                </c:pt>
                <c:pt idx="13">
                  <c:v>77462</c:v>
                </c:pt>
                <c:pt idx="14">
                  <c:v>89737</c:v>
                </c:pt>
                <c:pt idx="15">
                  <c:v>92937</c:v>
                </c:pt>
                <c:pt idx="16">
                  <c:v>93163</c:v>
                </c:pt>
                <c:pt idx="17">
                  <c:v>79934</c:v>
                </c:pt>
                <c:pt idx="18">
                  <c:v>72412</c:v>
                </c:pt>
                <c:pt idx="19">
                  <c:v>61009</c:v>
                </c:pt>
                <c:pt idx="20">
                  <c:v>51454</c:v>
                </c:pt>
                <c:pt idx="21">
                  <c:v>42822</c:v>
                </c:pt>
                <c:pt idx="22">
                  <c:v>35137</c:v>
                </c:pt>
                <c:pt idx="23">
                  <c:v>29481</c:v>
                </c:pt>
                <c:pt idx="24">
                  <c:v>24255</c:v>
                </c:pt>
                <c:pt idx="25">
                  <c:v>20505</c:v>
                </c:pt>
                <c:pt idx="26">
                  <c:v>16767</c:v>
                </c:pt>
                <c:pt idx="27">
                  <c:v>13828</c:v>
                </c:pt>
                <c:pt idx="28">
                  <c:v>11374</c:v>
                </c:pt>
                <c:pt idx="29">
                  <c:v>9454</c:v>
                </c:pt>
                <c:pt idx="30">
                  <c:v>7763</c:v>
                </c:pt>
                <c:pt idx="31">
                  <c:v>6446</c:v>
                </c:pt>
                <c:pt idx="32">
                  <c:v>5151</c:v>
                </c:pt>
                <c:pt idx="33">
                  <c:v>4139</c:v>
                </c:pt>
                <c:pt idx="34">
                  <c:v>3460</c:v>
                </c:pt>
                <c:pt idx="35">
                  <c:v>2891</c:v>
                </c:pt>
                <c:pt idx="36">
                  <c:v>2255</c:v>
                </c:pt>
                <c:pt idx="37">
                  <c:v>1897</c:v>
                </c:pt>
                <c:pt idx="38">
                  <c:v>1502</c:v>
                </c:pt>
                <c:pt idx="39">
                  <c:v>1284</c:v>
                </c:pt>
                <c:pt idx="40">
                  <c:v>1048</c:v>
                </c:pt>
                <c:pt idx="41">
                  <c:v>793</c:v>
                </c:pt>
                <c:pt idx="42">
                  <c:v>677</c:v>
                </c:pt>
                <c:pt idx="43">
                  <c:v>586</c:v>
                </c:pt>
                <c:pt idx="44">
                  <c:v>441</c:v>
                </c:pt>
                <c:pt idx="45">
                  <c:v>423</c:v>
                </c:pt>
                <c:pt idx="46">
                  <c:v>343</c:v>
                </c:pt>
                <c:pt idx="47">
                  <c:v>304</c:v>
                </c:pt>
                <c:pt idx="48">
                  <c:v>226</c:v>
                </c:pt>
                <c:pt idx="49">
                  <c:v>184</c:v>
                </c:pt>
                <c:pt idx="50">
                  <c:v>150</c:v>
                </c:pt>
                <c:pt idx="51">
                  <c:v>123</c:v>
                </c:pt>
                <c:pt idx="52">
                  <c:v>121</c:v>
                </c:pt>
                <c:pt idx="53">
                  <c:v>87</c:v>
                </c:pt>
                <c:pt idx="54">
                  <c:v>94</c:v>
                </c:pt>
                <c:pt idx="55">
                  <c:v>69</c:v>
                </c:pt>
                <c:pt idx="56">
                  <c:v>32</c:v>
                </c:pt>
                <c:pt idx="57">
                  <c:v>33</c:v>
                </c:pt>
                <c:pt idx="58">
                  <c:v>36</c:v>
                </c:pt>
                <c:pt idx="59">
                  <c:v>24</c:v>
                </c:pt>
                <c:pt idx="60">
                  <c:v>25</c:v>
                </c:pt>
                <c:pt idx="61">
                  <c:v>18</c:v>
                </c:pt>
                <c:pt idx="62">
                  <c:v>19</c:v>
                </c:pt>
                <c:pt idx="63">
                  <c:v>18</c:v>
                </c:pt>
                <c:pt idx="64">
                  <c:v>12</c:v>
                </c:pt>
                <c:pt idx="65">
                  <c:v>11</c:v>
                </c:pt>
                <c:pt idx="66">
                  <c:v>10</c:v>
                </c:pt>
                <c:pt idx="67">
                  <c:v>3</c:v>
                </c:pt>
              </c:numCache>
            </c:numRef>
          </c:yVal>
          <c:smooth val="1"/>
          <c:extLst>
            <c:ext xmlns:c16="http://schemas.microsoft.com/office/drawing/2014/chart" uri="{C3380CC4-5D6E-409C-BE32-E72D297353CC}">
              <c16:uniqueId val="{00000001-099E-40A5-B289-37B5A0984B9D}"/>
            </c:ext>
          </c:extLst>
        </c:ser>
        <c:ser>
          <c:idx val="2"/>
          <c:order val="2"/>
          <c:tx>
            <c:v>HBV</c:v>
          </c:tx>
          <c:spPr>
            <a:ln w="19050" cap="rnd">
              <a:solidFill>
                <a:schemeClr val="accent3"/>
              </a:solidFill>
              <a:round/>
            </a:ln>
            <a:effectLst/>
          </c:spPr>
          <c:marker>
            <c:symbol val="none"/>
          </c:marker>
          <c:xVal>
            <c:numRef>
              <c:f>rterm!$M$2:$M$69</c:f>
              <c:numCache>
                <c:formatCode>General</c:formatCode>
                <c:ptCount val="68"/>
                <c:pt idx="0">
                  <c:v>-1500</c:v>
                </c:pt>
                <c:pt idx="1">
                  <c:v>-1400</c:v>
                </c:pt>
                <c:pt idx="2">
                  <c:v>-1300</c:v>
                </c:pt>
                <c:pt idx="3">
                  <c:v>-1200</c:v>
                </c:pt>
                <c:pt idx="4">
                  <c:v>-1100</c:v>
                </c:pt>
                <c:pt idx="5">
                  <c:v>-1000</c:v>
                </c:pt>
                <c:pt idx="6">
                  <c:v>-900</c:v>
                </c:pt>
                <c:pt idx="7">
                  <c:v>-800</c:v>
                </c:pt>
                <c:pt idx="8">
                  <c:v>-700</c:v>
                </c:pt>
                <c:pt idx="9">
                  <c:v>-600</c:v>
                </c:pt>
                <c:pt idx="10">
                  <c:v>-500</c:v>
                </c:pt>
                <c:pt idx="11">
                  <c:v>-400</c:v>
                </c:pt>
                <c:pt idx="12">
                  <c:v>-300</c:v>
                </c:pt>
                <c:pt idx="13">
                  <c:v>-200</c:v>
                </c:pt>
                <c:pt idx="14">
                  <c:v>-100</c:v>
                </c:pt>
                <c:pt idx="15">
                  <c:v>0</c:v>
                </c:pt>
                <c:pt idx="16">
                  <c:v>100</c:v>
                </c:pt>
                <c:pt idx="17">
                  <c:v>200</c:v>
                </c:pt>
                <c:pt idx="18">
                  <c:v>300</c:v>
                </c:pt>
                <c:pt idx="19">
                  <c:v>400</c:v>
                </c:pt>
                <c:pt idx="20">
                  <c:v>500</c:v>
                </c:pt>
                <c:pt idx="21">
                  <c:v>600</c:v>
                </c:pt>
                <c:pt idx="22">
                  <c:v>700</c:v>
                </c:pt>
                <c:pt idx="23">
                  <c:v>800</c:v>
                </c:pt>
                <c:pt idx="24">
                  <c:v>900</c:v>
                </c:pt>
                <c:pt idx="25">
                  <c:v>1000</c:v>
                </c:pt>
                <c:pt idx="26">
                  <c:v>1100</c:v>
                </c:pt>
                <c:pt idx="27">
                  <c:v>1200</c:v>
                </c:pt>
                <c:pt idx="28">
                  <c:v>1300</c:v>
                </c:pt>
                <c:pt idx="29">
                  <c:v>1400</c:v>
                </c:pt>
                <c:pt idx="30">
                  <c:v>1500</c:v>
                </c:pt>
                <c:pt idx="31">
                  <c:v>1600</c:v>
                </c:pt>
                <c:pt idx="32">
                  <c:v>1700</c:v>
                </c:pt>
                <c:pt idx="33">
                  <c:v>1800</c:v>
                </c:pt>
                <c:pt idx="34">
                  <c:v>1900</c:v>
                </c:pt>
                <c:pt idx="35">
                  <c:v>2000</c:v>
                </c:pt>
                <c:pt idx="36">
                  <c:v>2100</c:v>
                </c:pt>
                <c:pt idx="37">
                  <c:v>2200</c:v>
                </c:pt>
                <c:pt idx="38">
                  <c:v>2300</c:v>
                </c:pt>
                <c:pt idx="39">
                  <c:v>2400</c:v>
                </c:pt>
                <c:pt idx="40">
                  <c:v>2500</c:v>
                </c:pt>
                <c:pt idx="41">
                  <c:v>2600</c:v>
                </c:pt>
                <c:pt idx="42">
                  <c:v>2700</c:v>
                </c:pt>
                <c:pt idx="43">
                  <c:v>2800</c:v>
                </c:pt>
                <c:pt idx="44">
                  <c:v>2900</c:v>
                </c:pt>
                <c:pt idx="45">
                  <c:v>3000</c:v>
                </c:pt>
                <c:pt idx="46">
                  <c:v>3100</c:v>
                </c:pt>
                <c:pt idx="47">
                  <c:v>3200</c:v>
                </c:pt>
                <c:pt idx="48">
                  <c:v>3300</c:v>
                </c:pt>
                <c:pt idx="49">
                  <c:v>3400</c:v>
                </c:pt>
                <c:pt idx="50">
                  <c:v>3500</c:v>
                </c:pt>
                <c:pt idx="51">
                  <c:v>3600</c:v>
                </c:pt>
                <c:pt idx="52">
                  <c:v>3700</c:v>
                </c:pt>
                <c:pt idx="53">
                  <c:v>3800</c:v>
                </c:pt>
                <c:pt idx="54">
                  <c:v>3900</c:v>
                </c:pt>
                <c:pt idx="55">
                  <c:v>4000</c:v>
                </c:pt>
                <c:pt idx="56">
                  <c:v>4100</c:v>
                </c:pt>
                <c:pt idx="57">
                  <c:v>4200</c:v>
                </c:pt>
                <c:pt idx="58">
                  <c:v>4300</c:v>
                </c:pt>
                <c:pt idx="59">
                  <c:v>4400</c:v>
                </c:pt>
                <c:pt idx="60">
                  <c:v>4500</c:v>
                </c:pt>
                <c:pt idx="61">
                  <c:v>4600</c:v>
                </c:pt>
                <c:pt idx="62">
                  <c:v>4700</c:v>
                </c:pt>
                <c:pt idx="63">
                  <c:v>4800</c:v>
                </c:pt>
                <c:pt idx="64">
                  <c:v>4900</c:v>
                </c:pt>
                <c:pt idx="65">
                  <c:v>5000</c:v>
                </c:pt>
                <c:pt idx="66">
                  <c:v>5100</c:v>
                </c:pt>
                <c:pt idx="67">
                  <c:v>5200</c:v>
                </c:pt>
              </c:numCache>
            </c:numRef>
          </c:xVal>
          <c:yVal>
            <c:numRef>
              <c:f>rterm!$AH$2:$AH$70</c:f>
              <c:numCache>
                <c:formatCode>General</c:formatCode>
                <c:ptCount val="69"/>
                <c:pt idx="0">
                  <c:v>968</c:v>
                </c:pt>
                <c:pt idx="1">
                  <c:v>526</c:v>
                </c:pt>
                <c:pt idx="2">
                  <c:v>642</c:v>
                </c:pt>
                <c:pt idx="3">
                  <c:v>936</c:v>
                </c:pt>
                <c:pt idx="4">
                  <c:v>1189</c:v>
                </c:pt>
                <c:pt idx="5">
                  <c:v>1672</c:v>
                </c:pt>
                <c:pt idx="6">
                  <c:v>2521</c:v>
                </c:pt>
                <c:pt idx="7">
                  <c:v>4273</c:v>
                </c:pt>
                <c:pt idx="8">
                  <c:v>7721</c:v>
                </c:pt>
                <c:pt idx="9">
                  <c:v>14912</c:v>
                </c:pt>
                <c:pt idx="10">
                  <c:v>28105</c:v>
                </c:pt>
                <c:pt idx="11">
                  <c:v>48171</c:v>
                </c:pt>
                <c:pt idx="12">
                  <c:v>72084</c:v>
                </c:pt>
                <c:pt idx="13">
                  <c:v>90064</c:v>
                </c:pt>
                <c:pt idx="14">
                  <c:v>99020</c:v>
                </c:pt>
                <c:pt idx="15">
                  <c:v>97196</c:v>
                </c:pt>
                <c:pt idx="16">
                  <c:v>95407</c:v>
                </c:pt>
                <c:pt idx="17">
                  <c:v>85269</c:v>
                </c:pt>
                <c:pt idx="18">
                  <c:v>71776</c:v>
                </c:pt>
                <c:pt idx="19">
                  <c:v>61019</c:v>
                </c:pt>
                <c:pt idx="20">
                  <c:v>51270</c:v>
                </c:pt>
                <c:pt idx="21">
                  <c:v>41950</c:v>
                </c:pt>
                <c:pt idx="22">
                  <c:v>34088</c:v>
                </c:pt>
                <c:pt idx="23">
                  <c:v>27467</c:v>
                </c:pt>
                <c:pt idx="24">
                  <c:v>22185</c:v>
                </c:pt>
                <c:pt idx="25">
                  <c:v>17466</c:v>
                </c:pt>
                <c:pt idx="26">
                  <c:v>13824</c:v>
                </c:pt>
                <c:pt idx="27">
                  <c:v>10688</c:v>
                </c:pt>
                <c:pt idx="28">
                  <c:v>8633</c:v>
                </c:pt>
                <c:pt idx="29">
                  <c:v>6783</c:v>
                </c:pt>
                <c:pt idx="30">
                  <c:v>5520</c:v>
                </c:pt>
                <c:pt idx="31">
                  <c:v>4438</c:v>
                </c:pt>
                <c:pt idx="32">
                  <c:v>3525</c:v>
                </c:pt>
                <c:pt idx="33">
                  <c:v>2818</c:v>
                </c:pt>
                <c:pt idx="34">
                  <c:v>2292</c:v>
                </c:pt>
                <c:pt idx="35">
                  <c:v>1835</c:v>
                </c:pt>
                <c:pt idx="36">
                  <c:v>1531</c:v>
                </c:pt>
                <c:pt idx="37">
                  <c:v>1321</c:v>
                </c:pt>
                <c:pt idx="38">
                  <c:v>1041</c:v>
                </c:pt>
                <c:pt idx="39">
                  <c:v>880</c:v>
                </c:pt>
                <c:pt idx="40">
                  <c:v>798</c:v>
                </c:pt>
                <c:pt idx="41">
                  <c:v>676</c:v>
                </c:pt>
                <c:pt idx="42">
                  <c:v>555</c:v>
                </c:pt>
                <c:pt idx="43">
                  <c:v>432</c:v>
                </c:pt>
                <c:pt idx="44">
                  <c:v>416</c:v>
                </c:pt>
                <c:pt idx="45">
                  <c:v>375</c:v>
                </c:pt>
                <c:pt idx="46">
                  <c:v>269</c:v>
                </c:pt>
                <c:pt idx="47">
                  <c:v>239</c:v>
                </c:pt>
                <c:pt idx="48">
                  <c:v>208</c:v>
                </c:pt>
                <c:pt idx="49">
                  <c:v>155</c:v>
                </c:pt>
                <c:pt idx="50">
                  <c:v>152</c:v>
                </c:pt>
                <c:pt idx="51">
                  <c:v>127</c:v>
                </c:pt>
                <c:pt idx="52">
                  <c:v>139</c:v>
                </c:pt>
                <c:pt idx="53">
                  <c:v>106</c:v>
                </c:pt>
                <c:pt idx="54">
                  <c:v>109</c:v>
                </c:pt>
                <c:pt idx="55">
                  <c:v>82</c:v>
                </c:pt>
                <c:pt idx="56">
                  <c:v>84</c:v>
                </c:pt>
                <c:pt idx="57">
                  <c:v>62</c:v>
                </c:pt>
                <c:pt idx="58">
                  <c:v>62</c:v>
                </c:pt>
                <c:pt idx="59">
                  <c:v>65</c:v>
                </c:pt>
                <c:pt idx="60">
                  <c:v>50</c:v>
                </c:pt>
                <c:pt idx="61">
                  <c:v>41</c:v>
                </c:pt>
                <c:pt idx="62">
                  <c:v>48</c:v>
                </c:pt>
                <c:pt idx="63">
                  <c:v>30</c:v>
                </c:pt>
                <c:pt idx="64">
                  <c:v>37</c:v>
                </c:pt>
                <c:pt idx="65">
                  <c:v>34</c:v>
                </c:pt>
                <c:pt idx="66">
                  <c:v>20</c:v>
                </c:pt>
                <c:pt idx="67">
                  <c:v>18</c:v>
                </c:pt>
                <c:pt idx="68">
                  <c:v>160</c:v>
                </c:pt>
              </c:numCache>
            </c:numRef>
          </c:yVal>
          <c:smooth val="1"/>
          <c:extLst>
            <c:ext xmlns:c16="http://schemas.microsoft.com/office/drawing/2014/chart" uri="{C3380CC4-5D6E-409C-BE32-E72D297353CC}">
              <c16:uniqueId val="{00000002-099E-40A5-B289-37B5A0984B9D}"/>
            </c:ext>
          </c:extLst>
        </c:ser>
        <c:ser>
          <c:idx val="3"/>
          <c:order val="3"/>
          <c:tx>
            <c:strRef>
              <c:f>rterm!$AI$1</c:f>
              <c:strCache>
                <c:ptCount val="1"/>
                <c:pt idx="0">
                  <c:v>PHEV</c:v>
                </c:pt>
              </c:strCache>
            </c:strRef>
          </c:tx>
          <c:spPr>
            <a:ln w="19050" cap="rnd">
              <a:solidFill>
                <a:schemeClr val="accent4"/>
              </a:solidFill>
              <a:round/>
            </a:ln>
            <a:effectLst/>
          </c:spPr>
          <c:marker>
            <c:symbol val="none"/>
          </c:marker>
          <c:xVal>
            <c:numRef>
              <c:f>rterm!$L$2:$L$69</c:f>
              <c:numCache>
                <c:formatCode>General</c:formatCode>
                <c:ptCount val="68"/>
                <c:pt idx="0">
                  <c:v>-1500</c:v>
                </c:pt>
                <c:pt idx="1">
                  <c:v>-1400</c:v>
                </c:pt>
                <c:pt idx="2">
                  <c:v>-1300</c:v>
                </c:pt>
                <c:pt idx="3">
                  <c:v>-1200</c:v>
                </c:pt>
                <c:pt idx="4">
                  <c:v>-1100</c:v>
                </c:pt>
                <c:pt idx="5">
                  <c:v>-1000</c:v>
                </c:pt>
                <c:pt idx="6">
                  <c:v>-900</c:v>
                </c:pt>
                <c:pt idx="7">
                  <c:v>-800</c:v>
                </c:pt>
                <c:pt idx="8">
                  <c:v>-700</c:v>
                </c:pt>
                <c:pt idx="9">
                  <c:v>-600</c:v>
                </c:pt>
                <c:pt idx="10">
                  <c:v>-500</c:v>
                </c:pt>
                <c:pt idx="11">
                  <c:v>-400</c:v>
                </c:pt>
                <c:pt idx="12">
                  <c:v>-300</c:v>
                </c:pt>
                <c:pt idx="13">
                  <c:v>-200</c:v>
                </c:pt>
                <c:pt idx="14">
                  <c:v>-100</c:v>
                </c:pt>
                <c:pt idx="15">
                  <c:v>0</c:v>
                </c:pt>
                <c:pt idx="16">
                  <c:v>100</c:v>
                </c:pt>
                <c:pt idx="17">
                  <c:v>200</c:v>
                </c:pt>
                <c:pt idx="18">
                  <c:v>300</c:v>
                </c:pt>
                <c:pt idx="19">
                  <c:v>400</c:v>
                </c:pt>
                <c:pt idx="20">
                  <c:v>500</c:v>
                </c:pt>
                <c:pt idx="21">
                  <c:v>600</c:v>
                </c:pt>
                <c:pt idx="22">
                  <c:v>700</c:v>
                </c:pt>
                <c:pt idx="23">
                  <c:v>800</c:v>
                </c:pt>
                <c:pt idx="24">
                  <c:v>900</c:v>
                </c:pt>
                <c:pt idx="25">
                  <c:v>1000</c:v>
                </c:pt>
                <c:pt idx="26">
                  <c:v>1100</c:v>
                </c:pt>
                <c:pt idx="27">
                  <c:v>1200</c:v>
                </c:pt>
                <c:pt idx="28">
                  <c:v>1300</c:v>
                </c:pt>
                <c:pt idx="29">
                  <c:v>1400</c:v>
                </c:pt>
                <c:pt idx="30">
                  <c:v>1500</c:v>
                </c:pt>
                <c:pt idx="31">
                  <c:v>1600</c:v>
                </c:pt>
                <c:pt idx="32">
                  <c:v>1700</c:v>
                </c:pt>
                <c:pt idx="33">
                  <c:v>1800</c:v>
                </c:pt>
                <c:pt idx="34">
                  <c:v>1900</c:v>
                </c:pt>
                <c:pt idx="35">
                  <c:v>2000</c:v>
                </c:pt>
                <c:pt idx="36">
                  <c:v>2100</c:v>
                </c:pt>
                <c:pt idx="37">
                  <c:v>2200</c:v>
                </c:pt>
                <c:pt idx="38">
                  <c:v>2300</c:v>
                </c:pt>
                <c:pt idx="39">
                  <c:v>2400</c:v>
                </c:pt>
                <c:pt idx="40">
                  <c:v>2500</c:v>
                </c:pt>
                <c:pt idx="41">
                  <c:v>2600</c:v>
                </c:pt>
                <c:pt idx="42">
                  <c:v>2700</c:v>
                </c:pt>
                <c:pt idx="43">
                  <c:v>2800</c:v>
                </c:pt>
                <c:pt idx="44">
                  <c:v>2900</c:v>
                </c:pt>
                <c:pt idx="45">
                  <c:v>3000</c:v>
                </c:pt>
                <c:pt idx="46">
                  <c:v>3100</c:v>
                </c:pt>
                <c:pt idx="47">
                  <c:v>3200</c:v>
                </c:pt>
                <c:pt idx="48">
                  <c:v>3300</c:v>
                </c:pt>
                <c:pt idx="49">
                  <c:v>3400</c:v>
                </c:pt>
                <c:pt idx="50">
                  <c:v>3500</c:v>
                </c:pt>
                <c:pt idx="51">
                  <c:v>3600</c:v>
                </c:pt>
                <c:pt idx="52">
                  <c:v>3700</c:v>
                </c:pt>
                <c:pt idx="53">
                  <c:v>3800</c:v>
                </c:pt>
                <c:pt idx="54">
                  <c:v>3900</c:v>
                </c:pt>
                <c:pt idx="55">
                  <c:v>4000</c:v>
                </c:pt>
                <c:pt idx="56">
                  <c:v>4100</c:v>
                </c:pt>
                <c:pt idx="57">
                  <c:v>4200</c:v>
                </c:pt>
                <c:pt idx="58">
                  <c:v>4300</c:v>
                </c:pt>
                <c:pt idx="59">
                  <c:v>4400</c:v>
                </c:pt>
                <c:pt idx="60">
                  <c:v>4500</c:v>
                </c:pt>
                <c:pt idx="61">
                  <c:v>4600</c:v>
                </c:pt>
                <c:pt idx="62">
                  <c:v>4700</c:v>
                </c:pt>
                <c:pt idx="63">
                  <c:v>4800</c:v>
                </c:pt>
                <c:pt idx="64">
                  <c:v>4900</c:v>
                </c:pt>
                <c:pt idx="65">
                  <c:v>5000</c:v>
                </c:pt>
                <c:pt idx="66">
                  <c:v>5100</c:v>
                </c:pt>
                <c:pt idx="67">
                  <c:v>5200</c:v>
                </c:pt>
              </c:numCache>
            </c:numRef>
          </c:xVal>
          <c:yVal>
            <c:numRef>
              <c:f>rterm!$AI$2:$AI$69</c:f>
              <c:numCache>
                <c:formatCode>General</c:formatCode>
                <c:ptCount val="68"/>
                <c:pt idx="0">
                  <c:v>469</c:v>
                </c:pt>
                <c:pt idx="1">
                  <c:v>292</c:v>
                </c:pt>
                <c:pt idx="2">
                  <c:v>511</c:v>
                </c:pt>
                <c:pt idx="3">
                  <c:v>603</c:v>
                </c:pt>
                <c:pt idx="4">
                  <c:v>721</c:v>
                </c:pt>
                <c:pt idx="5">
                  <c:v>1091</c:v>
                </c:pt>
                <c:pt idx="6">
                  <c:v>1543</c:v>
                </c:pt>
                <c:pt idx="7">
                  <c:v>2337</c:v>
                </c:pt>
                <c:pt idx="8">
                  <c:v>4382</c:v>
                </c:pt>
                <c:pt idx="9">
                  <c:v>8237</c:v>
                </c:pt>
                <c:pt idx="10">
                  <c:v>17417</c:v>
                </c:pt>
                <c:pt idx="11">
                  <c:v>31915</c:v>
                </c:pt>
                <c:pt idx="12">
                  <c:v>52534</c:v>
                </c:pt>
                <c:pt idx="13">
                  <c:v>75039</c:v>
                </c:pt>
                <c:pt idx="14">
                  <c:v>91831</c:v>
                </c:pt>
                <c:pt idx="15">
                  <c:v>98738</c:v>
                </c:pt>
                <c:pt idx="16">
                  <c:v>101909</c:v>
                </c:pt>
                <c:pt idx="17">
                  <c:v>95016</c:v>
                </c:pt>
                <c:pt idx="18">
                  <c:v>80763</c:v>
                </c:pt>
                <c:pt idx="19">
                  <c:v>69778</c:v>
                </c:pt>
                <c:pt idx="20">
                  <c:v>59360</c:v>
                </c:pt>
                <c:pt idx="21">
                  <c:v>48733</c:v>
                </c:pt>
                <c:pt idx="22">
                  <c:v>39334</c:v>
                </c:pt>
                <c:pt idx="23">
                  <c:v>31751</c:v>
                </c:pt>
                <c:pt idx="24">
                  <c:v>25560</c:v>
                </c:pt>
                <c:pt idx="25">
                  <c:v>20837</c:v>
                </c:pt>
                <c:pt idx="26">
                  <c:v>16312</c:v>
                </c:pt>
                <c:pt idx="27">
                  <c:v>13130</c:v>
                </c:pt>
                <c:pt idx="28">
                  <c:v>10509</c:v>
                </c:pt>
                <c:pt idx="29">
                  <c:v>8576</c:v>
                </c:pt>
                <c:pt idx="30">
                  <c:v>6610</c:v>
                </c:pt>
                <c:pt idx="31">
                  <c:v>5510</c:v>
                </c:pt>
                <c:pt idx="32">
                  <c:v>4418</c:v>
                </c:pt>
                <c:pt idx="33">
                  <c:v>3690</c:v>
                </c:pt>
                <c:pt idx="34">
                  <c:v>3007</c:v>
                </c:pt>
                <c:pt idx="35">
                  <c:v>2480</c:v>
                </c:pt>
                <c:pt idx="36">
                  <c:v>1955</c:v>
                </c:pt>
                <c:pt idx="37">
                  <c:v>1700</c:v>
                </c:pt>
                <c:pt idx="38">
                  <c:v>1378</c:v>
                </c:pt>
                <c:pt idx="39">
                  <c:v>1161</c:v>
                </c:pt>
                <c:pt idx="40">
                  <c:v>1020</c:v>
                </c:pt>
                <c:pt idx="41">
                  <c:v>833</c:v>
                </c:pt>
                <c:pt idx="42">
                  <c:v>720</c:v>
                </c:pt>
                <c:pt idx="43">
                  <c:v>632</c:v>
                </c:pt>
                <c:pt idx="44">
                  <c:v>537</c:v>
                </c:pt>
                <c:pt idx="45">
                  <c:v>451</c:v>
                </c:pt>
                <c:pt idx="46">
                  <c:v>374</c:v>
                </c:pt>
                <c:pt idx="47">
                  <c:v>284</c:v>
                </c:pt>
                <c:pt idx="48">
                  <c:v>297</c:v>
                </c:pt>
                <c:pt idx="49">
                  <c:v>252</c:v>
                </c:pt>
                <c:pt idx="50">
                  <c:v>216</c:v>
                </c:pt>
                <c:pt idx="51">
                  <c:v>195</c:v>
                </c:pt>
                <c:pt idx="52">
                  <c:v>176</c:v>
                </c:pt>
                <c:pt idx="53">
                  <c:v>157</c:v>
                </c:pt>
                <c:pt idx="54">
                  <c:v>119</c:v>
                </c:pt>
                <c:pt idx="55">
                  <c:v>120</c:v>
                </c:pt>
                <c:pt idx="56">
                  <c:v>108</c:v>
                </c:pt>
                <c:pt idx="57">
                  <c:v>101</c:v>
                </c:pt>
                <c:pt idx="58">
                  <c:v>88</c:v>
                </c:pt>
                <c:pt idx="59">
                  <c:v>84</c:v>
                </c:pt>
                <c:pt idx="60">
                  <c:v>69</c:v>
                </c:pt>
                <c:pt idx="61">
                  <c:v>73</c:v>
                </c:pt>
                <c:pt idx="62">
                  <c:v>60</c:v>
                </c:pt>
                <c:pt idx="63">
                  <c:v>52</c:v>
                </c:pt>
                <c:pt idx="64">
                  <c:v>41</c:v>
                </c:pt>
                <c:pt idx="65">
                  <c:v>41</c:v>
                </c:pt>
                <c:pt idx="66">
                  <c:v>31</c:v>
                </c:pt>
                <c:pt idx="67">
                  <c:v>38</c:v>
                </c:pt>
              </c:numCache>
            </c:numRef>
          </c:yVal>
          <c:smooth val="1"/>
          <c:extLst>
            <c:ext xmlns:c16="http://schemas.microsoft.com/office/drawing/2014/chart" uri="{C3380CC4-5D6E-409C-BE32-E72D297353CC}">
              <c16:uniqueId val="{00000003-099E-40A5-B289-37B5A0984B9D}"/>
            </c:ext>
          </c:extLst>
        </c:ser>
        <c:ser>
          <c:idx val="4"/>
          <c:order val="4"/>
          <c:tx>
            <c:strRef>
              <c:f>rterm!$I$1</c:f>
              <c:strCache>
                <c:ptCount val="1"/>
                <c:pt idx="0">
                  <c:v>BEV</c:v>
                </c:pt>
              </c:strCache>
            </c:strRef>
          </c:tx>
          <c:spPr>
            <a:ln w="19050" cap="rnd">
              <a:solidFill>
                <a:schemeClr val="accent5"/>
              </a:solidFill>
              <a:round/>
            </a:ln>
            <a:effectLst/>
          </c:spPr>
          <c:marker>
            <c:symbol val="none"/>
          </c:marker>
          <c:xVal>
            <c:numRef>
              <c:f>rterm!$L$2:$L$69</c:f>
              <c:numCache>
                <c:formatCode>General</c:formatCode>
                <c:ptCount val="68"/>
                <c:pt idx="0">
                  <c:v>-1500</c:v>
                </c:pt>
                <c:pt idx="1">
                  <c:v>-1400</c:v>
                </c:pt>
                <c:pt idx="2">
                  <c:v>-1300</c:v>
                </c:pt>
                <c:pt idx="3">
                  <c:v>-1200</c:v>
                </c:pt>
                <c:pt idx="4">
                  <c:v>-1100</c:v>
                </c:pt>
                <c:pt idx="5">
                  <c:v>-1000</c:v>
                </c:pt>
                <c:pt idx="6">
                  <c:v>-900</c:v>
                </c:pt>
                <c:pt idx="7">
                  <c:v>-800</c:v>
                </c:pt>
                <c:pt idx="8">
                  <c:v>-700</c:v>
                </c:pt>
                <c:pt idx="9">
                  <c:v>-600</c:v>
                </c:pt>
                <c:pt idx="10">
                  <c:v>-500</c:v>
                </c:pt>
                <c:pt idx="11">
                  <c:v>-400</c:v>
                </c:pt>
                <c:pt idx="12">
                  <c:v>-300</c:v>
                </c:pt>
                <c:pt idx="13">
                  <c:v>-200</c:v>
                </c:pt>
                <c:pt idx="14">
                  <c:v>-100</c:v>
                </c:pt>
                <c:pt idx="15">
                  <c:v>0</c:v>
                </c:pt>
                <c:pt idx="16">
                  <c:v>100</c:v>
                </c:pt>
                <c:pt idx="17">
                  <c:v>200</c:v>
                </c:pt>
                <c:pt idx="18">
                  <c:v>300</c:v>
                </c:pt>
                <c:pt idx="19">
                  <c:v>400</c:v>
                </c:pt>
                <c:pt idx="20">
                  <c:v>500</c:v>
                </c:pt>
                <c:pt idx="21">
                  <c:v>600</c:v>
                </c:pt>
                <c:pt idx="22">
                  <c:v>700</c:v>
                </c:pt>
                <c:pt idx="23">
                  <c:v>800</c:v>
                </c:pt>
                <c:pt idx="24">
                  <c:v>900</c:v>
                </c:pt>
                <c:pt idx="25">
                  <c:v>1000</c:v>
                </c:pt>
                <c:pt idx="26">
                  <c:v>1100</c:v>
                </c:pt>
                <c:pt idx="27">
                  <c:v>1200</c:v>
                </c:pt>
                <c:pt idx="28">
                  <c:v>1300</c:v>
                </c:pt>
                <c:pt idx="29">
                  <c:v>1400</c:v>
                </c:pt>
                <c:pt idx="30">
                  <c:v>1500</c:v>
                </c:pt>
                <c:pt idx="31">
                  <c:v>1600</c:v>
                </c:pt>
                <c:pt idx="32">
                  <c:v>1700</c:v>
                </c:pt>
                <c:pt idx="33">
                  <c:v>1800</c:v>
                </c:pt>
                <c:pt idx="34">
                  <c:v>1900</c:v>
                </c:pt>
                <c:pt idx="35">
                  <c:v>2000</c:v>
                </c:pt>
                <c:pt idx="36">
                  <c:v>2100</c:v>
                </c:pt>
                <c:pt idx="37">
                  <c:v>2200</c:v>
                </c:pt>
                <c:pt idx="38">
                  <c:v>2300</c:v>
                </c:pt>
                <c:pt idx="39">
                  <c:v>2400</c:v>
                </c:pt>
                <c:pt idx="40">
                  <c:v>2500</c:v>
                </c:pt>
                <c:pt idx="41">
                  <c:v>2600</c:v>
                </c:pt>
                <c:pt idx="42">
                  <c:v>2700</c:v>
                </c:pt>
                <c:pt idx="43">
                  <c:v>2800</c:v>
                </c:pt>
                <c:pt idx="44">
                  <c:v>2900</c:v>
                </c:pt>
                <c:pt idx="45">
                  <c:v>3000</c:v>
                </c:pt>
                <c:pt idx="46">
                  <c:v>3100</c:v>
                </c:pt>
                <c:pt idx="47">
                  <c:v>3200</c:v>
                </c:pt>
                <c:pt idx="48">
                  <c:v>3300</c:v>
                </c:pt>
                <c:pt idx="49">
                  <c:v>3400</c:v>
                </c:pt>
                <c:pt idx="50">
                  <c:v>3500</c:v>
                </c:pt>
                <c:pt idx="51">
                  <c:v>3600</c:v>
                </c:pt>
                <c:pt idx="52">
                  <c:v>3700</c:v>
                </c:pt>
                <c:pt idx="53">
                  <c:v>3800</c:v>
                </c:pt>
                <c:pt idx="54">
                  <c:v>3900</c:v>
                </c:pt>
                <c:pt idx="55">
                  <c:v>4000</c:v>
                </c:pt>
                <c:pt idx="56">
                  <c:v>4100</c:v>
                </c:pt>
                <c:pt idx="57">
                  <c:v>4200</c:v>
                </c:pt>
                <c:pt idx="58">
                  <c:v>4300</c:v>
                </c:pt>
                <c:pt idx="59">
                  <c:v>4400</c:v>
                </c:pt>
                <c:pt idx="60">
                  <c:v>4500</c:v>
                </c:pt>
                <c:pt idx="61">
                  <c:v>4600</c:v>
                </c:pt>
                <c:pt idx="62">
                  <c:v>4700</c:v>
                </c:pt>
                <c:pt idx="63">
                  <c:v>4800</c:v>
                </c:pt>
                <c:pt idx="64">
                  <c:v>4900</c:v>
                </c:pt>
                <c:pt idx="65">
                  <c:v>5000</c:v>
                </c:pt>
                <c:pt idx="66">
                  <c:v>5100</c:v>
                </c:pt>
                <c:pt idx="67">
                  <c:v>5200</c:v>
                </c:pt>
              </c:numCache>
            </c:numRef>
          </c:xVal>
          <c:yVal>
            <c:numRef>
              <c:f>rterm!$AJ$2:$AJ$70</c:f>
              <c:numCache>
                <c:formatCode>General</c:formatCode>
                <c:ptCount val="69"/>
                <c:pt idx="0">
                  <c:v>431</c:v>
                </c:pt>
                <c:pt idx="1">
                  <c:v>326</c:v>
                </c:pt>
                <c:pt idx="2">
                  <c:v>483</c:v>
                </c:pt>
                <c:pt idx="3">
                  <c:v>659</c:v>
                </c:pt>
                <c:pt idx="4">
                  <c:v>883</c:v>
                </c:pt>
                <c:pt idx="5">
                  <c:v>1192</c:v>
                </c:pt>
                <c:pt idx="6">
                  <c:v>1666</c:v>
                </c:pt>
                <c:pt idx="7">
                  <c:v>2736</c:v>
                </c:pt>
                <c:pt idx="8">
                  <c:v>5680</c:v>
                </c:pt>
                <c:pt idx="9">
                  <c:v>12359</c:v>
                </c:pt>
                <c:pt idx="10">
                  <c:v>24422</c:v>
                </c:pt>
                <c:pt idx="11">
                  <c:v>42013</c:v>
                </c:pt>
                <c:pt idx="12">
                  <c:v>61346</c:v>
                </c:pt>
                <c:pt idx="13">
                  <c:v>79992</c:v>
                </c:pt>
                <c:pt idx="14">
                  <c:v>92870</c:v>
                </c:pt>
                <c:pt idx="15">
                  <c:v>97482</c:v>
                </c:pt>
                <c:pt idx="16">
                  <c:v>93313</c:v>
                </c:pt>
                <c:pt idx="17">
                  <c:v>87941</c:v>
                </c:pt>
                <c:pt idx="18">
                  <c:v>76984</c:v>
                </c:pt>
                <c:pt idx="19">
                  <c:v>67043</c:v>
                </c:pt>
                <c:pt idx="20">
                  <c:v>57531</c:v>
                </c:pt>
                <c:pt idx="21">
                  <c:v>47309</c:v>
                </c:pt>
                <c:pt idx="22">
                  <c:v>38435</c:v>
                </c:pt>
                <c:pt idx="23">
                  <c:v>30836</c:v>
                </c:pt>
                <c:pt idx="24">
                  <c:v>24326</c:v>
                </c:pt>
                <c:pt idx="25">
                  <c:v>19399</c:v>
                </c:pt>
                <c:pt idx="26">
                  <c:v>15836</c:v>
                </c:pt>
                <c:pt idx="27">
                  <c:v>12308</c:v>
                </c:pt>
                <c:pt idx="28">
                  <c:v>9741</c:v>
                </c:pt>
                <c:pt idx="29">
                  <c:v>7857</c:v>
                </c:pt>
                <c:pt idx="30">
                  <c:v>6416</c:v>
                </c:pt>
                <c:pt idx="31">
                  <c:v>4963</c:v>
                </c:pt>
                <c:pt idx="32">
                  <c:v>4121</c:v>
                </c:pt>
                <c:pt idx="33">
                  <c:v>3288</c:v>
                </c:pt>
                <c:pt idx="34">
                  <c:v>2750</c:v>
                </c:pt>
                <c:pt idx="35">
                  <c:v>2251</c:v>
                </c:pt>
                <c:pt idx="36">
                  <c:v>1806</c:v>
                </c:pt>
                <c:pt idx="37">
                  <c:v>1495</c:v>
                </c:pt>
                <c:pt idx="38">
                  <c:v>1232</c:v>
                </c:pt>
                <c:pt idx="39">
                  <c:v>1036</c:v>
                </c:pt>
                <c:pt idx="40">
                  <c:v>821</c:v>
                </c:pt>
                <c:pt idx="41">
                  <c:v>709</c:v>
                </c:pt>
                <c:pt idx="42">
                  <c:v>594</c:v>
                </c:pt>
                <c:pt idx="43">
                  <c:v>499</c:v>
                </c:pt>
                <c:pt idx="44">
                  <c:v>422</c:v>
                </c:pt>
                <c:pt idx="45">
                  <c:v>366</c:v>
                </c:pt>
                <c:pt idx="46">
                  <c:v>297</c:v>
                </c:pt>
                <c:pt idx="47">
                  <c:v>257</c:v>
                </c:pt>
                <c:pt idx="48">
                  <c:v>239</c:v>
                </c:pt>
                <c:pt idx="49">
                  <c:v>185</c:v>
                </c:pt>
                <c:pt idx="50">
                  <c:v>153</c:v>
                </c:pt>
                <c:pt idx="51">
                  <c:v>120</c:v>
                </c:pt>
                <c:pt idx="52">
                  <c:v>118</c:v>
                </c:pt>
                <c:pt idx="53">
                  <c:v>120</c:v>
                </c:pt>
                <c:pt idx="54">
                  <c:v>103</c:v>
                </c:pt>
                <c:pt idx="55">
                  <c:v>91</c:v>
                </c:pt>
                <c:pt idx="56">
                  <c:v>78</c:v>
                </c:pt>
                <c:pt idx="57">
                  <c:v>66</c:v>
                </c:pt>
                <c:pt idx="58">
                  <c:v>73</c:v>
                </c:pt>
                <c:pt idx="59">
                  <c:v>69</c:v>
                </c:pt>
                <c:pt idx="60">
                  <c:v>47</c:v>
                </c:pt>
                <c:pt idx="61">
                  <c:v>46</c:v>
                </c:pt>
                <c:pt idx="62">
                  <c:v>44</c:v>
                </c:pt>
                <c:pt idx="63">
                  <c:v>30</c:v>
                </c:pt>
                <c:pt idx="64">
                  <c:v>19</c:v>
                </c:pt>
                <c:pt idx="65">
                  <c:v>23</c:v>
                </c:pt>
                <c:pt idx="66">
                  <c:v>27</c:v>
                </c:pt>
                <c:pt idx="67">
                  <c:v>26</c:v>
                </c:pt>
                <c:pt idx="68">
                  <c:v>176</c:v>
                </c:pt>
              </c:numCache>
            </c:numRef>
          </c:yVal>
          <c:smooth val="1"/>
          <c:extLst>
            <c:ext xmlns:c16="http://schemas.microsoft.com/office/drawing/2014/chart" uri="{C3380CC4-5D6E-409C-BE32-E72D297353CC}">
              <c16:uniqueId val="{00000004-099E-40A5-B289-37B5A0984B9D}"/>
            </c:ext>
          </c:extLst>
        </c:ser>
        <c:dLbls>
          <c:showLegendKey val="0"/>
          <c:showVal val="0"/>
          <c:showCatName val="0"/>
          <c:showSerName val="0"/>
          <c:showPercent val="0"/>
          <c:showBubbleSize val="0"/>
        </c:dLbls>
        <c:axId val="916452672"/>
        <c:axId val="916460160"/>
      </c:scatterChart>
      <c:valAx>
        <c:axId val="91645267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Random terms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916460160"/>
        <c:crosses val="autoZero"/>
        <c:crossBetween val="midCat"/>
      </c:valAx>
      <c:valAx>
        <c:axId val="91646016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Frequency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916452672"/>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r>
              <a:rPr lang="en-US" sz="1200"/>
              <a:t>Tax credit ($/veh</a:t>
            </a:r>
            <a:r>
              <a:rPr lang="en-US" altLang="zh-CN" sz="1200"/>
              <a:t>icle</a:t>
            </a:r>
            <a:r>
              <a:rPr lang="en-US" sz="1200"/>
              <a:t>)</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title>
    <c:autoTitleDeleted val="0"/>
    <c:plotArea>
      <c:layout>
        <c:manualLayout>
          <c:layoutTarget val="inner"/>
          <c:xMode val="edge"/>
          <c:yMode val="edge"/>
          <c:x val="9.6573636354997008E-2"/>
          <c:y val="0.17283010220812212"/>
          <c:w val="0.87472173796432884"/>
          <c:h val="0.73426954972324399"/>
        </c:manualLayout>
      </c:layout>
      <c:lineChart>
        <c:grouping val="standard"/>
        <c:varyColors val="0"/>
        <c:ser>
          <c:idx val="0"/>
          <c:order val="0"/>
          <c:tx>
            <c:strRef>
              <c:f>taxcredit!$B$1</c:f>
              <c:strCache>
                <c:ptCount val="1"/>
                <c:pt idx="0">
                  <c:v>BEV</c:v>
                </c:pt>
              </c:strCache>
            </c:strRef>
          </c:tx>
          <c:spPr>
            <a:ln w="28575" cap="rnd">
              <a:solidFill>
                <a:schemeClr val="accent1"/>
              </a:solidFill>
              <a:round/>
            </a:ln>
            <a:effectLst/>
          </c:spPr>
          <c:marker>
            <c:symbol val="none"/>
          </c:marker>
          <c:cat>
            <c:numRef>
              <c:f>taxcredit!$A$2:$A$16</c:f>
              <c:numCache>
                <c:formatCode>General</c:formatCode>
                <c:ptCount val="1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numCache>
            </c:numRef>
          </c:cat>
          <c:val>
            <c:numRef>
              <c:f>taxcredit!$B$2:$B$16</c:f>
              <c:numCache>
                <c:formatCode>General</c:formatCode>
                <c:ptCount val="15"/>
                <c:pt idx="0">
                  <c:v>7500</c:v>
                </c:pt>
                <c:pt idx="1">
                  <c:v>7500</c:v>
                </c:pt>
                <c:pt idx="2">
                  <c:v>6573.5294100000001</c:v>
                </c:pt>
                <c:pt idx="3">
                  <c:v>6573.5294100000001</c:v>
                </c:pt>
                <c:pt idx="4">
                  <c:v>5647.0588200000002</c:v>
                </c:pt>
                <c:pt idx="5">
                  <c:v>4723.2298499999997</c:v>
                </c:pt>
                <c:pt idx="6">
                  <c:v>3842.2013999999995</c:v>
                </c:pt>
                <c:pt idx="7">
                  <c:v>3052.05465</c:v>
                </c:pt>
                <c:pt idx="8">
                  <c:v>2352.7895999999996</c:v>
                </c:pt>
                <c:pt idx="9">
                  <c:v>1744.40625</c:v>
                </c:pt>
                <c:pt idx="10">
                  <c:v>1226.9046000000001</c:v>
                </c:pt>
                <c:pt idx="11">
                  <c:v>800.28465000000006</c:v>
                </c:pt>
                <c:pt idx="12">
                  <c:v>464.54640000000001</c:v>
                </c:pt>
                <c:pt idx="13">
                  <c:v>219.68984999999998</c:v>
                </c:pt>
                <c:pt idx="14">
                  <c:v>65.715000000000003</c:v>
                </c:pt>
              </c:numCache>
            </c:numRef>
          </c:val>
          <c:smooth val="0"/>
          <c:extLst>
            <c:ext xmlns:c16="http://schemas.microsoft.com/office/drawing/2014/chart" uri="{C3380CC4-5D6E-409C-BE32-E72D297353CC}">
              <c16:uniqueId val="{00000000-0C5E-44A7-820E-3A6DC28D2F39}"/>
            </c:ext>
          </c:extLst>
        </c:ser>
        <c:ser>
          <c:idx val="1"/>
          <c:order val="1"/>
          <c:tx>
            <c:strRef>
              <c:f>taxcredit!$C$1</c:f>
              <c:strCache>
                <c:ptCount val="1"/>
                <c:pt idx="0">
                  <c:v>PHEV</c:v>
                </c:pt>
              </c:strCache>
            </c:strRef>
          </c:tx>
          <c:spPr>
            <a:ln w="28575" cap="rnd">
              <a:solidFill>
                <a:schemeClr val="accent2"/>
              </a:solidFill>
              <a:round/>
            </a:ln>
            <a:effectLst/>
          </c:spPr>
          <c:marker>
            <c:symbol val="none"/>
          </c:marker>
          <c:cat>
            <c:numRef>
              <c:f>taxcredit!$A$2:$A$16</c:f>
              <c:numCache>
                <c:formatCode>General</c:formatCode>
                <c:ptCount val="1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numCache>
            </c:numRef>
          </c:cat>
          <c:val>
            <c:numRef>
              <c:f>taxcredit!$C$2:$C$16</c:f>
              <c:numCache>
                <c:formatCode>General</c:formatCode>
                <c:ptCount val="15"/>
                <c:pt idx="0">
                  <c:v>2500</c:v>
                </c:pt>
                <c:pt idx="1">
                  <c:v>2500</c:v>
                </c:pt>
                <c:pt idx="2">
                  <c:v>2191.1764699999999</c:v>
                </c:pt>
                <c:pt idx="3">
                  <c:v>2191.1764699999999</c:v>
                </c:pt>
                <c:pt idx="4">
                  <c:v>1882.35294</c:v>
                </c:pt>
                <c:pt idx="5">
                  <c:v>1574.40995</c:v>
                </c:pt>
                <c:pt idx="6">
                  <c:v>1280.7338</c:v>
                </c:pt>
                <c:pt idx="7">
                  <c:v>1017.35155</c:v>
                </c:pt>
                <c:pt idx="8">
                  <c:v>784.26319999999998</c:v>
                </c:pt>
                <c:pt idx="9">
                  <c:v>581.46875</c:v>
                </c:pt>
                <c:pt idx="10">
                  <c:v>408.96820000000002</c:v>
                </c:pt>
                <c:pt idx="11">
                  <c:v>266.76155</c:v>
                </c:pt>
                <c:pt idx="12">
                  <c:v>154.84879999999998</c:v>
                </c:pt>
                <c:pt idx="13">
                  <c:v>73.229950000000002</c:v>
                </c:pt>
                <c:pt idx="14">
                  <c:v>21.905000000000001</c:v>
                </c:pt>
              </c:numCache>
            </c:numRef>
          </c:val>
          <c:smooth val="0"/>
          <c:extLst>
            <c:ext xmlns:c16="http://schemas.microsoft.com/office/drawing/2014/chart" uri="{C3380CC4-5D6E-409C-BE32-E72D297353CC}">
              <c16:uniqueId val="{00000001-0C5E-44A7-820E-3A6DC28D2F39}"/>
            </c:ext>
          </c:extLst>
        </c:ser>
        <c:dLbls>
          <c:showLegendKey val="0"/>
          <c:showVal val="0"/>
          <c:showCatName val="0"/>
          <c:showSerName val="0"/>
          <c:showPercent val="0"/>
          <c:showBubbleSize val="0"/>
        </c:dLbls>
        <c:smooth val="0"/>
        <c:axId val="2060798608"/>
        <c:axId val="1978818576"/>
      </c:lineChart>
      <c:catAx>
        <c:axId val="2060798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crossAx val="1978818576"/>
        <c:crosses val="autoZero"/>
        <c:auto val="1"/>
        <c:lblAlgn val="ctr"/>
        <c:lblOffset val="100"/>
        <c:noMultiLvlLbl val="0"/>
      </c:catAx>
      <c:valAx>
        <c:axId val="197881857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crossAx val="2060798608"/>
        <c:crosses val="autoZero"/>
        <c:crossBetween val="between"/>
      </c:valAx>
      <c:spPr>
        <a:noFill/>
        <a:ln>
          <a:noFill/>
        </a:ln>
        <a:effectLst/>
      </c:spPr>
    </c:plotArea>
    <c:legend>
      <c:legendPos val="b"/>
      <c:layout>
        <c:manualLayout>
          <c:xMode val="edge"/>
          <c:yMode val="edge"/>
          <c:x val="0.60459664279929337"/>
          <c:y val="0.17131416651192563"/>
          <c:w val="0.33257933411401219"/>
          <c:h val="9.6121859579394023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Tahoma" panose="020B0604030504040204" pitchFamily="34" charset="0"/>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200">
          <a:latin typeface="Times New Roman" panose="02020603050405020304" pitchFamily="18" charset="0"/>
          <a:ea typeface="Tahoma" panose="020B0604030504040204" pitchFamily="34" charset="0"/>
          <a:cs typeface="Times New Roman" panose="02020603050405020304" pitchFamily="18"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n-US"/>
              <a:t>Two scenarios of population qualified for EV tax credit</a:t>
            </a:r>
          </a:p>
        </c:rich>
      </c:tx>
      <c:overlay val="0"/>
      <c:spPr>
        <a:noFill/>
        <a:ln>
          <a:noFill/>
        </a:ln>
        <a:effectLst/>
      </c:spPr>
    </c:title>
    <c:autoTitleDeleted val="0"/>
    <c:plotArea>
      <c:layout>
        <c:manualLayout>
          <c:layoutTarget val="inner"/>
          <c:xMode val="edge"/>
          <c:yMode val="edge"/>
          <c:x val="0.11017877848448242"/>
          <c:y val="0.14067812689433834"/>
          <c:w val="0.60482939632545918"/>
          <c:h val="0.74937700890308867"/>
        </c:manualLayout>
      </c:layout>
      <c:lineChart>
        <c:grouping val="standard"/>
        <c:varyColors val="0"/>
        <c:ser>
          <c:idx val="1"/>
          <c:order val="0"/>
          <c:tx>
            <c:v>More qualified</c:v>
          </c:tx>
          <c:marker>
            <c:symbol val="none"/>
          </c:marker>
          <c:cat>
            <c:numRef>
              <c:f>Sheet1!$G$22:$O$22</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Sheet1!$G$25:$O$25</c:f>
              <c:numCache>
                <c:formatCode>0.00%</c:formatCode>
                <c:ptCount val="9"/>
                <c:pt idx="0">
                  <c:v>0.80640000000000001</c:v>
                </c:pt>
                <c:pt idx="1">
                  <c:v>0.8206</c:v>
                </c:pt>
                <c:pt idx="2">
                  <c:v>0.83479999999999999</c:v>
                </c:pt>
                <c:pt idx="3">
                  <c:v>0.84899999999999998</c:v>
                </c:pt>
                <c:pt idx="4">
                  <c:v>0.86319999999999997</c:v>
                </c:pt>
                <c:pt idx="5">
                  <c:v>0.87739999999999996</c:v>
                </c:pt>
                <c:pt idx="6">
                  <c:v>0.89159999999999995</c:v>
                </c:pt>
                <c:pt idx="7">
                  <c:v>0.90579999999999994</c:v>
                </c:pt>
                <c:pt idx="8">
                  <c:v>0.92</c:v>
                </c:pt>
              </c:numCache>
            </c:numRef>
          </c:val>
          <c:smooth val="0"/>
          <c:extLst>
            <c:ext xmlns:c16="http://schemas.microsoft.com/office/drawing/2014/chart" uri="{C3380CC4-5D6E-409C-BE32-E72D297353CC}">
              <c16:uniqueId val="{00000000-E788-4C5D-8AD0-6ECBBC0DABE7}"/>
            </c:ext>
          </c:extLst>
        </c:ser>
        <c:ser>
          <c:idx val="0"/>
          <c:order val="1"/>
          <c:tx>
            <c:v>Fewer qualified</c:v>
          </c:tx>
          <c:marker>
            <c:symbol val="none"/>
          </c:marker>
          <c:cat>
            <c:numRef>
              <c:f>Sheet1!$G$22:$O$22</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Sheet1!$G$28:$O$28</c:f>
              <c:numCache>
                <c:formatCode>0%</c:formatCode>
                <c:ptCount val="9"/>
                <c:pt idx="0">
                  <c:v>0.80640000000000001</c:v>
                </c:pt>
                <c:pt idx="1">
                  <c:v>0.79935</c:v>
                </c:pt>
                <c:pt idx="2">
                  <c:v>0.7923</c:v>
                </c:pt>
                <c:pt idx="3">
                  <c:v>0.78525</c:v>
                </c:pt>
                <c:pt idx="4">
                  <c:v>0.7782</c:v>
                </c:pt>
                <c:pt idx="5">
                  <c:v>0.77115</c:v>
                </c:pt>
                <c:pt idx="6">
                  <c:v>0.7641</c:v>
                </c:pt>
                <c:pt idx="7">
                  <c:v>0.75705</c:v>
                </c:pt>
                <c:pt idx="8">
                  <c:v>0.75</c:v>
                </c:pt>
              </c:numCache>
            </c:numRef>
          </c:val>
          <c:smooth val="0"/>
          <c:extLst>
            <c:ext xmlns:c16="http://schemas.microsoft.com/office/drawing/2014/chart" uri="{C3380CC4-5D6E-409C-BE32-E72D297353CC}">
              <c16:uniqueId val="{00000001-E788-4C5D-8AD0-6ECBBC0DABE7}"/>
            </c:ext>
          </c:extLst>
        </c:ser>
        <c:dLbls>
          <c:showLegendKey val="0"/>
          <c:showVal val="0"/>
          <c:showCatName val="0"/>
          <c:showSerName val="0"/>
          <c:showPercent val="0"/>
          <c:showBubbleSize val="0"/>
        </c:dLbls>
        <c:smooth val="0"/>
        <c:axId val="1056949040"/>
        <c:axId val="1056947376"/>
      </c:lineChart>
      <c:catAx>
        <c:axId val="1056949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en-US"/>
          </a:p>
        </c:txPr>
        <c:crossAx val="1056947376"/>
        <c:crosses val="autoZero"/>
        <c:auto val="1"/>
        <c:lblAlgn val="ctr"/>
        <c:lblOffset val="100"/>
        <c:noMultiLvlLbl val="0"/>
      </c:catAx>
      <c:valAx>
        <c:axId val="105694737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vert="horz"/>
          <a:lstStyle/>
          <a:p>
            <a:pPr>
              <a:defRPr/>
            </a:pPr>
            <a:endParaRPr lang="en-US"/>
          </a:p>
        </c:txPr>
        <c:crossAx val="1056949040"/>
        <c:crosses val="autoZero"/>
        <c:crossBetween val="between"/>
        <c:majorUnit val="0.2"/>
      </c:valAx>
    </c:plotArea>
    <c:legend>
      <c:legendPos val="r"/>
      <c:overlay val="0"/>
    </c:legend>
    <c:plotVisOnly val="1"/>
    <c:dispBlanksAs val="gap"/>
    <c:showDLblsOverMax val="0"/>
    <c:extLst/>
  </c:chart>
  <c:txPr>
    <a:bodyPr/>
    <a:lstStyle/>
    <a:p>
      <a:pPr>
        <a:defRPr sz="1100">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a.</a:t>
            </a:r>
            <a:r>
              <a:rPr lang="en-US" sz="1200" baseline="0"/>
              <a:t> </a:t>
            </a:r>
            <a:r>
              <a:rPr lang="en-US" sz="1200"/>
              <a:t>Ownerhip Cost in 2016 ($ per vehicle per year)</a:t>
            </a:r>
          </a:p>
        </c:rich>
      </c:tx>
      <c:layout>
        <c:manualLayout>
          <c:xMode val="edge"/>
          <c:yMode val="edge"/>
          <c:x val="0.18437489063867016"/>
          <c:y val="0"/>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stacked"/>
        <c:varyColors val="0"/>
        <c:ser>
          <c:idx val="0"/>
          <c:order val="0"/>
          <c:tx>
            <c:strRef>
              <c:f>Lifetimecost!$I$22</c:f>
              <c:strCache>
                <c:ptCount val="1"/>
                <c:pt idx="0">
                  <c:v>Purchase</c:v>
                </c:pt>
              </c:strCache>
            </c:strRef>
          </c:tx>
          <c:spPr>
            <a:solidFill>
              <a:schemeClr val="accent1"/>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Lifetimecost!$I$23:$I$37</c:f>
              <c:numCache>
                <c:formatCode>"$"#,##0</c:formatCode>
                <c:ptCount val="15"/>
                <c:pt idx="0">
                  <c:v>2369.7398079620398</c:v>
                </c:pt>
                <c:pt idx="1">
                  <c:v>2372.79957042249</c:v>
                </c:pt>
                <c:pt idx="2">
                  <c:v>2985.4409276759402</c:v>
                </c:pt>
                <c:pt idx="3">
                  <c:v>3448.6701176324</c:v>
                </c:pt>
                <c:pt idx="4">
                  <c:v>4117.1274297214604</c:v>
                </c:pt>
                <c:pt idx="5">
                  <c:v>2369.7398079620398</c:v>
                </c:pt>
                <c:pt idx="6">
                  <c:v>2372.79957042249</c:v>
                </c:pt>
                <c:pt idx="7">
                  <c:v>2985.4409276759402</c:v>
                </c:pt>
                <c:pt idx="8">
                  <c:v>3448.6701176324</c:v>
                </c:pt>
                <c:pt idx="9">
                  <c:v>4117.1274297214604</c:v>
                </c:pt>
                <c:pt idx="10">
                  <c:v>2369.7398079620398</c:v>
                </c:pt>
                <c:pt idx="11">
                  <c:v>2372.79957042249</c:v>
                </c:pt>
                <c:pt idx="12">
                  <c:v>2985.4409276759402</c:v>
                </c:pt>
                <c:pt idx="13">
                  <c:v>3448.6701176324</c:v>
                </c:pt>
                <c:pt idx="14">
                  <c:v>4117.1274297214604</c:v>
                </c:pt>
              </c:numCache>
            </c:numRef>
          </c:val>
          <c:extLst>
            <c:ext xmlns:c16="http://schemas.microsoft.com/office/drawing/2014/chart" uri="{C3380CC4-5D6E-409C-BE32-E72D297353CC}">
              <c16:uniqueId val="{00000000-A516-4776-B02C-1EAA4F4E8212}"/>
            </c:ext>
          </c:extLst>
        </c:ser>
        <c:ser>
          <c:idx val="1"/>
          <c:order val="1"/>
          <c:tx>
            <c:strRef>
              <c:f>Lifetimecost!$J$22</c:f>
              <c:strCache>
                <c:ptCount val="1"/>
                <c:pt idx="0">
                  <c:v>Maintanence</c:v>
                </c:pt>
              </c:strCache>
            </c:strRef>
          </c:tx>
          <c:spPr>
            <a:solidFill>
              <a:schemeClr val="accent2"/>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Lifetimecost!$J$23:$J$37</c:f>
              <c:numCache>
                <c:formatCode>"$"#,##0</c:formatCode>
                <c:ptCount val="15"/>
                <c:pt idx="0">
                  <c:v>393.48996</c:v>
                </c:pt>
                <c:pt idx="1">
                  <c:v>393.48996</c:v>
                </c:pt>
                <c:pt idx="2">
                  <c:v>402.70787999999999</c:v>
                </c:pt>
                <c:pt idx="3">
                  <c:v>402.70787999999999</c:v>
                </c:pt>
                <c:pt idx="4">
                  <c:v>236.20920000000001</c:v>
                </c:pt>
                <c:pt idx="5">
                  <c:v>955.48968000000002</c:v>
                </c:pt>
                <c:pt idx="6">
                  <c:v>955.48968000000002</c:v>
                </c:pt>
                <c:pt idx="7">
                  <c:v>977.87303999999995</c:v>
                </c:pt>
                <c:pt idx="8">
                  <c:v>977.87303999999995</c:v>
                </c:pt>
                <c:pt idx="9">
                  <c:v>573.57360000000006</c:v>
                </c:pt>
                <c:pt idx="10">
                  <c:v>1632.7114999999999</c:v>
                </c:pt>
                <c:pt idx="11">
                  <c:v>1632.7114999999999</c:v>
                </c:pt>
                <c:pt idx="12">
                  <c:v>1670.9594999999999</c:v>
                </c:pt>
                <c:pt idx="13">
                  <c:v>1670.9594999999999</c:v>
                </c:pt>
                <c:pt idx="14">
                  <c:v>980.10500000000002</c:v>
                </c:pt>
              </c:numCache>
            </c:numRef>
          </c:val>
          <c:extLst>
            <c:ext xmlns:c16="http://schemas.microsoft.com/office/drawing/2014/chart" uri="{C3380CC4-5D6E-409C-BE32-E72D297353CC}">
              <c16:uniqueId val="{00000001-A516-4776-B02C-1EAA4F4E8212}"/>
            </c:ext>
          </c:extLst>
        </c:ser>
        <c:ser>
          <c:idx val="2"/>
          <c:order val="2"/>
          <c:tx>
            <c:strRef>
              <c:f>Lifetimecost!$K$22</c:f>
              <c:strCache>
                <c:ptCount val="1"/>
                <c:pt idx="0">
                  <c:v>Fuel</c:v>
                </c:pt>
              </c:strCache>
            </c:strRef>
          </c:tx>
          <c:spPr>
            <a:solidFill>
              <a:schemeClr val="accent3"/>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Lifetimecost!$K$23:$K$37</c:f>
              <c:numCache>
                <c:formatCode>"$"#,##0</c:formatCode>
                <c:ptCount val="15"/>
                <c:pt idx="0">
                  <c:v>536.29632112285697</c:v>
                </c:pt>
                <c:pt idx="1">
                  <c:v>536.29362880843598</c:v>
                </c:pt>
                <c:pt idx="2">
                  <c:v>368.26061564717997</c:v>
                </c:pt>
                <c:pt idx="3">
                  <c:v>310.10902028772898</c:v>
                </c:pt>
                <c:pt idx="4">
                  <c:v>248.171964926843</c:v>
                </c:pt>
                <c:pt idx="5">
                  <c:v>961.46989146324904</c:v>
                </c:pt>
                <c:pt idx="6">
                  <c:v>963.72417684596303</c:v>
                </c:pt>
                <c:pt idx="7">
                  <c:v>659.33295658380302</c:v>
                </c:pt>
                <c:pt idx="8">
                  <c:v>641.69451374177402</c:v>
                </c:pt>
                <c:pt idx="9">
                  <c:v>602.62211354241595</c:v>
                </c:pt>
                <c:pt idx="10">
                  <c:v>2134.02747682159</c:v>
                </c:pt>
                <c:pt idx="11">
                  <c:v>2142.280234286</c:v>
                </c:pt>
                <c:pt idx="12">
                  <c:v>1466.04463138454</c:v>
                </c:pt>
                <c:pt idx="13">
                  <c:v>1257.3801403063301</c:v>
                </c:pt>
                <c:pt idx="14">
                  <c:v>1029.7422102298499</c:v>
                </c:pt>
              </c:numCache>
            </c:numRef>
          </c:val>
          <c:extLst>
            <c:ext xmlns:c16="http://schemas.microsoft.com/office/drawing/2014/chart" uri="{C3380CC4-5D6E-409C-BE32-E72D297353CC}">
              <c16:uniqueId val="{00000002-A516-4776-B02C-1EAA4F4E8212}"/>
            </c:ext>
          </c:extLst>
        </c:ser>
        <c:ser>
          <c:idx val="3"/>
          <c:order val="3"/>
          <c:tx>
            <c:strRef>
              <c:f>Lifetimecost!$L$22</c:f>
              <c:strCache>
                <c:ptCount val="1"/>
                <c:pt idx="0">
                  <c:v>Detour</c:v>
                </c:pt>
              </c:strCache>
            </c:strRef>
          </c:tx>
          <c:spPr>
            <a:solidFill>
              <a:schemeClr val="accent4"/>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Lifetimecost!$L$23:$L$37</c:f>
              <c:numCache>
                <c:formatCode>"$"#,##0</c:formatCode>
                <c:ptCount val="15"/>
                <c:pt idx="1">
                  <c:v>5.94179610747066</c:v>
                </c:pt>
                <c:pt idx="4">
                  <c:v>29.145715126519899</c:v>
                </c:pt>
                <c:pt idx="6">
                  <c:v>14.428131435303699</c:v>
                </c:pt>
                <c:pt idx="9">
                  <c:v>9.2476054346329395</c:v>
                </c:pt>
                <c:pt idx="11">
                  <c:v>24.654349085101401</c:v>
                </c:pt>
                <c:pt idx="14">
                  <c:v>154.119624648544</c:v>
                </c:pt>
              </c:numCache>
            </c:numRef>
          </c:val>
          <c:extLst>
            <c:ext xmlns:c16="http://schemas.microsoft.com/office/drawing/2014/chart" uri="{C3380CC4-5D6E-409C-BE32-E72D297353CC}">
              <c16:uniqueId val="{00000003-A516-4776-B02C-1EAA4F4E8212}"/>
            </c:ext>
          </c:extLst>
        </c:ser>
        <c:ser>
          <c:idx val="4"/>
          <c:order val="4"/>
          <c:tx>
            <c:strRef>
              <c:f>Lifetimecost!$M$22</c:f>
              <c:strCache>
                <c:ptCount val="1"/>
                <c:pt idx="0">
                  <c:v>Waiting</c:v>
                </c:pt>
              </c:strCache>
            </c:strRef>
          </c:tx>
          <c:spPr>
            <a:solidFill>
              <a:schemeClr val="accent5"/>
            </a:solidFill>
            <a:ln>
              <a:noFill/>
            </a:ln>
            <a:effectLst/>
          </c:spPr>
          <c:invertIfNegative val="0"/>
          <c:errBars>
            <c:errBarType val="both"/>
            <c:errValType val="cust"/>
            <c:noEndCap val="0"/>
            <c:plus>
              <c:numRef>
                <c:f>Lifetimecost!$P$23:$P$37</c:f>
                <c:numCache>
                  <c:formatCode>General</c:formatCode>
                  <c:ptCount val="15"/>
                  <c:pt idx="0">
                    <c:v>34.041275571600401</c:v>
                  </c:pt>
                  <c:pt idx="1">
                    <c:v>776.25979317735198</c:v>
                  </c:pt>
                  <c:pt idx="2">
                    <c:v>971.47495892837799</c:v>
                  </c:pt>
                  <c:pt idx="3">
                    <c:v>521.72065777486296</c:v>
                  </c:pt>
                  <c:pt idx="4">
                    <c:v>678.94852359717504</c:v>
                  </c:pt>
                  <c:pt idx="5">
                    <c:v>77.535369133573994</c:v>
                  </c:pt>
                  <c:pt idx="6">
                    <c:v>827.11581300232103</c:v>
                  </c:pt>
                  <c:pt idx="7">
                    <c:v>661.62914043426599</c:v>
                  </c:pt>
                  <c:pt idx="8">
                    <c:v>693.62755237782903</c:v>
                  </c:pt>
                  <c:pt idx="9">
                    <c:v>582.40533867521299</c:v>
                  </c:pt>
                  <c:pt idx="10">
                    <c:v>101.399141245487</c:v>
                  </c:pt>
                  <c:pt idx="11">
                    <c:v>709.34711555634897</c:v>
                  </c:pt>
                  <c:pt idx="12">
                    <c:v>950.560385059954</c:v>
                  </c:pt>
                  <c:pt idx="13">
                    <c:v>528.52058860828697</c:v>
                  </c:pt>
                  <c:pt idx="14">
                    <c:v>692.31923448532098</c:v>
                  </c:pt>
                </c:numCache>
              </c:numRef>
            </c:plus>
            <c:minus>
              <c:numRef>
                <c:f>Lifetimecost!$O$23:$O$37</c:f>
                <c:numCache>
                  <c:formatCode>General</c:formatCode>
                  <c:ptCount val="15"/>
                  <c:pt idx="0">
                    <c:v>1913.72724864621</c:v>
                  </c:pt>
                  <c:pt idx="1">
                    <c:v>1602.19282336131</c:v>
                  </c:pt>
                  <c:pt idx="2">
                    <c:v>1115.8345576320601</c:v>
                  </c:pt>
                  <c:pt idx="3">
                    <c:v>1026.66826194381</c:v>
                  </c:pt>
                  <c:pt idx="4">
                    <c:v>2442.1144463024898</c:v>
                  </c:pt>
                  <c:pt idx="5">
                    <c:v>2380.7947916666599</c:v>
                  </c:pt>
                  <c:pt idx="6">
                    <c:v>1890.60612252188</c:v>
                  </c:pt>
                  <c:pt idx="7">
                    <c:v>1601.2320028086899</c:v>
                  </c:pt>
                  <c:pt idx="8">
                    <c:v>2498.0689189898299</c:v>
                  </c:pt>
                  <c:pt idx="9">
                    <c:v>1965.44640876997</c:v>
                  </c:pt>
                  <c:pt idx="10">
                    <c:v>3801.0141047081802</c:v>
                  </c:pt>
                  <c:pt idx="11">
                    <c:v>3035.8144320057099</c:v>
                  </c:pt>
                  <c:pt idx="12">
                    <c:v>4127.01638489791</c:v>
                  </c:pt>
                  <c:pt idx="13">
                    <c:v>5214.2018077074499</c:v>
                  </c:pt>
                  <c:pt idx="14">
                    <c:v>4928.9771228167901</c:v>
                  </c:pt>
                </c:numCache>
              </c:numRef>
            </c:minus>
            <c:spPr>
              <a:noFill/>
              <a:ln w="9525" cap="flat" cmpd="sng" algn="ctr">
                <a:solidFill>
                  <a:schemeClr val="tx1">
                    <a:lumMod val="65000"/>
                    <a:lumOff val="35000"/>
                  </a:schemeClr>
                </a:solidFill>
                <a:round/>
              </a:ln>
              <a:effectLst/>
            </c:spPr>
          </c:errBars>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Lifetimecost!$M$23:$M$37</c:f>
              <c:numCache>
                <c:formatCode>"$"#,##0</c:formatCode>
                <c:ptCount val="15"/>
                <c:pt idx="0">
                  <c:v>0</c:v>
                </c:pt>
                <c:pt idx="1">
                  <c:v>0</c:v>
                </c:pt>
                <c:pt idx="2">
                  <c:v>0</c:v>
                </c:pt>
                <c:pt idx="3">
                  <c:v>0</c:v>
                </c:pt>
                <c:pt idx="4">
                  <c:v>141.189295246238</c:v>
                </c:pt>
                <c:pt idx="5">
                  <c:v>0</c:v>
                </c:pt>
                <c:pt idx="6">
                  <c:v>0</c:v>
                </c:pt>
                <c:pt idx="7">
                  <c:v>0</c:v>
                </c:pt>
                <c:pt idx="8">
                  <c:v>0</c:v>
                </c:pt>
                <c:pt idx="9">
                  <c:v>34.922738349730899</c:v>
                </c:pt>
                <c:pt idx="10">
                  <c:v>0</c:v>
                </c:pt>
                <c:pt idx="11">
                  <c:v>0</c:v>
                </c:pt>
                <c:pt idx="12">
                  <c:v>0</c:v>
                </c:pt>
                <c:pt idx="13">
                  <c:v>0</c:v>
                </c:pt>
                <c:pt idx="14">
                  <c:v>461.60285535203002</c:v>
                </c:pt>
              </c:numCache>
            </c:numRef>
          </c:val>
          <c:extLst>
            <c:ext xmlns:c16="http://schemas.microsoft.com/office/drawing/2014/chart" uri="{C3380CC4-5D6E-409C-BE32-E72D297353CC}">
              <c16:uniqueId val="{00000004-A516-4776-B02C-1EAA4F4E8212}"/>
            </c:ext>
          </c:extLst>
        </c:ser>
        <c:ser>
          <c:idx val="5"/>
          <c:order val="5"/>
          <c:tx>
            <c:strRef>
              <c:f>Lifetimecost!$N$22</c:f>
              <c:strCache>
                <c:ptCount val="1"/>
                <c:pt idx="0">
                  <c:v>Range limitation</c:v>
                </c:pt>
              </c:strCache>
            </c:strRef>
          </c:tx>
          <c:spPr>
            <a:solidFill>
              <a:schemeClr val="accent6"/>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Lifetimecost!$N$23:$N$37</c:f>
              <c:numCache>
                <c:formatCode>General</c:formatCode>
                <c:ptCount val="15"/>
              </c:numCache>
            </c:numRef>
          </c:val>
          <c:extLst>
            <c:ext xmlns:c16="http://schemas.microsoft.com/office/drawing/2014/chart" uri="{C3380CC4-5D6E-409C-BE32-E72D297353CC}">
              <c16:uniqueId val="{00000005-A516-4776-B02C-1EAA4F4E8212}"/>
            </c:ext>
          </c:extLst>
        </c:ser>
        <c:dLbls>
          <c:showLegendKey val="0"/>
          <c:showVal val="0"/>
          <c:showCatName val="0"/>
          <c:showSerName val="0"/>
          <c:showPercent val="0"/>
          <c:showBubbleSize val="0"/>
        </c:dLbls>
        <c:gapWidth val="150"/>
        <c:overlap val="100"/>
        <c:axId val="299954159"/>
        <c:axId val="20232831"/>
      </c:barChart>
      <c:catAx>
        <c:axId val="299954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232831"/>
        <c:crosses val="autoZero"/>
        <c:auto val="1"/>
        <c:lblAlgn val="ctr"/>
        <c:lblOffset val="100"/>
        <c:noMultiLvlLbl val="0"/>
      </c:catAx>
      <c:valAx>
        <c:axId val="20232831"/>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99954159"/>
        <c:crosses val="autoZero"/>
        <c:crossBetween val="between"/>
        <c:majorUnit val="2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b. Ownerhip Cost in 2030 ($ per vehicle per year)</a:t>
            </a:r>
          </a:p>
        </c:rich>
      </c:tx>
      <c:layout>
        <c:manualLayout>
          <c:xMode val="edge"/>
          <c:yMode val="edge"/>
          <c:x val="0.18437489063867016"/>
          <c:y val="0"/>
        </c:manualLayout>
      </c:layout>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barChart>
        <c:barDir val="col"/>
        <c:grouping val="stacked"/>
        <c:varyColors val="0"/>
        <c:ser>
          <c:idx val="0"/>
          <c:order val="0"/>
          <c:tx>
            <c:strRef>
              <c:f>Lifetimecost!$U$22</c:f>
              <c:strCache>
                <c:ptCount val="1"/>
                <c:pt idx="0">
                  <c:v>Purchase</c:v>
                </c:pt>
              </c:strCache>
            </c:strRef>
          </c:tx>
          <c:spPr>
            <a:solidFill>
              <a:schemeClr val="accent1"/>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Lifetimecost!$U$23:$U$37</c:f>
              <c:numCache>
                <c:formatCode>"$"#,##0</c:formatCode>
                <c:ptCount val="15"/>
                <c:pt idx="0">
                  <c:v>2780.8801676233902</c:v>
                </c:pt>
                <c:pt idx="1">
                  <c:v>2790.6818389271698</c:v>
                </c:pt>
                <c:pt idx="2">
                  <c:v>3065.1160571901501</c:v>
                </c:pt>
                <c:pt idx="3">
                  <c:v>3079.1401663685101</c:v>
                </c:pt>
                <c:pt idx="4">
                  <c:v>3607.08211193544</c:v>
                </c:pt>
                <c:pt idx="5">
                  <c:v>2780.8801676233902</c:v>
                </c:pt>
                <c:pt idx="6">
                  <c:v>2790.6818389271698</c:v>
                </c:pt>
                <c:pt idx="7">
                  <c:v>3065.1160571901501</c:v>
                </c:pt>
                <c:pt idx="8">
                  <c:v>3079.1401663685101</c:v>
                </c:pt>
                <c:pt idx="9">
                  <c:v>3607.08211193544</c:v>
                </c:pt>
                <c:pt idx="10">
                  <c:v>2780.8801676233902</c:v>
                </c:pt>
                <c:pt idx="11">
                  <c:v>2790.6818389271698</c:v>
                </c:pt>
                <c:pt idx="12">
                  <c:v>3065.1160571901501</c:v>
                </c:pt>
                <c:pt idx="13">
                  <c:v>3079.1401663685101</c:v>
                </c:pt>
                <c:pt idx="14">
                  <c:v>3607.08211193544</c:v>
                </c:pt>
              </c:numCache>
            </c:numRef>
          </c:val>
          <c:extLst>
            <c:ext xmlns:c16="http://schemas.microsoft.com/office/drawing/2014/chart" uri="{C3380CC4-5D6E-409C-BE32-E72D297353CC}">
              <c16:uniqueId val="{00000000-5AA6-4A7A-8752-DE8ACCC5D5BF}"/>
            </c:ext>
          </c:extLst>
        </c:ser>
        <c:ser>
          <c:idx val="1"/>
          <c:order val="1"/>
          <c:tx>
            <c:strRef>
              <c:f>Lifetimecost!$V$22</c:f>
              <c:strCache>
                <c:ptCount val="1"/>
                <c:pt idx="0">
                  <c:v>Maintanence</c:v>
                </c:pt>
              </c:strCache>
            </c:strRef>
          </c:tx>
          <c:spPr>
            <a:solidFill>
              <a:schemeClr val="accent2"/>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Lifetimecost!$V$23:$V$37</c:f>
              <c:numCache>
                <c:formatCode>"$"#,##0</c:formatCode>
                <c:ptCount val="15"/>
                <c:pt idx="0">
                  <c:v>393.48996</c:v>
                </c:pt>
                <c:pt idx="1">
                  <c:v>393.48996</c:v>
                </c:pt>
                <c:pt idx="2">
                  <c:v>402.70787999999999</c:v>
                </c:pt>
                <c:pt idx="3">
                  <c:v>402.70787999999999</c:v>
                </c:pt>
                <c:pt idx="4">
                  <c:v>236.20920000000001</c:v>
                </c:pt>
                <c:pt idx="5">
                  <c:v>955.48968000000002</c:v>
                </c:pt>
                <c:pt idx="6">
                  <c:v>955.48968000000002</c:v>
                </c:pt>
                <c:pt idx="7">
                  <c:v>977.87303999999995</c:v>
                </c:pt>
                <c:pt idx="8">
                  <c:v>977.87303999999995</c:v>
                </c:pt>
                <c:pt idx="9">
                  <c:v>573.57360000000006</c:v>
                </c:pt>
                <c:pt idx="10">
                  <c:v>1632.7114999999999</c:v>
                </c:pt>
                <c:pt idx="11">
                  <c:v>1632.7114999999999</c:v>
                </c:pt>
                <c:pt idx="12">
                  <c:v>1670.9594999999999</c:v>
                </c:pt>
                <c:pt idx="13">
                  <c:v>1670.9594999999999</c:v>
                </c:pt>
                <c:pt idx="14">
                  <c:v>980.10500000000002</c:v>
                </c:pt>
              </c:numCache>
            </c:numRef>
          </c:val>
          <c:extLst>
            <c:ext xmlns:c16="http://schemas.microsoft.com/office/drawing/2014/chart" uri="{C3380CC4-5D6E-409C-BE32-E72D297353CC}">
              <c16:uniqueId val="{00000001-5AA6-4A7A-8752-DE8ACCC5D5BF}"/>
            </c:ext>
          </c:extLst>
        </c:ser>
        <c:ser>
          <c:idx val="2"/>
          <c:order val="2"/>
          <c:tx>
            <c:strRef>
              <c:f>Lifetimecost!$W$22</c:f>
              <c:strCache>
                <c:ptCount val="1"/>
                <c:pt idx="0">
                  <c:v>Fuel</c:v>
                </c:pt>
              </c:strCache>
            </c:strRef>
          </c:tx>
          <c:spPr>
            <a:solidFill>
              <a:schemeClr val="accent3"/>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Lifetimecost!$W$23:$W$37</c:f>
              <c:numCache>
                <c:formatCode>"$"#,##0</c:formatCode>
                <c:ptCount val="15"/>
                <c:pt idx="0">
                  <c:v>509.89277955756501</c:v>
                </c:pt>
                <c:pt idx="1">
                  <c:v>270.123459831709</c:v>
                </c:pt>
                <c:pt idx="2">
                  <c:v>358.63249616667099</c:v>
                </c:pt>
                <c:pt idx="3">
                  <c:v>297.05033963288599</c:v>
                </c:pt>
                <c:pt idx="4">
                  <c:v>180.295835727987</c:v>
                </c:pt>
                <c:pt idx="5">
                  <c:v>1209.4441000697</c:v>
                </c:pt>
                <c:pt idx="6">
                  <c:v>708.22550399350598</c:v>
                </c:pt>
                <c:pt idx="7">
                  <c:v>852.50689345041599</c:v>
                </c:pt>
                <c:pt idx="8">
                  <c:v>711.88421374175095</c:v>
                </c:pt>
                <c:pt idx="9">
                  <c:v>437.802302211388</c:v>
                </c:pt>
                <c:pt idx="10">
                  <c:v>2087.0176005083199</c:v>
                </c:pt>
                <c:pt idx="11">
                  <c:v>1498.4893562515699</c:v>
                </c:pt>
                <c:pt idx="12">
                  <c:v>1467.86418732727</c:v>
                </c:pt>
                <c:pt idx="13">
                  <c:v>1223.00948635541</c:v>
                </c:pt>
                <c:pt idx="14">
                  <c:v>748.10316480551398</c:v>
                </c:pt>
              </c:numCache>
            </c:numRef>
          </c:val>
          <c:extLst>
            <c:ext xmlns:c16="http://schemas.microsoft.com/office/drawing/2014/chart" uri="{C3380CC4-5D6E-409C-BE32-E72D297353CC}">
              <c16:uniqueId val="{00000002-5AA6-4A7A-8752-DE8ACCC5D5BF}"/>
            </c:ext>
          </c:extLst>
        </c:ser>
        <c:ser>
          <c:idx val="3"/>
          <c:order val="3"/>
          <c:tx>
            <c:strRef>
              <c:f>Lifetimecost!$X$22</c:f>
              <c:strCache>
                <c:ptCount val="1"/>
                <c:pt idx="0">
                  <c:v>Detour</c:v>
                </c:pt>
              </c:strCache>
            </c:strRef>
          </c:tx>
          <c:spPr>
            <a:solidFill>
              <a:schemeClr val="accent4"/>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Lifetimecost!$X$23:$X$37</c:f>
              <c:numCache>
                <c:formatCode>"$"#,##0</c:formatCode>
                <c:ptCount val="15"/>
                <c:pt idx="0">
                  <c:v>0</c:v>
                </c:pt>
                <c:pt idx="1">
                  <c:v>306.69557676339002</c:v>
                </c:pt>
                <c:pt idx="2">
                  <c:v>0</c:v>
                </c:pt>
                <c:pt idx="3">
                  <c:v>0</c:v>
                </c:pt>
                <c:pt idx="4">
                  <c:v>1.3620121988700501E-3</c:v>
                </c:pt>
                <c:pt idx="5">
                  <c:v>0</c:v>
                </c:pt>
                <c:pt idx="6">
                  <c:v>744.73172962041303</c:v>
                </c:pt>
                <c:pt idx="7">
                  <c:v>0</c:v>
                </c:pt>
                <c:pt idx="8">
                  <c:v>0</c:v>
                </c:pt>
                <c:pt idx="9">
                  <c:v>4.4073365729071903E-2</c:v>
                </c:pt>
                <c:pt idx="10">
                  <c:v>0</c:v>
                </c:pt>
                <c:pt idx="11">
                  <c:v>1272.5747695842599</c:v>
                </c:pt>
                <c:pt idx="12">
                  <c:v>0</c:v>
                </c:pt>
                <c:pt idx="13">
                  <c:v>0</c:v>
                </c:pt>
                <c:pt idx="14">
                  <c:v>1.29783479783087</c:v>
                </c:pt>
              </c:numCache>
            </c:numRef>
          </c:val>
          <c:extLst>
            <c:ext xmlns:c16="http://schemas.microsoft.com/office/drawing/2014/chart" uri="{C3380CC4-5D6E-409C-BE32-E72D297353CC}">
              <c16:uniqueId val="{00000003-5AA6-4A7A-8752-DE8ACCC5D5BF}"/>
            </c:ext>
          </c:extLst>
        </c:ser>
        <c:ser>
          <c:idx val="4"/>
          <c:order val="4"/>
          <c:tx>
            <c:strRef>
              <c:f>Lifetimecost!$Y$22</c:f>
              <c:strCache>
                <c:ptCount val="1"/>
                <c:pt idx="0">
                  <c:v>Waiting</c:v>
                </c:pt>
              </c:strCache>
            </c:strRef>
          </c:tx>
          <c:spPr>
            <a:solidFill>
              <a:schemeClr val="accent5"/>
            </a:solidFill>
            <a:ln>
              <a:noFill/>
            </a:ln>
            <a:effectLst/>
          </c:spPr>
          <c:invertIfNegative val="0"/>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Lifetimecost!$Y$23:$Y$37</c:f>
              <c:numCache>
                <c:formatCode>General</c:formatCode>
                <c:ptCount val="15"/>
                <c:pt idx="4" formatCode="&quot;$&quot;#,##0">
                  <c:v>0.25320455951172699</c:v>
                </c:pt>
                <c:pt idx="9" formatCode="&quot;$&quot;#,##0">
                  <c:v>4.9836066981198499</c:v>
                </c:pt>
                <c:pt idx="14" formatCode="&quot;$&quot;#,##0">
                  <c:v>114.204489584483</c:v>
                </c:pt>
              </c:numCache>
            </c:numRef>
          </c:val>
          <c:extLst>
            <c:ext xmlns:c16="http://schemas.microsoft.com/office/drawing/2014/chart" uri="{C3380CC4-5D6E-409C-BE32-E72D297353CC}">
              <c16:uniqueId val="{00000004-5AA6-4A7A-8752-DE8ACCC5D5BF}"/>
            </c:ext>
          </c:extLst>
        </c:ser>
        <c:ser>
          <c:idx val="5"/>
          <c:order val="5"/>
          <c:tx>
            <c:strRef>
              <c:f>Lifetimecost!$Z$22</c:f>
              <c:strCache>
                <c:ptCount val="1"/>
                <c:pt idx="0">
                  <c:v>Range limitation</c:v>
                </c:pt>
              </c:strCache>
            </c:strRef>
          </c:tx>
          <c:spPr>
            <a:solidFill>
              <a:schemeClr val="accent6"/>
            </a:solidFill>
            <a:ln>
              <a:noFill/>
            </a:ln>
            <a:effectLst/>
          </c:spPr>
          <c:invertIfNegative val="0"/>
          <c:errBars>
            <c:errBarType val="both"/>
            <c:errValType val="cust"/>
            <c:noEndCap val="0"/>
            <c:plus>
              <c:numRef>
                <c:f>Lifetimecost!$P$23:$P$37</c:f>
                <c:numCache>
                  <c:formatCode>General</c:formatCode>
                  <c:ptCount val="15"/>
                  <c:pt idx="0">
                    <c:v>34.041275571600401</c:v>
                  </c:pt>
                  <c:pt idx="1">
                    <c:v>776.25979317735198</c:v>
                  </c:pt>
                  <c:pt idx="2">
                    <c:v>971.47495892837799</c:v>
                  </c:pt>
                  <c:pt idx="3">
                    <c:v>521.72065777486296</c:v>
                  </c:pt>
                  <c:pt idx="4">
                    <c:v>678.94852359717504</c:v>
                  </c:pt>
                  <c:pt idx="5">
                    <c:v>77.535369133573994</c:v>
                  </c:pt>
                  <c:pt idx="6">
                    <c:v>827.11581300232103</c:v>
                  </c:pt>
                  <c:pt idx="7">
                    <c:v>661.62914043426599</c:v>
                  </c:pt>
                  <c:pt idx="8">
                    <c:v>693.62755237782903</c:v>
                  </c:pt>
                  <c:pt idx="9">
                    <c:v>582.40533867521299</c:v>
                  </c:pt>
                  <c:pt idx="10">
                    <c:v>101.399141245487</c:v>
                  </c:pt>
                  <c:pt idx="11">
                    <c:v>709.34711555634897</c:v>
                  </c:pt>
                  <c:pt idx="12">
                    <c:v>950.560385059954</c:v>
                  </c:pt>
                  <c:pt idx="13">
                    <c:v>528.52058860828697</c:v>
                  </c:pt>
                  <c:pt idx="14">
                    <c:v>692.31923448532098</c:v>
                  </c:pt>
                </c:numCache>
              </c:numRef>
            </c:plus>
            <c:minus>
              <c:numRef>
                <c:f>Lifetimecost!$O$23:$O$37</c:f>
                <c:numCache>
                  <c:formatCode>General</c:formatCode>
                  <c:ptCount val="15"/>
                  <c:pt idx="0">
                    <c:v>1913.72724864621</c:v>
                  </c:pt>
                  <c:pt idx="1">
                    <c:v>1602.19282336131</c:v>
                  </c:pt>
                  <c:pt idx="2">
                    <c:v>1115.8345576320601</c:v>
                  </c:pt>
                  <c:pt idx="3">
                    <c:v>1026.66826194381</c:v>
                  </c:pt>
                  <c:pt idx="4">
                    <c:v>2442.1144463024898</c:v>
                  </c:pt>
                  <c:pt idx="5">
                    <c:v>2380.7947916666599</c:v>
                  </c:pt>
                  <c:pt idx="6">
                    <c:v>1890.60612252188</c:v>
                  </c:pt>
                  <c:pt idx="7">
                    <c:v>1601.2320028086899</c:v>
                  </c:pt>
                  <c:pt idx="8">
                    <c:v>2498.0689189898299</c:v>
                  </c:pt>
                  <c:pt idx="9">
                    <c:v>1965.44640876997</c:v>
                  </c:pt>
                  <c:pt idx="10">
                    <c:v>3801.0141047081802</c:v>
                  </c:pt>
                  <c:pt idx="11">
                    <c:v>3035.8144320057099</c:v>
                  </c:pt>
                  <c:pt idx="12">
                    <c:v>4127.01638489791</c:v>
                  </c:pt>
                  <c:pt idx="13">
                    <c:v>5214.2018077074499</c:v>
                  </c:pt>
                  <c:pt idx="14">
                    <c:v>4928.9771228167901</c:v>
                  </c:pt>
                </c:numCache>
              </c:numRef>
            </c:minus>
            <c:spPr>
              <a:noFill/>
              <a:ln w="9525" cap="flat" cmpd="sng" algn="ctr">
                <a:solidFill>
                  <a:schemeClr val="tx1">
                    <a:lumMod val="65000"/>
                    <a:lumOff val="35000"/>
                  </a:schemeClr>
                </a:solidFill>
                <a:round/>
              </a:ln>
              <a:effectLst/>
            </c:spPr>
          </c:errBars>
          <c:cat>
            <c:multiLvlStrRef>
              <c:f>Lifetimecost!$G$23:$H$37</c:f>
              <c:multiLvlStrCache>
                <c:ptCount val="15"/>
                <c:lvl>
                  <c:pt idx="0">
                    <c:v>CV</c:v>
                  </c:pt>
                  <c:pt idx="1">
                    <c:v>FFV</c:v>
                  </c:pt>
                  <c:pt idx="2">
                    <c:v>HBV</c:v>
                  </c:pt>
                  <c:pt idx="3">
                    <c:v>PHEV</c:v>
                  </c:pt>
                  <c:pt idx="4">
                    <c:v>BEV</c:v>
                  </c:pt>
                  <c:pt idx="5">
                    <c:v>CV</c:v>
                  </c:pt>
                  <c:pt idx="6">
                    <c:v>FFV</c:v>
                  </c:pt>
                  <c:pt idx="7">
                    <c:v>HBV</c:v>
                  </c:pt>
                  <c:pt idx="8">
                    <c:v>PHEV</c:v>
                  </c:pt>
                  <c:pt idx="9">
                    <c:v>BEV</c:v>
                  </c:pt>
                  <c:pt idx="10">
                    <c:v>CV</c:v>
                  </c:pt>
                  <c:pt idx="11">
                    <c:v>FFV</c:v>
                  </c:pt>
                  <c:pt idx="12">
                    <c:v>HBV</c:v>
                  </c:pt>
                  <c:pt idx="13">
                    <c:v>PHEV</c:v>
                  </c:pt>
                  <c:pt idx="14">
                    <c:v>BEV</c:v>
                  </c:pt>
                </c:lvl>
                <c:lvl>
                  <c:pt idx="0">
                    <c:v>L</c:v>
                  </c:pt>
                  <c:pt idx="5">
                    <c:v>M</c:v>
                  </c:pt>
                  <c:pt idx="10">
                    <c:v>H</c:v>
                  </c:pt>
                </c:lvl>
              </c:multiLvlStrCache>
            </c:multiLvlStrRef>
          </c:cat>
          <c:val>
            <c:numRef>
              <c:f>Lifetimecost!$Z$23:$Z$37</c:f>
              <c:numCache>
                <c:formatCode>"$"#,##0</c:formatCode>
                <c:ptCount val="15"/>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1.53475239812028</c:v>
                </c:pt>
              </c:numCache>
            </c:numRef>
          </c:val>
          <c:extLst>
            <c:ext xmlns:c16="http://schemas.microsoft.com/office/drawing/2014/chart" uri="{C3380CC4-5D6E-409C-BE32-E72D297353CC}">
              <c16:uniqueId val="{00000005-5AA6-4A7A-8752-DE8ACCC5D5BF}"/>
            </c:ext>
          </c:extLst>
        </c:ser>
        <c:dLbls>
          <c:showLegendKey val="0"/>
          <c:showVal val="0"/>
          <c:showCatName val="0"/>
          <c:showSerName val="0"/>
          <c:showPercent val="0"/>
          <c:showBubbleSize val="0"/>
        </c:dLbls>
        <c:gapWidth val="150"/>
        <c:overlap val="100"/>
        <c:axId val="299954159"/>
        <c:axId val="20232831"/>
      </c:barChart>
      <c:catAx>
        <c:axId val="299954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232831"/>
        <c:crosses val="autoZero"/>
        <c:auto val="1"/>
        <c:lblAlgn val="ctr"/>
        <c:lblOffset val="100"/>
        <c:noMultiLvlLbl val="0"/>
      </c:catAx>
      <c:valAx>
        <c:axId val="20232831"/>
        <c:scaling>
          <c:orientation val="minMax"/>
        </c:scaling>
        <c:delete val="0"/>
        <c:axPos val="l"/>
        <c:majorGridlines>
          <c:spPr>
            <a:ln w="9525" cap="flat" cmpd="sng" algn="ctr">
              <a:solidFill>
                <a:schemeClr val="tx1">
                  <a:lumMod val="15000"/>
                  <a:lumOff val="85000"/>
                </a:schemeClr>
              </a:solidFill>
              <a:round/>
            </a:ln>
            <a:effectLst/>
          </c:spPr>
        </c:majorGridlines>
        <c:numFmt formatCode="&quot;$&quot;#,##0"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99954159"/>
        <c:crosses val="autoZero"/>
        <c:crossBetween val="between"/>
        <c:majorUnit val="2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477366070632228E-2"/>
          <c:y val="0.17316796936327802"/>
          <c:w val="0.89637739132875771"/>
          <c:h val="0.57021304520559613"/>
        </c:manualLayout>
      </c:layout>
      <c:barChart>
        <c:barDir val="col"/>
        <c:grouping val="percentStacked"/>
        <c:varyColors val="0"/>
        <c:ser>
          <c:idx val="0"/>
          <c:order val="0"/>
          <c:tx>
            <c:strRef>
              <c:f>'Output 2030'!$A$11</c:f>
              <c:strCache>
                <c:ptCount val="1"/>
                <c:pt idx="0">
                  <c:v>   CV</c:v>
                </c:pt>
              </c:strCache>
            </c:strRef>
          </c:tx>
          <c:spPr>
            <a:solidFill>
              <a:schemeClr val="accent1"/>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2030'!$C$11:$R$11</c:f>
              <c:numCache>
                <c:formatCode>0%</c:formatCode>
                <c:ptCount val="8"/>
                <c:pt idx="0">
                  <c:v>0.84834787747589901</c:v>
                </c:pt>
                <c:pt idx="1">
                  <c:v>0.78628317459186103</c:v>
                </c:pt>
                <c:pt idx="2">
                  <c:v>0.78329155880741197</c:v>
                </c:pt>
                <c:pt idx="3">
                  <c:v>0.70205319800724997</c:v>
                </c:pt>
                <c:pt idx="4">
                  <c:v>0.469340234371527</c:v>
                </c:pt>
                <c:pt idx="5">
                  <c:v>0.41706596894368198</c:v>
                </c:pt>
                <c:pt idx="6">
                  <c:v>0.45225003847656398</c:v>
                </c:pt>
                <c:pt idx="7">
                  <c:v>0.41675259383181401</c:v>
                </c:pt>
              </c:numCache>
            </c:numRef>
          </c:val>
          <c:extLst>
            <c:ext xmlns:c16="http://schemas.microsoft.com/office/drawing/2014/chart" uri="{C3380CC4-5D6E-409C-BE32-E72D297353CC}">
              <c16:uniqueId val="{00000000-95A7-496E-A22E-D3EB75E8F0D8}"/>
            </c:ext>
          </c:extLst>
        </c:ser>
        <c:ser>
          <c:idx val="1"/>
          <c:order val="1"/>
          <c:tx>
            <c:strRef>
              <c:f>'Output 2030'!$A$12</c:f>
              <c:strCache>
                <c:ptCount val="1"/>
                <c:pt idx="0">
                  <c:v>   FFV</c:v>
                </c:pt>
              </c:strCache>
            </c:strRef>
          </c:tx>
          <c:spPr>
            <a:solidFill>
              <a:schemeClr val="accent2"/>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2030'!$C$12:$R$12</c:f>
              <c:numCache>
                <c:formatCode>General</c:formatCode>
                <c:ptCount val="8"/>
                <c:pt idx="0" formatCode="0%">
                  <c:v>2.5756426181107499E-2</c:v>
                </c:pt>
                <c:pt idx="2" formatCode="0%">
                  <c:v>5.91936322255859E-2</c:v>
                </c:pt>
                <c:pt idx="3" formatCode="0%">
                  <c:v>8.6128260413352795E-2</c:v>
                </c:pt>
                <c:pt idx="4" formatCode="0%">
                  <c:v>9.7910818707908895E-2</c:v>
                </c:pt>
                <c:pt idx="5" formatCode="0%">
                  <c:v>0</c:v>
                </c:pt>
                <c:pt idx="6" formatCode="0%">
                  <c:v>0.107192202297813</c:v>
                </c:pt>
              </c:numCache>
            </c:numRef>
          </c:val>
          <c:extLst>
            <c:ext xmlns:c16="http://schemas.microsoft.com/office/drawing/2014/chart" uri="{C3380CC4-5D6E-409C-BE32-E72D297353CC}">
              <c16:uniqueId val="{00000001-95A7-496E-A22E-D3EB75E8F0D8}"/>
            </c:ext>
          </c:extLst>
        </c:ser>
        <c:ser>
          <c:idx val="2"/>
          <c:order val="2"/>
          <c:tx>
            <c:strRef>
              <c:f>'Output 2030'!$A$13</c:f>
              <c:strCache>
                <c:ptCount val="1"/>
                <c:pt idx="0">
                  <c:v>   HBV</c:v>
                </c:pt>
              </c:strCache>
            </c:strRef>
          </c:tx>
          <c:spPr>
            <a:solidFill>
              <a:schemeClr val="accent3"/>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2030'!$C$13:$R$13</c:f>
              <c:numCache>
                <c:formatCode>0%</c:formatCode>
                <c:ptCount val="8"/>
                <c:pt idx="0">
                  <c:v>3.1463639898155003E-2</c:v>
                </c:pt>
                <c:pt idx="1">
                  <c:v>2.3756882553887301E-2</c:v>
                </c:pt>
                <c:pt idx="2">
                  <c:v>3.0583354001599599E-2</c:v>
                </c:pt>
                <c:pt idx="3">
                  <c:v>0</c:v>
                </c:pt>
                <c:pt idx="4">
                  <c:v>6.9911872661039603E-3</c:v>
                </c:pt>
                <c:pt idx="5">
                  <c:v>0</c:v>
                </c:pt>
                <c:pt idx="6">
                  <c:v>4.8883418092430997E-3</c:v>
                </c:pt>
              </c:numCache>
            </c:numRef>
          </c:val>
          <c:extLst>
            <c:ext xmlns:c16="http://schemas.microsoft.com/office/drawing/2014/chart" uri="{C3380CC4-5D6E-409C-BE32-E72D297353CC}">
              <c16:uniqueId val="{00000002-95A7-496E-A22E-D3EB75E8F0D8}"/>
            </c:ext>
          </c:extLst>
        </c:ser>
        <c:ser>
          <c:idx val="3"/>
          <c:order val="3"/>
          <c:tx>
            <c:strRef>
              <c:f>'Output 2030'!$A$14</c:f>
              <c:strCache>
                <c:ptCount val="1"/>
                <c:pt idx="0">
                  <c:v>   PHEV</c:v>
                </c:pt>
              </c:strCache>
            </c:strRef>
          </c:tx>
          <c:spPr>
            <a:solidFill>
              <a:schemeClr val="accent4"/>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2030'!$C$14:$R$14</c:f>
              <c:numCache>
                <c:formatCode>General</c:formatCode>
                <c:ptCount val="8"/>
                <c:pt idx="0" formatCode="0%">
                  <c:v>1.26463953527245E-2</c:v>
                </c:pt>
                <c:pt idx="2" formatCode="0%">
                  <c:v>1.2467530014740699E-2</c:v>
                </c:pt>
                <c:pt idx="3" formatCode="0%">
                  <c:v>0</c:v>
                </c:pt>
                <c:pt idx="4" formatCode="0%">
                  <c:v>1.7390614721244799E-2</c:v>
                </c:pt>
                <c:pt idx="5" formatCode="0%">
                  <c:v>0</c:v>
                </c:pt>
                <c:pt idx="6" formatCode="0%">
                  <c:v>1.41692453066108E-2</c:v>
                </c:pt>
                <c:pt idx="7" formatCode="0%">
                  <c:v>0</c:v>
                </c:pt>
              </c:numCache>
            </c:numRef>
          </c:val>
          <c:extLst>
            <c:ext xmlns:c16="http://schemas.microsoft.com/office/drawing/2014/chart" uri="{C3380CC4-5D6E-409C-BE32-E72D297353CC}">
              <c16:uniqueId val="{00000003-95A7-496E-A22E-D3EB75E8F0D8}"/>
            </c:ext>
          </c:extLst>
        </c:ser>
        <c:ser>
          <c:idx val="4"/>
          <c:order val="4"/>
          <c:tx>
            <c:strRef>
              <c:f>'Output 2030'!$A$15</c:f>
              <c:strCache>
                <c:ptCount val="1"/>
                <c:pt idx="0">
                  <c:v>   BEV</c:v>
                </c:pt>
              </c:strCache>
            </c:strRef>
          </c:tx>
          <c:spPr>
            <a:solidFill>
              <a:schemeClr val="accent5"/>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2030'!$C$15:$R$15</c:f>
              <c:numCache>
                <c:formatCode>0%</c:formatCode>
                <c:ptCount val="8"/>
                <c:pt idx="0">
                  <c:v>8.1785661092113507E-2</c:v>
                </c:pt>
                <c:pt idx="1">
                  <c:v>0.189959942854252</c:v>
                </c:pt>
                <c:pt idx="2">
                  <c:v>0.114463924950662</c:v>
                </c:pt>
                <c:pt idx="3">
                  <c:v>0.211818541579398</c:v>
                </c:pt>
                <c:pt idx="4">
                  <c:v>0.40836714493321502</c:v>
                </c:pt>
                <c:pt idx="5">
                  <c:v>0.58293403105631802</c:v>
                </c:pt>
                <c:pt idx="6">
                  <c:v>0.42150017210976998</c:v>
                </c:pt>
                <c:pt idx="7">
                  <c:v>0.58324740616818505</c:v>
                </c:pt>
              </c:numCache>
            </c:numRef>
          </c:val>
          <c:extLst>
            <c:ext xmlns:c16="http://schemas.microsoft.com/office/drawing/2014/chart" uri="{C3380CC4-5D6E-409C-BE32-E72D297353CC}">
              <c16:uniqueId val="{00000004-95A7-496E-A22E-D3EB75E8F0D8}"/>
            </c:ext>
          </c:extLst>
        </c:ser>
        <c:dLbls>
          <c:showLegendKey val="0"/>
          <c:showVal val="0"/>
          <c:showCatName val="0"/>
          <c:showSerName val="0"/>
          <c:showPercent val="0"/>
          <c:showBubbleSize val="0"/>
        </c:dLbls>
        <c:gapWidth val="150"/>
        <c:overlap val="100"/>
        <c:axId val="629884288"/>
        <c:axId val="629889280"/>
      </c:barChart>
      <c:catAx>
        <c:axId val="629884288"/>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9889280"/>
        <c:crosses val="autoZero"/>
        <c:auto val="1"/>
        <c:lblAlgn val="ctr"/>
        <c:lblOffset val="100"/>
        <c:noMultiLvlLbl val="0"/>
      </c:catAx>
      <c:valAx>
        <c:axId val="6298892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9884288"/>
        <c:crosses val="autoZero"/>
        <c:crossBetween val="between"/>
        <c:majorUnit val="0.2"/>
      </c:valAx>
      <c:spPr>
        <a:noFill/>
        <a:ln>
          <a:noFill/>
        </a:ln>
        <a:effectLst/>
      </c:spPr>
    </c:plotArea>
    <c:legend>
      <c:legendPos val="b"/>
      <c:layout>
        <c:manualLayout>
          <c:xMode val="edge"/>
          <c:yMode val="edge"/>
          <c:x val="0.23295795842813138"/>
          <c:y val="7.6850100441355443E-2"/>
          <c:w val="0.59379150722850926"/>
          <c:h val="4.280617654738198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6676941197363865E-2"/>
          <c:y val="0.12414555633497427"/>
          <c:w val="0.89637739132875771"/>
          <c:h val="0.54508624705726227"/>
        </c:manualLayout>
      </c:layout>
      <c:barChart>
        <c:barDir val="col"/>
        <c:grouping val="percentStacked"/>
        <c:varyColors val="0"/>
        <c:ser>
          <c:idx val="0"/>
          <c:order val="0"/>
          <c:tx>
            <c:strRef>
              <c:f>'Output 2030'!$A$5</c:f>
              <c:strCache>
                <c:ptCount val="1"/>
                <c:pt idx="0">
                  <c:v>   CV</c:v>
                </c:pt>
              </c:strCache>
            </c:strRef>
          </c:tx>
          <c:spPr>
            <a:solidFill>
              <a:schemeClr val="accent1"/>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2030'!$C$5:$R$5</c:f>
              <c:numCache>
                <c:formatCode>0</c:formatCode>
                <c:ptCount val="8"/>
                <c:pt idx="0">
                  <c:v>230.48868070439801</c:v>
                </c:pt>
                <c:pt idx="1">
                  <c:v>197.607269242538</c:v>
                </c:pt>
                <c:pt idx="2">
                  <c:v>224.311382326467</c:v>
                </c:pt>
                <c:pt idx="3">
                  <c:v>188.66696598379701</c:v>
                </c:pt>
                <c:pt idx="4">
                  <c:v>189.925046486626</c:v>
                </c:pt>
                <c:pt idx="5">
                  <c:v>137.12911530562999</c:v>
                </c:pt>
                <c:pt idx="6">
                  <c:v>186.06738798613</c:v>
                </c:pt>
                <c:pt idx="7">
                  <c:v>135.20982536203999</c:v>
                </c:pt>
              </c:numCache>
            </c:numRef>
          </c:val>
          <c:extLst>
            <c:ext xmlns:c16="http://schemas.microsoft.com/office/drawing/2014/chart" uri="{C3380CC4-5D6E-409C-BE32-E72D297353CC}">
              <c16:uniqueId val="{00000000-E006-4806-B44B-9B2DABC9284C}"/>
            </c:ext>
          </c:extLst>
        </c:ser>
        <c:ser>
          <c:idx val="1"/>
          <c:order val="1"/>
          <c:tx>
            <c:strRef>
              <c:f>'Output 2030'!$A$6</c:f>
              <c:strCache>
                <c:ptCount val="1"/>
                <c:pt idx="0">
                  <c:v>   FFV</c:v>
                </c:pt>
              </c:strCache>
            </c:strRef>
          </c:tx>
          <c:spPr>
            <a:solidFill>
              <a:schemeClr val="accent2"/>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2030'!$C$6:$R$6</c:f>
              <c:numCache>
                <c:formatCode>0</c:formatCode>
                <c:ptCount val="8"/>
                <c:pt idx="0">
                  <c:v>15.3469371881515</c:v>
                </c:pt>
                <c:pt idx="1">
                  <c:v>28.497548016310599</c:v>
                </c:pt>
                <c:pt idx="2">
                  <c:v>17.1768185667982</c:v>
                </c:pt>
                <c:pt idx="3">
                  <c:v>37.600767368761097</c:v>
                </c:pt>
                <c:pt idx="4">
                  <c:v>22.310110735874801</c:v>
                </c:pt>
                <c:pt idx="5">
                  <c:v>31.527342688839902</c:v>
                </c:pt>
                <c:pt idx="6">
                  <c:v>22.528286860139598</c:v>
                </c:pt>
                <c:pt idx="7">
                  <c:v>31.435212225759301</c:v>
                </c:pt>
              </c:numCache>
            </c:numRef>
          </c:val>
          <c:extLst>
            <c:ext xmlns:c16="http://schemas.microsoft.com/office/drawing/2014/chart" uri="{C3380CC4-5D6E-409C-BE32-E72D297353CC}">
              <c16:uniqueId val="{00000001-E006-4806-B44B-9B2DABC9284C}"/>
            </c:ext>
          </c:extLst>
        </c:ser>
        <c:ser>
          <c:idx val="2"/>
          <c:order val="2"/>
          <c:tx>
            <c:strRef>
              <c:f>'Output 2030'!$A$7</c:f>
              <c:strCache>
                <c:ptCount val="1"/>
                <c:pt idx="0">
                  <c:v>   HBV</c:v>
                </c:pt>
              </c:strCache>
            </c:strRef>
          </c:tx>
          <c:spPr>
            <a:solidFill>
              <a:schemeClr val="accent3"/>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2030'!$C$7:$R$7</c:f>
              <c:numCache>
                <c:formatCode>0</c:formatCode>
                <c:ptCount val="8"/>
                <c:pt idx="0">
                  <c:v>10.364114063413499</c:v>
                </c:pt>
                <c:pt idx="1">
                  <c:v>24.446980475108401</c:v>
                </c:pt>
                <c:pt idx="2">
                  <c:v>9.8074463860891203</c:v>
                </c:pt>
                <c:pt idx="3">
                  <c:v>6.9768065820413296</c:v>
                </c:pt>
                <c:pt idx="4">
                  <c:v>7.1876057467569998</c:v>
                </c:pt>
                <c:pt idx="5">
                  <c:v>6.0507641387084901</c:v>
                </c:pt>
                <c:pt idx="6">
                  <c:v>6.9084047484561699</c:v>
                </c:pt>
                <c:pt idx="7">
                  <c:v>5.64008715674656</c:v>
                </c:pt>
              </c:numCache>
            </c:numRef>
          </c:val>
          <c:extLst>
            <c:ext xmlns:c16="http://schemas.microsoft.com/office/drawing/2014/chart" uri="{C3380CC4-5D6E-409C-BE32-E72D297353CC}">
              <c16:uniqueId val="{00000002-E006-4806-B44B-9B2DABC9284C}"/>
            </c:ext>
          </c:extLst>
        </c:ser>
        <c:ser>
          <c:idx val="3"/>
          <c:order val="3"/>
          <c:tx>
            <c:strRef>
              <c:f>'Output 2030'!$A$8</c:f>
              <c:strCache>
                <c:ptCount val="1"/>
                <c:pt idx="0">
                  <c:v>   PHEV</c:v>
                </c:pt>
              </c:strCache>
            </c:strRef>
          </c:tx>
          <c:spPr>
            <a:solidFill>
              <a:schemeClr val="accent4"/>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2030'!$C$8:$R$8</c:f>
              <c:numCache>
                <c:formatCode>0</c:formatCode>
                <c:ptCount val="8"/>
                <c:pt idx="0">
                  <c:v>4.0708769200709396</c:v>
                </c:pt>
                <c:pt idx="1">
                  <c:v>0.35607085240640601</c:v>
                </c:pt>
                <c:pt idx="2">
                  <c:v>4.0260170331203398</c:v>
                </c:pt>
                <c:pt idx="3">
                  <c:v>0.34194253355193499</c:v>
                </c:pt>
                <c:pt idx="4">
                  <c:v>4.37935507716512</c:v>
                </c:pt>
                <c:pt idx="5">
                  <c:v>0.43149460833953002</c:v>
                </c:pt>
                <c:pt idx="6">
                  <c:v>4.1419238283444404</c:v>
                </c:pt>
                <c:pt idx="7">
                  <c:v>4.5349386162227903E-2</c:v>
                </c:pt>
              </c:numCache>
            </c:numRef>
          </c:val>
          <c:extLst>
            <c:ext xmlns:c16="http://schemas.microsoft.com/office/drawing/2014/chart" uri="{C3380CC4-5D6E-409C-BE32-E72D297353CC}">
              <c16:uniqueId val="{00000003-E006-4806-B44B-9B2DABC9284C}"/>
            </c:ext>
          </c:extLst>
        </c:ser>
        <c:ser>
          <c:idx val="4"/>
          <c:order val="4"/>
          <c:tx>
            <c:strRef>
              <c:f>'Output 2030'!$A$9</c:f>
              <c:strCache>
                <c:ptCount val="1"/>
                <c:pt idx="0">
                  <c:v>   BEV</c:v>
                </c:pt>
              </c:strCache>
            </c:strRef>
          </c:tx>
          <c:spPr>
            <a:solidFill>
              <a:schemeClr val="accent5"/>
            </a:solidFill>
            <a:ln>
              <a:noFill/>
            </a:ln>
            <a:effectLst/>
          </c:spPr>
          <c:invertIfNegative val="0"/>
          <c:cat>
            <c:multiLvlStrRef>
              <c:f>'Output 2030'!$C$2:$R$3</c:f>
              <c:multiLvlStrCache>
                <c:ptCount val="8"/>
                <c:lvl>
                  <c:pt idx="0">
                    <c:v>With Tangible and Intangible costs</c:v>
                  </c:pt>
                  <c:pt idx="1">
                    <c:v>With Tangible Costs Only</c:v>
                  </c:pt>
                  <c:pt idx="2">
                    <c:v>With Tangible and Intangible costs</c:v>
                  </c:pt>
                  <c:pt idx="3">
                    <c:v>With Tangible Costs Only</c:v>
                  </c:pt>
                  <c:pt idx="4">
                    <c:v>With Tangible and Intangible costs</c:v>
                  </c:pt>
                  <c:pt idx="5">
                    <c:v>With Tangible Costs Only</c:v>
                  </c:pt>
                  <c:pt idx="6">
                    <c:v>With Tangible and Intangible costs</c:v>
                  </c:pt>
                  <c:pt idx="7">
                    <c:v>With Tangible Costs Only</c:v>
                  </c:pt>
                </c:lvl>
                <c:lvl>
                  <c:pt idx="0">
                    <c:v>Baseline Scenario</c:v>
                  </c:pt>
                  <c:pt idx="2">
                    <c:v>Scenario 1: Increased Public Charging </c:v>
                  </c:pt>
                  <c:pt idx="4">
                    <c:v>Scenario 2: Clean Vehicle (EV)  Tax Credit</c:v>
                  </c:pt>
                  <c:pt idx="6">
                    <c:v>Scenario 3 Clean Vehicle (EV)  Tax Credit &amp; Increased Charging </c:v>
                  </c:pt>
                </c:lvl>
              </c:multiLvlStrCache>
            </c:multiLvlStrRef>
          </c:cat>
          <c:val>
            <c:numRef>
              <c:f>'Output 2030'!$C$9:$R$9</c:f>
              <c:numCache>
                <c:formatCode>0</c:formatCode>
                <c:ptCount val="8"/>
                <c:pt idx="0">
                  <c:v>14.227827234924399</c:v>
                </c:pt>
                <c:pt idx="1">
                  <c:v>20.375381122409198</c:v>
                </c:pt>
                <c:pt idx="2">
                  <c:v>19.182912990324301</c:v>
                </c:pt>
                <c:pt idx="3">
                  <c:v>37.758584136063703</c:v>
                </c:pt>
                <c:pt idx="4">
                  <c:v>50.375772916038002</c:v>
                </c:pt>
                <c:pt idx="5">
                  <c:v>95.625284349648098</c:v>
                </c:pt>
                <c:pt idx="6">
                  <c:v>54.540939548675198</c:v>
                </c:pt>
                <c:pt idx="7">
                  <c:v>98.485142325309297</c:v>
                </c:pt>
              </c:numCache>
            </c:numRef>
          </c:val>
          <c:extLst>
            <c:ext xmlns:c16="http://schemas.microsoft.com/office/drawing/2014/chart" uri="{C3380CC4-5D6E-409C-BE32-E72D297353CC}">
              <c16:uniqueId val="{00000004-E006-4806-B44B-9B2DABC9284C}"/>
            </c:ext>
          </c:extLst>
        </c:ser>
        <c:dLbls>
          <c:showLegendKey val="0"/>
          <c:showVal val="0"/>
          <c:showCatName val="0"/>
          <c:showSerName val="0"/>
          <c:showPercent val="0"/>
          <c:showBubbleSize val="0"/>
        </c:dLbls>
        <c:gapWidth val="150"/>
        <c:overlap val="100"/>
        <c:axId val="629884288"/>
        <c:axId val="629889280"/>
      </c:barChart>
      <c:catAx>
        <c:axId val="629884288"/>
        <c:scaling>
          <c:orientation val="minMax"/>
        </c:scaling>
        <c:delete val="0"/>
        <c:axPos val="b"/>
        <c:numFmt formatCode="General" sourceLinked="1"/>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9889280"/>
        <c:crosses val="autoZero"/>
        <c:auto val="1"/>
        <c:lblAlgn val="ctr"/>
        <c:lblOffset val="100"/>
        <c:noMultiLvlLbl val="0"/>
      </c:catAx>
      <c:valAx>
        <c:axId val="6298892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29884288"/>
        <c:crosses val="autoZero"/>
        <c:crossBetween val="between"/>
        <c:majorUnit val="0.2"/>
      </c:valAx>
      <c:spPr>
        <a:noFill/>
        <a:ln>
          <a:noFill/>
        </a:ln>
        <a:effectLst/>
      </c:spPr>
    </c:plotArea>
    <c:legend>
      <c:legendPos val="b"/>
      <c:layout>
        <c:manualLayout>
          <c:xMode val="edge"/>
          <c:yMode val="edge"/>
          <c:x val="0.27923401672571119"/>
          <c:y val="3.9908743285139069E-2"/>
          <c:w val="0.43634585783728908"/>
          <c:h val="6.122490956845971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(a) BEVs</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areaChart>
        <c:grouping val="standard"/>
        <c:varyColors val="0"/>
        <c:ser>
          <c:idx val="11"/>
          <c:order val="11"/>
          <c:tx>
            <c:strRef>
              <c:f>'V shares by clones'!$O$2</c:f>
              <c:strCache>
                <c:ptCount val="1"/>
                <c:pt idx="0">
                  <c:v>max</c:v>
                </c:pt>
              </c:strCache>
            </c:strRef>
          </c:tx>
          <c:spPr>
            <a:solidFill>
              <a:schemeClr val="accent1">
                <a:alpha val="70000"/>
              </a:schemeClr>
            </a:solidFill>
            <a:ln>
              <a:noFill/>
            </a:ln>
            <a:effectLst/>
          </c:spPr>
          <c:val>
            <c:numRef>
              <c:f>'V shares by clones'!$O$9:$O$17</c:f>
              <c:numCache>
                <c:formatCode>0%</c:formatCode>
                <c:ptCount val="9"/>
                <c:pt idx="0">
                  <c:v>0.26796459217745699</c:v>
                </c:pt>
                <c:pt idx="1">
                  <c:v>0.181059113372709</c:v>
                </c:pt>
                <c:pt idx="2">
                  <c:v>0.26283181110150999</c:v>
                </c:pt>
                <c:pt idx="3">
                  <c:v>0.29489057542851399</c:v>
                </c:pt>
                <c:pt idx="4">
                  <c:v>0.38107296332015</c:v>
                </c:pt>
                <c:pt idx="5">
                  <c:v>0.49343505490516898</c:v>
                </c:pt>
                <c:pt idx="6">
                  <c:v>0.43902510943337097</c:v>
                </c:pt>
                <c:pt idx="7">
                  <c:v>0.48372184778919503</c:v>
                </c:pt>
                <c:pt idx="8">
                  <c:v>0.501131752696655</c:v>
                </c:pt>
              </c:numCache>
            </c:numRef>
          </c:val>
          <c:extLst>
            <c:ext xmlns:c16="http://schemas.microsoft.com/office/drawing/2014/chart" uri="{C3380CC4-5D6E-409C-BE32-E72D297353CC}">
              <c16:uniqueId val="{00000000-283E-42E2-90A6-C7E36B21EF49}"/>
            </c:ext>
          </c:extLst>
        </c:ser>
        <c:ser>
          <c:idx val="12"/>
          <c:order val="12"/>
          <c:tx>
            <c:strRef>
              <c:f>'V shares by clones'!$P$2</c:f>
              <c:strCache>
                <c:ptCount val="1"/>
                <c:pt idx="0">
                  <c:v>min</c:v>
                </c:pt>
              </c:strCache>
            </c:strRef>
          </c:tx>
          <c:spPr>
            <a:solidFill>
              <a:schemeClr val="bg1"/>
            </a:solidFill>
            <a:ln>
              <a:solidFill>
                <a:schemeClr val="bg1"/>
              </a:solidFill>
            </a:ln>
            <a:effectLst/>
          </c:spPr>
          <c:val>
            <c:numRef>
              <c:f>'V shares by clones'!$P$9:$P$17</c:f>
              <c:numCache>
                <c:formatCode>0%</c:formatCode>
                <c:ptCount val="9"/>
                <c:pt idx="0">
                  <c:v>0.12607163232204799</c:v>
                </c:pt>
                <c:pt idx="1">
                  <c:v>0.106053017707732</c:v>
                </c:pt>
                <c:pt idx="2">
                  <c:v>0.11130726297681499</c:v>
                </c:pt>
                <c:pt idx="3">
                  <c:v>0.16678288404252201</c:v>
                </c:pt>
                <c:pt idx="4">
                  <c:v>0.206118918480928</c:v>
                </c:pt>
                <c:pt idx="5">
                  <c:v>0.242033375148557</c:v>
                </c:pt>
                <c:pt idx="6">
                  <c:v>0.24603239883822101</c:v>
                </c:pt>
                <c:pt idx="7">
                  <c:v>0.27529935740070899</c:v>
                </c:pt>
                <c:pt idx="8">
                  <c:v>0.35884313347545399</c:v>
                </c:pt>
              </c:numCache>
            </c:numRef>
          </c:val>
          <c:extLst>
            <c:ext xmlns:c16="http://schemas.microsoft.com/office/drawing/2014/chart" uri="{C3380CC4-5D6E-409C-BE32-E72D297353CC}">
              <c16:uniqueId val="{00000001-283E-42E2-90A6-C7E36B21EF49}"/>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8575"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clones'!$C$3:$C$17</c:f>
              <c:numCache>
                <c:formatCode>0%</c:formatCode>
                <c:ptCount val="9"/>
                <c:pt idx="0">
                  <c:v>0.14130232014103</c:v>
                </c:pt>
                <c:pt idx="1">
                  <c:v>0.167200988849493</c:v>
                </c:pt>
                <c:pt idx="2">
                  <c:v>0.13356701588248801</c:v>
                </c:pt>
                <c:pt idx="3">
                  <c:v>0.16678288404252201</c:v>
                </c:pt>
                <c:pt idx="4">
                  <c:v>0.34691767350728803</c:v>
                </c:pt>
                <c:pt idx="5">
                  <c:v>0.35958617049833302</c:v>
                </c:pt>
                <c:pt idx="6">
                  <c:v>0.324825726501004</c:v>
                </c:pt>
                <c:pt idx="7">
                  <c:v>0.46095477752463698</c:v>
                </c:pt>
                <c:pt idx="8">
                  <c:v>0.49184998318124701</c:v>
                </c:pt>
              </c:numCache>
            </c:numRef>
          </c:val>
          <c:smooth val="0"/>
          <c:extLst>
            <c:ext xmlns:c16="http://schemas.microsoft.com/office/drawing/2014/chart" uri="{C3380CC4-5D6E-409C-BE32-E72D297353CC}">
              <c16:uniqueId val="{00000002-283E-42E2-90A6-C7E36B21EF49}"/>
            </c:ext>
          </c:extLst>
        </c:ser>
        <c:ser>
          <c:idx val="1"/>
          <c:order val="1"/>
          <c:tx>
            <c:strRef>
              <c:f>'V shares by clones'!$D$2</c:f>
              <c:strCache>
                <c:ptCount val="1"/>
                <c:pt idx="0">
                  <c:v>c2</c:v>
                </c:pt>
              </c:strCache>
            </c:strRef>
          </c:tx>
          <c:spPr>
            <a:ln w="28575"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clones'!$D$3:$D$17</c:f>
              <c:numCache>
                <c:formatCode>0%</c:formatCode>
                <c:ptCount val="9"/>
                <c:pt idx="0">
                  <c:v>0.24261504796505201</c:v>
                </c:pt>
                <c:pt idx="1">
                  <c:v>0.106053017707732</c:v>
                </c:pt>
                <c:pt idx="2">
                  <c:v>0.146817682267737</c:v>
                </c:pt>
                <c:pt idx="3">
                  <c:v>0.25991490130407002</c:v>
                </c:pt>
                <c:pt idx="4">
                  <c:v>0.38107296332015</c:v>
                </c:pt>
                <c:pt idx="5">
                  <c:v>0.38170045499795202</c:v>
                </c:pt>
                <c:pt idx="6">
                  <c:v>0.36437925836943502</c:v>
                </c:pt>
                <c:pt idx="7">
                  <c:v>0.43035561821172302</c:v>
                </c:pt>
                <c:pt idx="8">
                  <c:v>0.40649188975004702</c:v>
                </c:pt>
              </c:numCache>
            </c:numRef>
          </c:val>
          <c:smooth val="0"/>
          <c:extLst>
            <c:ext xmlns:c16="http://schemas.microsoft.com/office/drawing/2014/chart" uri="{C3380CC4-5D6E-409C-BE32-E72D297353CC}">
              <c16:uniqueId val="{00000003-283E-42E2-90A6-C7E36B21EF49}"/>
            </c:ext>
          </c:extLst>
        </c:ser>
        <c:ser>
          <c:idx val="2"/>
          <c:order val="2"/>
          <c:tx>
            <c:strRef>
              <c:f>'V shares by clones'!$E$2</c:f>
              <c:strCache>
                <c:ptCount val="1"/>
                <c:pt idx="0">
                  <c:v>c3</c:v>
                </c:pt>
              </c:strCache>
            </c:strRef>
          </c:tx>
          <c:spPr>
            <a:ln w="28575"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clones'!$E$3:$E$17</c:f>
              <c:numCache>
                <c:formatCode>0%</c:formatCode>
                <c:ptCount val="9"/>
                <c:pt idx="0">
                  <c:v>0.24871227148684899</c:v>
                </c:pt>
                <c:pt idx="1">
                  <c:v>0.149928822410381</c:v>
                </c:pt>
                <c:pt idx="2">
                  <c:v>0.20009255121096101</c:v>
                </c:pt>
                <c:pt idx="3">
                  <c:v>0.24304195794634301</c:v>
                </c:pt>
                <c:pt idx="4">
                  <c:v>0.216721737446158</c:v>
                </c:pt>
                <c:pt idx="5">
                  <c:v>0.31120692401560601</c:v>
                </c:pt>
                <c:pt idx="6">
                  <c:v>0.28498489945774902</c:v>
                </c:pt>
                <c:pt idx="7">
                  <c:v>0.27529935740070899</c:v>
                </c:pt>
                <c:pt idx="8">
                  <c:v>0.39238508540143902</c:v>
                </c:pt>
              </c:numCache>
            </c:numRef>
          </c:val>
          <c:smooth val="0"/>
          <c:extLst>
            <c:ext xmlns:c16="http://schemas.microsoft.com/office/drawing/2014/chart" uri="{C3380CC4-5D6E-409C-BE32-E72D297353CC}">
              <c16:uniqueId val="{00000004-283E-42E2-90A6-C7E36B21EF49}"/>
            </c:ext>
          </c:extLst>
        </c:ser>
        <c:ser>
          <c:idx val="3"/>
          <c:order val="3"/>
          <c:tx>
            <c:strRef>
              <c:f>'V shares by clones'!$F$2</c:f>
              <c:strCache>
                <c:ptCount val="1"/>
                <c:pt idx="0">
                  <c:v>c4</c:v>
                </c:pt>
              </c:strCache>
            </c:strRef>
          </c:tx>
          <c:spPr>
            <a:ln w="28575"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clones'!$F$3:$F$17</c:f>
              <c:numCache>
                <c:formatCode>0%</c:formatCode>
                <c:ptCount val="9"/>
                <c:pt idx="0">
                  <c:v>0.14001316514404499</c:v>
                </c:pt>
                <c:pt idx="1">
                  <c:v>0.160469046191105</c:v>
                </c:pt>
                <c:pt idx="2">
                  <c:v>0.184658321490105</c:v>
                </c:pt>
                <c:pt idx="3">
                  <c:v>0.176212126161017</c:v>
                </c:pt>
                <c:pt idx="4">
                  <c:v>0.34957597366807602</c:v>
                </c:pt>
                <c:pt idx="5">
                  <c:v>0.27437428100039202</c:v>
                </c:pt>
                <c:pt idx="6">
                  <c:v>0.34875071783452999</c:v>
                </c:pt>
                <c:pt idx="7">
                  <c:v>0.39008299479831698</c:v>
                </c:pt>
                <c:pt idx="8">
                  <c:v>0.45353652179577297</c:v>
                </c:pt>
              </c:numCache>
            </c:numRef>
          </c:val>
          <c:smooth val="0"/>
          <c:extLst>
            <c:ext xmlns:c16="http://schemas.microsoft.com/office/drawing/2014/chart" uri="{C3380CC4-5D6E-409C-BE32-E72D297353CC}">
              <c16:uniqueId val="{00000005-283E-42E2-90A6-C7E36B21EF49}"/>
            </c:ext>
          </c:extLst>
        </c:ser>
        <c:ser>
          <c:idx val="4"/>
          <c:order val="4"/>
          <c:tx>
            <c:strRef>
              <c:f>'V shares by clones'!$G$2</c:f>
              <c:strCache>
                <c:ptCount val="1"/>
                <c:pt idx="0">
                  <c:v>c5</c:v>
                </c:pt>
              </c:strCache>
            </c:strRef>
          </c:tx>
          <c:spPr>
            <a:ln w="28575"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clones'!$G$3:$G$17</c:f>
              <c:numCache>
                <c:formatCode>0%</c:formatCode>
                <c:ptCount val="9"/>
                <c:pt idx="0">
                  <c:v>0.24533625200838199</c:v>
                </c:pt>
                <c:pt idx="1">
                  <c:v>0.13814004554048101</c:v>
                </c:pt>
                <c:pt idx="2">
                  <c:v>0.219627455373475</c:v>
                </c:pt>
                <c:pt idx="3">
                  <c:v>0.241007804309427</c:v>
                </c:pt>
                <c:pt idx="4">
                  <c:v>0.314557461463007</c:v>
                </c:pt>
                <c:pt idx="5">
                  <c:v>0.242033375148557</c:v>
                </c:pt>
                <c:pt idx="6">
                  <c:v>0.24603239883822101</c:v>
                </c:pt>
                <c:pt idx="7">
                  <c:v>0.40219751961114403</c:v>
                </c:pt>
                <c:pt idx="8">
                  <c:v>0.35884313347545399</c:v>
                </c:pt>
              </c:numCache>
            </c:numRef>
          </c:val>
          <c:smooth val="0"/>
          <c:extLst>
            <c:ext xmlns:c16="http://schemas.microsoft.com/office/drawing/2014/chart" uri="{C3380CC4-5D6E-409C-BE32-E72D297353CC}">
              <c16:uniqueId val="{00000006-283E-42E2-90A6-C7E36B21EF49}"/>
            </c:ext>
          </c:extLst>
        </c:ser>
        <c:ser>
          <c:idx val="5"/>
          <c:order val="5"/>
          <c:tx>
            <c:strRef>
              <c:f>'V shares by clones'!$H$2</c:f>
              <c:strCache>
                <c:ptCount val="1"/>
                <c:pt idx="0">
                  <c:v>c6</c:v>
                </c:pt>
              </c:strCache>
            </c:strRef>
          </c:tx>
          <c:spPr>
            <a:ln w="28575"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clones'!$H$3:$H$17</c:f>
              <c:numCache>
                <c:formatCode>0%</c:formatCode>
                <c:ptCount val="9"/>
                <c:pt idx="0">
                  <c:v>0.199867222228931</c:v>
                </c:pt>
                <c:pt idx="1">
                  <c:v>0.181059113372709</c:v>
                </c:pt>
                <c:pt idx="2">
                  <c:v>0.11130726297681499</c:v>
                </c:pt>
                <c:pt idx="3">
                  <c:v>0.248086809321788</c:v>
                </c:pt>
                <c:pt idx="4">
                  <c:v>0.34064114218515401</c:v>
                </c:pt>
                <c:pt idx="5">
                  <c:v>0.35468680106501299</c:v>
                </c:pt>
                <c:pt idx="6">
                  <c:v>0.33506746254720099</c:v>
                </c:pt>
                <c:pt idx="7">
                  <c:v>0.32309105041455299</c:v>
                </c:pt>
                <c:pt idx="8">
                  <c:v>0.501131752696655</c:v>
                </c:pt>
              </c:numCache>
            </c:numRef>
          </c:val>
          <c:smooth val="0"/>
          <c:extLst>
            <c:ext xmlns:c16="http://schemas.microsoft.com/office/drawing/2014/chart" uri="{C3380CC4-5D6E-409C-BE32-E72D297353CC}">
              <c16:uniqueId val="{00000007-283E-42E2-90A6-C7E36B21EF49}"/>
            </c:ext>
          </c:extLst>
        </c:ser>
        <c:ser>
          <c:idx val="6"/>
          <c:order val="6"/>
          <c:tx>
            <c:strRef>
              <c:f>'V shares by clones'!$I$2</c:f>
              <c:strCache>
                <c:ptCount val="1"/>
                <c:pt idx="0">
                  <c:v>c7</c:v>
                </c:pt>
              </c:strCache>
            </c:strRef>
          </c:tx>
          <c:spPr>
            <a:ln w="28575"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clones'!$I$3:$I$17</c:f>
              <c:numCache>
                <c:formatCode>0%</c:formatCode>
                <c:ptCount val="9"/>
                <c:pt idx="0">
                  <c:v>0.18173393758994799</c:v>
                </c:pt>
                <c:pt idx="1">
                  <c:v>0.119474829096039</c:v>
                </c:pt>
                <c:pt idx="2">
                  <c:v>0.199527470604345</c:v>
                </c:pt>
                <c:pt idx="3">
                  <c:v>0.25396772064927398</c:v>
                </c:pt>
                <c:pt idx="4">
                  <c:v>0.27410099127123499</c:v>
                </c:pt>
                <c:pt idx="5">
                  <c:v>0.29034467189532298</c:v>
                </c:pt>
                <c:pt idx="6">
                  <c:v>0.43902510943337097</c:v>
                </c:pt>
                <c:pt idx="7">
                  <c:v>0.40137893882071202</c:v>
                </c:pt>
                <c:pt idx="8">
                  <c:v>0.36500846094803402</c:v>
                </c:pt>
              </c:numCache>
            </c:numRef>
          </c:val>
          <c:smooth val="0"/>
          <c:extLst>
            <c:ext xmlns:c16="http://schemas.microsoft.com/office/drawing/2014/chart" uri="{C3380CC4-5D6E-409C-BE32-E72D297353CC}">
              <c16:uniqueId val="{00000008-283E-42E2-90A6-C7E36B21EF49}"/>
            </c:ext>
          </c:extLst>
        </c:ser>
        <c:ser>
          <c:idx val="7"/>
          <c:order val="7"/>
          <c:tx>
            <c:strRef>
              <c:f>'V shares by clones'!$J$2</c:f>
              <c:strCache>
                <c:ptCount val="1"/>
                <c:pt idx="0">
                  <c:v>c8</c:v>
                </c:pt>
              </c:strCache>
            </c:strRef>
          </c:tx>
          <c:spPr>
            <a:ln w="28575"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clones'!$J$3:$J$17</c:f>
              <c:numCache>
                <c:formatCode>0%</c:formatCode>
                <c:ptCount val="9"/>
                <c:pt idx="0">
                  <c:v>0.12607163232204799</c:v>
                </c:pt>
                <c:pt idx="1">
                  <c:v>0.17331122842069599</c:v>
                </c:pt>
                <c:pt idx="2">
                  <c:v>0.21610582409394299</c:v>
                </c:pt>
                <c:pt idx="3">
                  <c:v>0.173502329534405</c:v>
                </c:pt>
                <c:pt idx="4">
                  <c:v>0.30104199268106602</c:v>
                </c:pt>
                <c:pt idx="5">
                  <c:v>0.35618076326333498</c:v>
                </c:pt>
                <c:pt idx="6">
                  <c:v>0.28066367530360697</c:v>
                </c:pt>
                <c:pt idx="7">
                  <c:v>0.48372184778919503</c:v>
                </c:pt>
                <c:pt idx="8">
                  <c:v>0.36234853708176901</c:v>
                </c:pt>
              </c:numCache>
            </c:numRef>
          </c:val>
          <c:smooth val="0"/>
          <c:extLst>
            <c:ext xmlns:c16="http://schemas.microsoft.com/office/drawing/2014/chart" uri="{C3380CC4-5D6E-409C-BE32-E72D297353CC}">
              <c16:uniqueId val="{00000009-283E-42E2-90A6-C7E36B21EF49}"/>
            </c:ext>
          </c:extLst>
        </c:ser>
        <c:ser>
          <c:idx val="8"/>
          <c:order val="8"/>
          <c:tx>
            <c:strRef>
              <c:f>'V shares by clones'!$K$2</c:f>
              <c:strCache>
                <c:ptCount val="1"/>
                <c:pt idx="0">
                  <c:v>c9</c:v>
                </c:pt>
              </c:strCache>
            </c:strRef>
          </c:tx>
          <c:spPr>
            <a:ln w="28575"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clones'!$K$3:$K$17</c:f>
              <c:numCache>
                <c:formatCode>0%</c:formatCode>
                <c:ptCount val="9"/>
                <c:pt idx="0">
                  <c:v>0.26796459217745699</c:v>
                </c:pt>
                <c:pt idx="1">
                  <c:v>0.106289710460402</c:v>
                </c:pt>
                <c:pt idx="2">
                  <c:v>0.26283181110150999</c:v>
                </c:pt>
                <c:pt idx="3">
                  <c:v>0.28179018960258401</c:v>
                </c:pt>
                <c:pt idx="4">
                  <c:v>0.206118918480928</c:v>
                </c:pt>
                <c:pt idx="5">
                  <c:v>0.31986320147214797</c:v>
                </c:pt>
                <c:pt idx="6">
                  <c:v>0.39401370976101202</c:v>
                </c:pt>
                <c:pt idx="7">
                  <c:v>0.41729499900914302</c:v>
                </c:pt>
                <c:pt idx="8">
                  <c:v>0.45670323609517399</c:v>
                </c:pt>
              </c:numCache>
            </c:numRef>
          </c:val>
          <c:smooth val="0"/>
          <c:extLst>
            <c:ext xmlns:c16="http://schemas.microsoft.com/office/drawing/2014/chart" uri="{C3380CC4-5D6E-409C-BE32-E72D297353CC}">
              <c16:uniqueId val="{0000000A-283E-42E2-90A6-C7E36B21EF49}"/>
            </c:ext>
          </c:extLst>
        </c:ser>
        <c:ser>
          <c:idx val="9"/>
          <c:order val="9"/>
          <c:tx>
            <c:strRef>
              <c:f>'V shares by clones'!$L$2</c:f>
              <c:strCache>
                <c:ptCount val="1"/>
                <c:pt idx="0">
                  <c:v>c10</c:v>
                </c:pt>
              </c:strCache>
            </c:strRef>
          </c:tx>
          <c:spPr>
            <a:ln w="28575"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clones'!$L$3:$L$17</c:f>
              <c:numCache>
                <c:formatCode>0%</c:formatCode>
                <c:ptCount val="9"/>
                <c:pt idx="0">
                  <c:v>0.14816162662979701</c:v>
                </c:pt>
                <c:pt idx="1">
                  <c:v>0.12620320190280199</c:v>
                </c:pt>
                <c:pt idx="2">
                  <c:v>0.19608517710975801</c:v>
                </c:pt>
                <c:pt idx="3">
                  <c:v>0.29489057542851399</c:v>
                </c:pt>
                <c:pt idx="4">
                  <c:v>0.243982012882421</c:v>
                </c:pt>
                <c:pt idx="5">
                  <c:v>0.49343505490516898</c:v>
                </c:pt>
                <c:pt idx="6">
                  <c:v>0.39901212055116902</c:v>
                </c:pt>
                <c:pt idx="7">
                  <c:v>0.39732360228505798</c:v>
                </c:pt>
                <c:pt idx="8">
                  <c:v>0.42670312067210397</c:v>
                </c:pt>
              </c:numCache>
            </c:numRef>
          </c:val>
          <c:smooth val="0"/>
          <c:extLst>
            <c:ext xmlns:c16="http://schemas.microsoft.com/office/drawing/2014/chart" uri="{C3380CC4-5D6E-409C-BE32-E72D297353CC}">
              <c16:uniqueId val="{0000000B-283E-42E2-90A6-C7E36B21EF49}"/>
            </c:ext>
          </c:extLst>
        </c:ser>
        <c:ser>
          <c:idx val="10"/>
          <c:order val="10"/>
          <c:tx>
            <c:strRef>
              <c:f>'V shares by clones'!$M$2</c:f>
              <c:strCache>
                <c:ptCount val="1"/>
                <c:pt idx="0">
                  <c:v>Mean</c:v>
                </c:pt>
              </c:strCache>
            </c:strRef>
          </c:tx>
          <c:spPr>
            <a:ln w="28575" cap="rnd">
              <a:solidFill>
                <a:schemeClr val="tx1"/>
              </a:solidFill>
              <a:round/>
            </a:ln>
            <a:effectLst/>
          </c:spPr>
          <c:marker>
            <c:symbol val="none"/>
          </c:marker>
          <c:val>
            <c:numRef>
              <c:f>'V shares by clones'!$M$3:$M$17</c:f>
              <c:numCache>
                <c:formatCode>0%</c:formatCode>
                <c:ptCount val="9"/>
                <c:pt idx="0">
                  <c:v>0.19417780676935389</c:v>
                </c:pt>
                <c:pt idx="1">
                  <c:v>0.14281300039518396</c:v>
                </c:pt>
                <c:pt idx="2">
                  <c:v>0.18706205721111374</c:v>
                </c:pt>
                <c:pt idx="3">
                  <c:v>0.23391972982999437</c:v>
                </c:pt>
                <c:pt idx="4">
                  <c:v>0.29747308669054828</c:v>
                </c:pt>
                <c:pt idx="5">
                  <c:v>0.33834116982618284</c:v>
                </c:pt>
                <c:pt idx="6">
                  <c:v>0.34167550785972989</c:v>
                </c:pt>
                <c:pt idx="7">
                  <c:v>0.3981700705865191</c:v>
                </c:pt>
                <c:pt idx="8">
                  <c:v>0.42150017210976964</c:v>
                </c:pt>
              </c:numCache>
            </c:numRef>
          </c:val>
          <c:smooth val="0"/>
          <c:extLst>
            <c:ext xmlns:c16="http://schemas.microsoft.com/office/drawing/2014/chart" uri="{C3380CC4-5D6E-409C-BE32-E72D297353CC}">
              <c16:uniqueId val="{0000000C-283E-42E2-90A6-C7E36B21EF49}"/>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(b)</a:t>
            </a:r>
            <a:r>
              <a:rPr lang="en-US" sz="1200" baseline="0"/>
              <a:t> </a:t>
            </a:r>
            <a:r>
              <a:rPr lang="en-US" sz="1200"/>
              <a:t>CVs</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areaChart>
        <c:grouping val="standard"/>
        <c:varyColors val="0"/>
        <c:ser>
          <c:idx val="11"/>
          <c:order val="11"/>
          <c:tx>
            <c:strRef>
              <c:f>'V shares by clones'!$O$2</c:f>
              <c:strCache>
                <c:ptCount val="1"/>
                <c:pt idx="0">
                  <c:v>max</c:v>
                </c:pt>
              </c:strCache>
            </c:strRef>
          </c:tx>
          <c:spPr>
            <a:solidFill>
              <a:schemeClr val="accent1">
                <a:alpha val="70000"/>
              </a:schemeClr>
            </a:solidFill>
            <a:ln w="25400">
              <a:noFill/>
            </a:ln>
            <a:effectLst/>
          </c:spPr>
          <c:val>
            <c:numRef>
              <c:f>'V shares by clones'!$O$27:$O$35</c:f>
              <c:numCache>
                <c:formatCode>0%</c:formatCode>
                <c:ptCount val="9"/>
                <c:pt idx="0">
                  <c:v>0.83118092541227095</c:v>
                </c:pt>
                <c:pt idx="1">
                  <c:v>0.86586062887186799</c:v>
                </c:pt>
                <c:pt idx="2">
                  <c:v>0.80885366194299002</c:v>
                </c:pt>
                <c:pt idx="3">
                  <c:v>0.76710662009860597</c:v>
                </c:pt>
                <c:pt idx="4">
                  <c:v>0.648127483794532</c:v>
                </c:pt>
                <c:pt idx="5">
                  <c:v>0.66414584981499403</c:v>
                </c:pt>
                <c:pt idx="6">
                  <c:v>0.64978006163442503</c:v>
                </c:pt>
                <c:pt idx="7">
                  <c:v>0.60849276745117098</c:v>
                </c:pt>
                <c:pt idx="8">
                  <c:v>0.54898003787750804</c:v>
                </c:pt>
              </c:numCache>
            </c:numRef>
          </c:val>
          <c:extLst>
            <c:ext xmlns:c16="http://schemas.microsoft.com/office/drawing/2014/chart" uri="{C3380CC4-5D6E-409C-BE32-E72D297353CC}">
              <c16:uniqueId val="{00000000-5E04-4AF4-BC39-A0BE35542529}"/>
            </c:ext>
          </c:extLst>
        </c:ser>
        <c:ser>
          <c:idx val="12"/>
          <c:order val="12"/>
          <c:tx>
            <c:strRef>
              <c:f>'V shares by clones'!$P$2</c:f>
              <c:strCache>
                <c:ptCount val="1"/>
                <c:pt idx="0">
                  <c:v>min</c:v>
                </c:pt>
              </c:strCache>
            </c:strRef>
          </c:tx>
          <c:spPr>
            <a:solidFill>
              <a:schemeClr val="bg1"/>
            </a:solidFill>
            <a:ln w="25400">
              <a:noFill/>
            </a:ln>
            <a:effectLst/>
          </c:spPr>
          <c:val>
            <c:numRef>
              <c:f>'V shares by clones'!$P$27:$P$35</c:f>
              <c:numCache>
                <c:formatCode>0%</c:formatCode>
                <c:ptCount val="9"/>
                <c:pt idx="0">
                  <c:v>0.69276692308100296</c:v>
                </c:pt>
                <c:pt idx="1">
                  <c:v>0.64424218514428</c:v>
                </c:pt>
                <c:pt idx="2">
                  <c:v>0.65871311858993797</c:v>
                </c:pt>
                <c:pt idx="3">
                  <c:v>0.55523486620277795</c:v>
                </c:pt>
                <c:pt idx="4">
                  <c:v>0.49576394528821299</c:v>
                </c:pt>
                <c:pt idx="5">
                  <c:v>0.46335106962915001</c:v>
                </c:pt>
                <c:pt idx="6">
                  <c:v>0.41178885808538501</c:v>
                </c:pt>
                <c:pt idx="7">
                  <c:v>0.41735835031192497</c:v>
                </c:pt>
                <c:pt idx="8">
                  <c:v>0.37802058847942099</c:v>
                </c:pt>
              </c:numCache>
            </c:numRef>
          </c:val>
          <c:extLst>
            <c:ext xmlns:c16="http://schemas.microsoft.com/office/drawing/2014/chart" uri="{C3380CC4-5D6E-409C-BE32-E72D297353CC}">
              <c16:uniqueId val="{00000001-5E04-4AF4-BC39-A0BE35542529}"/>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5400"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clones'!$C$21:$C$35</c:f>
              <c:numCache>
                <c:formatCode>General</c:formatCode>
                <c:ptCount val="9"/>
                <c:pt idx="0">
                  <c:v>0.81254199987508802</c:v>
                </c:pt>
                <c:pt idx="1">
                  <c:v>0.72465906162431004</c:v>
                </c:pt>
                <c:pt idx="2">
                  <c:v>0.72768644187050502</c:v>
                </c:pt>
                <c:pt idx="3">
                  <c:v>0.74787372804652497</c:v>
                </c:pt>
                <c:pt idx="4">
                  <c:v>0.55827097667414105</c:v>
                </c:pt>
                <c:pt idx="5">
                  <c:v>0.49319652653692703</c:v>
                </c:pt>
                <c:pt idx="6">
                  <c:v>0.49106361002771898</c:v>
                </c:pt>
                <c:pt idx="7">
                  <c:v>0.48398077158128</c:v>
                </c:pt>
                <c:pt idx="8">
                  <c:v>0.44040671562767503</c:v>
                </c:pt>
              </c:numCache>
            </c:numRef>
          </c:val>
          <c:smooth val="0"/>
          <c:extLst>
            <c:ext xmlns:c16="http://schemas.microsoft.com/office/drawing/2014/chart" uri="{C3380CC4-5D6E-409C-BE32-E72D297353CC}">
              <c16:uniqueId val="{00000002-5E04-4AF4-BC39-A0BE35542529}"/>
            </c:ext>
          </c:extLst>
        </c:ser>
        <c:ser>
          <c:idx val="1"/>
          <c:order val="1"/>
          <c:tx>
            <c:strRef>
              <c:f>'V shares by clones'!$D$2</c:f>
              <c:strCache>
                <c:ptCount val="1"/>
                <c:pt idx="0">
                  <c:v>c2</c:v>
                </c:pt>
              </c:strCache>
            </c:strRef>
          </c:tx>
          <c:spPr>
            <a:ln w="25400"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clones'!$D$21:$D$35</c:f>
              <c:numCache>
                <c:formatCode>General</c:formatCode>
                <c:ptCount val="9"/>
                <c:pt idx="0">
                  <c:v>0.704056912518216</c:v>
                </c:pt>
                <c:pt idx="1">
                  <c:v>0.81354228909871396</c:v>
                </c:pt>
                <c:pt idx="2">
                  <c:v>0.69005017237638799</c:v>
                </c:pt>
                <c:pt idx="3">
                  <c:v>0.58727184396180698</c:v>
                </c:pt>
                <c:pt idx="4">
                  <c:v>0.49576394528821299</c:v>
                </c:pt>
                <c:pt idx="5">
                  <c:v>0.56250988115894396</c:v>
                </c:pt>
                <c:pt idx="6">
                  <c:v>0.47646549181096298</c:v>
                </c:pt>
                <c:pt idx="7">
                  <c:v>0.481357749249752</c:v>
                </c:pt>
                <c:pt idx="8">
                  <c:v>0.48127761016131698</c:v>
                </c:pt>
              </c:numCache>
            </c:numRef>
          </c:val>
          <c:smooth val="0"/>
          <c:extLst>
            <c:ext xmlns:c16="http://schemas.microsoft.com/office/drawing/2014/chart" uri="{C3380CC4-5D6E-409C-BE32-E72D297353CC}">
              <c16:uniqueId val="{00000003-5E04-4AF4-BC39-A0BE35542529}"/>
            </c:ext>
          </c:extLst>
        </c:ser>
        <c:ser>
          <c:idx val="2"/>
          <c:order val="2"/>
          <c:tx>
            <c:strRef>
              <c:f>'V shares by clones'!$E$2</c:f>
              <c:strCache>
                <c:ptCount val="1"/>
                <c:pt idx="0">
                  <c:v>c3</c:v>
                </c:pt>
              </c:strCache>
            </c:strRef>
          </c:tx>
          <c:spPr>
            <a:ln w="25400"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clones'!$E$21:$E$35</c:f>
              <c:numCache>
                <c:formatCode>General</c:formatCode>
                <c:ptCount val="9"/>
                <c:pt idx="0">
                  <c:v>0.69276692308100296</c:v>
                </c:pt>
                <c:pt idx="1">
                  <c:v>0.806677611822189</c:v>
                </c:pt>
                <c:pt idx="2">
                  <c:v>0.70098503520667599</c:v>
                </c:pt>
                <c:pt idx="3">
                  <c:v>0.71914238091835303</c:v>
                </c:pt>
                <c:pt idx="4">
                  <c:v>0.59705476847436401</c:v>
                </c:pt>
                <c:pt idx="5">
                  <c:v>0.61289562293324396</c:v>
                </c:pt>
                <c:pt idx="6">
                  <c:v>0.613387713102029</c:v>
                </c:pt>
                <c:pt idx="7">
                  <c:v>0.60849276745117098</c:v>
                </c:pt>
                <c:pt idx="8">
                  <c:v>0.40596103870720301</c:v>
                </c:pt>
              </c:numCache>
            </c:numRef>
          </c:val>
          <c:smooth val="0"/>
          <c:extLst>
            <c:ext xmlns:c16="http://schemas.microsoft.com/office/drawing/2014/chart" uri="{C3380CC4-5D6E-409C-BE32-E72D297353CC}">
              <c16:uniqueId val="{00000004-5E04-4AF4-BC39-A0BE35542529}"/>
            </c:ext>
          </c:extLst>
        </c:ser>
        <c:ser>
          <c:idx val="3"/>
          <c:order val="3"/>
          <c:tx>
            <c:strRef>
              <c:f>'V shares by clones'!$F$2</c:f>
              <c:strCache>
                <c:ptCount val="1"/>
                <c:pt idx="0">
                  <c:v>c4</c:v>
                </c:pt>
              </c:strCache>
            </c:strRef>
          </c:tx>
          <c:spPr>
            <a:ln w="25400"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clones'!$F$21:$F$35</c:f>
              <c:numCache>
                <c:formatCode>General</c:formatCode>
                <c:ptCount val="9"/>
                <c:pt idx="0">
                  <c:v>0.71680156171254505</c:v>
                </c:pt>
                <c:pt idx="1">
                  <c:v>0.69659756344518997</c:v>
                </c:pt>
                <c:pt idx="2">
                  <c:v>0.74759382461930302</c:v>
                </c:pt>
                <c:pt idx="3">
                  <c:v>0.76710662009860597</c:v>
                </c:pt>
                <c:pt idx="4">
                  <c:v>0.58054688791436404</c:v>
                </c:pt>
                <c:pt idx="5">
                  <c:v>0.55228402956684097</c:v>
                </c:pt>
                <c:pt idx="6">
                  <c:v>0.60165971194776102</c:v>
                </c:pt>
                <c:pt idx="7">
                  <c:v>0.479878846233877</c:v>
                </c:pt>
                <c:pt idx="8">
                  <c:v>0.43876555869324002</c:v>
                </c:pt>
              </c:numCache>
            </c:numRef>
          </c:val>
          <c:smooth val="0"/>
          <c:extLst>
            <c:ext xmlns:c16="http://schemas.microsoft.com/office/drawing/2014/chart" uri="{C3380CC4-5D6E-409C-BE32-E72D297353CC}">
              <c16:uniqueId val="{00000005-5E04-4AF4-BC39-A0BE35542529}"/>
            </c:ext>
          </c:extLst>
        </c:ser>
        <c:ser>
          <c:idx val="4"/>
          <c:order val="4"/>
          <c:tx>
            <c:strRef>
              <c:f>'V shares by clones'!$G$2</c:f>
              <c:strCache>
                <c:ptCount val="1"/>
                <c:pt idx="0">
                  <c:v>c5</c:v>
                </c:pt>
              </c:strCache>
            </c:strRef>
          </c:tx>
          <c:spPr>
            <a:ln w="25400"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clones'!$G$21:$G$35</c:f>
              <c:numCache>
                <c:formatCode>General</c:formatCode>
                <c:ptCount val="9"/>
                <c:pt idx="0">
                  <c:v>0.72342502319081003</c:v>
                </c:pt>
                <c:pt idx="1">
                  <c:v>0.78252231891789203</c:v>
                </c:pt>
                <c:pt idx="2">
                  <c:v>0.74296550320532295</c:v>
                </c:pt>
                <c:pt idx="3">
                  <c:v>0.64934622870523995</c:v>
                </c:pt>
                <c:pt idx="4">
                  <c:v>0.58711269613848405</c:v>
                </c:pt>
                <c:pt idx="5">
                  <c:v>0.66414584981499403</c:v>
                </c:pt>
                <c:pt idx="6">
                  <c:v>0.41178885808538501</c:v>
                </c:pt>
                <c:pt idx="7">
                  <c:v>0.49395134432554</c:v>
                </c:pt>
                <c:pt idx="8">
                  <c:v>0.50822724334688896</c:v>
                </c:pt>
              </c:numCache>
            </c:numRef>
          </c:val>
          <c:smooth val="0"/>
          <c:extLst>
            <c:ext xmlns:c16="http://schemas.microsoft.com/office/drawing/2014/chart" uri="{C3380CC4-5D6E-409C-BE32-E72D297353CC}">
              <c16:uniqueId val="{00000006-5E04-4AF4-BC39-A0BE35542529}"/>
            </c:ext>
          </c:extLst>
        </c:ser>
        <c:ser>
          <c:idx val="5"/>
          <c:order val="5"/>
          <c:tx>
            <c:strRef>
              <c:f>'V shares by clones'!$H$2</c:f>
              <c:strCache>
                <c:ptCount val="1"/>
                <c:pt idx="0">
                  <c:v>c6</c:v>
                </c:pt>
              </c:strCache>
            </c:strRef>
          </c:tx>
          <c:spPr>
            <a:ln w="25400"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clones'!$H$21:$H$35</c:f>
              <c:numCache>
                <c:formatCode>General</c:formatCode>
                <c:ptCount val="9"/>
                <c:pt idx="0">
                  <c:v>0.77293875736543405</c:v>
                </c:pt>
                <c:pt idx="1">
                  <c:v>0.73191944413392096</c:v>
                </c:pt>
                <c:pt idx="2">
                  <c:v>0.80885366194299002</c:v>
                </c:pt>
                <c:pt idx="3">
                  <c:v>0.67950223768803097</c:v>
                </c:pt>
                <c:pt idx="4">
                  <c:v>0.54045293190185795</c:v>
                </c:pt>
                <c:pt idx="5">
                  <c:v>0.55832068286501602</c:v>
                </c:pt>
                <c:pt idx="6">
                  <c:v>0.55744365994976397</c:v>
                </c:pt>
                <c:pt idx="7">
                  <c:v>0.539246505542745</c:v>
                </c:pt>
                <c:pt idx="8">
                  <c:v>0.42434694278249002</c:v>
                </c:pt>
              </c:numCache>
            </c:numRef>
          </c:val>
          <c:smooth val="0"/>
          <c:extLst>
            <c:ext xmlns:c16="http://schemas.microsoft.com/office/drawing/2014/chart" uri="{C3380CC4-5D6E-409C-BE32-E72D297353CC}">
              <c16:uniqueId val="{00000007-5E04-4AF4-BC39-A0BE35542529}"/>
            </c:ext>
          </c:extLst>
        </c:ser>
        <c:ser>
          <c:idx val="6"/>
          <c:order val="6"/>
          <c:tx>
            <c:strRef>
              <c:f>'V shares by clones'!$I$2</c:f>
              <c:strCache>
                <c:ptCount val="1"/>
                <c:pt idx="0">
                  <c:v>c7</c:v>
                </c:pt>
              </c:strCache>
            </c:strRef>
          </c:tx>
          <c:spPr>
            <a:ln w="25400"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clones'!$I$21:$I$35</c:f>
              <c:numCache>
                <c:formatCode>General</c:formatCode>
                <c:ptCount val="9"/>
                <c:pt idx="0">
                  <c:v>0.72370505860779899</c:v>
                </c:pt>
                <c:pt idx="1">
                  <c:v>0.84368554955880104</c:v>
                </c:pt>
                <c:pt idx="2">
                  <c:v>0.72277984537124895</c:v>
                </c:pt>
                <c:pt idx="3">
                  <c:v>0.69694187400580099</c:v>
                </c:pt>
                <c:pt idx="4">
                  <c:v>0.58863331074987701</c:v>
                </c:pt>
                <c:pt idx="5">
                  <c:v>0.54181954494826801</c:v>
                </c:pt>
                <c:pt idx="6">
                  <c:v>0.48269003676432498</c:v>
                </c:pt>
                <c:pt idx="7">
                  <c:v>0.51019072807815702</c:v>
                </c:pt>
                <c:pt idx="8">
                  <c:v>0.54898003787750804</c:v>
                </c:pt>
              </c:numCache>
            </c:numRef>
          </c:val>
          <c:smooth val="0"/>
          <c:extLst>
            <c:ext xmlns:c16="http://schemas.microsoft.com/office/drawing/2014/chart" uri="{C3380CC4-5D6E-409C-BE32-E72D297353CC}">
              <c16:uniqueId val="{00000008-5E04-4AF4-BC39-A0BE35542529}"/>
            </c:ext>
          </c:extLst>
        </c:ser>
        <c:ser>
          <c:idx val="7"/>
          <c:order val="7"/>
          <c:tx>
            <c:strRef>
              <c:f>'V shares by clones'!$J$2</c:f>
              <c:strCache>
                <c:ptCount val="1"/>
                <c:pt idx="0">
                  <c:v>c8</c:v>
                </c:pt>
              </c:strCache>
            </c:strRef>
          </c:tx>
          <c:spPr>
            <a:ln w="25400"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clones'!$J$21:$J$35</c:f>
              <c:numCache>
                <c:formatCode>General</c:formatCode>
                <c:ptCount val="9"/>
                <c:pt idx="0">
                  <c:v>0.83118092541227095</c:v>
                </c:pt>
                <c:pt idx="1">
                  <c:v>0.64424218514428</c:v>
                </c:pt>
                <c:pt idx="2">
                  <c:v>0.74153075392027201</c:v>
                </c:pt>
                <c:pt idx="3">
                  <c:v>0.700060092958532</c:v>
                </c:pt>
                <c:pt idx="4">
                  <c:v>0.59154588169730404</c:v>
                </c:pt>
                <c:pt idx="5">
                  <c:v>0.52743941507395098</c:v>
                </c:pt>
                <c:pt idx="6">
                  <c:v>0.64978006163442503</c:v>
                </c:pt>
                <c:pt idx="7">
                  <c:v>0.41735835031192497</c:v>
                </c:pt>
                <c:pt idx="8">
                  <c:v>0.50952151023945302</c:v>
                </c:pt>
              </c:numCache>
            </c:numRef>
          </c:val>
          <c:smooth val="0"/>
          <c:extLst>
            <c:ext xmlns:c16="http://schemas.microsoft.com/office/drawing/2014/chart" uri="{C3380CC4-5D6E-409C-BE32-E72D297353CC}">
              <c16:uniqueId val="{00000009-5E04-4AF4-BC39-A0BE35542529}"/>
            </c:ext>
          </c:extLst>
        </c:ser>
        <c:ser>
          <c:idx val="8"/>
          <c:order val="8"/>
          <c:tx>
            <c:strRef>
              <c:f>'V shares by clones'!$K$2</c:f>
              <c:strCache>
                <c:ptCount val="1"/>
                <c:pt idx="0">
                  <c:v>c9</c:v>
                </c:pt>
              </c:strCache>
            </c:strRef>
          </c:tx>
          <c:spPr>
            <a:ln w="25400"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clones'!$K$21:$K$35</c:f>
              <c:numCache>
                <c:formatCode>General</c:formatCode>
                <c:ptCount val="9"/>
                <c:pt idx="0">
                  <c:v>0.700659434100947</c:v>
                </c:pt>
                <c:pt idx="1">
                  <c:v>0.86586062887186799</c:v>
                </c:pt>
                <c:pt idx="2">
                  <c:v>0.68754612570680496</c:v>
                </c:pt>
                <c:pt idx="3">
                  <c:v>0.64895693054797998</c:v>
                </c:pt>
                <c:pt idx="4">
                  <c:v>0.63637154115880101</c:v>
                </c:pt>
                <c:pt idx="5">
                  <c:v>0.64254362154933997</c:v>
                </c:pt>
                <c:pt idx="6">
                  <c:v>0.453764504446246</c:v>
                </c:pt>
                <c:pt idx="7">
                  <c:v>0.44682581861498699</c:v>
                </c:pt>
                <c:pt idx="8">
                  <c:v>0.37802058847942099</c:v>
                </c:pt>
              </c:numCache>
            </c:numRef>
          </c:val>
          <c:smooth val="0"/>
          <c:extLst>
            <c:ext xmlns:c16="http://schemas.microsoft.com/office/drawing/2014/chart" uri="{C3380CC4-5D6E-409C-BE32-E72D297353CC}">
              <c16:uniqueId val="{0000000A-5E04-4AF4-BC39-A0BE35542529}"/>
            </c:ext>
          </c:extLst>
        </c:ser>
        <c:ser>
          <c:idx val="9"/>
          <c:order val="9"/>
          <c:tx>
            <c:strRef>
              <c:f>'V shares by clones'!$L$2</c:f>
              <c:strCache>
                <c:ptCount val="1"/>
                <c:pt idx="0">
                  <c:v>c10</c:v>
                </c:pt>
              </c:strCache>
            </c:strRef>
          </c:tx>
          <c:spPr>
            <a:ln w="25400"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clones'!$L$21:$L$35</c:f>
              <c:numCache>
                <c:formatCode>General</c:formatCode>
                <c:ptCount val="9"/>
                <c:pt idx="0">
                  <c:v>0.75811938150590297</c:v>
                </c:pt>
                <c:pt idx="1">
                  <c:v>0.80067799062858502</c:v>
                </c:pt>
                <c:pt idx="2">
                  <c:v>0.65871311858993797</c:v>
                </c:pt>
                <c:pt idx="3">
                  <c:v>0.55523486620277795</c:v>
                </c:pt>
                <c:pt idx="4">
                  <c:v>0.648127483794532</c:v>
                </c:pt>
                <c:pt idx="5">
                  <c:v>0.46335106962915001</c:v>
                </c:pt>
                <c:pt idx="6">
                  <c:v>0.540540307822022</c:v>
                </c:pt>
                <c:pt idx="7">
                  <c:v>0.49500130488395599</c:v>
                </c:pt>
                <c:pt idx="8">
                  <c:v>0.38699313885044001</c:v>
                </c:pt>
              </c:numCache>
            </c:numRef>
          </c:val>
          <c:smooth val="0"/>
          <c:extLst>
            <c:ext xmlns:c16="http://schemas.microsoft.com/office/drawing/2014/chart" uri="{C3380CC4-5D6E-409C-BE32-E72D297353CC}">
              <c16:uniqueId val="{0000000B-5E04-4AF4-BC39-A0BE35542529}"/>
            </c:ext>
          </c:extLst>
        </c:ser>
        <c:ser>
          <c:idx val="10"/>
          <c:order val="10"/>
          <c:tx>
            <c:strRef>
              <c:f>'V shares by clones'!$M$2</c:f>
              <c:strCache>
                <c:ptCount val="1"/>
                <c:pt idx="0">
                  <c:v>Mean</c:v>
                </c:pt>
              </c:strCache>
            </c:strRef>
          </c:tx>
          <c:spPr>
            <a:ln w="25400" cap="rnd">
              <a:solidFill>
                <a:schemeClr val="tx1"/>
              </a:solidFill>
              <a:round/>
            </a:ln>
            <a:effectLst/>
          </c:spPr>
          <c:marker>
            <c:symbol val="none"/>
          </c:marker>
          <c:val>
            <c:numRef>
              <c:f>'V shares by clones'!$M$21:$M$35</c:f>
              <c:numCache>
                <c:formatCode>0%</c:formatCode>
                <c:ptCount val="9"/>
                <c:pt idx="0">
                  <c:v>0.7436195977370017</c:v>
                </c:pt>
                <c:pt idx="1">
                  <c:v>0.7710384643245749</c:v>
                </c:pt>
                <c:pt idx="2">
                  <c:v>0.72287044828094482</c:v>
                </c:pt>
                <c:pt idx="3">
                  <c:v>0.67514368031336536</c:v>
                </c:pt>
                <c:pt idx="4">
                  <c:v>0.58238804237919384</c:v>
                </c:pt>
                <c:pt idx="5">
                  <c:v>0.56185062440766753</c:v>
                </c:pt>
                <c:pt idx="6">
                  <c:v>0.527858395559064</c:v>
                </c:pt>
                <c:pt idx="7">
                  <c:v>0.49562841862733897</c:v>
                </c:pt>
                <c:pt idx="8">
                  <c:v>0.45225003847656364</c:v>
                </c:pt>
              </c:numCache>
            </c:numRef>
          </c:val>
          <c:smooth val="0"/>
          <c:extLst>
            <c:ext xmlns:c16="http://schemas.microsoft.com/office/drawing/2014/chart" uri="{C3380CC4-5D6E-409C-BE32-E72D297353CC}">
              <c16:uniqueId val="{0000000C-5E04-4AF4-BC39-A0BE35542529}"/>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(c) Other Vehicle</a:t>
            </a:r>
            <a:r>
              <a:rPr lang="en-US" sz="1200" baseline="0"/>
              <a:t> Types</a:t>
            </a:r>
            <a:endParaRPr lang="en-US" sz="120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8.1520324398250493E-2"/>
          <c:y val="0.15082712719875566"/>
          <c:w val="0.88898623857762671"/>
          <c:h val="0.5411602001697946"/>
        </c:manualLayout>
      </c:layout>
      <c:areaChart>
        <c:grouping val="standard"/>
        <c:varyColors val="0"/>
        <c:ser>
          <c:idx val="11"/>
          <c:order val="11"/>
          <c:tx>
            <c:strRef>
              <c:f>'V shares by clones'!$O$2</c:f>
              <c:strCache>
                <c:ptCount val="1"/>
                <c:pt idx="0">
                  <c:v>max</c:v>
                </c:pt>
              </c:strCache>
            </c:strRef>
          </c:tx>
          <c:spPr>
            <a:solidFill>
              <a:schemeClr val="accent1">
                <a:alpha val="70000"/>
              </a:schemeClr>
            </a:solidFill>
            <a:ln w="25400">
              <a:noFill/>
            </a:ln>
            <a:effectLst/>
          </c:spPr>
          <c:val>
            <c:numRef>
              <c:f>'V shares by clones'!$O$47:$O$55</c:f>
              <c:numCache>
                <c:formatCode>0%</c:formatCode>
                <c:ptCount val="9"/>
                <c:pt idx="0">
                  <c:v>0.1431852731434099</c:v>
                </c:pt>
                <c:pt idx="1">
                  <c:v>0.18244658643502398</c:v>
                </c:pt>
                <c:pt idx="2">
                  <c:v>0.16313214535587506</c:v>
                </c:pt>
                <c:pt idx="3">
                  <c:v>0.15281325473412299</c:v>
                </c:pt>
                <c:pt idx="4">
                  <c:v>0.18622349407947802</c:v>
                </c:pt>
                <c:pt idx="5">
                  <c:v>0.17334168943276707</c:v>
                </c:pt>
                <c:pt idx="6">
                  <c:v>0.34217874307639395</c:v>
                </c:pt>
                <c:pt idx="7">
                  <c:v>0.137662444042702</c:v>
                </c:pt>
                <c:pt idx="8">
                  <c:v>0.20165387589135797</c:v>
                </c:pt>
              </c:numCache>
            </c:numRef>
          </c:val>
          <c:extLst>
            <c:ext xmlns:c16="http://schemas.microsoft.com/office/drawing/2014/chart" uri="{C3380CC4-5D6E-409C-BE32-E72D297353CC}">
              <c16:uniqueId val="{00000000-FFC9-4074-AB09-99508C66F3F5}"/>
            </c:ext>
          </c:extLst>
        </c:ser>
        <c:ser>
          <c:idx val="12"/>
          <c:order val="12"/>
          <c:tx>
            <c:strRef>
              <c:f>'V shares by clones'!$P$2</c:f>
              <c:strCache>
                <c:ptCount val="1"/>
                <c:pt idx="0">
                  <c:v>min</c:v>
                </c:pt>
              </c:strCache>
            </c:strRef>
          </c:tx>
          <c:spPr>
            <a:solidFill>
              <a:schemeClr val="bg1"/>
            </a:solidFill>
            <a:ln w="25400">
              <a:noFill/>
            </a:ln>
            <a:effectLst/>
          </c:spPr>
          <c:val>
            <c:numRef>
              <c:f>'V shares by clones'!$P$47:$P$55</c:f>
              <c:numCache>
                <c:formatCode>0%</c:formatCode>
                <c:ptCount val="9"/>
                <c:pt idx="0">
                  <c:v>2.71940204056349E-2</c:v>
                </c:pt>
                <c:pt idx="1">
                  <c:v>2.7849660667729981E-2</c:v>
                </c:pt>
                <c:pt idx="2">
                  <c:v>3.7407041421202103E-2</c:v>
                </c:pt>
                <c:pt idx="3">
                  <c:v>3.7815661135303991E-2</c:v>
                </c:pt>
                <c:pt idx="4">
                  <c:v>6.9877138417559936E-2</c:v>
                </c:pt>
                <c:pt idx="5">
                  <c:v>3.7593176978512055E-2</c:v>
                </c:pt>
                <c:pt idx="6">
                  <c:v>4.9589570217709045E-2</c:v>
                </c:pt>
                <c:pt idx="7">
                  <c:v>5.5064450894083017E-2</c:v>
                </c:pt>
                <c:pt idx="8">
                  <c:v>6.7743301191077909E-2</c:v>
                </c:pt>
              </c:numCache>
            </c:numRef>
          </c:val>
          <c:extLst>
            <c:ext xmlns:c16="http://schemas.microsoft.com/office/drawing/2014/chart" uri="{C3380CC4-5D6E-409C-BE32-E72D297353CC}">
              <c16:uniqueId val="{00000001-FFC9-4074-AB09-99508C66F3F5}"/>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5400"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clones'!$C$41:$C$55</c:f>
              <c:numCache>
                <c:formatCode>0%</c:formatCode>
                <c:ptCount val="9"/>
                <c:pt idx="0">
                  <c:v>4.6155679983882036E-2</c:v>
                </c:pt>
                <c:pt idx="1">
                  <c:v>0.10813994952619699</c:v>
                </c:pt>
                <c:pt idx="2">
                  <c:v>0.138746542247007</c:v>
                </c:pt>
                <c:pt idx="3">
                  <c:v>8.5343387910952972E-2</c:v>
                </c:pt>
                <c:pt idx="4">
                  <c:v>9.4811349818570867E-2</c:v>
                </c:pt>
                <c:pt idx="5">
                  <c:v>0.14721730296474</c:v>
                </c:pt>
                <c:pt idx="6">
                  <c:v>0.18411066347127708</c:v>
                </c:pt>
                <c:pt idx="7">
                  <c:v>5.5064450894083017E-2</c:v>
                </c:pt>
                <c:pt idx="8">
                  <c:v>6.7743301191077909E-2</c:v>
                </c:pt>
              </c:numCache>
            </c:numRef>
          </c:val>
          <c:smooth val="0"/>
          <c:extLst>
            <c:ext xmlns:c16="http://schemas.microsoft.com/office/drawing/2014/chart" uri="{C3380CC4-5D6E-409C-BE32-E72D297353CC}">
              <c16:uniqueId val="{00000002-FFC9-4074-AB09-99508C66F3F5}"/>
            </c:ext>
          </c:extLst>
        </c:ser>
        <c:ser>
          <c:idx val="1"/>
          <c:order val="1"/>
          <c:tx>
            <c:strRef>
              <c:f>'V shares by clones'!$D$2</c:f>
              <c:strCache>
                <c:ptCount val="1"/>
                <c:pt idx="0">
                  <c:v>c2</c:v>
                </c:pt>
              </c:strCache>
            </c:strRef>
          </c:tx>
          <c:spPr>
            <a:ln w="25400"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clones'!$D$41:$D$55</c:f>
              <c:numCache>
                <c:formatCode>0%</c:formatCode>
                <c:ptCount val="9"/>
                <c:pt idx="0">
                  <c:v>5.332803951673204E-2</c:v>
                </c:pt>
                <c:pt idx="1">
                  <c:v>8.0404693193554033E-2</c:v>
                </c:pt>
                <c:pt idx="2">
                  <c:v>0.16313214535587506</c:v>
                </c:pt>
                <c:pt idx="3">
                  <c:v>0.15281325473412299</c:v>
                </c:pt>
                <c:pt idx="4">
                  <c:v>0.12316309139163706</c:v>
                </c:pt>
                <c:pt idx="5">
                  <c:v>5.578966384310402E-2</c:v>
                </c:pt>
                <c:pt idx="6">
                  <c:v>0.15915524981960205</c:v>
                </c:pt>
                <c:pt idx="7">
                  <c:v>8.8286632538525034E-2</c:v>
                </c:pt>
                <c:pt idx="8">
                  <c:v>0.112230500088636</c:v>
                </c:pt>
              </c:numCache>
            </c:numRef>
          </c:val>
          <c:smooth val="0"/>
          <c:extLst>
            <c:ext xmlns:c16="http://schemas.microsoft.com/office/drawing/2014/chart" uri="{C3380CC4-5D6E-409C-BE32-E72D297353CC}">
              <c16:uniqueId val="{00000003-FFC9-4074-AB09-99508C66F3F5}"/>
            </c:ext>
          </c:extLst>
        </c:ser>
        <c:ser>
          <c:idx val="2"/>
          <c:order val="2"/>
          <c:tx>
            <c:strRef>
              <c:f>'V shares by clones'!$E$2</c:f>
              <c:strCache>
                <c:ptCount val="1"/>
                <c:pt idx="0">
                  <c:v>c3</c:v>
                </c:pt>
              </c:strCache>
            </c:strRef>
          </c:tx>
          <c:spPr>
            <a:ln w="25400"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clones'!$E$41:$E$55</c:f>
              <c:numCache>
                <c:formatCode>0%</c:formatCode>
                <c:ptCount val="9"/>
                <c:pt idx="0">
                  <c:v>5.8520805432147993E-2</c:v>
                </c:pt>
                <c:pt idx="1">
                  <c:v>4.3393565767430031E-2</c:v>
                </c:pt>
                <c:pt idx="2">
                  <c:v>9.8922413582362978E-2</c:v>
                </c:pt>
                <c:pt idx="3">
                  <c:v>3.7815661135303991E-2</c:v>
                </c:pt>
                <c:pt idx="4">
                  <c:v>0.18622349407947802</c:v>
                </c:pt>
                <c:pt idx="5">
                  <c:v>7.5897453051150032E-2</c:v>
                </c:pt>
                <c:pt idx="6">
                  <c:v>0.10162738744022193</c:v>
                </c:pt>
                <c:pt idx="7">
                  <c:v>0.11620787514812003</c:v>
                </c:pt>
                <c:pt idx="8">
                  <c:v>0.20165387589135797</c:v>
                </c:pt>
              </c:numCache>
            </c:numRef>
          </c:val>
          <c:smooth val="0"/>
          <c:extLst>
            <c:ext xmlns:c16="http://schemas.microsoft.com/office/drawing/2014/chart" uri="{C3380CC4-5D6E-409C-BE32-E72D297353CC}">
              <c16:uniqueId val="{00000004-FFC9-4074-AB09-99508C66F3F5}"/>
            </c:ext>
          </c:extLst>
        </c:ser>
        <c:ser>
          <c:idx val="3"/>
          <c:order val="3"/>
          <c:tx>
            <c:strRef>
              <c:f>'V shares by clones'!$F$2</c:f>
              <c:strCache>
                <c:ptCount val="1"/>
                <c:pt idx="0">
                  <c:v>c4</c:v>
                </c:pt>
              </c:strCache>
            </c:strRef>
          </c:tx>
          <c:spPr>
            <a:ln w="25400"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clones'!$F$41:$F$55</c:f>
              <c:numCache>
                <c:formatCode>0%</c:formatCode>
                <c:ptCount val="9"/>
                <c:pt idx="0">
                  <c:v>0.1431852731434099</c:v>
                </c:pt>
                <c:pt idx="1">
                  <c:v>0.142933390363705</c:v>
                </c:pt>
                <c:pt idx="2">
                  <c:v>6.7747853890592014E-2</c:v>
                </c:pt>
                <c:pt idx="3">
                  <c:v>5.6681253740377024E-2</c:v>
                </c:pt>
                <c:pt idx="4">
                  <c:v>6.9877138417559936E-2</c:v>
                </c:pt>
                <c:pt idx="5">
                  <c:v>0.17334168943276707</c:v>
                </c:pt>
                <c:pt idx="6">
                  <c:v>4.9589570217709045E-2</c:v>
                </c:pt>
                <c:pt idx="7">
                  <c:v>0.13003815896780602</c:v>
                </c:pt>
                <c:pt idx="8">
                  <c:v>0.10769791951098701</c:v>
                </c:pt>
              </c:numCache>
            </c:numRef>
          </c:val>
          <c:smooth val="0"/>
          <c:extLst>
            <c:ext xmlns:c16="http://schemas.microsoft.com/office/drawing/2014/chart" uri="{C3380CC4-5D6E-409C-BE32-E72D297353CC}">
              <c16:uniqueId val="{00000005-FFC9-4074-AB09-99508C66F3F5}"/>
            </c:ext>
          </c:extLst>
        </c:ser>
        <c:ser>
          <c:idx val="4"/>
          <c:order val="4"/>
          <c:tx>
            <c:strRef>
              <c:f>'V shares by clones'!$G$2</c:f>
              <c:strCache>
                <c:ptCount val="1"/>
                <c:pt idx="0">
                  <c:v>c5</c:v>
                </c:pt>
              </c:strCache>
            </c:strRef>
          </c:tx>
          <c:spPr>
            <a:ln w="25400"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clones'!$G$41:$G$55</c:f>
              <c:numCache>
                <c:formatCode>0%</c:formatCode>
                <c:ptCount val="9"/>
                <c:pt idx="0">
                  <c:v>3.1238724800808026E-2</c:v>
                </c:pt>
                <c:pt idx="1">
                  <c:v>7.9337635541626983E-2</c:v>
                </c:pt>
                <c:pt idx="2">
                  <c:v>3.7407041421202103E-2</c:v>
                </c:pt>
                <c:pt idx="3">
                  <c:v>0.10964596698533302</c:v>
                </c:pt>
                <c:pt idx="4">
                  <c:v>9.8329842398508949E-2</c:v>
                </c:pt>
                <c:pt idx="5">
                  <c:v>9.3820775036448922E-2</c:v>
                </c:pt>
                <c:pt idx="6">
                  <c:v>0.34217874307639395</c:v>
                </c:pt>
                <c:pt idx="7">
                  <c:v>0.10385113606331597</c:v>
                </c:pt>
                <c:pt idx="8">
                  <c:v>0.132929623177657</c:v>
                </c:pt>
              </c:numCache>
            </c:numRef>
          </c:val>
          <c:smooth val="0"/>
          <c:extLst>
            <c:ext xmlns:c16="http://schemas.microsoft.com/office/drawing/2014/chart" uri="{C3380CC4-5D6E-409C-BE32-E72D297353CC}">
              <c16:uniqueId val="{00000006-FFC9-4074-AB09-99508C66F3F5}"/>
            </c:ext>
          </c:extLst>
        </c:ser>
        <c:ser>
          <c:idx val="5"/>
          <c:order val="5"/>
          <c:tx>
            <c:strRef>
              <c:f>'V shares by clones'!$H$2</c:f>
              <c:strCache>
                <c:ptCount val="1"/>
                <c:pt idx="0">
                  <c:v>c6</c:v>
                </c:pt>
              </c:strCache>
            </c:strRef>
          </c:tx>
          <c:spPr>
            <a:ln w="25400"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clones'!$H$41:$H$55</c:f>
              <c:numCache>
                <c:formatCode>0%</c:formatCode>
                <c:ptCount val="9"/>
                <c:pt idx="0">
                  <c:v>2.71940204056349E-2</c:v>
                </c:pt>
                <c:pt idx="1">
                  <c:v>8.7021442493370071E-2</c:v>
                </c:pt>
                <c:pt idx="2">
                  <c:v>7.9839075080194943E-2</c:v>
                </c:pt>
                <c:pt idx="3">
                  <c:v>7.2410952990180966E-2</c:v>
                </c:pt>
                <c:pt idx="4">
                  <c:v>0.11890592591298799</c:v>
                </c:pt>
                <c:pt idx="5">
                  <c:v>8.6992516069970938E-2</c:v>
                </c:pt>
                <c:pt idx="6">
                  <c:v>0.10748887750303504</c:v>
                </c:pt>
                <c:pt idx="7">
                  <c:v>0.137662444042702</c:v>
                </c:pt>
                <c:pt idx="8">
                  <c:v>7.4521304520854981E-2</c:v>
                </c:pt>
              </c:numCache>
            </c:numRef>
          </c:val>
          <c:smooth val="0"/>
          <c:extLst>
            <c:ext xmlns:c16="http://schemas.microsoft.com/office/drawing/2014/chart" uri="{C3380CC4-5D6E-409C-BE32-E72D297353CC}">
              <c16:uniqueId val="{00000007-FFC9-4074-AB09-99508C66F3F5}"/>
            </c:ext>
          </c:extLst>
        </c:ser>
        <c:ser>
          <c:idx val="6"/>
          <c:order val="6"/>
          <c:tx>
            <c:strRef>
              <c:f>'V shares by clones'!$I$2</c:f>
              <c:strCache>
                <c:ptCount val="1"/>
                <c:pt idx="0">
                  <c:v>c7</c:v>
                </c:pt>
              </c:strCache>
            </c:strRef>
          </c:tx>
          <c:spPr>
            <a:ln w="25400"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clones'!$I$41:$I$55</c:f>
              <c:numCache>
                <c:formatCode>0%</c:formatCode>
                <c:ptCount val="9"/>
                <c:pt idx="0">
                  <c:v>9.4561003802252963E-2</c:v>
                </c:pt>
                <c:pt idx="1">
                  <c:v>3.6839621345159945E-2</c:v>
                </c:pt>
                <c:pt idx="2">
                  <c:v>7.7692684024405989E-2</c:v>
                </c:pt>
                <c:pt idx="3">
                  <c:v>4.9090405344925037E-2</c:v>
                </c:pt>
                <c:pt idx="4">
                  <c:v>0.13726569797888799</c:v>
                </c:pt>
                <c:pt idx="5">
                  <c:v>0.16783578315640901</c:v>
                </c:pt>
                <c:pt idx="6">
                  <c:v>7.8284853802303989E-2</c:v>
                </c:pt>
                <c:pt idx="7">
                  <c:v>8.8430333101130909E-2</c:v>
                </c:pt>
                <c:pt idx="8">
                  <c:v>8.6011501174457994E-2</c:v>
                </c:pt>
              </c:numCache>
            </c:numRef>
          </c:val>
          <c:smooth val="0"/>
          <c:extLst>
            <c:ext xmlns:c16="http://schemas.microsoft.com/office/drawing/2014/chart" uri="{C3380CC4-5D6E-409C-BE32-E72D297353CC}">
              <c16:uniqueId val="{00000008-FFC9-4074-AB09-99508C66F3F5}"/>
            </c:ext>
          </c:extLst>
        </c:ser>
        <c:ser>
          <c:idx val="7"/>
          <c:order val="7"/>
          <c:tx>
            <c:strRef>
              <c:f>'V shares by clones'!$J$2</c:f>
              <c:strCache>
                <c:ptCount val="1"/>
                <c:pt idx="0">
                  <c:v>c8</c:v>
                </c:pt>
              </c:strCache>
            </c:strRef>
          </c:tx>
          <c:spPr>
            <a:ln w="25400"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clones'!$J$41:$J$55</c:f>
              <c:numCache>
                <c:formatCode>0%</c:formatCode>
                <c:ptCount val="9"/>
                <c:pt idx="0">
                  <c:v>4.2747442265681057E-2</c:v>
                </c:pt>
                <c:pt idx="1">
                  <c:v>0.18244658643502398</c:v>
                </c:pt>
                <c:pt idx="2">
                  <c:v>4.2363421985785021E-2</c:v>
                </c:pt>
                <c:pt idx="3">
                  <c:v>0.12643757750706297</c:v>
                </c:pt>
                <c:pt idx="4">
                  <c:v>0.10741212562162994</c:v>
                </c:pt>
                <c:pt idx="5">
                  <c:v>0.1163798216627141</c:v>
                </c:pt>
                <c:pt idx="6">
                  <c:v>6.9556263061968049E-2</c:v>
                </c:pt>
                <c:pt idx="7">
                  <c:v>9.891980189888E-2</c:v>
                </c:pt>
                <c:pt idx="8">
                  <c:v>0.12812995267877803</c:v>
                </c:pt>
              </c:numCache>
            </c:numRef>
          </c:val>
          <c:smooth val="0"/>
          <c:extLst>
            <c:ext xmlns:c16="http://schemas.microsoft.com/office/drawing/2014/chart" uri="{C3380CC4-5D6E-409C-BE32-E72D297353CC}">
              <c16:uniqueId val="{00000009-FFC9-4074-AB09-99508C66F3F5}"/>
            </c:ext>
          </c:extLst>
        </c:ser>
        <c:ser>
          <c:idx val="8"/>
          <c:order val="8"/>
          <c:tx>
            <c:strRef>
              <c:f>'V shares by clones'!$K$2</c:f>
              <c:strCache>
                <c:ptCount val="1"/>
                <c:pt idx="0">
                  <c:v>c9</c:v>
                </c:pt>
              </c:strCache>
            </c:strRef>
          </c:tx>
          <c:spPr>
            <a:ln w="25400"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clones'!$K$41:$K$55</c:f>
              <c:numCache>
                <c:formatCode>0%</c:formatCode>
                <c:ptCount val="9"/>
                <c:pt idx="0">
                  <c:v>3.1375973721596062E-2</c:v>
                </c:pt>
                <c:pt idx="1">
                  <c:v>2.7849660667729981E-2</c:v>
                </c:pt>
                <c:pt idx="2">
                  <c:v>4.9622063191685051E-2</c:v>
                </c:pt>
                <c:pt idx="3">
                  <c:v>6.9252879849435955E-2</c:v>
                </c:pt>
                <c:pt idx="4">
                  <c:v>0.15750954036027098</c:v>
                </c:pt>
                <c:pt idx="5">
                  <c:v>3.7593176978512055E-2</c:v>
                </c:pt>
                <c:pt idx="6">
                  <c:v>0.15222178579274198</c:v>
                </c:pt>
                <c:pt idx="7">
                  <c:v>0.13587918237586999</c:v>
                </c:pt>
                <c:pt idx="8">
                  <c:v>0.16527617542540507</c:v>
                </c:pt>
              </c:numCache>
            </c:numRef>
          </c:val>
          <c:smooth val="0"/>
          <c:extLst>
            <c:ext xmlns:c16="http://schemas.microsoft.com/office/drawing/2014/chart" uri="{C3380CC4-5D6E-409C-BE32-E72D297353CC}">
              <c16:uniqueId val="{0000000A-FFC9-4074-AB09-99508C66F3F5}"/>
            </c:ext>
          </c:extLst>
        </c:ser>
        <c:ser>
          <c:idx val="9"/>
          <c:order val="9"/>
          <c:tx>
            <c:strRef>
              <c:f>'V shares by clones'!$L$2</c:f>
              <c:strCache>
                <c:ptCount val="1"/>
                <c:pt idx="0">
                  <c:v>c10</c:v>
                </c:pt>
              </c:strCache>
            </c:strRef>
          </c:tx>
          <c:spPr>
            <a:ln w="25400"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clones'!$L$41:$L$55</c:f>
              <c:numCache>
                <c:formatCode>0%</c:formatCode>
                <c:ptCount val="9"/>
                <c:pt idx="0">
                  <c:v>9.3718991864299994E-2</c:v>
                </c:pt>
                <c:pt idx="1">
                  <c:v>7.311880746861299E-2</c:v>
                </c:pt>
                <c:pt idx="2">
                  <c:v>0.14520170430030399</c:v>
                </c:pt>
                <c:pt idx="3">
                  <c:v>0.149874558368708</c:v>
                </c:pt>
                <c:pt idx="4">
                  <c:v>0.10789050332304695</c:v>
                </c:pt>
                <c:pt idx="5">
                  <c:v>4.3213875465681062E-2</c:v>
                </c:pt>
                <c:pt idx="6">
                  <c:v>6.0447571626809027E-2</c:v>
                </c:pt>
                <c:pt idx="7">
                  <c:v>0.10767509283098609</c:v>
                </c:pt>
                <c:pt idx="8">
                  <c:v>0.18630374047745607</c:v>
                </c:pt>
              </c:numCache>
            </c:numRef>
          </c:val>
          <c:smooth val="0"/>
          <c:extLst>
            <c:ext xmlns:c16="http://schemas.microsoft.com/office/drawing/2014/chart" uri="{C3380CC4-5D6E-409C-BE32-E72D297353CC}">
              <c16:uniqueId val="{0000000B-FFC9-4074-AB09-99508C66F3F5}"/>
            </c:ext>
          </c:extLst>
        </c:ser>
        <c:ser>
          <c:idx val="10"/>
          <c:order val="10"/>
          <c:tx>
            <c:strRef>
              <c:f>'V shares by clones'!$M$2</c:f>
              <c:strCache>
                <c:ptCount val="1"/>
                <c:pt idx="0">
                  <c:v>Mean</c:v>
                </c:pt>
              </c:strCache>
            </c:strRef>
          </c:tx>
          <c:spPr>
            <a:ln w="25400" cap="rnd">
              <a:solidFill>
                <a:schemeClr val="tx1"/>
              </a:solidFill>
              <a:round/>
            </a:ln>
            <a:effectLst/>
          </c:spPr>
          <c:marker>
            <c:symbol val="none"/>
          </c:marker>
          <c:val>
            <c:numRef>
              <c:f>'V shares by clones'!$M$41:$M$55</c:f>
              <c:numCache>
                <c:formatCode>0%</c:formatCode>
                <c:ptCount val="9"/>
                <c:pt idx="0">
                  <c:v>6.22025954936445E-2</c:v>
                </c:pt>
                <c:pt idx="1">
                  <c:v>8.6148535280240995E-2</c:v>
                </c:pt>
                <c:pt idx="2">
                  <c:v>9.0067494507941409E-2</c:v>
                </c:pt>
                <c:pt idx="3">
                  <c:v>9.0936589856640299E-2</c:v>
                </c:pt>
                <c:pt idx="4">
                  <c:v>0.12013887093025785</c:v>
                </c:pt>
                <c:pt idx="5">
                  <c:v>9.9808205766149724E-2</c:v>
                </c:pt>
                <c:pt idx="6">
                  <c:v>0.1304660965812062</c:v>
                </c:pt>
                <c:pt idx="7">
                  <c:v>0.1062015107861419</c:v>
                </c:pt>
                <c:pt idx="8">
                  <c:v>0.1262497894136668</c:v>
                </c:pt>
              </c:numCache>
            </c:numRef>
          </c:val>
          <c:smooth val="0"/>
          <c:extLst>
            <c:ext xmlns:c16="http://schemas.microsoft.com/office/drawing/2014/chart" uri="{C3380CC4-5D6E-409C-BE32-E72D297353CC}">
              <c16:uniqueId val="{0000000C-FFC9-4074-AB09-99508C66F3F5}"/>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legend>
      <c:legendPos val="b"/>
      <c:legendEntry>
        <c:idx val="0"/>
        <c:delete val="1"/>
      </c:legendEntry>
      <c:legendEntry>
        <c:idx val="1"/>
        <c:delete val="1"/>
      </c:legendEntry>
      <c:layout>
        <c:manualLayout>
          <c:xMode val="edge"/>
          <c:yMode val="edge"/>
          <c:x val="6.7253538060657467E-2"/>
          <c:y val="0.849687822614552"/>
          <c:w val="0.89630345346198759"/>
          <c:h val="0.15031217738544778"/>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(a) BEVs</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7.5806841572189379E-2"/>
          <c:y val="0.18591486034569116"/>
          <c:w val="0.88546563422310798"/>
          <c:h val="0.68433556162131137"/>
        </c:manualLayout>
      </c:layout>
      <c:areaChart>
        <c:grouping val="standard"/>
        <c:varyColors val="0"/>
        <c:ser>
          <c:idx val="11"/>
          <c:order val="11"/>
          <c:tx>
            <c:strRef>
              <c:f>'V shares by clones'!$O$2</c:f>
              <c:strCache>
                <c:ptCount val="1"/>
                <c:pt idx="0">
                  <c:v>max</c:v>
                </c:pt>
              </c:strCache>
            </c:strRef>
          </c:tx>
          <c:spPr>
            <a:solidFill>
              <a:schemeClr val="accent1">
                <a:alpha val="70000"/>
              </a:schemeClr>
            </a:solidFill>
            <a:ln w="25400">
              <a:noFill/>
            </a:ln>
            <a:effectLst/>
          </c:spPr>
          <c:val>
            <c:numRef>
              <c:f>'V shares by clones'!$AK$9:$AK$17</c:f>
              <c:numCache>
                <c:formatCode>0%</c:formatCode>
                <c:ptCount val="9"/>
                <c:pt idx="0">
                  <c:v>4.3582712276086698E-2</c:v>
                </c:pt>
                <c:pt idx="1">
                  <c:v>4.9461790649581498E-2</c:v>
                </c:pt>
                <c:pt idx="2">
                  <c:v>6.4297988529153902E-2</c:v>
                </c:pt>
                <c:pt idx="3">
                  <c:v>7.9288760705707298E-2</c:v>
                </c:pt>
                <c:pt idx="4">
                  <c:v>0.10272539118738901</c:v>
                </c:pt>
                <c:pt idx="5">
                  <c:v>0.136817914814473</c:v>
                </c:pt>
                <c:pt idx="6">
                  <c:v>0.15283305394372801</c:v>
                </c:pt>
                <c:pt idx="7">
                  <c:v>0.17860542092194501</c:v>
                </c:pt>
                <c:pt idx="8" formatCode="0.0%">
                  <c:v>0.20465598712774899</c:v>
                </c:pt>
              </c:numCache>
            </c:numRef>
          </c:val>
          <c:extLst>
            <c:ext xmlns:c16="http://schemas.microsoft.com/office/drawing/2014/chart" uri="{C3380CC4-5D6E-409C-BE32-E72D297353CC}">
              <c16:uniqueId val="{00000000-FCBE-4AFC-B09D-80C9645623D5}"/>
            </c:ext>
          </c:extLst>
        </c:ser>
        <c:ser>
          <c:idx val="12"/>
          <c:order val="12"/>
          <c:tx>
            <c:strRef>
              <c:f>'V shares by clones'!$P$2</c:f>
              <c:strCache>
                <c:ptCount val="1"/>
                <c:pt idx="0">
                  <c:v>min</c:v>
                </c:pt>
              </c:strCache>
            </c:strRef>
          </c:tx>
          <c:spPr>
            <a:solidFill>
              <a:schemeClr val="bg1"/>
            </a:solidFill>
            <a:ln w="25400">
              <a:noFill/>
            </a:ln>
            <a:effectLst/>
          </c:spPr>
          <c:val>
            <c:numRef>
              <c:f>'V shares by clones'!$AL$9:$AL$17</c:f>
              <c:numCache>
                <c:formatCode>0%</c:formatCode>
                <c:ptCount val="9"/>
                <c:pt idx="0">
                  <c:v>3.2316845126905198E-2</c:v>
                </c:pt>
                <c:pt idx="1">
                  <c:v>4.4265339837311901E-2</c:v>
                </c:pt>
                <c:pt idx="2">
                  <c:v>5.4676996201609498E-2</c:v>
                </c:pt>
                <c:pt idx="3">
                  <c:v>6.9918687611288902E-2</c:v>
                </c:pt>
                <c:pt idx="4">
                  <c:v>8.8242269520672406E-2</c:v>
                </c:pt>
                <c:pt idx="5">
                  <c:v>0.112293096922855</c:v>
                </c:pt>
                <c:pt idx="6">
                  <c:v>0.13859070804891899</c:v>
                </c:pt>
                <c:pt idx="7">
                  <c:v>0.16139293959152101</c:v>
                </c:pt>
                <c:pt idx="8" formatCode="0.0%">
                  <c:v>0.193619523060996</c:v>
                </c:pt>
              </c:numCache>
            </c:numRef>
          </c:val>
          <c:extLst>
            <c:ext xmlns:c16="http://schemas.microsoft.com/office/drawing/2014/chart" uri="{C3380CC4-5D6E-409C-BE32-E72D297353CC}">
              <c16:uniqueId val="{00000001-FCBE-4AFC-B09D-80C9645623D5}"/>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5400"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clones'!$Y$3:$Y$17</c:f>
              <c:numCache>
                <c:formatCode>General</c:formatCode>
                <c:ptCount val="9"/>
                <c:pt idx="0">
                  <c:v>3.3508536614206101E-2</c:v>
                </c:pt>
                <c:pt idx="1">
                  <c:v>4.8446819964811698E-2</c:v>
                </c:pt>
                <c:pt idx="2">
                  <c:v>5.52830249654803E-2</c:v>
                </c:pt>
                <c:pt idx="3">
                  <c:v>7.0136334042803505E-2</c:v>
                </c:pt>
                <c:pt idx="4">
                  <c:v>9.9152922269687804E-2</c:v>
                </c:pt>
                <c:pt idx="5">
                  <c:v>0.122504823010711</c:v>
                </c:pt>
                <c:pt idx="6">
                  <c:v>0.14220550244815799</c:v>
                </c:pt>
                <c:pt idx="7">
                  <c:v>0.17544365990476599</c:v>
                </c:pt>
                <c:pt idx="8">
                  <c:v>0.20463624452895199</c:v>
                </c:pt>
              </c:numCache>
            </c:numRef>
          </c:val>
          <c:smooth val="0"/>
          <c:extLst>
            <c:ext xmlns:c16="http://schemas.microsoft.com/office/drawing/2014/chart" uri="{C3380CC4-5D6E-409C-BE32-E72D297353CC}">
              <c16:uniqueId val="{00000002-FCBE-4AFC-B09D-80C9645623D5}"/>
            </c:ext>
          </c:extLst>
        </c:ser>
        <c:ser>
          <c:idx val="1"/>
          <c:order val="1"/>
          <c:tx>
            <c:strRef>
              <c:f>'V shares by clones'!$D$2</c:f>
              <c:strCache>
                <c:ptCount val="1"/>
                <c:pt idx="0">
                  <c:v>c2</c:v>
                </c:pt>
              </c:strCache>
            </c:strRef>
          </c:tx>
          <c:spPr>
            <a:ln w="25400"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clones'!$Z$3:$Z$17</c:f>
              <c:numCache>
                <c:formatCode>General</c:formatCode>
                <c:ptCount val="9"/>
                <c:pt idx="0">
                  <c:v>4.2122462610505701E-2</c:v>
                </c:pt>
                <c:pt idx="1">
                  <c:v>4.4265339837311901E-2</c:v>
                </c:pt>
                <c:pt idx="2">
                  <c:v>5.7012359883614201E-2</c:v>
                </c:pt>
                <c:pt idx="3">
                  <c:v>7.6005727330151804E-2</c:v>
                </c:pt>
                <c:pt idx="4">
                  <c:v>0.101884875347452</c:v>
                </c:pt>
                <c:pt idx="5">
                  <c:v>0.12631293501919799</c:v>
                </c:pt>
                <c:pt idx="6">
                  <c:v>0.14523804720029401</c:v>
                </c:pt>
                <c:pt idx="7">
                  <c:v>0.173658100587463</c:v>
                </c:pt>
                <c:pt idx="8">
                  <c:v>0.197316885331315</c:v>
                </c:pt>
              </c:numCache>
            </c:numRef>
          </c:val>
          <c:smooth val="0"/>
          <c:extLst>
            <c:ext xmlns:c16="http://schemas.microsoft.com/office/drawing/2014/chart" uri="{C3380CC4-5D6E-409C-BE32-E72D297353CC}">
              <c16:uniqueId val="{00000003-FCBE-4AFC-B09D-80C9645623D5}"/>
            </c:ext>
          </c:extLst>
        </c:ser>
        <c:ser>
          <c:idx val="2"/>
          <c:order val="2"/>
          <c:tx>
            <c:strRef>
              <c:f>'V shares by clones'!$E$2</c:f>
              <c:strCache>
                <c:ptCount val="1"/>
                <c:pt idx="0">
                  <c:v>c3</c:v>
                </c:pt>
              </c:strCache>
            </c:strRef>
          </c:tx>
          <c:spPr>
            <a:ln w="25400"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clones'!$AA$3:$AA$17</c:f>
              <c:numCache>
                <c:formatCode>General</c:formatCode>
                <c:ptCount val="9"/>
                <c:pt idx="0">
                  <c:v>4.22597888741605E-2</c:v>
                </c:pt>
                <c:pt idx="1">
                  <c:v>4.7541965671340003E-2</c:v>
                </c:pt>
                <c:pt idx="2">
                  <c:v>5.9516299080428603E-2</c:v>
                </c:pt>
                <c:pt idx="3">
                  <c:v>7.4779217553871596E-2</c:v>
                </c:pt>
                <c:pt idx="4">
                  <c:v>9.0085847045915102E-2</c:v>
                </c:pt>
                <c:pt idx="5">
                  <c:v>0.117175530841978</c:v>
                </c:pt>
                <c:pt idx="6">
                  <c:v>0.13940388252935801</c:v>
                </c:pt>
                <c:pt idx="7">
                  <c:v>0.16139293959152101</c:v>
                </c:pt>
                <c:pt idx="8">
                  <c:v>0.19706011873207599</c:v>
                </c:pt>
              </c:numCache>
            </c:numRef>
          </c:val>
          <c:smooth val="0"/>
          <c:extLst>
            <c:ext xmlns:c16="http://schemas.microsoft.com/office/drawing/2014/chart" uri="{C3380CC4-5D6E-409C-BE32-E72D297353CC}">
              <c16:uniqueId val="{00000004-FCBE-4AFC-B09D-80C9645623D5}"/>
            </c:ext>
          </c:extLst>
        </c:ser>
        <c:ser>
          <c:idx val="3"/>
          <c:order val="3"/>
          <c:tx>
            <c:strRef>
              <c:f>'V shares by clones'!$F$2</c:f>
              <c:strCache>
                <c:ptCount val="1"/>
                <c:pt idx="0">
                  <c:v>c4</c:v>
                </c:pt>
              </c:strCache>
            </c:strRef>
          </c:tx>
          <c:spPr>
            <a:ln w="25400"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clones'!$AB$3:$AB$17</c:f>
              <c:numCache>
                <c:formatCode>General</c:formatCode>
                <c:ptCount val="9"/>
                <c:pt idx="0">
                  <c:v>3.4584206262431298E-2</c:v>
                </c:pt>
                <c:pt idx="1">
                  <c:v>4.87883045330475E-2</c:v>
                </c:pt>
                <c:pt idx="2">
                  <c:v>5.9169929947880097E-2</c:v>
                </c:pt>
                <c:pt idx="3">
                  <c:v>7.0360262994420206E-2</c:v>
                </c:pt>
                <c:pt idx="4">
                  <c:v>9.9433874400456507E-2</c:v>
                </c:pt>
                <c:pt idx="5">
                  <c:v>0.115550570344138</c:v>
                </c:pt>
                <c:pt idx="6">
                  <c:v>0.14381022198469501</c:v>
                </c:pt>
                <c:pt idx="7">
                  <c:v>0.16919935689375301</c:v>
                </c:pt>
                <c:pt idx="8">
                  <c:v>0.20115998325370399</c:v>
                </c:pt>
              </c:numCache>
            </c:numRef>
          </c:val>
          <c:smooth val="0"/>
          <c:extLst>
            <c:ext xmlns:c16="http://schemas.microsoft.com/office/drawing/2014/chart" uri="{C3380CC4-5D6E-409C-BE32-E72D297353CC}">
              <c16:uniqueId val="{00000005-FCBE-4AFC-B09D-80C9645623D5}"/>
            </c:ext>
          </c:extLst>
        </c:ser>
        <c:ser>
          <c:idx val="4"/>
          <c:order val="4"/>
          <c:tx>
            <c:strRef>
              <c:f>'V shares by clones'!$G$2</c:f>
              <c:strCache>
                <c:ptCount val="1"/>
                <c:pt idx="0">
                  <c:v>c5</c:v>
                </c:pt>
              </c:strCache>
            </c:strRef>
          </c:tx>
          <c:spPr>
            <a:ln w="25400"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clones'!$AC$3:$AC$17</c:f>
              <c:numCache>
                <c:formatCode>General</c:formatCode>
                <c:ptCount val="9"/>
                <c:pt idx="0">
                  <c:v>4.28923767876686E-2</c:v>
                </c:pt>
                <c:pt idx="1">
                  <c:v>4.6885914653872297E-2</c:v>
                </c:pt>
                <c:pt idx="2">
                  <c:v>6.1290882223941301E-2</c:v>
                </c:pt>
                <c:pt idx="3">
                  <c:v>7.5138900472605505E-2</c:v>
                </c:pt>
                <c:pt idx="4">
                  <c:v>9.6142214578969196E-2</c:v>
                </c:pt>
                <c:pt idx="5">
                  <c:v>0.112293096922855</c:v>
                </c:pt>
                <c:pt idx="6">
                  <c:v>0.13859070804891899</c:v>
                </c:pt>
                <c:pt idx="7">
                  <c:v>0.171900000111017</c:v>
                </c:pt>
                <c:pt idx="8">
                  <c:v>0.193619523060996</c:v>
                </c:pt>
              </c:numCache>
            </c:numRef>
          </c:val>
          <c:smooth val="0"/>
          <c:extLst>
            <c:ext xmlns:c16="http://schemas.microsoft.com/office/drawing/2014/chart" uri="{C3380CC4-5D6E-409C-BE32-E72D297353CC}">
              <c16:uniqueId val="{00000006-FCBE-4AFC-B09D-80C9645623D5}"/>
            </c:ext>
          </c:extLst>
        </c:ser>
        <c:ser>
          <c:idx val="5"/>
          <c:order val="5"/>
          <c:tx>
            <c:strRef>
              <c:f>'V shares by clones'!$H$2</c:f>
              <c:strCache>
                <c:ptCount val="1"/>
                <c:pt idx="0">
                  <c:v>c6</c:v>
                </c:pt>
              </c:strCache>
            </c:strRef>
          </c:tx>
          <c:spPr>
            <a:ln w="25400"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clones'!$AD$3:$AD$17</c:f>
              <c:numCache>
                <c:formatCode>General</c:formatCode>
                <c:ptCount val="9"/>
                <c:pt idx="0">
                  <c:v>3.8022453852947398E-2</c:v>
                </c:pt>
                <c:pt idx="1">
                  <c:v>4.9246852930525102E-2</c:v>
                </c:pt>
                <c:pt idx="2">
                  <c:v>5.4676996201609498E-2</c:v>
                </c:pt>
                <c:pt idx="3">
                  <c:v>7.55603258947391E-2</c:v>
                </c:pt>
                <c:pt idx="4">
                  <c:v>0.10272539118738901</c:v>
                </c:pt>
                <c:pt idx="5">
                  <c:v>0.123978547122139</c:v>
                </c:pt>
                <c:pt idx="6">
                  <c:v>0.14336341882915701</c:v>
                </c:pt>
                <c:pt idx="7">
                  <c:v>0.16505338195977201</c:v>
                </c:pt>
                <c:pt idx="8">
                  <c:v>0.20465598712774899</c:v>
                </c:pt>
              </c:numCache>
            </c:numRef>
          </c:val>
          <c:smooth val="0"/>
          <c:extLst>
            <c:ext xmlns:c16="http://schemas.microsoft.com/office/drawing/2014/chart" uri="{C3380CC4-5D6E-409C-BE32-E72D297353CC}">
              <c16:uniqueId val="{00000007-FCBE-4AFC-B09D-80C9645623D5}"/>
            </c:ext>
          </c:extLst>
        </c:ser>
        <c:ser>
          <c:idx val="6"/>
          <c:order val="6"/>
          <c:tx>
            <c:strRef>
              <c:f>'V shares by clones'!$I$2</c:f>
              <c:strCache>
                <c:ptCount val="1"/>
                <c:pt idx="0">
                  <c:v>c7</c:v>
                </c:pt>
              </c:strCache>
            </c:strRef>
          </c:tx>
          <c:spPr>
            <a:ln w="25400"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clones'!$AE$3:$AE$17</c:f>
              <c:numCache>
                <c:formatCode>General</c:formatCode>
                <c:ptCount val="9"/>
                <c:pt idx="0">
                  <c:v>3.6668640811225797E-2</c:v>
                </c:pt>
                <c:pt idx="1">
                  <c:v>4.5089640394008701E-2</c:v>
                </c:pt>
                <c:pt idx="2">
                  <c:v>5.9923477597153101E-2</c:v>
                </c:pt>
                <c:pt idx="3">
                  <c:v>7.5468135860893903E-2</c:v>
                </c:pt>
                <c:pt idx="4">
                  <c:v>9.3575027471911695E-2</c:v>
                </c:pt>
                <c:pt idx="5">
                  <c:v>0.116287486523519</c:v>
                </c:pt>
                <c:pt idx="6">
                  <c:v>0.15283305394372801</c:v>
                </c:pt>
                <c:pt idx="7">
                  <c:v>0.17055741388152201</c:v>
                </c:pt>
                <c:pt idx="8">
                  <c:v>0.19498397788485999</c:v>
                </c:pt>
              </c:numCache>
            </c:numRef>
          </c:val>
          <c:smooth val="0"/>
          <c:extLst>
            <c:ext xmlns:c16="http://schemas.microsoft.com/office/drawing/2014/chart" uri="{C3380CC4-5D6E-409C-BE32-E72D297353CC}">
              <c16:uniqueId val="{00000008-FCBE-4AFC-B09D-80C9645623D5}"/>
            </c:ext>
          </c:extLst>
        </c:ser>
        <c:ser>
          <c:idx val="7"/>
          <c:order val="7"/>
          <c:tx>
            <c:strRef>
              <c:f>'V shares by clones'!$J$2</c:f>
              <c:strCache>
                <c:ptCount val="1"/>
                <c:pt idx="0">
                  <c:v>c8</c:v>
                </c:pt>
              </c:strCache>
            </c:strRef>
          </c:tx>
          <c:spPr>
            <a:ln w="25400"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clones'!$AF$3:$AF$17</c:f>
              <c:numCache>
                <c:formatCode>General</c:formatCode>
                <c:ptCount val="9"/>
                <c:pt idx="0">
                  <c:v>3.2316845126905198E-2</c:v>
                </c:pt>
                <c:pt idx="1">
                  <c:v>4.9461790649581498E-2</c:v>
                </c:pt>
                <c:pt idx="2">
                  <c:v>6.07523044407553E-2</c:v>
                </c:pt>
                <c:pt idx="3">
                  <c:v>6.9918687611288902E-2</c:v>
                </c:pt>
                <c:pt idx="4">
                  <c:v>9.5402995957379694E-2</c:v>
                </c:pt>
                <c:pt idx="5">
                  <c:v>0.12114448655731699</c:v>
                </c:pt>
                <c:pt idx="6">
                  <c:v>0.138822808799693</c:v>
                </c:pt>
                <c:pt idx="7">
                  <c:v>0.17860542092194501</c:v>
                </c:pt>
                <c:pt idx="8">
                  <c:v>0.19434770040492799</c:v>
                </c:pt>
              </c:numCache>
            </c:numRef>
          </c:val>
          <c:smooth val="0"/>
          <c:extLst>
            <c:ext xmlns:c16="http://schemas.microsoft.com/office/drawing/2014/chart" uri="{C3380CC4-5D6E-409C-BE32-E72D297353CC}">
              <c16:uniqueId val="{00000009-FCBE-4AFC-B09D-80C9645623D5}"/>
            </c:ext>
          </c:extLst>
        </c:ser>
        <c:ser>
          <c:idx val="8"/>
          <c:order val="8"/>
          <c:tx>
            <c:strRef>
              <c:f>'V shares by clones'!$K$2</c:f>
              <c:strCache>
                <c:ptCount val="1"/>
                <c:pt idx="0">
                  <c:v>c9</c:v>
                </c:pt>
              </c:strCache>
            </c:strRef>
          </c:tx>
          <c:spPr>
            <a:ln w="25400"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clones'!$AG$3:$AG$17</c:f>
              <c:numCache>
                <c:formatCode>General</c:formatCode>
                <c:ptCount val="9"/>
                <c:pt idx="0">
                  <c:v>4.3582712276086698E-2</c:v>
                </c:pt>
                <c:pt idx="1">
                  <c:v>4.44124385812108E-2</c:v>
                </c:pt>
                <c:pt idx="2">
                  <c:v>6.4297988529153902E-2</c:v>
                </c:pt>
                <c:pt idx="3">
                  <c:v>7.7600965454721296E-2</c:v>
                </c:pt>
                <c:pt idx="4">
                  <c:v>8.8242269520672406E-2</c:v>
                </c:pt>
                <c:pt idx="5">
                  <c:v>0.117981651923643</c:v>
                </c:pt>
                <c:pt idx="6">
                  <c:v>0.14785891635828299</c:v>
                </c:pt>
                <c:pt idx="7">
                  <c:v>0.17172328683653301</c:v>
                </c:pt>
                <c:pt idx="8">
                  <c:v>0.20234287596217701</c:v>
                </c:pt>
              </c:numCache>
            </c:numRef>
          </c:val>
          <c:smooth val="0"/>
          <c:extLst>
            <c:ext xmlns:c16="http://schemas.microsoft.com/office/drawing/2014/chart" uri="{C3380CC4-5D6E-409C-BE32-E72D297353CC}">
              <c16:uniqueId val="{0000000A-FCBE-4AFC-B09D-80C9645623D5}"/>
            </c:ext>
          </c:extLst>
        </c:ser>
        <c:ser>
          <c:idx val="9"/>
          <c:order val="9"/>
          <c:tx>
            <c:strRef>
              <c:f>'V shares by clones'!$L$2</c:f>
              <c:strCache>
                <c:ptCount val="1"/>
                <c:pt idx="0">
                  <c:v>c10</c:v>
                </c:pt>
              </c:strCache>
            </c:strRef>
          </c:tx>
          <c:spPr>
            <a:ln w="25400"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clones'!$AH$3:$AH$17</c:f>
              <c:numCache>
                <c:formatCode>General</c:formatCode>
                <c:ptCount val="9"/>
                <c:pt idx="0">
                  <c:v>3.4548489207150201E-2</c:v>
                </c:pt>
                <c:pt idx="1">
                  <c:v>4.5487472849878897E-2</c:v>
                </c:pt>
                <c:pt idx="2">
                  <c:v>5.9393315132497002E-2</c:v>
                </c:pt>
                <c:pt idx="3">
                  <c:v>7.9288760705707298E-2</c:v>
                </c:pt>
                <c:pt idx="4">
                  <c:v>9.1160653923286206E-2</c:v>
                </c:pt>
                <c:pt idx="5">
                  <c:v>0.136817914814473</c:v>
                </c:pt>
                <c:pt idx="6">
                  <c:v>0.14786059212217001</c:v>
                </c:pt>
                <c:pt idx="7">
                  <c:v>0.17062533018621501</c:v>
                </c:pt>
                <c:pt idx="8">
                  <c:v>0.19907535565950299</c:v>
                </c:pt>
              </c:numCache>
            </c:numRef>
          </c:val>
          <c:smooth val="0"/>
          <c:extLst>
            <c:ext xmlns:c16="http://schemas.microsoft.com/office/drawing/2014/chart" uri="{C3380CC4-5D6E-409C-BE32-E72D297353CC}">
              <c16:uniqueId val="{0000000B-FCBE-4AFC-B09D-80C9645623D5}"/>
            </c:ext>
          </c:extLst>
        </c:ser>
        <c:ser>
          <c:idx val="10"/>
          <c:order val="10"/>
          <c:tx>
            <c:strRef>
              <c:f>'V shares by clones'!$M$2</c:f>
              <c:strCache>
                <c:ptCount val="1"/>
                <c:pt idx="0">
                  <c:v>Mean</c:v>
                </c:pt>
              </c:strCache>
            </c:strRef>
          </c:tx>
          <c:spPr>
            <a:ln w="25400" cap="rnd">
              <a:solidFill>
                <a:schemeClr val="tx1"/>
              </a:solidFill>
              <a:round/>
            </a:ln>
            <a:effectLst/>
          </c:spPr>
          <c:marker>
            <c:symbol val="none"/>
          </c:marker>
          <c:val>
            <c:numRef>
              <c:f>'V shares by clones'!$AI$3:$AI$17</c:f>
              <c:numCache>
                <c:formatCode>0%</c:formatCode>
                <c:ptCount val="9"/>
                <c:pt idx="0">
                  <c:v>3.8050651242328745E-2</c:v>
                </c:pt>
                <c:pt idx="1">
                  <c:v>4.6962654006558843E-2</c:v>
                </c:pt>
                <c:pt idx="2">
                  <c:v>5.9131657800251335E-2</c:v>
                </c:pt>
                <c:pt idx="3">
                  <c:v>7.4425731792120323E-2</c:v>
                </c:pt>
                <c:pt idx="4">
                  <c:v>9.5780607170311963E-2</c:v>
                </c:pt>
                <c:pt idx="5">
                  <c:v>0.1210047043079971</c:v>
                </c:pt>
                <c:pt idx="6">
                  <c:v>0.14399871522644553</c:v>
                </c:pt>
                <c:pt idx="7">
                  <c:v>0.17081588908745071</c:v>
                </c:pt>
                <c:pt idx="8" formatCode="0.0%">
                  <c:v>0.19891986519462596</c:v>
                </c:pt>
              </c:numCache>
            </c:numRef>
          </c:val>
          <c:smooth val="0"/>
          <c:extLst>
            <c:ext xmlns:c16="http://schemas.microsoft.com/office/drawing/2014/chart" uri="{C3380CC4-5D6E-409C-BE32-E72D297353CC}">
              <c16:uniqueId val="{0000000C-FCBE-4AFC-B09D-80C9645623D5}"/>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(b) CVs</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areaChart>
        <c:grouping val="standard"/>
        <c:varyColors val="0"/>
        <c:ser>
          <c:idx val="11"/>
          <c:order val="11"/>
          <c:tx>
            <c:strRef>
              <c:f>'V shares by clones'!$O$2</c:f>
              <c:strCache>
                <c:ptCount val="1"/>
                <c:pt idx="0">
                  <c:v>max</c:v>
                </c:pt>
              </c:strCache>
            </c:strRef>
          </c:tx>
          <c:spPr>
            <a:solidFill>
              <a:schemeClr val="accent1">
                <a:alpha val="70000"/>
              </a:schemeClr>
            </a:solidFill>
            <a:ln w="25400">
              <a:noFill/>
            </a:ln>
            <a:effectLst/>
          </c:spPr>
          <c:val>
            <c:numRef>
              <c:f>'V shares by clones'!$AK$27:$AK$35</c:f>
              <c:numCache>
                <c:formatCode>0%</c:formatCode>
                <c:ptCount val="9"/>
                <c:pt idx="0">
                  <c:v>0.83836519047533098</c:v>
                </c:pt>
                <c:pt idx="1">
                  <c:v>0.82978886315358702</c:v>
                </c:pt>
                <c:pt idx="2">
                  <c:v>0.81847604855335598</c:v>
                </c:pt>
                <c:pt idx="3">
                  <c:v>0.804834997436499</c:v>
                </c:pt>
                <c:pt idx="4">
                  <c:v>0.78274267056826496</c:v>
                </c:pt>
                <c:pt idx="5">
                  <c:v>0.76364059557282005</c:v>
                </c:pt>
                <c:pt idx="6">
                  <c:v>0.74170138821243303</c:v>
                </c:pt>
                <c:pt idx="7">
                  <c:v>0.71517294956402599</c:v>
                </c:pt>
                <c:pt idx="8">
                  <c:v>0.68572509983921304</c:v>
                </c:pt>
              </c:numCache>
            </c:numRef>
          </c:val>
          <c:extLst>
            <c:ext xmlns:c16="http://schemas.microsoft.com/office/drawing/2014/chart" uri="{C3380CC4-5D6E-409C-BE32-E72D297353CC}">
              <c16:uniqueId val="{00000000-3ED9-4466-A3CE-F2E6242AB06B}"/>
            </c:ext>
          </c:extLst>
        </c:ser>
        <c:ser>
          <c:idx val="12"/>
          <c:order val="12"/>
          <c:tx>
            <c:strRef>
              <c:f>'V shares by clones'!$P$2</c:f>
              <c:strCache>
                <c:ptCount val="1"/>
                <c:pt idx="0">
                  <c:v>min</c:v>
                </c:pt>
              </c:strCache>
            </c:strRef>
          </c:tx>
          <c:spPr>
            <a:solidFill>
              <a:schemeClr val="bg1"/>
            </a:solidFill>
            <a:ln w="25400">
              <a:noFill/>
            </a:ln>
            <a:effectLst/>
          </c:spPr>
          <c:val>
            <c:numRef>
              <c:f>'V shares by clones'!$AL$27:$AL$35</c:f>
              <c:numCache>
                <c:formatCode>0%</c:formatCode>
                <c:ptCount val="9"/>
                <c:pt idx="0">
                  <c:v>0.82745032282589603</c:v>
                </c:pt>
                <c:pt idx="1">
                  <c:v>0.81414326065710096</c:v>
                </c:pt>
                <c:pt idx="2">
                  <c:v>0.80819915188226499</c:v>
                </c:pt>
                <c:pt idx="3">
                  <c:v>0.78963425148412303</c:v>
                </c:pt>
                <c:pt idx="4">
                  <c:v>0.77115277580021102</c:v>
                </c:pt>
                <c:pt idx="5">
                  <c:v>0.74442735836573304</c:v>
                </c:pt>
                <c:pt idx="6">
                  <c:v>0.71854059697778205</c:v>
                </c:pt>
                <c:pt idx="7">
                  <c:v>0.70100836987312998</c:v>
                </c:pt>
                <c:pt idx="8">
                  <c:v>0.67187188291008004</c:v>
                </c:pt>
              </c:numCache>
            </c:numRef>
          </c:val>
          <c:extLst>
            <c:ext xmlns:c16="http://schemas.microsoft.com/office/drawing/2014/chart" uri="{C3380CC4-5D6E-409C-BE32-E72D297353CC}">
              <c16:uniqueId val="{00000001-3ED9-4466-A3CE-F2E6242AB06B}"/>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5400"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clones'!$Y$21:$Y$35</c:f>
              <c:numCache>
                <c:formatCode>General</c:formatCode>
                <c:ptCount val="9"/>
                <c:pt idx="0">
                  <c:v>0.83681401306911596</c:v>
                </c:pt>
                <c:pt idx="1">
                  <c:v>0.82026982953601302</c:v>
                </c:pt>
                <c:pt idx="2">
                  <c:v>0.81270377351229195</c:v>
                </c:pt>
                <c:pt idx="3">
                  <c:v>0.80316967375231396</c:v>
                </c:pt>
                <c:pt idx="4">
                  <c:v>0.77563854000356502</c:v>
                </c:pt>
                <c:pt idx="5">
                  <c:v>0.74903286308588701</c:v>
                </c:pt>
                <c:pt idx="6">
                  <c:v>0.72979153705508404</c:v>
                </c:pt>
                <c:pt idx="7">
                  <c:v>0.70605396906241202</c:v>
                </c:pt>
                <c:pt idx="8">
                  <c:v>0.67763834537370604</c:v>
                </c:pt>
              </c:numCache>
            </c:numRef>
          </c:val>
          <c:smooth val="0"/>
          <c:extLst>
            <c:ext xmlns:c16="http://schemas.microsoft.com/office/drawing/2014/chart" uri="{C3380CC4-5D6E-409C-BE32-E72D297353CC}">
              <c16:uniqueId val="{00000002-3ED9-4466-A3CE-F2E6242AB06B}"/>
            </c:ext>
          </c:extLst>
        </c:ser>
        <c:ser>
          <c:idx val="1"/>
          <c:order val="1"/>
          <c:tx>
            <c:strRef>
              <c:f>'V shares by clones'!$D$2</c:f>
              <c:strCache>
                <c:ptCount val="1"/>
                <c:pt idx="0">
                  <c:v>c2</c:v>
                </c:pt>
              </c:strCache>
            </c:strRef>
          </c:tx>
          <c:spPr>
            <a:ln w="25400"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clones'!$Z$21:$Z$35</c:f>
              <c:numCache>
                <c:formatCode>General</c:formatCode>
                <c:ptCount val="9"/>
                <c:pt idx="0">
                  <c:v>0.82794306663232597</c:v>
                </c:pt>
                <c:pt idx="1">
                  <c:v>0.82639343270945498</c:v>
                </c:pt>
                <c:pt idx="2">
                  <c:v>0.80927032874318805</c:v>
                </c:pt>
                <c:pt idx="3">
                  <c:v>0.79254055290152903</c:v>
                </c:pt>
                <c:pt idx="4">
                  <c:v>0.77115277580021102</c:v>
                </c:pt>
                <c:pt idx="5">
                  <c:v>0.753770515850816</c:v>
                </c:pt>
                <c:pt idx="6">
                  <c:v>0.72863253896843605</c:v>
                </c:pt>
                <c:pt idx="7">
                  <c:v>0.70506037923810705</c:v>
                </c:pt>
                <c:pt idx="8">
                  <c:v>0.681364771160892</c:v>
                </c:pt>
              </c:numCache>
            </c:numRef>
          </c:val>
          <c:smooth val="0"/>
          <c:extLst>
            <c:ext xmlns:c16="http://schemas.microsoft.com/office/drawing/2014/chart" uri="{C3380CC4-5D6E-409C-BE32-E72D297353CC}">
              <c16:uniqueId val="{00000003-3ED9-4466-A3CE-F2E6242AB06B}"/>
            </c:ext>
          </c:extLst>
        </c:ser>
        <c:ser>
          <c:idx val="2"/>
          <c:order val="2"/>
          <c:tx>
            <c:strRef>
              <c:f>'V shares by clones'!$E$2</c:f>
              <c:strCache>
                <c:ptCount val="1"/>
                <c:pt idx="0">
                  <c:v>c3</c:v>
                </c:pt>
              </c:strCache>
            </c:strRef>
          </c:tx>
          <c:spPr>
            <a:ln w="25400"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clones'!$AA$21:$AA$35</c:f>
              <c:numCache>
                <c:formatCode>General</c:formatCode>
                <c:ptCount val="9"/>
                <c:pt idx="0">
                  <c:v>0.82745032282589603</c:v>
                </c:pt>
                <c:pt idx="1">
                  <c:v>0.82563045044862304</c:v>
                </c:pt>
                <c:pt idx="2">
                  <c:v>0.81118123792455399</c:v>
                </c:pt>
                <c:pt idx="3">
                  <c:v>0.80169021644454697</c:v>
                </c:pt>
                <c:pt idx="4">
                  <c:v>0.77791995142421699</c:v>
                </c:pt>
                <c:pt idx="5">
                  <c:v>0.75997656205876996</c:v>
                </c:pt>
                <c:pt idx="6">
                  <c:v>0.73857702402881897</c:v>
                </c:pt>
                <c:pt idx="7">
                  <c:v>0.71517294956402599</c:v>
                </c:pt>
                <c:pt idx="8">
                  <c:v>0.67422498087874005</c:v>
                </c:pt>
              </c:numCache>
            </c:numRef>
          </c:val>
          <c:smooth val="0"/>
          <c:extLst>
            <c:ext xmlns:c16="http://schemas.microsoft.com/office/drawing/2014/chart" uri="{C3380CC4-5D6E-409C-BE32-E72D297353CC}">
              <c16:uniqueId val="{00000004-3ED9-4466-A3CE-F2E6242AB06B}"/>
            </c:ext>
          </c:extLst>
        </c:ser>
        <c:ser>
          <c:idx val="3"/>
          <c:order val="3"/>
          <c:tx>
            <c:strRef>
              <c:f>'V shares by clones'!$F$2</c:f>
              <c:strCache>
                <c:ptCount val="1"/>
                <c:pt idx="0">
                  <c:v>c4</c:v>
                </c:pt>
              </c:strCache>
            </c:strRef>
          </c:tx>
          <c:spPr>
            <a:ln w="25400"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clones'!$AB$21:$AB$35</c:f>
              <c:numCache>
                <c:formatCode>General</c:formatCode>
                <c:ptCount val="9"/>
                <c:pt idx="0">
                  <c:v>0.82844337166109805</c:v>
                </c:pt>
                <c:pt idx="1">
                  <c:v>0.817246595526257</c:v>
                </c:pt>
                <c:pt idx="2">
                  <c:v>0.81367545826713905</c:v>
                </c:pt>
                <c:pt idx="3">
                  <c:v>0.804834997436499</c:v>
                </c:pt>
                <c:pt idx="4">
                  <c:v>0.77722017609532401</c:v>
                </c:pt>
                <c:pt idx="5">
                  <c:v>0.75378741735864396</c:v>
                </c:pt>
                <c:pt idx="6">
                  <c:v>0.738197527286233</c:v>
                </c:pt>
                <c:pt idx="7">
                  <c:v>0.70646080564011404</c:v>
                </c:pt>
                <c:pt idx="8">
                  <c:v>0.67783688744618897</c:v>
                </c:pt>
              </c:numCache>
            </c:numRef>
          </c:val>
          <c:smooth val="0"/>
          <c:extLst>
            <c:ext xmlns:c16="http://schemas.microsoft.com/office/drawing/2014/chart" uri="{C3380CC4-5D6E-409C-BE32-E72D297353CC}">
              <c16:uniqueId val="{00000005-3ED9-4466-A3CE-F2E6242AB06B}"/>
            </c:ext>
          </c:extLst>
        </c:ser>
        <c:ser>
          <c:idx val="4"/>
          <c:order val="4"/>
          <c:tx>
            <c:strRef>
              <c:f>'V shares by clones'!$G$2</c:f>
              <c:strCache>
                <c:ptCount val="1"/>
                <c:pt idx="0">
                  <c:v>c5</c:v>
                </c:pt>
              </c:strCache>
            </c:strRef>
          </c:tx>
          <c:spPr>
            <a:ln w="25400"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clones'!$AC$21:$AC$35</c:f>
              <c:numCache>
                <c:formatCode>General</c:formatCode>
                <c:ptCount val="9"/>
                <c:pt idx="0">
                  <c:v>0.83010431830889297</c:v>
                </c:pt>
                <c:pt idx="1">
                  <c:v>0.82357176710430002</c:v>
                </c:pt>
                <c:pt idx="2">
                  <c:v>0.81366998790682699</c:v>
                </c:pt>
                <c:pt idx="3">
                  <c:v>0.79617104914555403</c:v>
                </c:pt>
                <c:pt idx="4">
                  <c:v>0.77827430197810499</c:v>
                </c:pt>
                <c:pt idx="5">
                  <c:v>0.76364059557282005</c:v>
                </c:pt>
                <c:pt idx="6">
                  <c:v>0.71854059697778205</c:v>
                </c:pt>
                <c:pt idx="7">
                  <c:v>0.70623942804889595</c:v>
                </c:pt>
                <c:pt idx="8">
                  <c:v>0.68348492248023496</c:v>
                </c:pt>
              </c:numCache>
            </c:numRef>
          </c:val>
          <c:smooth val="0"/>
          <c:extLst>
            <c:ext xmlns:c16="http://schemas.microsoft.com/office/drawing/2014/chart" uri="{C3380CC4-5D6E-409C-BE32-E72D297353CC}">
              <c16:uniqueId val="{00000006-3ED9-4466-A3CE-F2E6242AB06B}"/>
            </c:ext>
          </c:extLst>
        </c:ser>
        <c:ser>
          <c:idx val="5"/>
          <c:order val="5"/>
          <c:tx>
            <c:strRef>
              <c:f>'V shares by clones'!$H$2</c:f>
              <c:strCache>
                <c:ptCount val="1"/>
                <c:pt idx="0">
                  <c:v>c6</c:v>
                </c:pt>
              </c:strCache>
            </c:strRef>
          </c:tx>
          <c:spPr>
            <a:ln w="25400"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clones'!$AD$21:$AD$35</c:f>
              <c:numCache>
                <c:formatCode>General</c:formatCode>
                <c:ptCount val="9"/>
                <c:pt idx="0">
                  <c:v>0.83377978126659802</c:v>
                </c:pt>
                <c:pt idx="1">
                  <c:v>0.82095380073352398</c:v>
                </c:pt>
                <c:pt idx="2">
                  <c:v>0.81847604855335598</c:v>
                </c:pt>
                <c:pt idx="3">
                  <c:v>0.79846892456350904</c:v>
                </c:pt>
                <c:pt idx="4">
                  <c:v>0.77406978955518202</c:v>
                </c:pt>
                <c:pt idx="5">
                  <c:v>0.75532943785276796</c:v>
                </c:pt>
                <c:pt idx="6">
                  <c:v>0.73468216825025801</c:v>
                </c:pt>
                <c:pt idx="7">
                  <c:v>0.71017733853745502</c:v>
                </c:pt>
                <c:pt idx="8">
                  <c:v>0.67697469817919598</c:v>
                </c:pt>
              </c:numCache>
            </c:numRef>
          </c:val>
          <c:smooth val="0"/>
          <c:extLst>
            <c:ext xmlns:c16="http://schemas.microsoft.com/office/drawing/2014/chart" uri="{C3380CC4-5D6E-409C-BE32-E72D297353CC}">
              <c16:uniqueId val="{00000007-3ED9-4466-A3CE-F2E6242AB06B}"/>
            </c:ext>
          </c:extLst>
        </c:ser>
        <c:ser>
          <c:idx val="6"/>
          <c:order val="6"/>
          <c:tx>
            <c:strRef>
              <c:f>'V shares by clones'!$I$2</c:f>
              <c:strCache>
                <c:ptCount val="1"/>
                <c:pt idx="0">
                  <c:v>c7</c:v>
                </c:pt>
              </c:strCache>
            </c:strRef>
          </c:tx>
          <c:spPr>
            <a:ln w="25400"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clones'!$AE$21:$AE$35</c:f>
              <c:numCache>
                <c:formatCode>General</c:formatCode>
                <c:ptCount val="9"/>
                <c:pt idx="0">
                  <c:v>0.83013916839262603</c:v>
                </c:pt>
                <c:pt idx="1">
                  <c:v>0.82828719975932097</c:v>
                </c:pt>
                <c:pt idx="2">
                  <c:v>0.81225112599089799</c:v>
                </c:pt>
                <c:pt idx="3">
                  <c:v>0.80025635887270097</c:v>
                </c:pt>
                <c:pt idx="4">
                  <c:v>0.77779662957439399</c:v>
                </c:pt>
                <c:pt idx="5">
                  <c:v>0.75368071105502399</c:v>
                </c:pt>
                <c:pt idx="6">
                  <c:v>0.72974919038118802</c:v>
                </c:pt>
                <c:pt idx="7">
                  <c:v>0.70837874244886401</c:v>
                </c:pt>
                <c:pt idx="8">
                  <c:v>0.68572509983921304</c:v>
                </c:pt>
              </c:numCache>
            </c:numRef>
          </c:val>
          <c:smooth val="0"/>
          <c:extLst>
            <c:ext xmlns:c16="http://schemas.microsoft.com/office/drawing/2014/chart" uri="{C3380CC4-5D6E-409C-BE32-E72D297353CC}">
              <c16:uniqueId val="{00000008-3ED9-4466-A3CE-F2E6242AB06B}"/>
            </c:ext>
          </c:extLst>
        </c:ser>
        <c:ser>
          <c:idx val="7"/>
          <c:order val="7"/>
          <c:tx>
            <c:strRef>
              <c:f>'V shares by clones'!$J$2</c:f>
              <c:strCache>
                <c:ptCount val="1"/>
                <c:pt idx="0">
                  <c:v>c8</c:v>
                </c:pt>
              </c:strCache>
            </c:strRef>
          </c:tx>
          <c:spPr>
            <a:ln w="25400"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clones'!$AF$21:$AF$35</c:f>
              <c:numCache>
                <c:formatCode>General</c:formatCode>
                <c:ptCount val="9"/>
                <c:pt idx="0">
                  <c:v>0.83836519047533098</c:v>
                </c:pt>
                <c:pt idx="1">
                  <c:v>0.81414326065710096</c:v>
                </c:pt>
                <c:pt idx="2">
                  <c:v>0.81379860509179702</c:v>
                </c:pt>
                <c:pt idx="3">
                  <c:v>0.80046416626611705</c:v>
                </c:pt>
                <c:pt idx="4">
                  <c:v>0.77863153747554203</c:v>
                </c:pt>
                <c:pt idx="5">
                  <c:v>0.75341122284314099</c:v>
                </c:pt>
                <c:pt idx="6">
                  <c:v>0.74170138821243303</c:v>
                </c:pt>
                <c:pt idx="7">
                  <c:v>0.70100836987312998</c:v>
                </c:pt>
                <c:pt idx="8">
                  <c:v>0.68331549037698802</c:v>
                </c:pt>
              </c:numCache>
            </c:numRef>
          </c:val>
          <c:smooth val="0"/>
          <c:extLst>
            <c:ext xmlns:c16="http://schemas.microsoft.com/office/drawing/2014/chart" uri="{C3380CC4-5D6E-409C-BE32-E72D297353CC}">
              <c16:uniqueId val="{00000009-3ED9-4466-A3CE-F2E6242AB06B}"/>
            </c:ext>
          </c:extLst>
        </c:ser>
        <c:ser>
          <c:idx val="8"/>
          <c:order val="8"/>
          <c:tx>
            <c:strRef>
              <c:f>'V shares by clones'!$K$2</c:f>
              <c:strCache>
                <c:ptCount val="1"/>
                <c:pt idx="0">
                  <c:v>c9</c:v>
                </c:pt>
              </c:strCache>
            </c:strRef>
          </c:tx>
          <c:spPr>
            <a:ln w="25400"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clones'!$AG$21:$AG$35</c:f>
              <c:numCache>
                <c:formatCode>General</c:formatCode>
                <c:ptCount val="9"/>
                <c:pt idx="0">
                  <c:v>0.82821844552067003</c:v>
                </c:pt>
                <c:pt idx="1">
                  <c:v>0.82978886315358702</c:v>
                </c:pt>
                <c:pt idx="2">
                  <c:v>0.80990699044697001</c:v>
                </c:pt>
                <c:pt idx="3">
                  <c:v>0.79675404208003897</c:v>
                </c:pt>
                <c:pt idx="4">
                  <c:v>0.78168260912285703</c:v>
                </c:pt>
                <c:pt idx="5">
                  <c:v>0.76211171520684196</c:v>
                </c:pt>
                <c:pt idx="6">
                  <c:v>0.72653300896203599</c:v>
                </c:pt>
                <c:pt idx="7">
                  <c:v>0.70339226386303599</c:v>
                </c:pt>
                <c:pt idx="8">
                  <c:v>0.67187188291008004</c:v>
                </c:pt>
              </c:numCache>
            </c:numRef>
          </c:val>
          <c:smooth val="0"/>
          <c:extLst>
            <c:ext xmlns:c16="http://schemas.microsoft.com/office/drawing/2014/chart" uri="{C3380CC4-5D6E-409C-BE32-E72D297353CC}">
              <c16:uniqueId val="{0000000A-3ED9-4466-A3CE-F2E6242AB06B}"/>
            </c:ext>
          </c:extLst>
        </c:ser>
        <c:ser>
          <c:idx val="9"/>
          <c:order val="9"/>
          <c:tx>
            <c:strRef>
              <c:f>'V shares by clones'!$L$2</c:f>
              <c:strCache>
                <c:ptCount val="1"/>
                <c:pt idx="0">
                  <c:v>c10</c:v>
                </c:pt>
              </c:strCache>
            </c:strRef>
          </c:tx>
          <c:spPr>
            <a:ln w="25400"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clones'!$AH$21:$AH$35</c:f>
              <c:numCache>
                <c:formatCode>General</c:formatCode>
                <c:ptCount val="9"/>
                <c:pt idx="0">
                  <c:v>0.83262553816301699</c:v>
                </c:pt>
                <c:pt idx="1">
                  <c:v>0.82559780137832794</c:v>
                </c:pt>
                <c:pt idx="2">
                  <c:v>0.80819915188226499</c:v>
                </c:pt>
                <c:pt idx="3">
                  <c:v>0.78963425148412303</c:v>
                </c:pt>
                <c:pt idx="4">
                  <c:v>0.78274267056826496</c:v>
                </c:pt>
                <c:pt idx="5">
                  <c:v>0.74442735836573304</c:v>
                </c:pt>
                <c:pt idx="6">
                  <c:v>0.73338468872042695</c:v>
                </c:pt>
                <c:pt idx="7">
                  <c:v>0.70675304547698004</c:v>
                </c:pt>
                <c:pt idx="8">
                  <c:v>0.67371718183334195</c:v>
                </c:pt>
              </c:numCache>
            </c:numRef>
          </c:val>
          <c:smooth val="0"/>
          <c:extLst>
            <c:ext xmlns:c16="http://schemas.microsoft.com/office/drawing/2014/chart" uri="{C3380CC4-5D6E-409C-BE32-E72D297353CC}">
              <c16:uniqueId val="{0000000B-3ED9-4466-A3CE-F2E6242AB06B}"/>
            </c:ext>
          </c:extLst>
        </c:ser>
        <c:ser>
          <c:idx val="10"/>
          <c:order val="10"/>
          <c:tx>
            <c:strRef>
              <c:f>'V shares by clones'!$M$2</c:f>
              <c:strCache>
                <c:ptCount val="1"/>
                <c:pt idx="0">
                  <c:v>Mean</c:v>
                </c:pt>
              </c:strCache>
            </c:strRef>
          </c:tx>
          <c:spPr>
            <a:ln w="25400" cap="rnd">
              <a:solidFill>
                <a:schemeClr val="tx1"/>
              </a:solidFill>
              <a:round/>
            </a:ln>
            <a:effectLst/>
          </c:spPr>
          <c:marker>
            <c:symbol val="none"/>
          </c:marker>
          <c:val>
            <c:numRef>
              <c:f>'V shares by clones'!$AI$21:$AI$35</c:f>
              <c:numCache>
                <c:formatCode>0%</c:formatCode>
                <c:ptCount val="9"/>
                <c:pt idx="0">
                  <c:v>0.83138832163155707</c:v>
                </c:pt>
                <c:pt idx="1">
                  <c:v>0.8231883001006508</c:v>
                </c:pt>
                <c:pt idx="2">
                  <c:v>0.81231327083192861</c:v>
                </c:pt>
                <c:pt idx="3">
                  <c:v>0.79839842329469335</c:v>
                </c:pt>
                <c:pt idx="4">
                  <c:v>0.7775128981597661</c:v>
                </c:pt>
                <c:pt idx="5">
                  <c:v>0.75491683992504455</c:v>
                </c:pt>
                <c:pt idx="6">
                  <c:v>0.73197896688426956</c:v>
                </c:pt>
                <c:pt idx="7">
                  <c:v>0.70686972917530211</c:v>
                </c:pt>
                <c:pt idx="8">
                  <c:v>0.67861542604785818</c:v>
                </c:pt>
              </c:numCache>
            </c:numRef>
          </c:val>
          <c:smooth val="0"/>
          <c:extLst>
            <c:ext xmlns:c16="http://schemas.microsoft.com/office/drawing/2014/chart" uri="{C3380CC4-5D6E-409C-BE32-E72D297353CC}">
              <c16:uniqueId val="{0000000C-3ED9-4466-A3CE-F2E6242AB06B}"/>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a:t>(c) Other Vehicle</a:t>
            </a:r>
            <a:r>
              <a:rPr lang="en-US" sz="1200" baseline="0"/>
              <a:t> Types</a:t>
            </a:r>
            <a:endParaRPr lang="en-US" sz="120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areaChart>
        <c:grouping val="standard"/>
        <c:varyColors val="0"/>
        <c:ser>
          <c:idx val="11"/>
          <c:order val="11"/>
          <c:tx>
            <c:strRef>
              <c:f>'V shares by clones'!$O$2</c:f>
              <c:strCache>
                <c:ptCount val="1"/>
                <c:pt idx="0">
                  <c:v>max</c:v>
                </c:pt>
              </c:strCache>
            </c:strRef>
          </c:tx>
          <c:spPr>
            <a:solidFill>
              <a:schemeClr val="accent1">
                <a:alpha val="70000"/>
              </a:schemeClr>
            </a:solidFill>
            <a:ln w="25400">
              <a:noFill/>
            </a:ln>
            <a:effectLst/>
          </c:spPr>
          <c:val>
            <c:numRef>
              <c:f>'V shares by clones'!$AK$47:$AK$55</c:f>
              <c:numCache>
                <c:formatCode>0%</c:formatCode>
                <c:ptCount val="9"/>
                <c:pt idx="0">
                  <c:v>0.13697242207647065</c:v>
                </c:pt>
                <c:pt idx="1">
                  <c:v>0.13639494869331759</c:v>
                </c:pt>
                <c:pt idx="2">
                  <c:v>0.13371731137319776</c:v>
                </c:pt>
                <c:pt idx="3">
                  <c:v>0.13145371976831921</c:v>
                </c:pt>
                <c:pt idx="4">
                  <c:v>0.13199420152986785</c:v>
                </c:pt>
                <c:pt idx="5">
                  <c:v>0.13066201229721808</c:v>
                </c:pt>
                <c:pt idx="6">
                  <c:v>0.1428686949732989</c:v>
                </c:pt>
                <c:pt idx="7">
                  <c:v>0.12488444930043097</c:v>
                </c:pt>
                <c:pt idx="8">
                  <c:v>0.12871490038918398</c:v>
                </c:pt>
              </c:numCache>
            </c:numRef>
          </c:val>
          <c:extLst>
            <c:ext xmlns:c16="http://schemas.microsoft.com/office/drawing/2014/chart" uri="{C3380CC4-5D6E-409C-BE32-E72D297353CC}">
              <c16:uniqueId val="{00000000-254E-45C6-8A7D-49C0E744FEF3}"/>
            </c:ext>
          </c:extLst>
        </c:ser>
        <c:ser>
          <c:idx val="12"/>
          <c:order val="12"/>
          <c:tx>
            <c:strRef>
              <c:f>'V shares by clones'!$P$2</c:f>
              <c:strCache>
                <c:ptCount val="1"/>
                <c:pt idx="0">
                  <c:v>min</c:v>
                </c:pt>
              </c:strCache>
            </c:strRef>
          </c:tx>
          <c:spPr>
            <a:solidFill>
              <a:schemeClr val="bg1"/>
            </a:solidFill>
            <a:ln w="25400">
              <a:noFill/>
            </a:ln>
            <a:effectLst/>
          </c:spPr>
          <c:val>
            <c:numRef>
              <c:f>'V shares by clones'!$AL$47:$AL$55</c:f>
              <c:numCache>
                <c:formatCode>0%</c:formatCode>
                <c:ptCount val="9"/>
                <c:pt idx="0">
                  <c:v>0.12700330490343847</c:v>
                </c:pt>
                <c:pt idx="1">
                  <c:v>0.12579869826520218</c:v>
                </c:pt>
                <c:pt idx="2">
                  <c:v>0.12503912986923171</c:v>
                </c:pt>
                <c:pt idx="3">
                  <c:v>0.12353056600158141</c:v>
                </c:pt>
                <c:pt idx="4">
                  <c:v>0.12320481925742899</c:v>
                </c:pt>
                <c:pt idx="5">
                  <c:v>0.11875472681979393</c:v>
                </c:pt>
                <c:pt idx="6">
                  <c:v>0.11741775567508395</c:v>
                </c:pt>
                <c:pt idx="7">
                  <c:v>0.11850237103282202</c:v>
                </c:pt>
                <c:pt idx="8">
                  <c:v>0.11772541009734194</c:v>
                </c:pt>
              </c:numCache>
            </c:numRef>
          </c:val>
          <c:extLst>
            <c:ext xmlns:c16="http://schemas.microsoft.com/office/drawing/2014/chart" uri="{C3380CC4-5D6E-409C-BE32-E72D297353CC}">
              <c16:uniqueId val="{00000001-254E-45C6-8A7D-49C0E744FEF3}"/>
            </c:ext>
          </c:extLst>
        </c:ser>
        <c:dLbls>
          <c:showLegendKey val="0"/>
          <c:showVal val="0"/>
          <c:showCatName val="0"/>
          <c:showSerName val="0"/>
          <c:showPercent val="0"/>
          <c:showBubbleSize val="0"/>
        </c:dLbls>
        <c:axId val="1809145903"/>
        <c:axId val="1799198143"/>
      </c:areaChart>
      <c:lineChart>
        <c:grouping val="standard"/>
        <c:varyColors val="0"/>
        <c:ser>
          <c:idx val="0"/>
          <c:order val="0"/>
          <c:tx>
            <c:strRef>
              <c:f>'V shares by clones'!$C$2</c:f>
              <c:strCache>
                <c:ptCount val="1"/>
                <c:pt idx="0">
                  <c:v>c1</c:v>
                </c:pt>
              </c:strCache>
            </c:strRef>
          </c:tx>
          <c:spPr>
            <a:ln w="25400" cap="rnd">
              <a:noFill/>
              <a:round/>
            </a:ln>
            <a:effectLst/>
          </c:spPr>
          <c:marker>
            <c:symbol val="circle"/>
            <c:size val="5"/>
            <c:spPr>
              <a:noFill/>
              <a:ln w="9525">
                <a:solidFill>
                  <a:schemeClr val="accent1"/>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clones'!$Y$41:$Y$55</c:f>
              <c:numCache>
                <c:formatCode>0%</c:formatCode>
                <c:ptCount val="9"/>
                <c:pt idx="0">
                  <c:v>0.12967745031667799</c:v>
                </c:pt>
                <c:pt idx="1">
                  <c:v>0.13128335049917528</c:v>
                </c:pt>
                <c:pt idx="2">
                  <c:v>0.13201320152222773</c:v>
                </c:pt>
                <c:pt idx="3">
                  <c:v>0.12669399220488253</c:v>
                </c:pt>
                <c:pt idx="4">
                  <c:v>0.12520853772674712</c:v>
                </c:pt>
                <c:pt idx="5">
                  <c:v>0.12846231390340201</c:v>
                </c:pt>
                <c:pt idx="6">
                  <c:v>0.12800296049675797</c:v>
                </c:pt>
                <c:pt idx="7">
                  <c:v>0.11850237103282202</c:v>
                </c:pt>
                <c:pt idx="8">
                  <c:v>0.11772541009734194</c:v>
                </c:pt>
              </c:numCache>
            </c:numRef>
          </c:val>
          <c:smooth val="0"/>
          <c:extLst>
            <c:ext xmlns:c16="http://schemas.microsoft.com/office/drawing/2014/chart" uri="{C3380CC4-5D6E-409C-BE32-E72D297353CC}">
              <c16:uniqueId val="{00000002-254E-45C6-8A7D-49C0E744FEF3}"/>
            </c:ext>
          </c:extLst>
        </c:ser>
        <c:ser>
          <c:idx val="1"/>
          <c:order val="1"/>
          <c:tx>
            <c:strRef>
              <c:f>'V shares by clones'!$D$2</c:f>
              <c:strCache>
                <c:ptCount val="1"/>
                <c:pt idx="0">
                  <c:v>c2</c:v>
                </c:pt>
              </c:strCache>
            </c:strRef>
          </c:tx>
          <c:spPr>
            <a:ln w="25400" cap="rnd">
              <a:noFill/>
              <a:round/>
            </a:ln>
            <a:effectLst/>
          </c:spPr>
          <c:marker>
            <c:symbol val="circle"/>
            <c:size val="5"/>
            <c:spPr>
              <a:solidFill>
                <a:schemeClr val="accent2"/>
              </a:solidFill>
              <a:ln w="9525">
                <a:solidFill>
                  <a:schemeClr val="accent2"/>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clones'!$Z$41:$Z$55</c:f>
              <c:numCache>
                <c:formatCode>0%</c:formatCode>
                <c:ptCount val="9"/>
                <c:pt idx="0">
                  <c:v>0.12993447075716835</c:v>
                </c:pt>
                <c:pt idx="1">
                  <c:v>0.12934122745323318</c:v>
                </c:pt>
                <c:pt idx="2">
                  <c:v>0.13371731137319776</c:v>
                </c:pt>
                <c:pt idx="3">
                  <c:v>0.13145371976831921</c:v>
                </c:pt>
                <c:pt idx="4">
                  <c:v>0.12696234885233704</c:v>
                </c:pt>
                <c:pt idx="5">
                  <c:v>0.11991654912998595</c:v>
                </c:pt>
                <c:pt idx="6">
                  <c:v>0.12612941383126997</c:v>
                </c:pt>
                <c:pt idx="7">
                  <c:v>0.12128152017442995</c:v>
                </c:pt>
                <c:pt idx="8">
                  <c:v>0.12131834350779303</c:v>
                </c:pt>
              </c:numCache>
            </c:numRef>
          </c:val>
          <c:smooth val="0"/>
          <c:extLst>
            <c:ext xmlns:c16="http://schemas.microsoft.com/office/drawing/2014/chart" uri="{C3380CC4-5D6E-409C-BE32-E72D297353CC}">
              <c16:uniqueId val="{00000003-254E-45C6-8A7D-49C0E744FEF3}"/>
            </c:ext>
          </c:extLst>
        </c:ser>
        <c:ser>
          <c:idx val="2"/>
          <c:order val="2"/>
          <c:tx>
            <c:strRef>
              <c:f>'V shares by clones'!$E$2</c:f>
              <c:strCache>
                <c:ptCount val="1"/>
                <c:pt idx="0">
                  <c:v>c3</c:v>
                </c:pt>
              </c:strCache>
            </c:strRef>
          </c:tx>
          <c:spPr>
            <a:ln w="25400" cap="rnd">
              <a:noFill/>
              <a:round/>
            </a:ln>
            <a:effectLst/>
          </c:spPr>
          <c:marker>
            <c:symbol val="circle"/>
            <c:size val="5"/>
            <c:spPr>
              <a:solidFill>
                <a:schemeClr val="tx1"/>
              </a:solidFill>
              <a:ln w="9525">
                <a:solidFill>
                  <a:schemeClr val="accent3"/>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clones'!$AA$41:$AA$55</c:f>
              <c:numCache>
                <c:formatCode>0%</c:formatCode>
                <c:ptCount val="9"/>
                <c:pt idx="0">
                  <c:v>0.13028988829994348</c:v>
                </c:pt>
                <c:pt idx="1">
                  <c:v>0.1268275838800369</c:v>
                </c:pt>
                <c:pt idx="2">
                  <c:v>0.12930246299501746</c:v>
                </c:pt>
                <c:pt idx="3">
                  <c:v>0.12353056600158141</c:v>
                </c:pt>
                <c:pt idx="4">
                  <c:v>0.13199420152986785</c:v>
                </c:pt>
                <c:pt idx="5">
                  <c:v>0.12284790709925208</c:v>
                </c:pt>
                <c:pt idx="6">
                  <c:v>0.12201909344182305</c:v>
                </c:pt>
                <c:pt idx="7">
                  <c:v>0.12343411084445299</c:v>
                </c:pt>
                <c:pt idx="8">
                  <c:v>0.12871490038918398</c:v>
                </c:pt>
              </c:numCache>
            </c:numRef>
          </c:val>
          <c:smooth val="0"/>
          <c:extLst>
            <c:ext xmlns:c16="http://schemas.microsoft.com/office/drawing/2014/chart" uri="{C3380CC4-5D6E-409C-BE32-E72D297353CC}">
              <c16:uniqueId val="{00000004-254E-45C6-8A7D-49C0E744FEF3}"/>
            </c:ext>
          </c:extLst>
        </c:ser>
        <c:ser>
          <c:idx val="3"/>
          <c:order val="3"/>
          <c:tx>
            <c:strRef>
              <c:f>'V shares by clones'!$F$2</c:f>
              <c:strCache>
                <c:ptCount val="1"/>
                <c:pt idx="0">
                  <c:v>c4</c:v>
                </c:pt>
              </c:strCache>
            </c:strRef>
          </c:tx>
          <c:spPr>
            <a:ln w="25400" cap="rnd">
              <a:noFill/>
              <a:round/>
            </a:ln>
            <a:effectLst/>
          </c:spPr>
          <c:marker>
            <c:symbol val="circle"/>
            <c:size val="5"/>
            <c:spPr>
              <a:solidFill>
                <a:schemeClr val="accent4"/>
              </a:solidFill>
              <a:ln w="9525">
                <a:solidFill>
                  <a:schemeClr val="accent4"/>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clones'!$AB$41:$AB$55</c:f>
              <c:numCache>
                <c:formatCode>0%</c:formatCode>
                <c:ptCount val="9"/>
                <c:pt idx="0">
                  <c:v>0.13697242207647065</c:v>
                </c:pt>
                <c:pt idx="1">
                  <c:v>0.1339650999406955</c:v>
                </c:pt>
                <c:pt idx="2">
                  <c:v>0.12715461178498089</c:v>
                </c:pt>
                <c:pt idx="3">
                  <c:v>0.12480473956908078</c:v>
                </c:pt>
                <c:pt idx="4">
                  <c:v>0.12334594950421951</c:v>
                </c:pt>
                <c:pt idx="5">
                  <c:v>0.13066201229721808</c:v>
                </c:pt>
                <c:pt idx="6">
                  <c:v>0.11799225072907193</c:v>
                </c:pt>
                <c:pt idx="7">
                  <c:v>0.12433983746613297</c:v>
                </c:pt>
                <c:pt idx="8">
                  <c:v>0.12100312930010704</c:v>
                </c:pt>
              </c:numCache>
            </c:numRef>
          </c:val>
          <c:smooth val="0"/>
          <c:extLst>
            <c:ext xmlns:c16="http://schemas.microsoft.com/office/drawing/2014/chart" uri="{C3380CC4-5D6E-409C-BE32-E72D297353CC}">
              <c16:uniqueId val="{00000005-254E-45C6-8A7D-49C0E744FEF3}"/>
            </c:ext>
          </c:extLst>
        </c:ser>
        <c:ser>
          <c:idx val="4"/>
          <c:order val="4"/>
          <c:tx>
            <c:strRef>
              <c:f>'V shares by clones'!$G$2</c:f>
              <c:strCache>
                <c:ptCount val="1"/>
                <c:pt idx="0">
                  <c:v>c5</c:v>
                </c:pt>
              </c:strCache>
            </c:strRef>
          </c:tx>
          <c:spPr>
            <a:ln w="25400" cap="rnd">
              <a:noFill/>
              <a:round/>
            </a:ln>
            <a:effectLst/>
          </c:spPr>
          <c:marker>
            <c:symbol val="circle"/>
            <c:size val="5"/>
            <c:spPr>
              <a:solidFill>
                <a:schemeClr val="accent5"/>
              </a:solidFill>
              <a:ln w="9525">
                <a:solidFill>
                  <a:schemeClr val="accent5"/>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clones'!$AC$41:$AC$55</c:f>
              <c:numCache>
                <c:formatCode>0%</c:formatCode>
                <c:ptCount val="9"/>
                <c:pt idx="0">
                  <c:v>0.12700330490343847</c:v>
                </c:pt>
                <c:pt idx="1">
                  <c:v>0.12954231824182771</c:v>
                </c:pt>
                <c:pt idx="2">
                  <c:v>0.12503912986923171</c:v>
                </c:pt>
                <c:pt idx="3">
                  <c:v>0.12869005038184045</c:v>
                </c:pt>
                <c:pt idx="4">
                  <c:v>0.1255834834429258</c:v>
                </c:pt>
                <c:pt idx="5">
                  <c:v>0.1240663075043249</c:v>
                </c:pt>
                <c:pt idx="6">
                  <c:v>0.1428686949732989</c:v>
                </c:pt>
                <c:pt idx="7">
                  <c:v>0.12186057184008703</c:v>
                </c:pt>
                <c:pt idx="8">
                  <c:v>0.12289555445876899</c:v>
                </c:pt>
              </c:numCache>
            </c:numRef>
          </c:val>
          <c:smooth val="0"/>
          <c:extLst>
            <c:ext xmlns:c16="http://schemas.microsoft.com/office/drawing/2014/chart" uri="{C3380CC4-5D6E-409C-BE32-E72D297353CC}">
              <c16:uniqueId val="{00000006-254E-45C6-8A7D-49C0E744FEF3}"/>
            </c:ext>
          </c:extLst>
        </c:ser>
        <c:ser>
          <c:idx val="5"/>
          <c:order val="5"/>
          <c:tx>
            <c:strRef>
              <c:f>'V shares by clones'!$H$2</c:f>
              <c:strCache>
                <c:ptCount val="1"/>
                <c:pt idx="0">
                  <c:v>c6</c:v>
                </c:pt>
              </c:strCache>
            </c:strRef>
          </c:tx>
          <c:spPr>
            <a:ln w="25400" cap="rnd">
              <a:noFill/>
              <a:round/>
            </a:ln>
            <a:effectLst/>
          </c:spPr>
          <c:marker>
            <c:symbol val="circle"/>
            <c:size val="5"/>
            <c:spPr>
              <a:solidFill>
                <a:schemeClr val="accent6"/>
              </a:solidFill>
              <a:ln w="9525">
                <a:solidFill>
                  <a:schemeClr val="accent6"/>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clones'!$AD$41:$AD$55</c:f>
              <c:numCache>
                <c:formatCode>0%</c:formatCode>
                <c:ptCount val="9"/>
                <c:pt idx="0">
                  <c:v>0.12819776488045453</c:v>
                </c:pt>
                <c:pt idx="1">
                  <c:v>0.12979934633595092</c:v>
                </c:pt>
                <c:pt idx="2">
                  <c:v>0.12684695524503453</c:v>
                </c:pt>
                <c:pt idx="3">
                  <c:v>0.12597074954175191</c:v>
                </c:pt>
                <c:pt idx="4">
                  <c:v>0.12320481925742899</c:v>
                </c:pt>
                <c:pt idx="5">
                  <c:v>0.12069201502509308</c:v>
                </c:pt>
                <c:pt idx="6">
                  <c:v>0.12195441292058495</c:v>
                </c:pt>
                <c:pt idx="7">
                  <c:v>0.12476927950277295</c:v>
                </c:pt>
                <c:pt idx="8">
                  <c:v>0.11836931469305501</c:v>
                </c:pt>
              </c:numCache>
            </c:numRef>
          </c:val>
          <c:smooth val="0"/>
          <c:extLst>
            <c:ext xmlns:c16="http://schemas.microsoft.com/office/drawing/2014/chart" uri="{C3380CC4-5D6E-409C-BE32-E72D297353CC}">
              <c16:uniqueId val="{00000007-254E-45C6-8A7D-49C0E744FEF3}"/>
            </c:ext>
          </c:extLst>
        </c:ser>
        <c:ser>
          <c:idx val="6"/>
          <c:order val="6"/>
          <c:tx>
            <c:strRef>
              <c:f>'V shares by clones'!$I$2</c:f>
              <c:strCache>
                <c:ptCount val="1"/>
                <c:pt idx="0">
                  <c:v>c7</c:v>
                </c:pt>
              </c:strCache>
            </c:strRef>
          </c:tx>
          <c:spPr>
            <a:ln w="25400" cap="rnd">
              <a:noFill/>
              <a:round/>
            </a:ln>
            <a:effectLst/>
          </c:spPr>
          <c:marker>
            <c:symbol val="circle"/>
            <c:size val="5"/>
            <c:spPr>
              <a:solidFill>
                <a:schemeClr val="tx1"/>
              </a:solidFill>
              <a:ln w="9525">
                <a:solidFill>
                  <a:schemeClr val="accent1">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clones'!$AE$41:$AE$55</c:f>
              <c:numCache>
                <c:formatCode>0%</c:formatCode>
                <c:ptCount val="9"/>
                <c:pt idx="0">
                  <c:v>0.13319219079614819</c:v>
                </c:pt>
                <c:pt idx="1">
                  <c:v>0.12662315984667039</c:v>
                </c:pt>
                <c:pt idx="2">
                  <c:v>0.1278253964119489</c:v>
                </c:pt>
                <c:pt idx="3">
                  <c:v>0.12427550526640507</c:v>
                </c:pt>
                <c:pt idx="4">
                  <c:v>0.1286283429536943</c:v>
                </c:pt>
                <c:pt idx="5">
                  <c:v>0.13003180242145695</c:v>
                </c:pt>
                <c:pt idx="6">
                  <c:v>0.11741775567508395</c:v>
                </c:pt>
                <c:pt idx="7">
                  <c:v>0.12106384366961398</c:v>
                </c:pt>
                <c:pt idx="8">
                  <c:v>0.11929092227592697</c:v>
                </c:pt>
              </c:numCache>
            </c:numRef>
          </c:val>
          <c:smooth val="0"/>
          <c:extLst>
            <c:ext xmlns:c16="http://schemas.microsoft.com/office/drawing/2014/chart" uri="{C3380CC4-5D6E-409C-BE32-E72D297353CC}">
              <c16:uniqueId val="{00000008-254E-45C6-8A7D-49C0E744FEF3}"/>
            </c:ext>
          </c:extLst>
        </c:ser>
        <c:ser>
          <c:idx val="7"/>
          <c:order val="7"/>
          <c:tx>
            <c:strRef>
              <c:f>'V shares by clones'!$J$2</c:f>
              <c:strCache>
                <c:ptCount val="1"/>
                <c:pt idx="0">
                  <c:v>c8</c:v>
                </c:pt>
              </c:strCache>
            </c:strRef>
          </c:tx>
          <c:spPr>
            <a:ln w="25400" cap="rnd">
              <a:noFill/>
              <a:round/>
            </a:ln>
            <a:effectLst/>
          </c:spPr>
          <c:marker>
            <c:symbol val="circle"/>
            <c:size val="5"/>
            <c:spPr>
              <a:solidFill>
                <a:schemeClr val="accent2">
                  <a:lumMod val="60000"/>
                </a:schemeClr>
              </a:solidFill>
              <a:ln w="9525">
                <a:solidFill>
                  <a:schemeClr val="accent2">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clones'!$AF$41:$AF$55</c:f>
              <c:numCache>
                <c:formatCode>0%</c:formatCode>
                <c:ptCount val="9"/>
                <c:pt idx="0">
                  <c:v>0.12931796439776377</c:v>
                </c:pt>
                <c:pt idx="1">
                  <c:v>0.13639494869331759</c:v>
                </c:pt>
                <c:pt idx="2">
                  <c:v>0.12544909046744768</c:v>
                </c:pt>
                <c:pt idx="3">
                  <c:v>0.12961714612259401</c:v>
                </c:pt>
                <c:pt idx="4">
                  <c:v>0.1259654665670783</c:v>
                </c:pt>
                <c:pt idx="5">
                  <c:v>0.12544429059954199</c:v>
                </c:pt>
                <c:pt idx="6">
                  <c:v>0.11947580298787397</c:v>
                </c:pt>
                <c:pt idx="7">
                  <c:v>0.12038620920492504</c:v>
                </c:pt>
                <c:pt idx="8">
                  <c:v>0.12233680921808399</c:v>
                </c:pt>
              </c:numCache>
            </c:numRef>
          </c:val>
          <c:smooth val="0"/>
          <c:extLst>
            <c:ext xmlns:c16="http://schemas.microsoft.com/office/drawing/2014/chart" uri="{C3380CC4-5D6E-409C-BE32-E72D297353CC}">
              <c16:uniqueId val="{00000009-254E-45C6-8A7D-49C0E744FEF3}"/>
            </c:ext>
          </c:extLst>
        </c:ser>
        <c:ser>
          <c:idx val="8"/>
          <c:order val="8"/>
          <c:tx>
            <c:strRef>
              <c:f>'V shares by clones'!$K$2</c:f>
              <c:strCache>
                <c:ptCount val="1"/>
                <c:pt idx="0">
                  <c:v>c9</c:v>
                </c:pt>
              </c:strCache>
            </c:strRef>
          </c:tx>
          <c:spPr>
            <a:ln w="25400" cap="rnd">
              <a:noFill/>
              <a:round/>
            </a:ln>
            <a:effectLst/>
          </c:spPr>
          <c:marker>
            <c:symbol val="circle"/>
            <c:size val="5"/>
            <c:spPr>
              <a:solidFill>
                <a:schemeClr val="accent3">
                  <a:lumMod val="60000"/>
                </a:schemeClr>
              </a:solidFill>
              <a:ln w="9525">
                <a:solidFill>
                  <a:schemeClr val="accent3">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clones'!$AG$41:$AG$55</c:f>
              <c:numCache>
                <c:formatCode>0%</c:formatCode>
                <c:ptCount val="9"/>
                <c:pt idx="0">
                  <c:v>0.12819884220324329</c:v>
                </c:pt>
                <c:pt idx="1">
                  <c:v>0.12579869826520218</c:v>
                </c:pt>
                <c:pt idx="2">
                  <c:v>0.12579502102387607</c:v>
                </c:pt>
                <c:pt idx="3">
                  <c:v>0.12564499246523975</c:v>
                </c:pt>
                <c:pt idx="4">
                  <c:v>0.13007512135647059</c:v>
                </c:pt>
                <c:pt idx="5">
                  <c:v>0.11990663286951508</c:v>
                </c:pt>
                <c:pt idx="6">
                  <c:v>0.12560807467968105</c:v>
                </c:pt>
                <c:pt idx="7">
                  <c:v>0.12488444930043097</c:v>
                </c:pt>
                <c:pt idx="8">
                  <c:v>0.12578524112774292</c:v>
                </c:pt>
              </c:numCache>
            </c:numRef>
          </c:val>
          <c:smooth val="0"/>
          <c:extLst>
            <c:ext xmlns:c16="http://schemas.microsoft.com/office/drawing/2014/chart" uri="{C3380CC4-5D6E-409C-BE32-E72D297353CC}">
              <c16:uniqueId val="{0000000A-254E-45C6-8A7D-49C0E744FEF3}"/>
            </c:ext>
          </c:extLst>
        </c:ser>
        <c:ser>
          <c:idx val="9"/>
          <c:order val="9"/>
          <c:tx>
            <c:strRef>
              <c:f>'V shares by clones'!$L$2</c:f>
              <c:strCache>
                <c:ptCount val="1"/>
                <c:pt idx="0">
                  <c:v>c10</c:v>
                </c:pt>
              </c:strCache>
            </c:strRef>
          </c:tx>
          <c:spPr>
            <a:ln w="25400" cap="rnd">
              <a:noFill/>
              <a:round/>
            </a:ln>
            <a:effectLst/>
          </c:spPr>
          <c:marker>
            <c:symbol val="circle"/>
            <c:size val="5"/>
            <c:spPr>
              <a:solidFill>
                <a:schemeClr val="accent4">
                  <a:lumMod val="60000"/>
                </a:schemeClr>
              </a:solidFill>
              <a:ln w="9525">
                <a:solidFill>
                  <a:schemeClr val="accent4">
                    <a:lumMod val="60000"/>
                  </a:schemeClr>
                </a:solidFill>
              </a:ln>
              <a:effectLst/>
            </c:spPr>
          </c:marker>
          <c:cat>
            <c:numRef>
              <c:f>'V shares by clones'!$A$3:$A$17</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 by clones'!$AH$41:$AH$55</c:f>
              <c:numCache>
                <c:formatCode>0%</c:formatCode>
                <c:ptCount val="9"/>
                <c:pt idx="0">
                  <c:v>0.13282597262983287</c:v>
                </c:pt>
                <c:pt idx="1">
                  <c:v>0.12891472577179319</c:v>
                </c:pt>
                <c:pt idx="2">
                  <c:v>0.132407532985238</c:v>
                </c:pt>
                <c:pt idx="3">
                  <c:v>0.13107698781016963</c:v>
                </c:pt>
                <c:pt idx="4">
                  <c:v>0.12609667550844883</c:v>
                </c:pt>
                <c:pt idx="5">
                  <c:v>0.11875472681979393</c:v>
                </c:pt>
                <c:pt idx="6">
                  <c:v>0.11875471915740299</c:v>
                </c:pt>
                <c:pt idx="7">
                  <c:v>0.1226216243368049</c:v>
                </c:pt>
                <c:pt idx="8">
                  <c:v>0.12720746250715509</c:v>
                </c:pt>
              </c:numCache>
            </c:numRef>
          </c:val>
          <c:smooth val="0"/>
          <c:extLst>
            <c:ext xmlns:c16="http://schemas.microsoft.com/office/drawing/2014/chart" uri="{C3380CC4-5D6E-409C-BE32-E72D297353CC}">
              <c16:uniqueId val="{0000000B-254E-45C6-8A7D-49C0E744FEF3}"/>
            </c:ext>
          </c:extLst>
        </c:ser>
        <c:ser>
          <c:idx val="10"/>
          <c:order val="10"/>
          <c:tx>
            <c:strRef>
              <c:f>'V shares by clones'!$M$2</c:f>
              <c:strCache>
                <c:ptCount val="1"/>
                <c:pt idx="0">
                  <c:v>Mean</c:v>
                </c:pt>
              </c:strCache>
            </c:strRef>
          </c:tx>
          <c:spPr>
            <a:ln w="25400" cap="rnd">
              <a:solidFill>
                <a:schemeClr val="tx1"/>
              </a:solidFill>
              <a:round/>
            </a:ln>
            <a:effectLst/>
          </c:spPr>
          <c:marker>
            <c:symbol val="none"/>
          </c:marker>
          <c:val>
            <c:numRef>
              <c:f>'V shares by clones'!$AI$41:$AI$55</c:f>
              <c:numCache>
                <c:formatCode>0%</c:formatCode>
                <c:ptCount val="9"/>
                <c:pt idx="0">
                  <c:v>0.13056102712611414</c:v>
                </c:pt>
                <c:pt idx="1">
                  <c:v>0.12984904589279028</c:v>
                </c:pt>
                <c:pt idx="2">
                  <c:v>0.12855507136782007</c:v>
                </c:pt>
                <c:pt idx="3">
                  <c:v>0.12717584491318645</c:v>
                </c:pt>
                <c:pt idx="4">
                  <c:v>0.12670649466992184</c:v>
                </c:pt>
                <c:pt idx="5">
                  <c:v>0.12407845576695839</c:v>
                </c:pt>
                <c:pt idx="6">
                  <c:v>0.12402231788928489</c:v>
                </c:pt>
                <c:pt idx="7">
                  <c:v>0.12231438173724726</c:v>
                </c:pt>
                <c:pt idx="8">
                  <c:v>0.12246470875751589</c:v>
                </c:pt>
              </c:numCache>
            </c:numRef>
          </c:val>
          <c:smooth val="0"/>
          <c:extLst>
            <c:ext xmlns:c16="http://schemas.microsoft.com/office/drawing/2014/chart" uri="{C3380CC4-5D6E-409C-BE32-E72D297353CC}">
              <c16:uniqueId val="{0000000C-254E-45C6-8A7D-49C0E744FEF3}"/>
            </c:ext>
          </c:extLst>
        </c:ser>
        <c:dLbls>
          <c:showLegendKey val="0"/>
          <c:showVal val="0"/>
          <c:showCatName val="0"/>
          <c:showSerName val="0"/>
          <c:showPercent val="0"/>
          <c:showBubbleSize val="0"/>
        </c:dLbls>
        <c:marker val="1"/>
        <c:smooth val="0"/>
        <c:axId val="1809145903"/>
        <c:axId val="1799198143"/>
      </c:lineChart>
      <c:catAx>
        <c:axId val="180914590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799198143"/>
        <c:crosses val="autoZero"/>
        <c:auto val="1"/>
        <c:lblAlgn val="ctr"/>
        <c:lblOffset val="100"/>
        <c:noMultiLvlLbl val="0"/>
      </c:catAx>
      <c:valAx>
        <c:axId val="1799198143"/>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809145903"/>
        <c:crosses val="autoZero"/>
        <c:crossBetween val="between"/>
      </c:valAx>
      <c:spPr>
        <a:noFill/>
        <a:ln>
          <a:noFill/>
        </a:ln>
        <a:effectLst/>
      </c:spPr>
    </c:plotArea>
    <c:legend>
      <c:legendPos val="b"/>
      <c:legendEntry>
        <c:idx val="0"/>
        <c:delete val="1"/>
      </c:legendEntry>
      <c:legendEntry>
        <c:idx val="1"/>
        <c:delete val="1"/>
      </c:legendEntry>
      <c:layout>
        <c:manualLayout>
          <c:xMode val="edge"/>
          <c:yMode val="edge"/>
          <c:x val="2.9991251093613239E-3"/>
          <c:y val="0.77949471296142436"/>
          <c:w val="0.96055774278215222"/>
          <c:h val="0.22050528703857564"/>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solidFill>
      <a:round/>
    </a:ln>
    <a:effectLst/>
  </c:spPr>
  <c:txPr>
    <a:bodyPr/>
    <a:lstStyle/>
    <a:p>
      <a:pPr>
        <a:defRPr sz="12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b="0" i="0" u="none" strike="noStrike" baseline="0">
                <a:effectLst/>
              </a:rPr>
              <a:t>a. Benchmark 54 B liters of corn ethanol</a:t>
            </a:r>
            <a:endParaRPr lang="en-US" sz="120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'V shares'!$K$3</c:f>
              <c:strCache>
                <c:ptCount val="1"/>
                <c:pt idx="0">
                  <c:v>Baseline Scenario</c:v>
                </c:pt>
              </c:strCache>
            </c:strRef>
          </c:tx>
          <c:spPr>
            <a:ln w="28575" cap="rnd">
              <a:solidFill>
                <a:schemeClr val="accent1"/>
              </a:solidFill>
              <a:round/>
            </a:ln>
            <a:effectLst/>
          </c:spPr>
          <c:marker>
            <c:symbol val="none"/>
          </c:marker>
          <c:cat>
            <c:numRef>
              <c:f>'V shares'!$J$47:$J$55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shares'!$D$10:$D$18</c:f>
              <c:numCache>
                <c:formatCode>0%</c:formatCode>
                <c:ptCount val="9"/>
                <c:pt idx="0">
                  <c:v>2.95913400185055E-2</c:v>
                </c:pt>
                <c:pt idx="1">
                  <c:v>3.0557140353583302E-2</c:v>
                </c:pt>
                <c:pt idx="2">
                  <c:v>3.21009181356669E-2</c:v>
                </c:pt>
                <c:pt idx="3">
                  <c:v>4.1699877975843902E-2</c:v>
                </c:pt>
                <c:pt idx="4">
                  <c:v>3.6099077715996103E-2</c:v>
                </c:pt>
                <c:pt idx="5">
                  <c:v>4.0580674656893898E-2</c:v>
                </c:pt>
                <c:pt idx="6">
                  <c:v>2.8778256097211002E-2</c:v>
                </c:pt>
                <c:pt idx="7">
                  <c:v>3.63363795019324E-2</c:v>
                </c:pt>
                <c:pt idx="8">
                  <c:v>2.5756426181107499E-2</c:v>
                </c:pt>
              </c:numCache>
            </c:numRef>
          </c:val>
          <c:smooth val="0"/>
          <c:extLst>
            <c:ext xmlns:c16="http://schemas.microsoft.com/office/drawing/2014/chart" uri="{C3380CC4-5D6E-409C-BE32-E72D297353CC}">
              <c16:uniqueId val="{00000000-C35A-446D-8455-4630F7D5AE19}"/>
            </c:ext>
          </c:extLst>
        </c:ser>
        <c:ser>
          <c:idx val="1"/>
          <c:order val="1"/>
          <c:tx>
            <c:strRef>
              <c:f>'V shares'!$L$3</c:f>
              <c:strCache>
                <c:ptCount val="1"/>
                <c:pt idx="0">
                  <c:v>Scenario 1: Increased Public Charging</c:v>
                </c:pt>
              </c:strCache>
            </c:strRef>
          </c:tx>
          <c:spPr>
            <a:ln w="28575" cap="rnd">
              <a:solidFill>
                <a:schemeClr val="accent2"/>
              </a:solidFill>
              <a:round/>
            </a:ln>
            <a:effectLst/>
          </c:spPr>
          <c:marker>
            <c:symbol val="none"/>
          </c:marker>
          <c:cat>
            <c:numRef>
              <c:f>'V shares'!$J$47:$J$55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shares'!$D$28:$D$36</c:f>
              <c:numCache>
                <c:formatCode>0%</c:formatCode>
                <c:ptCount val="9"/>
                <c:pt idx="0">
                  <c:v>2.82157624878548E-2</c:v>
                </c:pt>
                <c:pt idx="1">
                  <c:v>3.2922149860664399E-2</c:v>
                </c:pt>
                <c:pt idx="2">
                  <c:v>3.3748384934599501E-2</c:v>
                </c:pt>
                <c:pt idx="3">
                  <c:v>4.2690166932712999E-2</c:v>
                </c:pt>
                <c:pt idx="4">
                  <c:v>4.8718776870418097E-2</c:v>
                </c:pt>
                <c:pt idx="5">
                  <c:v>4.86269974790225E-2</c:v>
                </c:pt>
                <c:pt idx="6">
                  <c:v>4.0003228209960801E-2</c:v>
                </c:pt>
                <c:pt idx="7">
                  <c:v>5.7984263903084102E-2</c:v>
                </c:pt>
                <c:pt idx="8">
                  <c:v>5.91936322255859E-2</c:v>
                </c:pt>
              </c:numCache>
            </c:numRef>
          </c:val>
          <c:smooth val="0"/>
          <c:extLst>
            <c:ext xmlns:c16="http://schemas.microsoft.com/office/drawing/2014/chart" uri="{C3380CC4-5D6E-409C-BE32-E72D297353CC}">
              <c16:uniqueId val="{00000001-C35A-446D-8455-4630F7D5AE19}"/>
            </c:ext>
          </c:extLst>
        </c:ser>
        <c:ser>
          <c:idx val="2"/>
          <c:order val="2"/>
          <c:tx>
            <c:strRef>
              <c:f>'V shares'!$M$3</c:f>
              <c:strCache>
                <c:ptCount val="1"/>
                <c:pt idx="0">
                  <c:v>Scenario 2: Clean Vehicle (EV)  Tax Credit</c:v>
                </c:pt>
              </c:strCache>
            </c:strRef>
          </c:tx>
          <c:spPr>
            <a:ln w="28575" cap="rnd">
              <a:solidFill>
                <a:schemeClr val="accent3"/>
              </a:solidFill>
              <a:round/>
            </a:ln>
            <a:effectLst/>
          </c:spPr>
          <c:marker>
            <c:symbol val="none"/>
          </c:marker>
          <c:cat>
            <c:numRef>
              <c:f>'V shares'!$J$47:$J$55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shares'!$D$47:$D$55</c:f>
              <c:numCache>
                <c:formatCode>0%</c:formatCode>
                <c:ptCount val="9"/>
                <c:pt idx="0">
                  <c:v>3.3481950915398503E-2</c:v>
                </c:pt>
                <c:pt idx="1">
                  <c:v>5.5642388331252103E-2</c:v>
                </c:pt>
                <c:pt idx="2">
                  <c:v>5.3416777647765798E-2</c:v>
                </c:pt>
                <c:pt idx="3">
                  <c:v>7.0901153886564899E-2</c:v>
                </c:pt>
                <c:pt idx="4">
                  <c:v>8.8526541576897405E-2</c:v>
                </c:pt>
                <c:pt idx="5">
                  <c:v>6.8474800195590296E-2</c:v>
                </c:pt>
                <c:pt idx="6">
                  <c:v>8.1498674173875796E-2</c:v>
                </c:pt>
                <c:pt idx="7">
                  <c:v>8.1516154057891393E-2</c:v>
                </c:pt>
                <c:pt idx="8">
                  <c:v>9.7910818707908895E-2</c:v>
                </c:pt>
              </c:numCache>
            </c:numRef>
          </c:val>
          <c:smooth val="0"/>
          <c:extLst>
            <c:ext xmlns:c16="http://schemas.microsoft.com/office/drawing/2014/chart" uri="{C3380CC4-5D6E-409C-BE32-E72D297353CC}">
              <c16:uniqueId val="{00000002-C35A-446D-8455-4630F7D5AE19}"/>
            </c:ext>
          </c:extLst>
        </c:ser>
        <c:ser>
          <c:idx val="3"/>
          <c:order val="3"/>
          <c:tx>
            <c:strRef>
              <c:f>'V shares'!$N$3</c:f>
              <c:strCache>
                <c:ptCount val="1"/>
                <c:pt idx="0">
                  <c:v>Scenario 3: Clean Vehicle (EV) Tax Credit &amp; Increased Public Charging</c:v>
                </c:pt>
              </c:strCache>
            </c:strRef>
          </c:tx>
          <c:spPr>
            <a:ln w="28575" cap="rnd">
              <a:solidFill>
                <a:schemeClr val="accent4"/>
              </a:solidFill>
              <a:round/>
            </a:ln>
            <a:effectLst/>
          </c:spPr>
          <c:marker>
            <c:symbol val="none"/>
          </c:marker>
          <c:cat>
            <c:numRef>
              <c:f>'V shares'!$J$47:$J$55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shares'!$D$66:$D$74</c:f>
              <c:numCache>
                <c:formatCode>0%</c:formatCode>
                <c:ptCount val="9"/>
                <c:pt idx="0">
                  <c:v>3.4150649002647901E-2</c:v>
                </c:pt>
                <c:pt idx="1">
                  <c:v>5.6068466801388099E-2</c:v>
                </c:pt>
                <c:pt idx="2">
                  <c:v>5.1951918200865102E-2</c:v>
                </c:pt>
                <c:pt idx="3">
                  <c:v>7.0059391190226306E-2</c:v>
                </c:pt>
                <c:pt idx="4">
                  <c:v>9.5901331031226E-2</c:v>
                </c:pt>
                <c:pt idx="5">
                  <c:v>6.7348079976802699E-2</c:v>
                </c:pt>
                <c:pt idx="6">
                  <c:v>7.2627813827173496E-2</c:v>
                </c:pt>
                <c:pt idx="7">
                  <c:v>8.0380267671061295E-2</c:v>
                </c:pt>
                <c:pt idx="8">
                  <c:v>0.107192202297813</c:v>
                </c:pt>
              </c:numCache>
            </c:numRef>
          </c:val>
          <c:smooth val="0"/>
          <c:extLst>
            <c:ext xmlns:c16="http://schemas.microsoft.com/office/drawing/2014/chart" uri="{C3380CC4-5D6E-409C-BE32-E72D297353CC}">
              <c16:uniqueId val="{00000003-C35A-446D-8455-4630F7D5AE19}"/>
            </c:ext>
          </c:extLst>
        </c:ser>
        <c:dLbls>
          <c:showLegendKey val="0"/>
          <c:showVal val="0"/>
          <c:showCatName val="0"/>
          <c:showSerName val="0"/>
          <c:showPercent val="0"/>
          <c:showBubbleSize val="0"/>
        </c:dLbls>
        <c:smooth val="0"/>
        <c:axId val="35576159"/>
        <c:axId val="35575743"/>
      </c:lineChart>
      <c:catAx>
        <c:axId val="35576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35575743"/>
        <c:crosses val="autoZero"/>
        <c:auto val="1"/>
        <c:lblAlgn val="ctr"/>
        <c:lblOffset val="100"/>
        <c:noMultiLvlLbl val="0"/>
      </c:catAx>
      <c:valAx>
        <c:axId val="35575743"/>
        <c:scaling>
          <c:orientation val="minMax"/>
          <c:max val="0.2"/>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355761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4">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sz="1200" b="0" i="0" u="none" strike="noStrike" baseline="0">
                <a:effectLst/>
              </a:rPr>
              <a:t>b. Mandate for 10% ethanol blend </a:t>
            </a:r>
            <a:endParaRPr lang="en-US" sz="1200"/>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'V shares_RFSreduced'!$K$3</c:f>
              <c:strCache>
                <c:ptCount val="1"/>
                <c:pt idx="0">
                  <c:v>Baseline Scenario</c:v>
                </c:pt>
              </c:strCache>
            </c:strRef>
          </c:tx>
          <c:spPr>
            <a:ln w="28575" cap="rnd">
              <a:solidFill>
                <a:schemeClr val="accent1"/>
              </a:solidFill>
              <a:round/>
            </a:ln>
            <a:effectLst/>
          </c:spPr>
          <c:marker>
            <c:symbol val="none"/>
          </c:marker>
          <c:cat>
            <c:numRef>
              <c:f>'V shares_RFSreduced'!$J$47:$J$55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shares_RFSreduced'!$D$10:$D$18</c:f>
              <c:numCache>
                <c:formatCode>0%</c:formatCode>
                <c:ptCount val="9"/>
                <c:pt idx="0">
                  <c:v>2.3273535568772701E-2</c:v>
                </c:pt>
                <c:pt idx="1">
                  <c:v>2.72039005378602E-2</c:v>
                </c:pt>
                <c:pt idx="2">
                  <c:v>2.9033124529264199E-2</c:v>
                </c:pt>
                <c:pt idx="3">
                  <c:v>3.39269519198886E-2</c:v>
                </c:pt>
                <c:pt idx="4">
                  <c:v>2.7465415515589699E-2</c:v>
                </c:pt>
                <c:pt idx="5">
                  <c:v>3.6751775553629101E-2</c:v>
                </c:pt>
                <c:pt idx="6">
                  <c:v>1.9579433950539599E-2</c:v>
                </c:pt>
                <c:pt idx="7">
                  <c:v>2.41957003135067E-2</c:v>
                </c:pt>
                <c:pt idx="8">
                  <c:v>2.41279247561581E-2</c:v>
                </c:pt>
              </c:numCache>
            </c:numRef>
          </c:val>
          <c:smooth val="0"/>
          <c:extLst>
            <c:ext xmlns:c16="http://schemas.microsoft.com/office/drawing/2014/chart" uri="{C3380CC4-5D6E-409C-BE32-E72D297353CC}">
              <c16:uniqueId val="{00000000-D0A4-4D13-900D-8477E2131F70}"/>
            </c:ext>
          </c:extLst>
        </c:ser>
        <c:ser>
          <c:idx val="1"/>
          <c:order val="1"/>
          <c:tx>
            <c:strRef>
              <c:f>'V shares_RFSreduced'!$L$3</c:f>
              <c:strCache>
                <c:ptCount val="1"/>
                <c:pt idx="0">
                  <c:v>Scenario 1: Increased Public Charging</c:v>
                </c:pt>
              </c:strCache>
            </c:strRef>
          </c:tx>
          <c:spPr>
            <a:ln w="28575" cap="rnd">
              <a:solidFill>
                <a:schemeClr val="accent2"/>
              </a:solidFill>
              <a:round/>
            </a:ln>
            <a:effectLst/>
          </c:spPr>
          <c:marker>
            <c:symbol val="none"/>
          </c:marker>
          <c:cat>
            <c:numRef>
              <c:f>'V shares_RFSreduced'!$J$47:$J$55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shares_RFSreduced'!$D$28:$D$36</c:f>
              <c:numCache>
                <c:formatCode>0%</c:formatCode>
                <c:ptCount val="9"/>
                <c:pt idx="0">
                  <c:v>2.3291463880839601E-2</c:v>
                </c:pt>
                <c:pt idx="1">
                  <c:v>2.5594688815654E-2</c:v>
                </c:pt>
                <c:pt idx="2">
                  <c:v>2.8278746974711399E-2</c:v>
                </c:pt>
                <c:pt idx="3">
                  <c:v>3.39877133858024E-2</c:v>
                </c:pt>
                <c:pt idx="4">
                  <c:v>2.7475655373210499E-2</c:v>
                </c:pt>
                <c:pt idx="5">
                  <c:v>3.6743653733854201E-2</c:v>
                </c:pt>
                <c:pt idx="6">
                  <c:v>1.9583636318360399E-2</c:v>
                </c:pt>
                <c:pt idx="7">
                  <c:v>2.2690527073825399E-2</c:v>
                </c:pt>
                <c:pt idx="8">
                  <c:v>2.27550673716196E-2</c:v>
                </c:pt>
              </c:numCache>
            </c:numRef>
          </c:val>
          <c:smooth val="0"/>
          <c:extLst>
            <c:ext xmlns:c16="http://schemas.microsoft.com/office/drawing/2014/chart" uri="{C3380CC4-5D6E-409C-BE32-E72D297353CC}">
              <c16:uniqueId val="{00000001-D0A4-4D13-900D-8477E2131F70}"/>
            </c:ext>
          </c:extLst>
        </c:ser>
        <c:ser>
          <c:idx val="2"/>
          <c:order val="2"/>
          <c:tx>
            <c:strRef>
              <c:f>'V shares_RFSreduced'!$M$3</c:f>
              <c:strCache>
                <c:ptCount val="1"/>
                <c:pt idx="0">
                  <c:v>Scenario 2: Clean Vehicle (EV)  Tax Credit</c:v>
                </c:pt>
              </c:strCache>
            </c:strRef>
          </c:tx>
          <c:spPr>
            <a:ln w="28575" cap="rnd">
              <a:solidFill>
                <a:schemeClr val="accent3"/>
              </a:solidFill>
              <a:round/>
            </a:ln>
            <a:effectLst/>
          </c:spPr>
          <c:marker>
            <c:symbol val="none"/>
          </c:marker>
          <c:cat>
            <c:numRef>
              <c:f>'V shares_RFSreduced'!$J$47:$J$55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shares_RFSreduced'!$D$47:$D$55</c:f>
              <c:numCache>
                <c:formatCode>0%</c:formatCode>
                <c:ptCount val="9"/>
                <c:pt idx="0">
                  <c:v>2.1872078392572901E-2</c:v>
                </c:pt>
                <c:pt idx="1">
                  <c:v>2.5202553775014101E-2</c:v>
                </c:pt>
                <c:pt idx="2">
                  <c:v>2.8323598296424699E-2</c:v>
                </c:pt>
                <c:pt idx="3">
                  <c:v>3.2100185403745103E-2</c:v>
                </c:pt>
                <c:pt idx="4">
                  <c:v>2.0043296614023001E-2</c:v>
                </c:pt>
                <c:pt idx="5">
                  <c:v>3.1435546477265999E-2</c:v>
                </c:pt>
                <c:pt idx="6">
                  <c:v>1.1804214028065901E-2</c:v>
                </c:pt>
                <c:pt idx="7">
                  <c:v>1.6823113744705E-2</c:v>
                </c:pt>
                <c:pt idx="8">
                  <c:v>1.90782593052473E-2</c:v>
                </c:pt>
              </c:numCache>
            </c:numRef>
          </c:val>
          <c:smooth val="0"/>
          <c:extLst>
            <c:ext xmlns:c16="http://schemas.microsoft.com/office/drawing/2014/chart" uri="{C3380CC4-5D6E-409C-BE32-E72D297353CC}">
              <c16:uniqueId val="{00000002-D0A4-4D13-900D-8477E2131F70}"/>
            </c:ext>
          </c:extLst>
        </c:ser>
        <c:ser>
          <c:idx val="3"/>
          <c:order val="3"/>
          <c:tx>
            <c:strRef>
              <c:f>'V shares_RFSreduced'!$N$3</c:f>
              <c:strCache>
                <c:ptCount val="1"/>
                <c:pt idx="0">
                  <c:v>Scenario 3: Clean Vehicle (EV) Tax Credit &amp; Increased Public Charging</c:v>
                </c:pt>
              </c:strCache>
            </c:strRef>
          </c:tx>
          <c:spPr>
            <a:ln w="28575" cap="rnd">
              <a:solidFill>
                <a:schemeClr val="accent4"/>
              </a:solidFill>
              <a:round/>
            </a:ln>
            <a:effectLst/>
          </c:spPr>
          <c:marker>
            <c:symbol val="none"/>
          </c:marker>
          <c:cat>
            <c:numRef>
              <c:f>'V shares_RFSreduced'!$J$47:$J$55</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shares_RFSreduced'!$D$66:$D$74</c:f>
              <c:numCache>
                <c:formatCode>0%</c:formatCode>
                <c:ptCount val="9"/>
                <c:pt idx="0">
                  <c:v>2.0974825495649298E-2</c:v>
                </c:pt>
                <c:pt idx="1">
                  <c:v>2.4530890944802399E-2</c:v>
                </c:pt>
                <c:pt idx="2">
                  <c:v>2.61583140499809E-2</c:v>
                </c:pt>
                <c:pt idx="3">
                  <c:v>3.1643207123587799E-2</c:v>
                </c:pt>
                <c:pt idx="4">
                  <c:v>1.88943547268925E-2</c:v>
                </c:pt>
                <c:pt idx="5">
                  <c:v>3.1293626292883597E-2</c:v>
                </c:pt>
                <c:pt idx="6">
                  <c:v>1.1684569523095399E-2</c:v>
                </c:pt>
                <c:pt idx="7">
                  <c:v>1.6827590013213E-2</c:v>
                </c:pt>
                <c:pt idx="8">
                  <c:v>1.85094292948168E-2</c:v>
                </c:pt>
              </c:numCache>
            </c:numRef>
          </c:val>
          <c:smooth val="0"/>
          <c:extLst>
            <c:ext xmlns:c16="http://schemas.microsoft.com/office/drawing/2014/chart" uri="{C3380CC4-5D6E-409C-BE32-E72D297353CC}">
              <c16:uniqueId val="{00000003-D0A4-4D13-900D-8477E2131F70}"/>
            </c:ext>
          </c:extLst>
        </c:ser>
        <c:dLbls>
          <c:showLegendKey val="0"/>
          <c:showVal val="0"/>
          <c:showCatName val="0"/>
          <c:showSerName val="0"/>
          <c:showPercent val="0"/>
          <c:showBubbleSize val="0"/>
        </c:dLbls>
        <c:smooth val="0"/>
        <c:axId val="35576159"/>
        <c:axId val="35575743"/>
      </c:lineChart>
      <c:catAx>
        <c:axId val="35576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35575743"/>
        <c:crosses val="autoZero"/>
        <c:auto val="1"/>
        <c:lblAlgn val="ctr"/>
        <c:lblOffset val="100"/>
        <c:noMultiLvlLbl val="0"/>
      </c:catAx>
      <c:valAx>
        <c:axId val="35575743"/>
        <c:scaling>
          <c:orientation val="minMax"/>
          <c:max val="0.2"/>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355761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4">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en-US"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0" i="0" baseline="0">
                <a:effectLst/>
              </a:rPr>
              <a:t>a. Benchmark </a:t>
            </a:r>
            <a:r>
              <a:rPr lang="en-US" sz="1200" b="0" i="0" u="none" strike="noStrike" baseline="0">
                <a:effectLst/>
              </a:rPr>
              <a:t>54 B liters of corn ethanol</a:t>
            </a:r>
            <a:endParaRPr lang="en-US" sz="1200"/>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en-US"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'V shares'!$K$3</c:f>
              <c:strCache>
                <c:ptCount val="1"/>
                <c:pt idx="0">
                  <c:v>Baseline Scenario</c:v>
                </c:pt>
              </c:strCache>
            </c:strRef>
          </c:tx>
          <c:spPr>
            <a:ln w="28575" cap="rnd">
              <a:solidFill>
                <a:schemeClr val="accent1"/>
              </a:solidFill>
              <a:round/>
            </a:ln>
            <a:effectLst/>
          </c:spPr>
          <c:marker>
            <c:symbol val="none"/>
          </c:marker>
          <c:cat>
            <c:numRef>
              <c:f>'V shares'!$J$10:$J$18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shares'!$K$10:$K$18</c:f>
              <c:numCache>
                <c:formatCode>0%</c:formatCode>
                <c:ptCount val="9"/>
                <c:pt idx="0">
                  <c:v>4.3689435823301703E-2</c:v>
                </c:pt>
                <c:pt idx="1">
                  <c:v>4.13405596934339E-2</c:v>
                </c:pt>
                <c:pt idx="2">
                  <c:v>5.3129974097358701E-2</c:v>
                </c:pt>
                <c:pt idx="3">
                  <c:v>5.54043123255301E-2</c:v>
                </c:pt>
                <c:pt idx="4">
                  <c:v>6.3609011983962405E-2</c:v>
                </c:pt>
                <c:pt idx="5">
                  <c:v>0.106307365599176</c:v>
                </c:pt>
                <c:pt idx="6">
                  <c:v>6.4388177901654006E-2</c:v>
                </c:pt>
                <c:pt idx="7">
                  <c:v>7.0196575314258602E-2</c:v>
                </c:pt>
                <c:pt idx="8">
                  <c:v>8.1785661092113507E-2</c:v>
                </c:pt>
              </c:numCache>
            </c:numRef>
          </c:val>
          <c:smooth val="0"/>
          <c:extLst>
            <c:ext xmlns:c16="http://schemas.microsoft.com/office/drawing/2014/chart" uri="{C3380CC4-5D6E-409C-BE32-E72D297353CC}">
              <c16:uniqueId val="{00000000-6E37-485C-B514-A304E7BF594B}"/>
            </c:ext>
          </c:extLst>
        </c:ser>
        <c:ser>
          <c:idx val="1"/>
          <c:order val="1"/>
          <c:tx>
            <c:strRef>
              <c:f>'V shares'!$L$3</c:f>
              <c:strCache>
                <c:ptCount val="1"/>
                <c:pt idx="0">
                  <c:v>Scenario 1: Increased Public Charging</c:v>
                </c:pt>
              </c:strCache>
            </c:strRef>
          </c:tx>
          <c:spPr>
            <a:ln w="28575" cap="rnd">
              <a:solidFill>
                <a:schemeClr val="accent2"/>
              </a:solidFill>
              <a:round/>
            </a:ln>
            <a:effectLst/>
          </c:spPr>
          <c:marker>
            <c:symbol val="none"/>
          </c:marker>
          <c:cat>
            <c:numRef>
              <c:f>'V shares'!$J$10:$J$18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shares'!$L$10:$L$18</c:f>
              <c:numCache>
                <c:formatCode>0%</c:formatCode>
                <c:ptCount val="9"/>
                <c:pt idx="0">
                  <c:v>6.3319096932188096E-2</c:v>
                </c:pt>
                <c:pt idx="1">
                  <c:v>6.4153134588770297E-2</c:v>
                </c:pt>
                <c:pt idx="2">
                  <c:v>7.7826500042674995E-2</c:v>
                </c:pt>
                <c:pt idx="3">
                  <c:v>7.5468879309983306E-2</c:v>
                </c:pt>
                <c:pt idx="4">
                  <c:v>8.7473467278299993E-2</c:v>
                </c:pt>
                <c:pt idx="5">
                  <c:v>0.142804377017752</c:v>
                </c:pt>
                <c:pt idx="6">
                  <c:v>9.4708100489598906E-2</c:v>
                </c:pt>
                <c:pt idx="7">
                  <c:v>9.7574280393085397E-2</c:v>
                </c:pt>
                <c:pt idx="8">
                  <c:v>0.114463924950662</c:v>
                </c:pt>
              </c:numCache>
            </c:numRef>
          </c:val>
          <c:smooth val="0"/>
          <c:extLst>
            <c:ext xmlns:c16="http://schemas.microsoft.com/office/drawing/2014/chart" uri="{C3380CC4-5D6E-409C-BE32-E72D297353CC}">
              <c16:uniqueId val="{00000001-6E37-485C-B514-A304E7BF594B}"/>
            </c:ext>
          </c:extLst>
        </c:ser>
        <c:ser>
          <c:idx val="2"/>
          <c:order val="2"/>
          <c:tx>
            <c:strRef>
              <c:f>'V shares'!$M$3</c:f>
              <c:strCache>
                <c:ptCount val="1"/>
                <c:pt idx="0">
                  <c:v>Scenario 2: Clean Vehicle (EV)  Tax Credit</c:v>
                </c:pt>
              </c:strCache>
            </c:strRef>
          </c:tx>
          <c:spPr>
            <a:ln w="28575" cap="rnd">
              <a:solidFill>
                <a:schemeClr val="accent3"/>
              </a:solidFill>
              <a:round/>
            </a:ln>
            <a:effectLst/>
          </c:spPr>
          <c:marker>
            <c:symbol val="none"/>
          </c:marker>
          <c:cat>
            <c:numRef>
              <c:f>'V shares'!$J$10:$J$18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shares'!$M$10:$M$18</c:f>
              <c:numCache>
                <c:formatCode>0%</c:formatCode>
                <c:ptCount val="9"/>
                <c:pt idx="0">
                  <c:v>0.16835012166044599</c:v>
                </c:pt>
                <c:pt idx="1">
                  <c:v>0.11708941790518899</c:v>
                </c:pt>
                <c:pt idx="2">
                  <c:v>0.154759617315056</c:v>
                </c:pt>
                <c:pt idx="3">
                  <c:v>0.21330370512152799</c:v>
                </c:pt>
                <c:pt idx="4">
                  <c:v>0.27317901576019998</c:v>
                </c:pt>
                <c:pt idx="5">
                  <c:v>0.31683763366652201</c:v>
                </c:pt>
                <c:pt idx="6">
                  <c:v>0.32100512204648401</c:v>
                </c:pt>
                <c:pt idx="7">
                  <c:v>0.37772581613095102</c:v>
                </c:pt>
                <c:pt idx="8">
                  <c:v>0.40836714493321502</c:v>
                </c:pt>
              </c:numCache>
            </c:numRef>
          </c:val>
          <c:smooth val="0"/>
          <c:extLst>
            <c:ext xmlns:c16="http://schemas.microsoft.com/office/drawing/2014/chart" uri="{C3380CC4-5D6E-409C-BE32-E72D297353CC}">
              <c16:uniqueId val="{00000002-6E37-485C-B514-A304E7BF594B}"/>
            </c:ext>
          </c:extLst>
        </c:ser>
        <c:ser>
          <c:idx val="3"/>
          <c:order val="3"/>
          <c:tx>
            <c:strRef>
              <c:f>'V shares'!$N$3</c:f>
              <c:strCache>
                <c:ptCount val="1"/>
                <c:pt idx="0">
                  <c:v>Scenario 3: Clean Vehicle (EV) Tax Credit &amp; Increased Public Charging</c:v>
                </c:pt>
              </c:strCache>
            </c:strRef>
          </c:tx>
          <c:spPr>
            <a:ln w="28575" cap="rnd">
              <a:solidFill>
                <a:schemeClr val="accent4"/>
              </a:solidFill>
              <a:round/>
            </a:ln>
            <a:effectLst/>
          </c:spPr>
          <c:marker>
            <c:symbol val="none"/>
          </c:marker>
          <c:cat>
            <c:numRef>
              <c:f>'V shares'!$J$10:$J$18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shares'!$O$10:$O$18</c:f>
              <c:numCache>
                <c:formatCode>0%</c:formatCode>
                <c:ptCount val="9"/>
                <c:pt idx="0">
                  <c:v>0.19417780676935389</c:v>
                </c:pt>
                <c:pt idx="1">
                  <c:v>0.14281300039518396</c:v>
                </c:pt>
                <c:pt idx="2">
                  <c:v>0.18706205721111374</c:v>
                </c:pt>
                <c:pt idx="3">
                  <c:v>0.23391972982999437</c:v>
                </c:pt>
                <c:pt idx="4">
                  <c:v>0.29747308669054828</c:v>
                </c:pt>
                <c:pt idx="5">
                  <c:v>0.33834116982618284</c:v>
                </c:pt>
                <c:pt idx="6">
                  <c:v>0.34167550785972989</c:v>
                </c:pt>
                <c:pt idx="7">
                  <c:v>0.3981700705865191</c:v>
                </c:pt>
                <c:pt idx="8">
                  <c:v>0.42150017210976964</c:v>
                </c:pt>
              </c:numCache>
            </c:numRef>
          </c:val>
          <c:smooth val="0"/>
          <c:extLst>
            <c:ext xmlns:c16="http://schemas.microsoft.com/office/drawing/2014/chart" uri="{C3380CC4-5D6E-409C-BE32-E72D297353CC}">
              <c16:uniqueId val="{00000003-6E37-485C-B514-A304E7BF594B}"/>
            </c:ext>
          </c:extLst>
        </c:ser>
        <c:dLbls>
          <c:showLegendKey val="0"/>
          <c:showVal val="0"/>
          <c:showCatName val="0"/>
          <c:showSerName val="0"/>
          <c:showPercent val="0"/>
          <c:showBubbleSize val="0"/>
        </c:dLbls>
        <c:smooth val="0"/>
        <c:axId val="35576159"/>
        <c:axId val="35575743"/>
      </c:lineChart>
      <c:catAx>
        <c:axId val="35576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575743"/>
        <c:crosses val="autoZero"/>
        <c:auto val="1"/>
        <c:lblAlgn val="ctr"/>
        <c:lblOffset val="100"/>
        <c:noMultiLvlLbl val="0"/>
      </c:catAx>
      <c:valAx>
        <c:axId val="35575743"/>
        <c:scaling>
          <c:orientation val="minMax"/>
          <c:max val="0.5"/>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576159"/>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externalData r:id="rId4">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en-US"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0" i="0" baseline="0">
                <a:effectLst/>
              </a:rPr>
              <a:t>b. Reduced mandated ethanol </a:t>
            </a:r>
            <a:r>
              <a:rPr lang="en-US" sz="1200"/>
              <a:t> </a:t>
            </a: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lang="en-US"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'V shares_RFSreduced'!$K$3</c:f>
              <c:strCache>
                <c:ptCount val="1"/>
                <c:pt idx="0">
                  <c:v>Baseline Scenario</c:v>
                </c:pt>
              </c:strCache>
            </c:strRef>
          </c:tx>
          <c:spPr>
            <a:ln w="28575" cap="rnd">
              <a:solidFill>
                <a:schemeClr val="accent1"/>
              </a:solidFill>
              <a:round/>
            </a:ln>
            <a:effectLst/>
          </c:spPr>
          <c:marker>
            <c:symbol val="none"/>
          </c:marker>
          <c:cat>
            <c:numRef>
              <c:f>'V shares_RFSreduced'!$J$10:$J$18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shares_RFSreduced'!$K$10:$K$18</c:f>
              <c:numCache>
                <c:formatCode>0%</c:formatCode>
                <c:ptCount val="9"/>
                <c:pt idx="0">
                  <c:v>4.2601999031110303E-2</c:v>
                </c:pt>
                <c:pt idx="1">
                  <c:v>4.1521210517408903E-2</c:v>
                </c:pt>
                <c:pt idx="2">
                  <c:v>5.2658461611220002E-2</c:v>
                </c:pt>
                <c:pt idx="3">
                  <c:v>5.5118166063311297E-2</c:v>
                </c:pt>
                <c:pt idx="4">
                  <c:v>6.2935805484454294E-2</c:v>
                </c:pt>
                <c:pt idx="5">
                  <c:v>0.10586401047892401</c:v>
                </c:pt>
                <c:pt idx="6">
                  <c:v>6.4301352682380103E-2</c:v>
                </c:pt>
                <c:pt idx="7">
                  <c:v>7.2981696996503503E-2</c:v>
                </c:pt>
                <c:pt idx="8">
                  <c:v>8.1861209040211602E-2</c:v>
                </c:pt>
              </c:numCache>
            </c:numRef>
          </c:val>
          <c:smooth val="0"/>
          <c:extLst>
            <c:ext xmlns:c16="http://schemas.microsoft.com/office/drawing/2014/chart" uri="{C3380CC4-5D6E-409C-BE32-E72D297353CC}">
              <c16:uniqueId val="{00000000-D55B-4166-A626-CCEFD9E58588}"/>
            </c:ext>
          </c:extLst>
        </c:ser>
        <c:ser>
          <c:idx val="1"/>
          <c:order val="1"/>
          <c:tx>
            <c:strRef>
              <c:f>'V shares_RFSreduced'!$L$3</c:f>
              <c:strCache>
                <c:ptCount val="1"/>
                <c:pt idx="0">
                  <c:v>Scenario 1: Increased Public Charging</c:v>
                </c:pt>
              </c:strCache>
            </c:strRef>
          </c:tx>
          <c:spPr>
            <a:ln w="28575" cap="rnd">
              <a:solidFill>
                <a:schemeClr val="accent2"/>
              </a:solidFill>
              <a:round/>
            </a:ln>
            <a:effectLst/>
          </c:spPr>
          <c:marker>
            <c:symbol val="none"/>
          </c:marker>
          <c:cat>
            <c:numRef>
              <c:f>'V shares_RFSreduced'!$J$10:$J$18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shares_RFSreduced'!$L$10:$L$18</c:f>
              <c:numCache>
                <c:formatCode>0%</c:formatCode>
                <c:ptCount val="9"/>
                <c:pt idx="0">
                  <c:v>6.1320248675104397E-2</c:v>
                </c:pt>
                <c:pt idx="1">
                  <c:v>6.4704800001938206E-2</c:v>
                </c:pt>
                <c:pt idx="2">
                  <c:v>7.6051040260978101E-2</c:v>
                </c:pt>
                <c:pt idx="3">
                  <c:v>7.3776204833664205E-2</c:v>
                </c:pt>
                <c:pt idx="4">
                  <c:v>8.7461060929498402E-2</c:v>
                </c:pt>
                <c:pt idx="5">
                  <c:v>0.134662591831467</c:v>
                </c:pt>
                <c:pt idx="6">
                  <c:v>9.0534945834812003E-2</c:v>
                </c:pt>
                <c:pt idx="7">
                  <c:v>9.9466817181785405E-2</c:v>
                </c:pt>
                <c:pt idx="8">
                  <c:v>0.109985745759932</c:v>
                </c:pt>
              </c:numCache>
            </c:numRef>
          </c:val>
          <c:smooth val="0"/>
          <c:extLst>
            <c:ext xmlns:c16="http://schemas.microsoft.com/office/drawing/2014/chart" uri="{C3380CC4-5D6E-409C-BE32-E72D297353CC}">
              <c16:uniqueId val="{00000001-D55B-4166-A626-CCEFD9E58588}"/>
            </c:ext>
          </c:extLst>
        </c:ser>
        <c:ser>
          <c:idx val="2"/>
          <c:order val="2"/>
          <c:tx>
            <c:strRef>
              <c:f>'V shares_RFSreduced'!$M$3</c:f>
              <c:strCache>
                <c:ptCount val="1"/>
                <c:pt idx="0">
                  <c:v>Scenario 2: Clean Vehicle (EV)  Tax Credit</c:v>
                </c:pt>
              </c:strCache>
            </c:strRef>
          </c:tx>
          <c:spPr>
            <a:ln w="28575" cap="rnd">
              <a:solidFill>
                <a:schemeClr val="accent3"/>
              </a:solidFill>
              <a:round/>
            </a:ln>
            <a:effectLst/>
          </c:spPr>
          <c:marker>
            <c:symbol val="none"/>
          </c:marker>
          <c:cat>
            <c:numRef>
              <c:f>'V shares_RFSreduced'!$J$10:$J$18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shares_RFSreduced'!$M$10:$M$18</c:f>
              <c:numCache>
                <c:formatCode>0%</c:formatCode>
                <c:ptCount val="9"/>
                <c:pt idx="0">
                  <c:v>0.165284478201736</c:v>
                </c:pt>
                <c:pt idx="1">
                  <c:v>0.113571924472436</c:v>
                </c:pt>
                <c:pt idx="2">
                  <c:v>0.15608485895753799</c:v>
                </c:pt>
                <c:pt idx="3">
                  <c:v>0.21147467669428899</c:v>
                </c:pt>
                <c:pt idx="4">
                  <c:v>0.27824128878153198</c:v>
                </c:pt>
                <c:pt idx="5">
                  <c:v>0.322497946796727</c:v>
                </c:pt>
                <c:pt idx="6">
                  <c:v>0.33198120998192898</c:v>
                </c:pt>
                <c:pt idx="7">
                  <c:v>0.37342215081756802</c:v>
                </c:pt>
                <c:pt idx="8">
                  <c:v>0.41557209711197102</c:v>
                </c:pt>
              </c:numCache>
            </c:numRef>
          </c:val>
          <c:smooth val="0"/>
          <c:extLst>
            <c:ext xmlns:c16="http://schemas.microsoft.com/office/drawing/2014/chart" uri="{C3380CC4-5D6E-409C-BE32-E72D297353CC}">
              <c16:uniqueId val="{00000002-D55B-4166-A626-CCEFD9E58588}"/>
            </c:ext>
          </c:extLst>
        </c:ser>
        <c:ser>
          <c:idx val="3"/>
          <c:order val="3"/>
          <c:tx>
            <c:strRef>
              <c:f>'V shares_RFSreduced'!$N$3</c:f>
              <c:strCache>
                <c:ptCount val="1"/>
                <c:pt idx="0">
                  <c:v>Scenario 3: Clean Vehicle (EV) Tax Credit &amp; Increased Public Charging</c:v>
                </c:pt>
              </c:strCache>
            </c:strRef>
          </c:tx>
          <c:spPr>
            <a:ln w="28575" cap="rnd">
              <a:solidFill>
                <a:schemeClr val="accent4"/>
              </a:solidFill>
              <a:round/>
            </a:ln>
            <a:effectLst/>
          </c:spPr>
          <c:marker>
            <c:symbol val="none"/>
          </c:marker>
          <c:cat>
            <c:numRef>
              <c:f>'V shares_RFSreduced'!$J$10:$J$18</c:f>
              <c:numCache>
                <c:formatCode>General</c:formatCode>
                <c:ptCount val="9"/>
                <c:pt idx="0">
                  <c:v>2022</c:v>
                </c:pt>
                <c:pt idx="1">
                  <c:v>2023</c:v>
                </c:pt>
                <c:pt idx="2">
                  <c:v>2024</c:v>
                </c:pt>
                <c:pt idx="3">
                  <c:v>2025</c:v>
                </c:pt>
                <c:pt idx="4">
                  <c:v>2026</c:v>
                </c:pt>
                <c:pt idx="5">
                  <c:v>2027</c:v>
                </c:pt>
                <c:pt idx="6">
                  <c:v>2028</c:v>
                </c:pt>
                <c:pt idx="7">
                  <c:v>2029</c:v>
                </c:pt>
                <c:pt idx="8">
                  <c:v>2030</c:v>
                </c:pt>
              </c:numCache>
            </c:numRef>
          </c:cat>
          <c:val>
            <c:numRef>
              <c:f>'V shares_RFSreduced'!$O$10:$O$18</c:f>
              <c:numCache>
                <c:formatCode>0%</c:formatCode>
                <c:ptCount val="9"/>
                <c:pt idx="0">
                  <c:v>0.19417780676935389</c:v>
                </c:pt>
                <c:pt idx="1">
                  <c:v>0.14281300039518396</c:v>
                </c:pt>
                <c:pt idx="2">
                  <c:v>0.18706205721111374</c:v>
                </c:pt>
                <c:pt idx="3">
                  <c:v>0.23391972982999437</c:v>
                </c:pt>
                <c:pt idx="4">
                  <c:v>0.29747308669054828</c:v>
                </c:pt>
                <c:pt idx="5">
                  <c:v>0.33834116982618284</c:v>
                </c:pt>
                <c:pt idx="6">
                  <c:v>0.34167550785972989</c:v>
                </c:pt>
                <c:pt idx="7">
                  <c:v>0.3981700705865191</c:v>
                </c:pt>
                <c:pt idx="8">
                  <c:v>0.42150017210976964</c:v>
                </c:pt>
              </c:numCache>
            </c:numRef>
          </c:val>
          <c:smooth val="0"/>
          <c:extLst>
            <c:ext xmlns:c16="http://schemas.microsoft.com/office/drawing/2014/chart" uri="{C3380CC4-5D6E-409C-BE32-E72D297353CC}">
              <c16:uniqueId val="{00000003-D55B-4166-A626-CCEFD9E58588}"/>
            </c:ext>
          </c:extLst>
        </c:ser>
        <c:dLbls>
          <c:showLegendKey val="0"/>
          <c:showVal val="0"/>
          <c:showCatName val="0"/>
          <c:showSerName val="0"/>
          <c:showPercent val="0"/>
          <c:showBubbleSize val="0"/>
        </c:dLbls>
        <c:smooth val="0"/>
        <c:axId val="35576159"/>
        <c:axId val="35575743"/>
      </c:lineChart>
      <c:catAx>
        <c:axId val="355761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575743"/>
        <c:crosses val="autoZero"/>
        <c:auto val="1"/>
        <c:lblAlgn val="ctr"/>
        <c:lblOffset val="100"/>
        <c:noMultiLvlLbl val="0"/>
      </c:catAx>
      <c:valAx>
        <c:axId val="35575743"/>
        <c:scaling>
          <c:orientation val="minMax"/>
          <c:max val="0.5"/>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576159"/>
        <c:crosses val="autoZero"/>
        <c:crossBetween val="between"/>
        <c:majorUnit val="0.1"/>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ysClr val="windowText" lastClr="000000"/>
      </a:solidFill>
      <a:round/>
    </a:ln>
    <a:effectLst/>
  </c:spPr>
  <c:txPr>
    <a:bodyPr/>
    <a:lstStyle/>
    <a:p>
      <a:pPr>
        <a:defRPr lang="en-US"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0.41753</cdr:x>
      <cdr:y>0.08989</cdr:y>
    </cdr:from>
    <cdr:to>
      <cdr:x>0.74338</cdr:x>
      <cdr:y>0.16441</cdr:y>
    </cdr:to>
    <cdr:sp macro="" textlink="">
      <cdr:nvSpPr>
        <cdr:cNvPr id="3" name="TextBox 1">
          <a:extLst xmlns:a="http://schemas.openxmlformats.org/drawingml/2006/main">
            <a:ext uri="{FF2B5EF4-FFF2-40B4-BE49-F238E27FC236}">
              <a16:creationId xmlns:a16="http://schemas.microsoft.com/office/drawing/2014/main" id="{5B0C04EF-B1FB-47C8-B97F-849D57B206C7}"/>
            </a:ext>
          </a:extLst>
        </cdr:cNvPr>
        <cdr:cNvSpPr txBox="1"/>
      </cdr:nvSpPr>
      <cdr:spPr>
        <a:xfrm xmlns:a="http://schemas.openxmlformats.org/drawingml/2006/main">
          <a:off x="2231103" y="314662"/>
          <a:ext cx="1741187" cy="260853"/>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0.41753</cdr:x>
      <cdr:y>0.08989</cdr:y>
    </cdr:from>
    <cdr:to>
      <cdr:x>0.74338</cdr:x>
      <cdr:y>0.16441</cdr:y>
    </cdr:to>
    <cdr:sp macro="" textlink="">
      <cdr:nvSpPr>
        <cdr:cNvPr id="3" name="TextBox 1">
          <a:extLst xmlns:a="http://schemas.openxmlformats.org/drawingml/2006/main">
            <a:ext uri="{FF2B5EF4-FFF2-40B4-BE49-F238E27FC236}">
              <a16:creationId xmlns:a16="http://schemas.microsoft.com/office/drawing/2014/main" id="{5B0C04EF-B1FB-47C8-B97F-849D57B206C7}"/>
            </a:ext>
          </a:extLst>
        </cdr:cNvPr>
        <cdr:cNvSpPr txBox="1"/>
      </cdr:nvSpPr>
      <cdr:spPr>
        <a:xfrm xmlns:a="http://schemas.openxmlformats.org/drawingml/2006/main">
          <a:off x="2231103" y="314662"/>
          <a:ext cx="1741187" cy="260853"/>
        </a:xfrm>
        <a:prstGeom xmlns:a="http://schemas.openxmlformats.org/drawingml/2006/main" prst="rect">
          <a:avLst/>
        </a:prstGeom>
      </cdr:spPr>
      <cdr:txBody>
        <a:bodyPr xmlns:a="http://schemas.openxmlformats.org/drawingml/2006/main" wrap="non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7525B-7CAB-48EC-B797-6E0E01BEA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23139</Words>
  <Characters>128196</Characters>
  <Application>Microsoft Office Word</Application>
  <DocSecurity>4</DocSecurity>
  <Lines>2513</Lines>
  <Paragraphs>957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 Zhong</dc:creator>
  <cp:keywords/>
  <dc:description/>
  <cp:lastModifiedBy>Madhu Khanna</cp:lastModifiedBy>
  <cp:revision>2</cp:revision>
  <dcterms:created xsi:type="dcterms:W3CDTF">2024-05-10T10:21:00Z</dcterms:created>
  <dcterms:modified xsi:type="dcterms:W3CDTF">2024-05-10T10:21:00Z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d460a02a-4f0a-320c-b2d8-9642613537df</vt:lpwstr>
  </property>
  <property fmtid="{D5CDD505-2E9C-101B-9397-08002B2CF9AE}" pid="4" name="Mendeley Citation Style_1">
    <vt:lpwstr>http://www.zotero.org/styles/american-journal-of-agricultural-economics</vt:lpwstr>
  </property>
  <property fmtid="{D5CDD505-2E9C-101B-9397-08002B2CF9AE}" pid="5" name="Mendeley Recent Style Id 0_1">
    <vt:lpwstr>http://www.zotero.org/styles/american-journal-of-agricultural-economics</vt:lpwstr>
  </property>
  <property fmtid="{D5CDD505-2E9C-101B-9397-08002B2CF9AE}" pid="6" name="Mendeley Recent Style Name 0_1">
    <vt:lpwstr>American Journal of Agricultural Economics</vt:lpwstr>
  </property>
  <property fmtid="{D5CDD505-2E9C-101B-9397-08002B2CF9AE}" pid="7" name="Mendeley Recent Style Id 1_1">
    <vt:lpwstr>http://www.zotero.org/styles/american-medical-association</vt:lpwstr>
  </property>
  <property fmtid="{D5CDD505-2E9C-101B-9397-08002B2CF9AE}" pid="8" name="Mendeley Recent Style Name 1_1">
    <vt:lpwstr>American Medical Association</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http://www.zotero.org/styles/apa</vt:lpwstr>
  </property>
  <property fmtid="{D5CDD505-2E9C-101B-9397-08002B2CF9AE}" pid="12" name="Mendeley Recent Style Name 3_1">
    <vt:lpwstr>American Psychological Association 6th edition</vt:lpwstr>
  </property>
  <property fmtid="{D5CDD505-2E9C-101B-9397-08002B2CF9AE}" pid="13" name="Mendeley Recent Style Id 4_1">
    <vt:lpwstr>http://www.zotero.org/styles/american-sociological-association</vt:lpwstr>
  </property>
  <property fmtid="{D5CDD505-2E9C-101B-9397-08002B2CF9AE}" pid="14" name="Mendeley Recent Style Name 4_1">
    <vt:lpwstr>American Sociological Association</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http://www.zotero.org/styles/journal-of-environmental-economics-and-management</vt:lpwstr>
  </property>
  <property fmtid="{D5CDD505-2E9C-101B-9397-08002B2CF9AE}" pid="18" name="Mendeley Recent Style Name 6_1">
    <vt:lpwstr>Journal of Environmental Economics and Management</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