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9"/>
          <w:rFonts w:hint="default" w:ascii="Times New Roman" w:hAnsi="Times New Roman" w:cs="Times New Roman"/>
          <w:b/>
          <w:bCs/>
          <w:sz w:val="20"/>
          <w:szCs w:val="20"/>
        </w:rPr>
      </w:pPr>
      <w:r>
        <w:rPr>
          <w:rStyle w:val="9"/>
          <w:rFonts w:hint="eastAsia" w:ascii="Times New Roman" w:hAnsi="Times New Roman" w:eastAsia="宋体" w:cs="Times New Roman"/>
          <w:b/>
          <w:bCs/>
          <w:sz w:val="20"/>
          <w:szCs w:val="20"/>
          <w:lang w:val="en-US" w:eastAsia="zh-CN"/>
        </w:rPr>
        <w:t>HMMR</w:t>
      </w:r>
      <w:r>
        <w:rPr>
          <w:rStyle w:val="9"/>
          <w:rFonts w:hint="default" w:ascii="Times New Roman" w:hAnsi="Times New Roman" w:cs="Times New Roman"/>
          <w:b/>
          <w:bCs/>
          <w:sz w:val="20"/>
          <w:szCs w:val="20"/>
        </w:rPr>
        <w:t xml:space="preserve"> is a prognostic-related biomarker </w:t>
      </w:r>
      <w:r>
        <w:rPr>
          <w:rStyle w:val="9"/>
          <w:rFonts w:hint="eastAsia" w:ascii="Times New Roman" w:hAnsi="Times New Roman" w:eastAsia="宋体" w:cs="Times New Roman"/>
          <w:b/>
          <w:bCs/>
          <w:sz w:val="20"/>
          <w:szCs w:val="20"/>
          <w:lang w:val="en-US" w:eastAsia="zh-CN"/>
        </w:rPr>
        <w:t>of p</w:t>
      </w:r>
      <w:r>
        <w:rPr>
          <w:rStyle w:val="9"/>
          <w:rFonts w:hint="default" w:ascii="Times New Roman" w:hAnsi="Times New Roman" w:eastAsia="宋体" w:cs="Times New Roman"/>
          <w:b/>
          <w:bCs/>
          <w:sz w:val="20"/>
          <w:szCs w:val="20"/>
          <w:lang w:val="en-US" w:eastAsia="zh-CN"/>
        </w:rPr>
        <w:t>ancreatic ductal adenocarcinoma</w:t>
      </w:r>
      <w:r>
        <w:rPr>
          <w:rStyle w:val="9"/>
          <w:rFonts w:hint="eastAsia" w:ascii="Times New Roman" w:hAnsi="Times New Roman" w:eastAsia="宋体" w:cs="Times New Roman"/>
          <w:b/>
          <w:bCs/>
          <w:sz w:val="20"/>
          <w:szCs w:val="20"/>
          <w:lang w:val="en-US" w:eastAsia="zh-CN"/>
        </w:rPr>
        <w:t xml:space="preserve"> and promotes the development of</w:t>
      </w:r>
      <w:r>
        <w:rPr>
          <w:rStyle w:val="9"/>
          <w:rFonts w:hint="eastAsia" w:ascii="Times New Roman" w:hAnsi="Times New Roman" w:cs="Times New Roman"/>
          <w:b/>
          <w:bCs/>
          <w:sz w:val="20"/>
          <w:szCs w:val="20"/>
          <w:lang w:val="en-US" w:eastAsia="zh-CN"/>
        </w:rPr>
        <w:t xml:space="preserve"> p</w:t>
      </w:r>
      <w:r>
        <w:rPr>
          <w:rStyle w:val="9"/>
          <w:rFonts w:hint="default" w:ascii="Times New Roman" w:hAnsi="Times New Roman" w:cs="Times New Roman"/>
          <w:b/>
          <w:bCs/>
          <w:sz w:val="20"/>
          <w:szCs w:val="20"/>
        </w:rPr>
        <w:t>ancreatic ductal adenocarcinoma</w:t>
      </w:r>
    </w:p>
    <w:p>
      <w:pPr>
        <w:jc w:val="center"/>
        <w:rPr>
          <w:rStyle w:val="9"/>
          <w:rFonts w:hint="default" w:ascii="Times New Roman" w:hAnsi="Times New Roman" w:eastAsia="宋体" w:cs="Times New Roman"/>
          <w:b/>
          <w:bCs/>
          <w:sz w:val="24"/>
          <w:szCs w:val="24"/>
        </w:rPr>
      </w:pPr>
    </w:p>
    <w:p>
      <w:pPr>
        <w:pStyle w:val="10"/>
        <w:keepNext/>
        <w:keepLines/>
        <w:numPr>
          <w:ilvl w:val="0"/>
          <w:numId w:val="1"/>
        </w:numPr>
        <w:spacing w:before="260" w:after="260" w:line="360" w:lineRule="auto"/>
        <w:ind w:firstLineChars="0"/>
        <w:outlineLvl w:val="1"/>
        <w:rPr>
          <w:rFonts w:hint="default" w:ascii="Times New Roman" w:hAnsi="Times New Roman" w:eastAsia="宋体" w:cs="Times New Roman"/>
          <w:sz w:val="20"/>
          <w:szCs w:val="20"/>
        </w:rPr>
      </w:pPr>
      <w:r>
        <w:rPr>
          <w:rFonts w:hint="default" w:ascii="Times New Roman" w:hAnsi="Times New Roman" w:cs="Times New Roman" w:eastAsiaTheme="majorEastAsia"/>
          <w:b/>
          <w:bCs/>
          <w:sz w:val="20"/>
          <w:szCs w:val="20"/>
        </w:rPr>
        <w:t>Supplementary materials and methods</w:t>
      </w:r>
    </w:p>
    <w:p>
      <w:pPr>
        <w:pStyle w:val="10"/>
        <w:keepNext/>
        <w:keepLines/>
        <w:numPr>
          <w:ilvl w:val="1"/>
          <w:numId w:val="2"/>
        </w:numPr>
        <w:spacing w:before="260" w:after="260" w:line="360" w:lineRule="auto"/>
        <w:ind w:firstLineChars="0"/>
        <w:outlineLvl w:val="2"/>
        <w:rPr>
          <w:rFonts w:hint="default" w:ascii="Times New Roman" w:hAnsi="Times New Roman" w:eastAsia="宋体" w:cs="Times New Roman"/>
          <w:b/>
          <w:bCs/>
          <w:i/>
          <w:sz w:val="20"/>
          <w:szCs w:val="20"/>
        </w:rPr>
      </w:pPr>
      <w:r>
        <w:rPr>
          <w:rFonts w:hint="default" w:ascii="Times New Roman" w:hAnsi="Times New Roman" w:eastAsia="宋体" w:cs="Times New Roman"/>
          <w:b/>
          <w:bCs/>
          <w:i/>
          <w:sz w:val="20"/>
          <w:szCs w:val="20"/>
        </w:rPr>
        <w:t xml:space="preserve"> Survival prognosis analysis of Kaplan-Meier plotter</w:t>
      </w:r>
    </w:p>
    <w:p>
      <w:pPr>
        <w:spacing w:line="360" w:lineRule="auto"/>
        <w:ind w:firstLine="400" w:firstLineChars="200"/>
        <w:rPr>
          <w:rFonts w:ascii="Arial" w:hAnsi="Arial" w:cs="Arial"/>
          <w:sz w:val="20"/>
          <w:szCs w:val="20"/>
        </w:rPr>
      </w:pPr>
      <w:r>
        <w:rPr>
          <w:rFonts w:hint="default" w:ascii="Times New Roman" w:hAnsi="Times New Roman" w:eastAsia="宋体" w:cs="Times New Roman"/>
          <w:sz w:val="20"/>
          <w:szCs w:val="20"/>
        </w:rPr>
        <w:t>We used the interactive operation interface of the Kaplan-Meier plotter (</w:t>
      </w:r>
      <w:bookmarkStart w:id="0" w:name="OLE_LINK1"/>
      <w:r>
        <w:rPr>
          <w:rFonts w:hint="default" w:ascii="Times New Roman" w:hAnsi="Times New Roman" w:eastAsia="宋体" w:cs="Times New Roman"/>
          <w:sz w:val="20"/>
          <w:szCs w:val="20"/>
        </w:rPr>
        <w:fldChar w:fldCharType="begin"/>
      </w:r>
      <w:r>
        <w:rPr>
          <w:rFonts w:hint="default" w:ascii="Times New Roman" w:hAnsi="Times New Roman" w:eastAsia="宋体" w:cs="Times New Roman"/>
          <w:sz w:val="20"/>
          <w:szCs w:val="20"/>
        </w:rPr>
        <w:instrText xml:space="preserve"> HYPERLINK "http://kmplot.com/analysis/" </w:instrText>
      </w:r>
      <w:r>
        <w:rPr>
          <w:rFonts w:hint="default" w:ascii="Times New Roman" w:hAnsi="Times New Roman" w:eastAsia="宋体" w:cs="Times New Roman"/>
          <w:sz w:val="20"/>
          <w:szCs w:val="20"/>
        </w:rPr>
        <w:fldChar w:fldCharType="separate"/>
      </w:r>
      <w:r>
        <w:rPr>
          <w:rFonts w:hint="default" w:ascii="Times New Roman" w:hAnsi="Times New Roman" w:eastAsia="宋体" w:cs="Times New Roman"/>
          <w:sz w:val="20"/>
          <w:szCs w:val="20"/>
        </w:rPr>
        <w:t>http://kmplot.com/analysis/</w:t>
      </w:r>
      <w:r>
        <w:rPr>
          <w:rFonts w:hint="default" w:ascii="Times New Roman" w:hAnsi="Times New Roman" w:eastAsia="宋体" w:cs="Times New Roman"/>
          <w:sz w:val="20"/>
          <w:szCs w:val="20"/>
        </w:rPr>
        <w:fldChar w:fldCharType="end"/>
      </w:r>
      <w:bookmarkEnd w:id="0"/>
      <w:r>
        <w:rPr>
          <w:rFonts w:hint="default" w:ascii="Times New Roman" w:hAnsi="Times New Roman" w:eastAsia="宋体" w:cs="Times New Roman"/>
          <w:sz w:val="20"/>
          <w:szCs w:val="20"/>
        </w:rPr>
        <w:t>) to pool the different GEO datasets for a series of analyses of OS, DMFS (distant metastasis-free survival), RFS (relapse-free survival), PPS (post-progression survival), FP (first progression), DSS (disease-specific survival), and PFS (progress-free survival). The cases of lung, ovarian, lung, gastric, and liver cancers were split into two groups by setting “autoselect best cutoff”. The hazard ratio (HR), 95% confidence intervals and log-rank P-value were computed, and the Kaplan-Meier survival plots were generated.</w:t>
      </w:r>
      <w:r>
        <w:rPr>
          <w:rFonts w:ascii="Arial" w:hAnsi="Arial" w:cs="Arial"/>
          <w:sz w:val="20"/>
          <w:szCs w:val="20"/>
        </w:rPr>
        <w:t xml:space="preserve"> </w:t>
      </w:r>
    </w:p>
    <w:p>
      <w:pPr>
        <w:pStyle w:val="10"/>
        <w:keepNext/>
        <w:keepLines/>
        <w:numPr>
          <w:ilvl w:val="1"/>
          <w:numId w:val="2"/>
        </w:numPr>
        <w:spacing w:before="260" w:after="260" w:line="360" w:lineRule="auto"/>
        <w:ind w:firstLineChars="0"/>
        <w:outlineLvl w:val="2"/>
        <w:rPr>
          <w:rFonts w:hint="default" w:ascii="Times New Roman" w:hAnsi="Times New Roman" w:eastAsia="宋体" w:cs="Times New Roman"/>
          <w:b/>
          <w:bCs/>
          <w:i/>
          <w:sz w:val="20"/>
          <w:szCs w:val="20"/>
        </w:rPr>
      </w:pPr>
      <w:r>
        <w:rPr>
          <w:rFonts w:hint="default" w:ascii="Times New Roman" w:hAnsi="Times New Roman" w:eastAsia="宋体" w:cs="Times New Roman"/>
          <w:b/>
          <w:bCs/>
          <w:i/>
          <w:sz w:val="20"/>
          <w:szCs w:val="20"/>
        </w:rPr>
        <w:t xml:space="preserve"> Correlation of </w:t>
      </w:r>
      <w:r>
        <w:rPr>
          <w:rFonts w:hint="eastAsia" w:ascii="Times New Roman" w:hAnsi="Times New Roman" w:eastAsia="宋体" w:cs="Times New Roman"/>
          <w:b/>
          <w:bCs/>
          <w:i/>
          <w:sz w:val="20"/>
          <w:szCs w:val="20"/>
          <w:lang w:val="en-US" w:eastAsia="zh-CN"/>
        </w:rPr>
        <w:t>HMMR</w:t>
      </w:r>
      <w:r>
        <w:rPr>
          <w:rFonts w:hint="default" w:ascii="Times New Roman" w:hAnsi="Times New Roman" w:eastAsia="宋体" w:cs="Times New Roman"/>
          <w:b/>
          <w:bCs/>
          <w:i/>
          <w:sz w:val="20"/>
          <w:szCs w:val="20"/>
        </w:rPr>
        <w:t xml:space="preserve"> and TMB/MSI</w:t>
      </w:r>
    </w:p>
    <w:p>
      <w:pPr>
        <w:spacing w:line="360" w:lineRule="auto"/>
        <w:ind w:firstLine="400" w:firstLineChars="200"/>
        <w:rPr>
          <w:rFonts w:hint="default" w:ascii="Times New Roman" w:hAnsi="Times New Roman" w:eastAsia="宋体" w:cs="Times New Roman"/>
          <w:sz w:val="20"/>
          <w:szCs w:val="20"/>
        </w:rPr>
      </w:pPr>
      <w:r>
        <w:rPr>
          <w:rFonts w:hint="default" w:ascii="Times New Roman" w:hAnsi="Times New Roman" w:eastAsia="宋体" w:cs="Times New Roman"/>
          <w:sz w:val="20"/>
          <w:szCs w:val="20"/>
        </w:rPr>
        <w:t xml:space="preserve">We logged into the web of “http://sangerbox.com/Tool” </w:t>
      </w:r>
      <w:r>
        <w:rPr>
          <w:rFonts w:hint="default" w:ascii="Times New Roman" w:hAnsi="Times New Roman" w:eastAsia="宋体" w:cs="Times New Roman"/>
          <w:sz w:val="20"/>
          <w:szCs w:val="20"/>
        </w:rPr>
        <w:fldChar w:fldCharType="begin"/>
      </w:r>
      <w:r>
        <w:rPr>
          <w:rFonts w:hint="eastAsia" w:ascii="Times New Roman" w:hAnsi="Times New Roman" w:eastAsia="宋体" w:cs="Times New Roman"/>
          <w:sz w:val="20"/>
          <w:szCs w:val="20"/>
          <w:lang w:eastAsia="zh-CN"/>
        </w:rPr>
        <w:instrText xml:space="preserve"> ADDIN NE.Ref.{E4C2966C-863B-405A-A915-BC3CA6A03D35}</w:instrText>
      </w:r>
      <w:r>
        <w:rPr>
          <w:rFonts w:hint="default" w:ascii="Times New Roman" w:hAnsi="Times New Roman" w:eastAsia="宋体" w:cs="Times New Roman"/>
          <w:sz w:val="20"/>
          <w:szCs w:val="20"/>
        </w:rPr>
        <w:fldChar w:fldCharType="separate"/>
      </w:r>
      <w:r>
        <w:rPr>
          <w:rFonts w:hint="default" w:ascii="Times New Roman" w:hAnsi="Times New Roman" w:eastAsia="Times New Roman"/>
          <w:color w:val="080000"/>
          <w:sz w:val="20"/>
        </w:rPr>
        <w:t>[1]</w:t>
      </w:r>
      <w:r>
        <w:rPr>
          <w:rFonts w:hint="default" w:ascii="Times New Roman" w:hAnsi="Times New Roman" w:eastAsia="宋体" w:cs="Times New Roman"/>
          <w:sz w:val="20"/>
          <w:szCs w:val="20"/>
        </w:rPr>
        <w:fldChar w:fldCharType="end"/>
      </w:r>
      <w:r>
        <w:rPr>
          <w:rFonts w:hint="default" w:ascii="Times New Roman" w:hAnsi="Times New Roman" w:eastAsia="宋体" w:cs="Times New Roman"/>
          <w:sz w:val="20"/>
          <w:szCs w:val="20"/>
        </w:rPr>
        <w:t xml:space="preserve"> with the query “</w:t>
      </w:r>
      <w:r>
        <w:rPr>
          <w:rFonts w:hint="eastAsia" w:ascii="Times New Roman" w:hAnsi="Times New Roman" w:eastAsia="宋体" w:cs="Times New Roman"/>
          <w:sz w:val="20"/>
          <w:szCs w:val="20"/>
          <w:lang w:val="en-US" w:eastAsia="zh-CN"/>
        </w:rPr>
        <w:t>HMMR</w:t>
      </w:r>
      <w:r>
        <w:rPr>
          <w:rFonts w:hint="default" w:ascii="Times New Roman" w:hAnsi="Times New Roman" w:eastAsia="宋体" w:cs="Times New Roman"/>
          <w:sz w:val="20"/>
          <w:szCs w:val="20"/>
        </w:rPr>
        <w:t>” to</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 xml:space="preserve">investigate the potential correlation between </w:t>
      </w:r>
      <w:r>
        <w:rPr>
          <w:rFonts w:hint="eastAsia" w:ascii="Times New Roman" w:hAnsi="Times New Roman" w:eastAsia="宋体" w:cs="Times New Roman"/>
          <w:i/>
          <w:iCs/>
          <w:sz w:val="20"/>
          <w:szCs w:val="20"/>
          <w:lang w:val="en-US" w:eastAsia="zh-CN"/>
        </w:rPr>
        <w:t>HMMR</w:t>
      </w:r>
      <w:r>
        <w:rPr>
          <w:rFonts w:hint="default" w:ascii="Times New Roman" w:hAnsi="Times New Roman" w:eastAsia="宋体" w:cs="Times New Roman"/>
          <w:sz w:val="20"/>
          <w:szCs w:val="20"/>
        </w:rPr>
        <w:t xml:space="preserve"> expression and TMB </w:t>
      </w:r>
      <w:bookmarkStart w:id="1" w:name="_Hlk42185393"/>
      <w:r>
        <w:rPr>
          <w:rFonts w:hint="default" w:ascii="Times New Roman" w:hAnsi="Times New Roman" w:eastAsia="宋体" w:cs="Times New Roman"/>
          <w:sz w:val="20"/>
          <w:szCs w:val="20"/>
        </w:rPr>
        <w:t>(tumor mutational burden) or MSI (microsatellite instability)</w:t>
      </w:r>
      <w:bookmarkEnd w:id="1"/>
      <w:r>
        <w:rPr>
          <w:rFonts w:hint="default" w:ascii="Times New Roman" w:hAnsi="Times New Roman" w:eastAsia="宋体" w:cs="Times New Roman"/>
          <w:sz w:val="20"/>
          <w:szCs w:val="20"/>
        </w:rPr>
        <w:t xml:space="preserve"> in different tumors of TCGA. Spearman’s rank correlation test was performed, and the P-value and partial correlation (cor) value were obtained. </w:t>
      </w:r>
      <w:r>
        <w:rPr>
          <w:rFonts w:hint="eastAsia" w:ascii="Times New Roman" w:hAnsi="Times New Roman" w:eastAsia="宋体" w:cs="Times New Roman"/>
          <w:sz w:val="20"/>
          <w:szCs w:val="20"/>
          <w:lang w:val="en-US" w:eastAsia="zh-CN"/>
        </w:rPr>
        <w:t xml:space="preserve">We also obtained the correlation between </w:t>
      </w:r>
      <w:r>
        <w:rPr>
          <w:rFonts w:hint="eastAsia" w:ascii="Times New Roman" w:hAnsi="Times New Roman" w:eastAsia="宋体" w:cs="Times New Roman"/>
          <w:i/>
          <w:iCs/>
          <w:sz w:val="20"/>
          <w:szCs w:val="20"/>
          <w:lang w:val="en-US" w:eastAsia="zh-CN"/>
        </w:rPr>
        <w:t>HMMR</w:t>
      </w:r>
      <w:r>
        <w:rPr>
          <w:rFonts w:hint="eastAsia" w:ascii="Times New Roman" w:hAnsi="Times New Roman" w:eastAsia="宋体" w:cs="Times New Roman"/>
          <w:sz w:val="20"/>
          <w:szCs w:val="20"/>
          <w:lang w:val="en-US" w:eastAsia="zh-CN"/>
        </w:rPr>
        <w:t xml:space="preserve"> expression and the OS for different tumors of TCGA</w:t>
      </w:r>
      <w:r>
        <w:rPr>
          <w:rFonts w:hint="default" w:ascii="Times New Roman" w:hAnsi="Times New Roman" w:eastAsia="宋体" w:cs="Times New Roman"/>
          <w:sz w:val="20"/>
          <w:szCs w:val="20"/>
        </w:rPr>
        <w:t>.</w:t>
      </w:r>
    </w:p>
    <w:p>
      <w:pPr>
        <w:pStyle w:val="10"/>
        <w:keepNext/>
        <w:keepLines/>
        <w:numPr>
          <w:ilvl w:val="1"/>
          <w:numId w:val="2"/>
        </w:numPr>
        <w:spacing w:before="260" w:after="260" w:line="360" w:lineRule="auto"/>
        <w:ind w:firstLineChars="0"/>
        <w:outlineLvl w:val="2"/>
        <w:rPr>
          <w:rFonts w:hint="default" w:ascii="Times New Roman" w:hAnsi="Times New Roman" w:eastAsia="宋体" w:cs="Times New Roman"/>
          <w:b/>
          <w:bCs/>
          <w:i/>
          <w:sz w:val="20"/>
          <w:szCs w:val="20"/>
          <w:lang w:val="en-US" w:eastAsia="zh-CN"/>
        </w:rPr>
      </w:pPr>
      <w:r>
        <w:rPr>
          <w:rFonts w:hint="default" w:ascii="Times New Roman" w:hAnsi="Times New Roman" w:eastAsia="宋体" w:cs="Times New Roman"/>
          <w:b/>
          <w:bCs/>
          <w:i/>
          <w:sz w:val="20"/>
          <w:szCs w:val="20"/>
        </w:rPr>
        <w:t xml:space="preserve"> </w:t>
      </w:r>
      <w:r>
        <w:rPr>
          <w:rFonts w:hint="default" w:ascii="Times New Roman" w:hAnsi="Times New Roman" w:eastAsia="宋体" w:cs="Times New Roman"/>
          <w:b/>
          <w:bCs/>
          <w:i/>
          <w:sz w:val="20"/>
          <w:szCs w:val="20"/>
          <w:lang w:val="en-US" w:eastAsia="zh-CN"/>
        </w:rPr>
        <w:t xml:space="preserve">Function of </w:t>
      </w:r>
      <w:r>
        <w:rPr>
          <w:rFonts w:hint="eastAsia" w:ascii="Times New Roman" w:hAnsi="Times New Roman" w:eastAsia="宋体" w:cs="Times New Roman"/>
          <w:b/>
          <w:bCs/>
          <w:i/>
          <w:sz w:val="20"/>
          <w:szCs w:val="20"/>
          <w:lang w:val="en-US" w:eastAsia="zh-CN"/>
        </w:rPr>
        <w:t>HMMR</w:t>
      </w:r>
      <w:r>
        <w:rPr>
          <w:rFonts w:hint="default" w:ascii="Times New Roman" w:hAnsi="Times New Roman" w:eastAsia="宋体" w:cs="Times New Roman"/>
          <w:b/>
          <w:bCs/>
          <w:i/>
          <w:sz w:val="20"/>
          <w:szCs w:val="20"/>
          <w:lang w:val="en-US" w:eastAsia="zh-CN"/>
        </w:rPr>
        <w:t xml:space="preserve"> in </w:t>
      </w:r>
      <w:r>
        <w:rPr>
          <w:rFonts w:hint="eastAsia" w:ascii="Times New Roman" w:hAnsi="Times New Roman" w:eastAsia="宋体" w:cs="Times New Roman"/>
          <w:b/>
          <w:bCs/>
          <w:i/>
          <w:sz w:val="20"/>
          <w:szCs w:val="20"/>
          <w:lang w:val="en-US" w:eastAsia="zh-CN"/>
        </w:rPr>
        <w:t>pancreatic</w:t>
      </w:r>
      <w:r>
        <w:rPr>
          <w:rFonts w:hint="default" w:ascii="Times New Roman" w:hAnsi="Times New Roman" w:eastAsia="宋体" w:cs="Times New Roman"/>
          <w:b/>
          <w:bCs/>
          <w:i/>
          <w:sz w:val="20"/>
          <w:szCs w:val="20"/>
          <w:lang w:val="en-US" w:eastAsia="zh-CN"/>
        </w:rPr>
        <w:t xml:space="preserve"> </w:t>
      </w:r>
      <w:r>
        <w:rPr>
          <w:rFonts w:hint="eastAsia" w:ascii="Times New Roman" w:hAnsi="Times New Roman" w:eastAsia="宋体" w:cs="Times New Roman"/>
          <w:b/>
          <w:bCs/>
          <w:i/>
          <w:sz w:val="20"/>
          <w:szCs w:val="20"/>
          <w:lang w:val="en-US" w:eastAsia="zh-CN"/>
        </w:rPr>
        <w:t>ductal adenocarinoma</w:t>
      </w:r>
      <w:r>
        <w:rPr>
          <w:rFonts w:hint="default" w:ascii="Times New Roman" w:hAnsi="Times New Roman" w:eastAsia="宋体" w:cs="Times New Roman"/>
          <w:b/>
          <w:bCs/>
          <w:i/>
          <w:sz w:val="20"/>
          <w:szCs w:val="20"/>
          <w:lang w:val="en-US" w:eastAsia="zh-CN"/>
        </w:rPr>
        <w:t xml:space="preserve"> cell lines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Style w:val="11"/>
          <w:rFonts w:hint="eastAsia" w:ascii="Times New Roman" w:hAnsi="Times New Roman" w:eastAsia="宋体" w:cs="Times New Roman"/>
          <w:b w:val="0"/>
          <w:i w:val="0"/>
          <w:color w:val="000000"/>
          <w:sz w:val="20"/>
          <w:szCs w:val="20"/>
          <w:lang w:val="en-US" w:eastAsia="zh-CN"/>
        </w:rPr>
      </w:pPr>
      <w:r>
        <w:rPr>
          <w:rStyle w:val="11"/>
          <w:rFonts w:hint="eastAsia" w:ascii="Times New Roman" w:hAnsi="Times New Roman" w:eastAsia="宋体" w:cs="Times New Roman"/>
          <w:b w:val="0"/>
          <w:i w:val="0"/>
          <w:color w:val="000000"/>
          <w:sz w:val="20"/>
          <w:szCs w:val="20"/>
          <w:lang w:val="en-US" w:eastAsia="zh-CN"/>
        </w:rPr>
        <w:t xml:space="preserve">Total RNA was extracted from cells with TRIzol reagent (Invitrogen,Carlsbad, CA). Reverse transcription were performed using an Advantage RT-for-PCR Kit (Takara, Dalian, China). qRT-PCR analysis was done using SYBR®Green Real time PCR Master Mix assay kit (Takara) in a 7300 Real-Time PCR system (Applied Biosystems Inc, Foster City, CA). </w:t>
      </w:r>
      <w:r>
        <w:rPr>
          <w:rStyle w:val="11"/>
          <w:rFonts w:hint="default" w:ascii="Times New Roman" w:hAnsi="Times New Roman" w:eastAsia="宋体" w:cs="Times New Roman"/>
          <w:b w:val="0"/>
          <w:i w:val="0"/>
          <w:color w:val="000000"/>
          <w:sz w:val="20"/>
          <w:szCs w:val="20"/>
          <w:lang w:val="en-US" w:eastAsia="zh-CN"/>
        </w:rPr>
        <w:t xml:space="preserve">The primer sequences for </w:t>
      </w:r>
      <w:r>
        <w:rPr>
          <w:rStyle w:val="11"/>
          <w:rFonts w:hint="eastAsia" w:ascii="Times New Roman" w:hAnsi="Times New Roman" w:eastAsia="宋体" w:cs="Times New Roman"/>
          <w:b w:val="0"/>
          <w:i w:val="0"/>
          <w:color w:val="000000"/>
          <w:sz w:val="20"/>
          <w:szCs w:val="20"/>
          <w:lang w:val="en-US" w:eastAsia="zh-CN"/>
        </w:rPr>
        <w:t>HMMR</w:t>
      </w:r>
      <w:r>
        <w:rPr>
          <w:rStyle w:val="11"/>
          <w:rFonts w:hint="default" w:ascii="Times New Roman" w:hAnsi="Times New Roman" w:eastAsia="宋体" w:cs="Times New Roman"/>
          <w:b w:val="0"/>
          <w:i w:val="0"/>
          <w:color w:val="000000"/>
          <w:sz w:val="20"/>
          <w:szCs w:val="20"/>
          <w:lang w:val="en-US" w:eastAsia="zh-CN"/>
        </w:rPr>
        <w:t xml:space="preserve"> were forward (5′-AAC</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AGC</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TGG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AAG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ATG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AAG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AA-3′ ) and reverse ( 5′-ATT</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TAG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CTG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TTC</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CTG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AG</w:t>
      </w:r>
      <w:r>
        <w:rPr>
          <w:rStyle w:val="11"/>
          <w:rFonts w:hint="eastAsia" w:ascii="Times New Roman" w:hAnsi="Times New Roman" w:eastAsia="宋体" w:cs="Times New Roman"/>
          <w:b w:val="0"/>
          <w:i w:val="0"/>
          <w:color w:val="000000"/>
          <w:sz w:val="20"/>
          <w:szCs w:val="20"/>
          <w:lang w:val="en-US" w:eastAsia="zh-CN"/>
        </w:rPr>
        <w:t xml:space="preserve"> </w:t>
      </w:r>
      <w:r>
        <w:rPr>
          <w:rStyle w:val="11"/>
          <w:rFonts w:hint="default" w:ascii="Times New Roman" w:hAnsi="Times New Roman" w:eastAsia="宋体" w:cs="Times New Roman"/>
          <w:b w:val="0"/>
          <w:i w:val="0"/>
          <w:color w:val="000000"/>
          <w:sz w:val="20"/>
          <w:szCs w:val="20"/>
          <w:lang w:val="en-US" w:eastAsia="zh-CN"/>
        </w:rPr>
        <w:t>CTG-3′ ).</w:t>
      </w:r>
      <w:r>
        <w:rPr>
          <w:rStyle w:val="11"/>
          <w:rFonts w:hint="eastAsia" w:ascii="Times New Roman" w:hAnsi="Times New Roman" w:eastAsia="宋体" w:cs="Times New Roman"/>
          <w:b w:val="0"/>
          <w:i w:val="0"/>
          <w:color w:val="000000"/>
          <w:sz w:val="20"/>
          <w:szCs w:val="20"/>
          <w:lang w:val="en-US" w:eastAsia="zh-CN"/>
        </w:rPr>
        <w:t xml:space="preserve"> GAPDH was used as endogenous control.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Style w:val="11"/>
          <w:rFonts w:hint="default" w:ascii="Times New Roman" w:hAnsi="Times New Roman" w:eastAsia="宋体" w:cs="Times New Roman"/>
          <w:b w:val="0"/>
          <w:i w:val="0"/>
          <w:color w:val="000000"/>
          <w:sz w:val="20"/>
          <w:szCs w:val="20"/>
          <w:lang w:val="en-US" w:eastAsia="zh-CN"/>
        </w:rPr>
      </w:pPr>
      <w:r>
        <w:rPr>
          <w:rStyle w:val="11"/>
          <w:rFonts w:hint="eastAsia" w:ascii="Times New Roman" w:hAnsi="Times New Roman" w:eastAsia="宋体" w:cs="Times New Roman"/>
          <w:b w:val="0"/>
          <w:i w:val="0"/>
          <w:color w:val="000000"/>
          <w:sz w:val="20"/>
          <w:szCs w:val="20"/>
          <w:lang w:val="en-US" w:eastAsia="zh-CN"/>
        </w:rPr>
        <w:t xml:space="preserve">The protein sample was cracked with 4 </w:t>
      </w:r>
      <w:r>
        <w:rPr>
          <w:rStyle w:val="11"/>
          <w:rFonts w:hint="default" w:ascii="Times New Roman" w:hAnsi="Times New Roman" w:eastAsia="宋体" w:cs="Times New Roman"/>
          <w:b w:val="0"/>
          <w:i w:val="0"/>
          <w:color w:val="000000"/>
          <w:sz w:val="20"/>
          <w:szCs w:val="20"/>
          <w:lang w:val="en-US" w:eastAsia="zh-CN"/>
        </w:rPr>
        <w:t>℃</w:t>
      </w:r>
      <w:r>
        <w:rPr>
          <w:rStyle w:val="11"/>
          <w:rFonts w:hint="eastAsia" w:ascii="Times New Roman" w:hAnsi="Times New Roman" w:eastAsia="宋体" w:cs="Times New Roman"/>
          <w:b w:val="0"/>
          <w:i w:val="0"/>
          <w:color w:val="000000"/>
          <w:sz w:val="20"/>
          <w:szCs w:val="20"/>
          <w:lang w:val="en-US" w:eastAsia="zh-CN"/>
        </w:rPr>
        <w:t xml:space="preserve"> cracking buffer solution RIPA (Pierce, Rockford, IL) supplemented with protease inhibitors for 30 min. The sample was centrifuged at 12,000 rpm for 15 min. The supernatant was taken, protein concentration was measured using a BCA protein assay (Thermo Scientific, Rockford, IL). After </w:t>
      </w:r>
      <w:r>
        <w:rPr>
          <w:rStyle w:val="11"/>
          <w:rFonts w:hint="default" w:ascii="Times New Roman" w:hAnsi="Times New Roman" w:eastAsia="宋体" w:cs="Times New Roman"/>
          <w:b w:val="0"/>
          <w:i w:val="0"/>
          <w:color w:val="000000"/>
          <w:sz w:val="20"/>
          <w:szCs w:val="20"/>
          <w:lang w:val="en-US" w:eastAsia="zh-CN"/>
        </w:rPr>
        <w:t xml:space="preserve">mixing with </w:t>
      </w:r>
      <w:r>
        <w:rPr>
          <w:rStyle w:val="11"/>
          <w:rFonts w:hint="eastAsia" w:ascii="Times New Roman" w:hAnsi="Times New Roman" w:eastAsia="宋体" w:cs="Times New Roman"/>
          <w:b w:val="0"/>
          <w:i w:val="0"/>
          <w:color w:val="000000"/>
          <w:sz w:val="20"/>
          <w:szCs w:val="20"/>
          <w:lang w:val="en-US" w:eastAsia="zh-CN"/>
        </w:rPr>
        <w:t>5</w:t>
      </w:r>
      <w:r>
        <w:rPr>
          <w:rStyle w:val="11"/>
          <w:rFonts w:hint="default" w:ascii="Times New Roman" w:hAnsi="Times New Roman" w:eastAsia="宋体" w:cs="Times New Roman"/>
          <w:b w:val="0"/>
          <w:i w:val="0"/>
          <w:color w:val="000000"/>
          <w:sz w:val="20"/>
          <w:szCs w:val="20"/>
          <w:lang w:val="en-US" w:eastAsia="zh-CN"/>
        </w:rPr>
        <w:t> × sample buffer solution</w:t>
      </w:r>
      <w:r>
        <w:rPr>
          <w:rStyle w:val="11"/>
          <w:rFonts w:hint="eastAsia" w:ascii="Times New Roman" w:hAnsi="Times New Roman" w:eastAsia="宋体" w:cs="Times New Roman"/>
          <w:b w:val="0"/>
          <w:i w:val="0"/>
          <w:color w:val="000000"/>
          <w:sz w:val="20"/>
          <w:szCs w:val="20"/>
          <w:lang w:val="en-US" w:eastAsia="zh-CN"/>
        </w:rPr>
        <w:t>, it were separated on 12% SDS-polyacrylamide gels and transferred onto PVDF membranes (Millipore, Belford, MA). Then these membranes were blocked with 5% skim milk at room temperature for 1 h,</w:t>
      </w:r>
      <w:r>
        <w:rPr>
          <w:rStyle w:val="11"/>
          <w:rFonts w:hint="default" w:ascii="Times New Roman" w:hAnsi="Times New Roman" w:eastAsia="宋体" w:cs="Times New Roman"/>
          <w:b w:val="0"/>
          <w:i w:val="0"/>
          <w:color w:val="000000"/>
          <w:sz w:val="20"/>
          <w:szCs w:val="20"/>
          <w:lang w:val="en-US" w:eastAsia="zh-CN"/>
        </w:rPr>
        <w:t xml:space="preserve"> </w:t>
      </w:r>
      <w:r>
        <w:rPr>
          <w:rStyle w:val="11"/>
          <w:rFonts w:hint="eastAsia" w:ascii="Times New Roman" w:hAnsi="Times New Roman" w:eastAsia="宋体" w:cs="Times New Roman"/>
          <w:b w:val="0"/>
          <w:i w:val="0"/>
          <w:color w:val="000000"/>
          <w:sz w:val="20"/>
          <w:szCs w:val="20"/>
          <w:lang w:val="en-US" w:eastAsia="zh-CN"/>
        </w:rPr>
        <w:t xml:space="preserve">and incubated with primary antibodies (1:1000) at 4 </w:t>
      </w:r>
      <w:r>
        <w:rPr>
          <w:rStyle w:val="11"/>
          <w:rFonts w:hint="default" w:ascii="Times New Roman" w:hAnsi="Times New Roman" w:eastAsia="宋体" w:cs="Times New Roman"/>
          <w:b w:val="0"/>
          <w:i w:val="0"/>
          <w:color w:val="000000"/>
          <w:sz w:val="20"/>
          <w:szCs w:val="20"/>
          <w:lang w:val="en-US" w:eastAsia="zh-CN"/>
        </w:rPr>
        <w:t>°C</w:t>
      </w:r>
      <w:r>
        <w:rPr>
          <w:rStyle w:val="11"/>
          <w:rFonts w:hint="eastAsia" w:ascii="Times New Roman" w:hAnsi="Times New Roman" w:eastAsia="宋体" w:cs="Times New Roman"/>
          <w:b w:val="0"/>
          <w:i w:val="0"/>
          <w:color w:val="000000"/>
          <w:sz w:val="20"/>
          <w:szCs w:val="20"/>
          <w:lang w:val="en-US" w:eastAsia="zh-CN"/>
        </w:rPr>
        <w:t xml:space="preserve"> overnight.</w:t>
      </w:r>
      <w:r>
        <w:rPr>
          <w:rStyle w:val="11"/>
          <w:rFonts w:hint="default" w:ascii="Times New Roman" w:hAnsi="Times New Roman" w:eastAsia="宋体" w:cs="Times New Roman"/>
          <w:b w:val="0"/>
          <w:i w:val="0"/>
          <w:color w:val="000000"/>
          <w:sz w:val="20"/>
          <w:szCs w:val="20"/>
          <w:lang w:val="en-US" w:eastAsia="zh-CN"/>
        </w:rPr>
        <w:t xml:space="preserve"> After being washed </w:t>
      </w:r>
      <w:r>
        <w:rPr>
          <w:rStyle w:val="11"/>
          <w:rFonts w:hint="eastAsia" w:ascii="Times New Roman" w:hAnsi="Times New Roman" w:eastAsia="宋体" w:cs="Times New Roman"/>
          <w:b w:val="0"/>
          <w:i w:val="0"/>
          <w:color w:val="000000"/>
          <w:sz w:val="20"/>
          <w:szCs w:val="20"/>
          <w:lang w:val="en-US" w:eastAsia="zh-CN"/>
        </w:rPr>
        <w:t>3</w:t>
      </w:r>
      <w:r>
        <w:rPr>
          <w:rStyle w:val="11"/>
          <w:rFonts w:hint="default" w:ascii="Times New Roman" w:hAnsi="Times New Roman" w:eastAsia="宋体" w:cs="Times New Roman"/>
          <w:b w:val="0"/>
          <w:i w:val="0"/>
          <w:color w:val="000000"/>
          <w:sz w:val="20"/>
          <w:szCs w:val="20"/>
          <w:lang w:val="en-US" w:eastAsia="zh-CN"/>
        </w:rPr>
        <w:t xml:space="preserve"> times with TTBS, secondary antibodies (1:2000) were added and kept at room temperature for 30 min. The sample was again washed with TTBS </w:t>
      </w:r>
      <w:r>
        <w:rPr>
          <w:rStyle w:val="11"/>
          <w:rFonts w:hint="eastAsia" w:ascii="Times New Roman" w:hAnsi="Times New Roman" w:eastAsia="宋体" w:cs="Times New Roman"/>
          <w:b w:val="0"/>
          <w:i w:val="0"/>
          <w:color w:val="000000"/>
          <w:sz w:val="20"/>
          <w:szCs w:val="20"/>
          <w:lang w:val="en-US" w:eastAsia="zh-CN"/>
        </w:rPr>
        <w:t>3</w:t>
      </w:r>
      <w:r>
        <w:rPr>
          <w:rStyle w:val="11"/>
          <w:rFonts w:hint="default" w:ascii="Times New Roman" w:hAnsi="Times New Roman" w:eastAsia="宋体" w:cs="Times New Roman"/>
          <w:b w:val="0"/>
          <w:i w:val="0"/>
          <w:color w:val="000000"/>
          <w:sz w:val="20"/>
          <w:szCs w:val="20"/>
          <w:lang w:val="en-US" w:eastAsia="zh-CN"/>
        </w:rPr>
        <w:t xml:space="preserve"> times after using the enhanced chemiluminescence method to display color.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Style w:val="11"/>
          <w:rFonts w:hint="eastAsia" w:ascii="Times New Roman" w:hAnsi="Times New Roman" w:eastAsia="宋体" w:cs="Times New Roman"/>
          <w:b w:val="0"/>
          <w:i w:val="0"/>
          <w:color w:val="000000"/>
          <w:sz w:val="20"/>
          <w:szCs w:val="20"/>
          <w:lang w:val="en-US" w:eastAsia="zh-CN"/>
        </w:rPr>
      </w:pPr>
      <w:r>
        <w:rPr>
          <w:rStyle w:val="11"/>
          <w:rFonts w:hint="eastAsia" w:ascii="Times New Roman" w:hAnsi="Times New Roman" w:eastAsia="宋体" w:cs="Times New Roman"/>
          <w:b w:val="0"/>
          <w:i w:val="0"/>
          <w:color w:val="000000"/>
          <w:sz w:val="20"/>
          <w:szCs w:val="20"/>
          <w:lang w:val="en-US" w:eastAsia="zh-CN"/>
        </w:rPr>
        <w:t>The cells with good growth status and in the logarithmic growing phase were selected and digested into a single cell suspension and inoculated in a 6-hole cell crawling plate. The 6-hole cell plate was placed in an incubator for the night. After being adherent to the wall, the cells were prepared to be transfected with HMMR-shRNA and NC-shRNA at room temperature. A mixture of 5 </w:t>
      </w:r>
      <w:r>
        <w:rPr>
          <w:rStyle w:val="11"/>
          <w:rFonts w:hint="default" w:ascii="Times New Roman" w:hAnsi="Times New Roman" w:eastAsia="宋体" w:cs="Times New Roman"/>
          <w:b w:val="0"/>
          <w:i w:val="0"/>
          <w:color w:val="000000"/>
          <w:sz w:val="20"/>
          <w:szCs w:val="20"/>
          <w:lang w:val="en-US" w:eastAsia="zh-CN"/>
        </w:rPr>
        <w:t>μ</w:t>
      </w:r>
      <w:r>
        <w:rPr>
          <w:rStyle w:val="11"/>
          <w:rFonts w:hint="eastAsia" w:ascii="Times New Roman" w:hAnsi="Times New Roman" w:eastAsia="宋体" w:cs="Times New Roman"/>
          <w:b w:val="0"/>
          <w:i w:val="0"/>
          <w:color w:val="000000"/>
          <w:sz w:val="20"/>
          <w:szCs w:val="20"/>
          <w:lang w:val="en-US" w:eastAsia="zh-CN"/>
        </w:rPr>
        <w:t>l lipofectamine 2000 was added to the RPMI 1640 medium and then set aside for 5 min. Again, 10 </w:t>
      </w:r>
      <w:r>
        <w:rPr>
          <w:rStyle w:val="11"/>
          <w:rFonts w:hint="default" w:ascii="Times New Roman" w:hAnsi="Times New Roman" w:eastAsia="宋体" w:cs="Times New Roman"/>
          <w:b w:val="0"/>
          <w:i w:val="0"/>
          <w:color w:val="000000"/>
          <w:sz w:val="20"/>
          <w:szCs w:val="20"/>
          <w:lang w:val="en-US" w:eastAsia="zh-CN"/>
        </w:rPr>
        <w:t>μ</w:t>
      </w:r>
      <w:r>
        <w:rPr>
          <w:rStyle w:val="11"/>
          <w:rFonts w:hint="eastAsia" w:ascii="Times New Roman" w:hAnsi="Times New Roman" w:eastAsia="宋体" w:cs="Times New Roman"/>
          <w:b w:val="0"/>
          <w:i w:val="0"/>
          <w:color w:val="000000"/>
          <w:sz w:val="20"/>
          <w:szCs w:val="20"/>
          <w:lang w:val="en-US" w:eastAsia="zh-CN"/>
        </w:rPr>
        <w:t>l of siRNA was added to 240 </w:t>
      </w:r>
      <w:r>
        <w:rPr>
          <w:rStyle w:val="11"/>
          <w:rFonts w:hint="default" w:ascii="Times New Roman" w:hAnsi="Times New Roman" w:eastAsia="宋体" w:cs="Times New Roman"/>
          <w:b w:val="0"/>
          <w:i w:val="0"/>
          <w:color w:val="000000"/>
          <w:sz w:val="20"/>
          <w:szCs w:val="20"/>
          <w:lang w:val="en-US" w:eastAsia="zh-CN"/>
        </w:rPr>
        <w:t>μ</w:t>
      </w:r>
      <w:r>
        <w:rPr>
          <w:rStyle w:val="11"/>
          <w:rFonts w:hint="eastAsia" w:ascii="Times New Roman" w:hAnsi="Times New Roman" w:eastAsia="宋体" w:cs="Times New Roman"/>
          <w:b w:val="0"/>
          <w:i w:val="0"/>
          <w:color w:val="000000"/>
          <w:sz w:val="20"/>
          <w:szCs w:val="20"/>
          <w:lang w:val="en-US" w:eastAsia="zh-CN"/>
        </w:rPr>
        <w:t>l of the RPMI 1640 medium and mixed with the lipo2000 prepared in the previous step. It was then placed still for 20 min. The original medium in the 6-hole cell plate was removed, and 1.5 ml of the RPMI 1640 medium was added to each hole. The configured transfection solution was then added and continued to be cultured in the incubator. After 6 to 8 h of transfection, the normal 1640 medium-containing serum was replaced.</w:t>
      </w:r>
    </w:p>
    <w:p>
      <w:pPr>
        <w:spacing w:line="360" w:lineRule="auto"/>
        <w:ind w:firstLine="400" w:firstLineChars="200"/>
        <w:rPr>
          <w:rFonts w:hint="default" w:ascii="Times New Roman" w:hAnsi="Times New Roman" w:eastAsia="宋体" w:cs="Times New Roman"/>
          <w:sz w:val="20"/>
          <w:szCs w:val="20"/>
        </w:rPr>
      </w:pPr>
    </w:p>
    <w:p>
      <w:pPr>
        <w:pStyle w:val="10"/>
        <w:keepNext/>
        <w:keepLines/>
        <w:numPr>
          <w:ilvl w:val="0"/>
          <w:numId w:val="1"/>
        </w:numPr>
        <w:spacing w:before="260" w:after="260" w:line="360" w:lineRule="auto"/>
        <w:ind w:firstLineChars="0"/>
        <w:outlineLvl w:val="1"/>
        <w:rPr>
          <w:rFonts w:hint="default" w:ascii="Times New Roman" w:hAnsi="Times New Roman" w:cs="Times New Roman" w:eastAsiaTheme="majorEastAsia"/>
          <w:b/>
          <w:bCs/>
          <w:sz w:val="20"/>
          <w:szCs w:val="20"/>
        </w:rPr>
      </w:pPr>
      <w:r>
        <w:rPr>
          <w:rFonts w:hint="default" w:ascii="Times New Roman" w:hAnsi="Times New Roman" w:cs="Times New Roman" w:eastAsiaTheme="majorEastAsia"/>
          <w:b/>
          <w:bCs/>
          <w:sz w:val="20"/>
          <w:szCs w:val="20"/>
        </w:rPr>
        <w:t>Supplementary figure legends</w:t>
      </w:r>
    </w:p>
    <w:p>
      <w:pPr>
        <w:keepNext/>
        <w:keepLines/>
        <w:spacing w:before="260" w:after="260" w:line="360" w:lineRule="auto"/>
        <w:outlineLvl w:val="2"/>
        <w:rPr>
          <w:rFonts w:hint="default" w:ascii="Times New Roman" w:hAnsi="Times New Roman" w:eastAsia="宋体" w:cs="Times New Roman"/>
          <w:sz w:val="20"/>
          <w:szCs w:val="20"/>
        </w:rPr>
      </w:pPr>
      <w:bookmarkStart w:id="2" w:name="OLE_LINK2"/>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ure</w:t>
      </w:r>
      <w:bookmarkEnd w:id="2"/>
      <w:r>
        <w:rPr>
          <w:rFonts w:hint="default" w:ascii="Times New Roman" w:hAnsi="Times New Roman" w:eastAsia="宋体" w:cs="Times New Roman"/>
          <w:b/>
          <w:bCs/>
          <w:sz w:val="20"/>
          <w:szCs w:val="20"/>
        </w:rPr>
        <w:t xml:space="preserve"> </w:t>
      </w:r>
      <w:r>
        <w:rPr>
          <w:rFonts w:hint="eastAsia" w:ascii="Times New Roman" w:hAnsi="Times New Roman" w:eastAsia="宋体" w:cs="Times New Roman"/>
          <w:b/>
          <w:bCs/>
          <w:sz w:val="20"/>
          <w:szCs w:val="20"/>
          <w:lang w:val="en-US" w:eastAsia="zh-CN"/>
        </w:rPr>
        <w:t>S</w:t>
      </w:r>
      <w:r>
        <w:rPr>
          <w:rFonts w:hint="default" w:ascii="Times New Roman" w:hAnsi="Times New Roman" w:eastAsia="宋体" w:cs="Times New Roman"/>
          <w:b/>
          <w:bCs/>
          <w:sz w:val="20"/>
          <w:szCs w:val="20"/>
        </w:rPr>
        <w:t xml:space="preserve">1. </w:t>
      </w:r>
      <w:r>
        <w:rPr>
          <w:rFonts w:hint="eastAsia" w:ascii="Times New Roman" w:hAnsi="Times New Roman" w:eastAsia="宋体" w:cs="Times New Roman"/>
          <w:b/>
          <w:bCs/>
          <w:sz w:val="20"/>
          <w:szCs w:val="20"/>
          <w:lang w:val="en-US" w:eastAsia="zh-CN"/>
        </w:rPr>
        <w:t xml:space="preserve">GEPIA2 </w:t>
      </w:r>
      <w:r>
        <w:rPr>
          <w:rFonts w:hint="default" w:ascii="Times New Roman" w:hAnsi="Times New Roman" w:eastAsia="宋体" w:cs="Times New Roman"/>
          <w:b/>
          <w:i w:val="0"/>
          <w:color w:val="000000"/>
          <w:sz w:val="20"/>
          <w:szCs w:val="20"/>
          <w:lang w:val="en-US" w:eastAsia="zh-CN"/>
        </w:rPr>
        <w:t>database analysis</w:t>
      </w:r>
      <w:r>
        <w:rPr>
          <w:rFonts w:hint="eastAsia" w:ascii="Times New Roman" w:hAnsi="Times New Roman" w:eastAsia="宋体" w:cs="Times New Roman"/>
          <w:b/>
          <w:i w:val="0"/>
          <w:color w:val="000000"/>
          <w:sz w:val="20"/>
          <w:szCs w:val="20"/>
          <w:lang w:val="en-US" w:eastAsia="zh-CN"/>
        </w:rPr>
        <w:t xml:space="preserve"> e</w:t>
      </w:r>
      <w:r>
        <w:rPr>
          <w:rFonts w:hint="default" w:ascii="Times New Roman" w:hAnsi="Times New Roman" w:cs="Times New Roman"/>
          <w:b/>
          <w:sz w:val="20"/>
          <w:szCs w:val="20"/>
        </w:rPr>
        <w:t xml:space="preserve">xpression level of the </w:t>
      </w:r>
      <w:r>
        <w:rPr>
          <w:rFonts w:hint="eastAsia" w:ascii="Times New Roman" w:hAnsi="Times New Roman" w:cs="Times New Roman"/>
          <w:b/>
          <w:sz w:val="20"/>
          <w:szCs w:val="20"/>
          <w:lang w:val="en-US" w:eastAsia="zh-CN"/>
        </w:rPr>
        <w:t>HMMR</w:t>
      </w:r>
      <w:r>
        <w:rPr>
          <w:rFonts w:hint="default" w:ascii="Times New Roman" w:hAnsi="Times New Roman" w:cs="Times New Roman"/>
          <w:b/>
          <w:sz w:val="20"/>
          <w:szCs w:val="20"/>
        </w:rPr>
        <w:t xml:space="preserve"> gene in different tumors. </w:t>
      </w:r>
      <w:r>
        <w:rPr>
          <w:rFonts w:hint="default" w:ascii="Times New Roman" w:hAnsi="Times New Roman" w:eastAsia="宋体" w:cs="Times New Roman"/>
          <w:sz w:val="20"/>
          <w:szCs w:val="20"/>
        </w:rPr>
        <w:t xml:space="preserve">The expression statuses of the </w:t>
      </w:r>
      <w:r>
        <w:rPr>
          <w:rFonts w:hint="eastAsia" w:ascii="Times New Roman" w:hAnsi="Times New Roman" w:eastAsia="宋体" w:cs="Times New Roman"/>
          <w:i/>
          <w:iCs/>
          <w:sz w:val="20"/>
          <w:szCs w:val="20"/>
          <w:lang w:val="en-US" w:eastAsia="zh-CN"/>
        </w:rPr>
        <w:t>HMMR</w:t>
      </w:r>
      <w:r>
        <w:rPr>
          <w:rFonts w:hint="default" w:ascii="Times New Roman" w:hAnsi="Times New Roman" w:eastAsia="宋体" w:cs="Times New Roman"/>
          <w:sz w:val="20"/>
          <w:szCs w:val="20"/>
        </w:rPr>
        <w:t xml:space="preserve"> gene in </w:t>
      </w:r>
      <w:r>
        <w:rPr>
          <w:rFonts w:hint="eastAsia" w:ascii="Times New Roman" w:hAnsi="Times New Roman" w:eastAsia="宋体" w:cs="Times New Roman"/>
          <w:sz w:val="20"/>
          <w:szCs w:val="20"/>
          <w:lang w:val="en-US" w:eastAsia="zh-CN"/>
        </w:rPr>
        <w:t>SARC (</w:t>
      </w:r>
      <w:r>
        <w:rPr>
          <w:rFonts w:hint="eastAsia" w:ascii="Times New Roman" w:hAnsi="Times New Roman" w:eastAsia="宋体" w:cs="Times New Roman"/>
          <w:b/>
          <w:bCs/>
          <w:sz w:val="20"/>
          <w:szCs w:val="20"/>
          <w:lang w:val="en-US" w:eastAsia="zh-CN"/>
        </w:rPr>
        <w:t>A</w:t>
      </w:r>
      <w:r>
        <w:rPr>
          <w:rFonts w:hint="eastAsia" w:ascii="Times New Roman" w:hAnsi="Times New Roman" w:eastAsia="宋体" w:cs="Times New Roman"/>
          <w:sz w:val="20"/>
          <w:szCs w:val="20"/>
          <w:lang w:val="en-US" w:eastAsia="zh-CN"/>
        </w:rPr>
        <w:t>), THYM (</w:t>
      </w:r>
      <w:r>
        <w:rPr>
          <w:rFonts w:hint="eastAsia" w:ascii="Times New Roman" w:hAnsi="Times New Roman" w:eastAsia="宋体" w:cs="Times New Roman"/>
          <w:b/>
          <w:bCs/>
          <w:sz w:val="20"/>
          <w:szCs w:val="20"/>
          <w:lang w:val="en-US" w:eastAsia="zh-CN"/>
        </w:rPr>
        <w:t>B</w:t>
      </w:r>
      <w:r>
        <w:rPr>
          <w:rFonts w:hint="eastAsia" w:ascii="Times New Roman" w:hAnsi="Times New Roman" w:eastAsia="宋体" w:cs="Times New Roman"/>
          <w:sz w:val="20"/>
          <w:szCs w:val="20"/>
          <w:lang w:val="en-US" w:eastAsia="zh-CN"/>
        </w:rPr>
        <w:t>), UCS (</w:t>
      </w:r>
      <w:r>
        <w:rPr>
          <w:rFonts w:hint="eastAsia" w:ascii="Times New Roman" w:hAnsi="Times New Roman" w:eastAsia="宋体" w:cs="Times New Roman"/>
          <w:b/>
          <w:bCs/>
          <w:sz w:val="20"/>
          <w:szCs w:val="20"/>
          <w:lang w:val="en-US" w:eastAsia="zh-CN"/>
        </w:rPr>
        <w:t>C</w:t>
      </w:r>
      <w:r>
        <w:rPr>
          <w:rFonts w:hint="eastAsia" w:ascii="Times New Roman" w:hAnsi="Times New Roman" w:eastAsia="宋体" w:cs="Times New Roman"/>
          <w:sz w:val="20"/>
          <w:szCs w:val="20"/>
          <w:lang w:val="en-US" w:eastAsia="zh-CN"/>
        </w:rPr>
        <w:t>), KICH (</w:t>
      </w:r>
      <w:r>
        <w:rPr>
          <w:rFonts w:hint="eastAsia" w:ascii="Times New Roman" w:hAnsi="Times New Roman" w:eastAsia="宋体" w:cs="Times New Roman"/>
          <w:b/>
          <w:bCs/>
          <w:sz w:val="20"/>
          <w:szCs w:val="20"/>
          <w:lang w:val="en-US" w:eastAsia="zh-CN"/>
        </w:rPr>
        <w:t>D</w:t>
      </w:r>
      <w:r>
        <w:rPr>
          <w:rFonts w:hint="eastAsia" w:ascii="Times New Roman" w:hAnsi="Times New Roman" w:eastAsia="宋体" w:cs="Times New Roman"/>
          <w:sz w:val="20"/>
          <w:szCs w:val="20"/>
          <w:lang w:val="en-US" w:eastAsia="zh-CN"/>
        </w:rPr>
        <w:t>), LGG (</w:t>
      </w:r>
      <w:r>
        <w:rPr>
          <w:rFonts w:hint="eastAsia" w:ascii="Times New Roman" w:hAnsi="Times New Roman" w:eastAsia="宋体" w:cs="Times New Roman"/>
          <w:b/>
          <w:bCs/>
          <w:sz w:val="20"/>
          <w:szCs w:val="20"/>
          <w:lang w:val="en-US" w:eastAsia="zh-CN"/>
        </w:rPr>
        <w:t>E</w:t>
      </w:r>
      <w:r>
        <w:rPr>
          <w:rFonts w:hint="eastAsia" w:ascii="Times New Roman" w:hAnsi="Times New Roman" w:eastAsia="宋体" w:cs="Times New Roman"/>
          <w:sz w:val="20"/>
          <w:szCs w:val="20"/>
          <w:lang w:val="en-US" w:eastAsia="zh-CN"/>
        </w:rPr>
        <w:t>), PCPG (</w:t>
      </w:r>
      <w:r>
        <w:rPr>
          <w:rFonts w:hint="eastAsia" w:ascii="Times New Roman" w:hAnsi="Times New Roman" w:eastAsia="宋体" w:cs="Times New Roman"/>
          <w:b/>
          <w:bCs/>
          <w:sz w:val="20"/>
          <w:szCs w:val="20"/>
          <w:lang w:val="en-US" w:eastAsia="zh-CN"/>
        </w:rPr>
        <w:t>F</w:t>
      </w:r>
      <w:r>
        <w:rPr>
          <w:rFonts w:hint="eastAsia" w:ascii="Times New Roman" w:hAnsi="Times New Roman" w:eastAsia="宋体" w:cs="Times New Roman"/>
          <w:sz w:val="20"/>
          <w:szCs w:val="20"/>
          <w:lang w:val="en-US" w:eastAsia="zh-CN"/>
        </w:rPr>
        <w:t>), LAML (</w:t>
      </w:r>
      <w:r>
        <w:rPr>
          <w:rFonts w:hint="eastAsia" w:ascii="Times New Roman" w:hAnsi="Times New Roman" w:eastAsia="宋体" w:cs="Times New Roman"/>
          <w:b/>
          <w:bCs/>
          <w:sz w:val="20"/>
          <w:szCs w:val="20"/>
          <w:lang w:val="en-US" w:eastAsia="zh-CN"/>
        </w:rPr>
        <w:t>G</w:t>
      </w:r>
      <w:r>
        <w:rPr>
          <w:rFonts w:hint="eastAsia" w:ascii="Times New Roman" w:hAnsi="Times New Roman" w:eastAsia="宋体" w:cs="Times New Roman"/>
          <w:sz w:val="20"/>
          <w:szCs w:val="20"/>
          <w:lang w:val="en-US" w:eastAsia="zh-CN"/>
        </w:rPr>
        <w:t>), and TGCT (</w:t>
      </w:r>
      <w:r>
        <w:rPr>
          <w:rFonts w:hint="eastAsia" w:ascii="Times New Roman" w:hAnsi="Times New Roman" w:eastAsia="宋体" w:cs="Times New Roman"/>
          <w:b/>
          <w:bCs/>
          <w:sz w:val="20"/>
          <w:szCs w:val="20"/>
          <w:lang w:val="en-US" w:eastAsia="zh-CN"/>
        </w:rPr>
        <w:t>H</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in TCGA project were compared with the corresponding normal tissues of the GTEx databases.</w:t>
      </w:r>
    </w:p>
    <w:p>
      <w:pPr>
        <w:keepNext/>
        <w:keepLines/>
        <w:tabs>
          <w:tab w:val="left" w:pos="1939"/>
        </w:tabs>
        <w:spacing w:before="260" w:after="260" w:line="360" w:lineRule="auto"/>
        <w:outlineLvl w:val="2"/>
        <w:rPr>
          <w:rFonts w:hint="eastAsia" w:ascii="Times New Roman" w:hAnsi="Times New Roman" w:eastAsia="宋体" w:cs="Times New Roman"/>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ure S2</w:t>
      </w:r>
      <w:r>
        <w:rPr>
          <w:rFonts w:hint="default" w:ascii="Times New Roman" w:hAnsi="Times New Roman" w:eastAsia="宋体" w:cs="Times New Roman"/>
          <w:b/>
          <w:bCs/>
          <w:sz w:val="20"/>
          <w:szCs w:val="20"/>
        </w:rPr>
        <w:t xml:space="preserve">. Correlation between </w:t>
      </w:r>
      <w:r>
        <w:rPr>
          <w:rFonts w:hint="eastAsia" w:ascii="Times New Roman" w:hAnsi="Times New Roman" w:eastAsia="宋体" w:cs="Times New Roman"/>
          <w:b/>
          <w:bCs/>
          <w:sz w:val="20"/>
          <w:szCs w:val="20"/>
          <w:lang w:val="en-US" w:eastAsia="zh-CN"/>
        </w:rPr>
        <w:t>HMMR</w:t>
      </w:r>
      <w:r>
        <w:rPr>
          <w:rFonts w:hint="default" w:ascii="Times New Roman" w:hAnsi="Times New Roman" w:eastAsia="宋体" w:cs="Times New Roman"/>
          <w:b/>
          <w:bCs/>
          <w:sz w:val="20"/>
          <w:szCs w:val="20"/>
        </w:rPr>
        <w:t xml:space="preserve"> gene expression and survival prognosis of cancers</w:t>
      </w:r>
      <w:r>
        <w:rPr>
          <w:rFonts w:hint="eastAsia" w:ascii="Times New Roman" w:hAnsi="Times New Roman" w:eastAsia="宋体" w:cs="Times New Roman"/>
          <w:b/>
          <w:bCs/>
          <w:sz w:val="20"/>
          <w:szCs w:val="20"/>
          <w:lang w:val="en-US" w:eastAsia="zh-CN"/>
        </w:rPr>
        <w:t xml:space="preserve"> </w:t>
      </w:r>
      <w:r>
        <w:rPr>
          <w:rFonts w:hint="default" w:ascii="Times New Roman" w:hAnsi="Times New Roman" w:eastAsia="宋体" w:cs="Times New Roman"/>
          <w:b/>
          <w:bCs/>
          <w:sz w:val="20"/>
          <w:szCs w:val="20"/>
        </w:rPr>
        <w:t xml:space="preserve">in </w:t>
      </w:r>
      <w:r>
        <w:rPr>
          <w:rFonts w:hint="eastAsia" w:ascii="Times New Roman" w:hAnsi="Times New Roman" w:eastAsia="宋体" w:cs="Times New Roman"/>
          <w:b/>
          <w:bCs/>
          <w:sz w:val="20"/>
          <w:szCs w:val="20"/>
          <w:lang w:val="en-US" w:eastAsia="zh-CN"/>
        </w:rPr>
        <w:t>PrognoScan database</w:t>
      </w:r>
      <w:r>
        <w:rPr>
          <w:rFonts w:hint="eastAsia" w:ascii="Times New Roman" w:hAnsi="Times New Roman" w:eastAsia="宋体" w:cs="Times New Roman"/>
          <w:sz w:val="20"/>
          <w:szCs w:val="20"/>
          <w:lang w:val="en-US" w:eastAsia="zh-CN"/>
        </w:rPr>
        <w:t xml:space="preserve">. OS, overall survival; PFS, Kaplan-Meier plotter database; RFS, recurrence-free survival </w:t>
      </w:r>
    </w:p>
    <w:p>
      <w:pPr>
        <w:keepNext/>
        <w:keepLines/>
        <w:tabs>
          <w:tab w:val="left" w:pos="1939"/>
        </w:tabs>
        <w:spacing w:before="260" w:after="260" w:line="360" w:lineRule="auto"/>
        <w:outlineLvl w:val="2"/>
        <w:rPr>
          <w:rFonts w:hint="default" w:ascii="Times New Roman" w:hAnsi="Times New Roman" w:eastAsia="宋体" w:cs="Times New Roman"/>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ure S3</w:t>
      </w:r>
      <w:r>
        <w:rPr>
          <w:rFonts w:hint="default" w:ascii="Times New Roman" w:hAnsi="Times New Roman" w:eastAsia="宋体" w:cs="Times New Roman"/>
          <w:b/>
          <w:bCs/>
          <w:sz w:val="20"/>
          <w:szCs w:val="20"/>
        </w:rPr>
        <w:t xml:space="preserve">. Correlation between </w:t>
      </w:r>
      <w:r>
        <w:rPr>
          <w:rFonts w:hint="eastAsia" w:ascii="Times New Roman" w:hAnsi="Times New Roman" w:eastAsia="宋体" w:cs="Times New Roman"/>
          <w:b/>
          <w:bCs/>
          <w:sz w:val="20"/>
          <w:szCs w:val="20"/>
          <w:lang w:val="en-US" w:eastAsia="zh-CN"/>
        </w:rPr>
        <w:t xml:space="preserve">HMMR </w:t>
      </w:r>
      <w:r>
        <w:rPr>
          <w:rFonts w:hint="default" w:ascii="Times New Roman" w:hAnsi="Times New Roman" w:eastAsia="宋体" w:cs="Times New Roman"/>
          <w:b/>
          <w:bCs/>
          <w:sz w:val="20"/>
          <w:szCs w:val="20"/>
        </w:rPr>
        <w:t xml:space="preserve">gene expression and </w:t>
      </w:r>
      <w:r>
        <w:rPr>
          <w:rFonts w:hint="eastAsia" w:ascii="Times New Roman" w:hAnsi="Times New Roman" w:eastAsia="宋体" w:cs="Times New Roman"/>
          <w:b/>
          <w:bCs/>
          <w:sz w:val="20"/>
          <w:szCs w:val="20"/>
          <w:lang w:val="en-US" w:eastAsia="zh-CN"/>
        </w:rPr>
        <w:t xml:space="preserve">Over </w:t>
      </w:r>
      <w:r>
        <w:rPr>
          <w:rFonts w:hint="default" w:ascii="Times New Roman" w:hAnsi="Times New Roman" w:eastAsia="宋体" w:cs="Times New Roman"/>
          <w:b/>
          <w:bCs/>
          <w:sz w:val="20"/>
          <w:szCs w:val="20"/>
        </w:rPr>
        <w:t>survival prognosis of cancers</w:t>
      </w:r>
      <w:r>
        <w:rPr>
          <w:rFonts w:hint="eastAsia" w:ascii="Times New Roman" w:hAnsi="Times New Roman" w:eastAsia="宋体" w:cs="Times New Roman"/>
          <w:b/>
          <w:bCs/>
          <w:sz w:val="20"/>
          <w:szCs w:val="20"/>
          <w:lang w:val="en-US" w:eastAsia="zh-CN"/>
        </w:rPr>
        <w:t xml:space="preserve"> </w:t>
      </w:r>
      <w:r>
        <w:rPr>
          <w:rFonts w:hint="default" w:ascii="Times New Roman" w:hAnsi="Times New Roman" w:eastAsia="宋体" w:cs="Times New Roman"/>
          <w:b/>
          <w:bCs/>
          <w:sz w:val="20"/>
          <w:szCs w:val="20"/>
        </w:rPr>
        <w:t>in TCGA.</w:t>
      </w:r>
      <w:r>
        <w:rPr>
          <w:rFonts w:hint="eastAsia" w:ascii="Times New Roman" w:hAnsi="Times New Roman" w:eastAsia="宋体" w:cs="Times New Roman"/>
          <w:b/>
          <w:bCs/>
          <w:sz w:val="20"/>
          <w:szCs w:val="20"/>
          <w:lang w:val="en-US" w:eastAsia="zh-CN"/>
        </w:rPr>
        <w:t xml:space="preserve"> </w:t>
      </w:r>
      <w:r>
        <w:rPr>
          <w:rFonts w:hint="eastAsia" w:ascii="Times New Roman" w:hAnsi="Times New Roman" w:eastAsia="宋体" w:cs="Times New Roman"/>
          <w:b w:val="0"/>
          <w:bCs w:val="0"/>
          <w:sz w:val="20"/>
          <w:szCs w:val="20"/>
          <w:lang w:val="en-US" w:eastAsia="zh-CN"/>
        </w:rPr>
        <w:t>T</w:t>
      </w:r>
      <w:r>
        <w:rPr>
          <w:rFonts w:hint="default" w:ascii="Times New Roman" w:hAnsi="Times New Roman" w:eastAsia="宋体" w:cs="Times New Roman"/>
          <w:sz w:val="20"/>
          <w:szCs w:val="20"/>
        </w:rPr>
        <w:t xml:space="preserve">he GEPIA2 tool to perform </w:t>
      </w:r>
      <w:r>
        <w:rPr>
          <w:rFonts w:hint="eastAsia" w:ascii="Times New Roman" w:hAnsi="Times New Roman" w:eastAsia="宋体" w:cs="Times New Roman"/>
          <w:sz w:val="20"/>
          <w:szCs w:val="20"/>
          <w:lang w:val="en-US" w:eastAsia="zh-CN"/>
        </w:rPr>
        <w:t>over</w:t>
      </w:r>
      <w:r>
        <w:rPr>
          <w:rFonts w:hint="default" w:ascii="Times New Roman" w:hAnsi="Times New Roman" w:eastAsia="宋体" w:cs="Times New Roman"/>
          <w:sz w:val="20"/>
          <w:szCs w:val="20"/>
        </w:rPr>
        <w:t xml:space="preserve"> survival </w:t>
      </w:r>
      <w:r>
        <w:rPr>
          <w:rFonts w:hint="eastAsia" w:ascii="Times New Roman" w:hAnsi="Times New Roman" w:eastAsia="宋体" w:cs="Times New Roman"/>
          <w:sz w:val="20"/>
          <w:szCs w:val="20"/>
          <w:lang w:val="en-US" w:eastAsia="zh-CN"/>
        </w:rPr>
        <w:t>analyses showed ACC (</w:t>
      </w:r>
      <w:r>
        <w:rPr>
          <w:rFonts w:hint="eastAsia" w:ascii="Times New Roman" w:hAnsi="Times New Roman" w:eastAsia="宋体" w:cs="Times New Roman"/>
          <w:b/>
          <w:bCs/>
          <w:sz w:val="20"/>
          <w:szCs w:val="20"/>
          <w:lang w:val="en-US" w:eastAsia="zh-CN"/>
        </w:rPr>
        <w:t>A</w:t>
      </w:r>
      <w:r>
        <w:rPr>
          <w:rFonts w:hint="eastAsia" w:ascii="Times New Roman" w:hAnsi="Times New Roman" w:eastAsia="宋体" w:cs="Times New Roman"/>
          <w:sz w:val="20"/>
          <w:szCs w:val="20"/>
          <w:lang w:val="en-US" w:eastAsia="zh-CN"/>
        </w:rPr>
        <w:t>), BLCA (</w:t>
      </w:r>
      <w:r>
        <w:rPr>
          <w:rFonts w:hint="eastAsia" w:ascii="Times New Roman" w:hAnsi="Times New Roman" w:eastAsia="宋体" w:cs="Times New Roman"/>
          <w:b/>
          <w:bCs/>
          <w:sz w:val="20"/>
          <w:szCs w:val="20"/>
          <w:lang w:val="en-US" w:eastAsia="zh-CN"/>
        </w:rPr>
        <w:t>B</w:t>
      </w:r>
      <w:r>
        <w:rPr>
          <w:rFonts w:hint="eastAsia" w:ascii="Times New Roman" w:hAnsi="Times New Roman" w:eastAsia="宋体" w:cs="Times New Roman"/>
          <w:sz w:val="20"/>
          <w:szCs w:val="20"/>
          <w:lang w:val="en-US" w:eastAsia="zh-CN"/>
        </w:rPr>
        <w:t>), COAD (</w:t>
      </w:r>
      <w:r>
        <w:rPr>
          <w:rFonts w:hint="eastAsia" w:ascii="Times New Roman" w:hAnsi="Times New Roman" w:eastAsia="宋体" w:cs="Times New Roman"/>
          <w:b/>
          <w:bCs/>
          <w:sz w:val="20"/>
          <w:szCs w:val="20"/>
          <w:lang w:val="en-US" w:eastAsia="zh-CN"/>
        </w:rPr>
        <w:t>C</w:t>
      </w:r>
      <w:r>
        <w:rPr>
          <w:rFonts w:hint="eastAsia" w:ascii="Times New Roman" w:hAnsi="Times New Roman" w:eastAsia="宋体" w:cs="Times New Roman"/>
          <w:sz w:val="20"/>
          <w:szCs w:val="20"/>
          <w:lang w:val="en-US" w:eastAsia="zh-CN"/>
        </w:rPr>
        <w:t>), KIRP (</w:t>
      </w:r>
      <w:r>
        <w:rPr>
          <w:rFonts w:hint="eastAsia" w:ascii="Times New Roman" w:hAnsi="Times New Roman" w:eastAsia="宋体" w:cs="Times New Roman"/>
          <w:b/>
          <w:bCs/>
          <w:sz w:val="20"/>
          <w:szCs w:val="20"/>
          <w:lang w:val="en-US" w:eastAsia="zh-CN"/>
        </w:rPr>
        <w:t>D</w:t>
      </w:r>
      <w:r>
        <w:rPr>
          <w:rFonts w:hint="eastAsia" w:ascii="Times New Roman" w:hAnsi="Times New Roman" w:eastAsia="宋体" w:cs="Times New Roman"/>
          <w:sz w:val="20"/>
          <w:szCs w:val="20"/>
          <w:lang w:val="en-US" w:eastAsia="zh-CN"/>
        </w:rPr>
        <w:t>), LAML (</w:t>
      </w:r>
      <w:r>
        <w:rPr>
          <w:rFonts w:hint="eastAsia" w:ascii="Times New Roman" w:hAnsi="Times New Roman" w:eastAsia="宋体" w:cs="Times New Roman"/>
          <w:b/>
          <w:bCs/>
          <w:sz w:val="20"/>
          <w:szCs w:val="20"/>
          <w:lang w:val="en-US" w:eastAsia="zh-CN"/>
        </w:rPr>
        <w:t>E</w:t>
      </w:r>
      <w:r>
        <w:rPr>
          <w:rFonts w:hint="eastAsia" w:ascii="Times New Roman" w:hAnsi="Times New Roman" w:eastAsia="宋体" w:cs="Times New Roman"/>
          <w:sz w:val="20"/>
          <w:szCs w:val="20"/>
          <w:lang w:val="en-US" w:eastAsia="zh-CN"/>
        </w:rPr>
        <w:t>), LGG (</w:t>
      </w:r>
      <w:r>
        <w:rPr>
          <w:rFonts w:hint="eastAsia" w:ascii="Times New Roman" w:hAnsi="Times New Roman" w:eastAsia="宋体" w:cs="Times New Roman"/>
          <w:b/>
          <w:bCs/>
          <w:sz w:val="20"/>
          <w:szCs w:val="20"/>
          <w:lang w:val="en-US" w:eastAsia="zh-CN"/>
        </w:rPr>
        <w:t>F</w:t>
      </w:r>
      <w:r>
        <w:rPr>
          <w:rFonts w:hint="eastAsia" w:ascii="Times New Roman" w:hAnsi="Times New Roman" w:eastAsia="宋体" w:cs="Times New Roman"/>
          <w:sz w:val="20"/>
          <w:szCs w:val="20"/>
          <w:lang w:val="en-US" w:eastAsia="zh-CN"/>
        </w:rPr>
        <w:t>), LIHC (</w:t>
      </w:r>
      <w:r>
        <w:rPr>
          <w:rFonts w:hint="eastAsia" w:ascii="Times New Roman" w:hAnsi="Times New Roman" w:eastAsia="宋体" w:cs="Times New Roman"/>
          <w:b/>
          <w:bCs/>
          <w:sz w:val="20"/>
          <w:szCs w:val="20"/>
          <w:lang w:val="en-US" w:eastAsia="zh-CN"/>
        </w:rPr>
        <w:t>G</w:t>
      </w:r>
      <w:r>
        <w:rPr>
          <w:rFonts w:hint="eastAsia" w:ascii="Times New Roman" w:hAnsi="Times New Roman" w:eastAsia="宋体" w:cs="Times New Roman"/>
          <w:sz w:val="20"/>
          <w:szCs w:val="20"/>
          <w:lang w:val="en-US" w:eastAsia="zh-CN"/>
        </w:rPr>
        <w:t>), LUAD (</w:t>
      </w:r>
      <w:r>
        <w:rPr>
          <w:rFonts w:hint="eastAsia" w:ascii="Times New Roman" w:hAnsi="Times New Roman" w:eastAsia="宋体" w:cs="Times New Roman"/>
          <w:b/>
          <w:bCs/>
          <w:sz w:val="20"/>
          <w:szCs w:val="20"/>
          <w:lang w:val="en-US" w:eastAsia="zh-CN"/>
        </w:rPr>
        <w:t>H</w:t>
      </w:r>
      <w:r>
        <w:rPr>
          <w:rFonts w:hint="eastAsia" w:ascii="Times New Roman" w:hAnsi="Times New Roman" w:eastAsia="宋体" w:cs="Times New Roman"/>
          <w:sz w:val="20"/>
          <w:szCs w:val="20"/>
          <w:lang w:val="en-US" w:eastAsia="zh-CN"/>
        </w:rPr>
        <w:t>), MESO (</w:t>
      </w:r>
      <w:r>
        <w:rPr>
          <w:rFonts w:hint="eastAsia" w:ascii="Times New Roman" w:hAnsi="Times New Roman" w:eastAsia="宋体" w:cs="Times New Roman"/>
          <w:b/>
          <w:bCs/>
          <w:sz w:val="20"/>
          <w:szCs w:val="20"/>
          <w:lang w:val="en-US" w:eastAsia="zh-CN"/>
        </w:rPr>
        <w:t>I</w:t>
      </w:r>
      <w:r>
        <w:rPr>
          <w:rFonts w:hint="eastAsia" w:ascii="Times New Roman" w:hAnsi="Times New Roman" w:eastAsia="宋体" w:cs="Times New Roman"/>
          <w:sz w:val="20"/>
          <w:szCs w:val="20"/>
          <w:lang w:val="en-US" w:eastAsia="zh-CN"/>
        </w:rPr>
        <w:t>), PAAD (</w:t>
      </w:r>
      <w:r>
        <w:rPr>
          <w:rFonts w:hint="eastAsia" w:ascii="Times New Roman" w:hAnsi="Times New Roman" w:eastAsia="宋体" w:cs="Times New Roman"/>
          <w:b/>
          <w:bCs/>
          <w:sz w:val="20"/>
          <w:szCs w:val="20"/>
          <w:lang w:val="en-US" w:eastAsia="zh-CN"/>
        </w:rPr>
        <w:t>J</w:t>
      </w:r>
      <w:r>
        <w:rPr>
          <w:rFonts w:hint="eastAsia" w:ascii="Times New Roman" w:hAnsi="Times New Roman" w:eastAsia="宋体" w:cs="Times New Roman"/>
          <w:sz w:val="20"/>
          <w:szCs w:val="20"/>
          <w:lang w:val="en-US" w:eastAsia="zh-CN"/>
        </w:rPr>
        <w:t xml:space="preserve">), and THYM </w:t>
      </w:r>
      <w:r>
        <w:rPr>
          <w:rFonts w:hint="eastAsia" w:ascii="Times New Roman" w:hAnsi="Times New Roman" w:eastAsia="宋体" w:cs="Times New Roman"/>
          <w:b w:val="0"/>
          <w:bCs w:val="0"/>
          <w:sz w:val="20"/>
          <w:szCs w:val="20"/>
          <w:lang w:val="en-US" w:eastAsia="zh-CN"/>
        </w:rPr>
        <w:t>(</w:t>
      </w:r>
      <w:r>
        <w:rPr>
          <w:rFonts w:hint="eastAsia" w:ascii="Times New Roman" w:hAnsi="Times New Roman" w:eastAsia="宋体" w:cs="Times New Roman"/>
          <w:b/>
          <w:bCs/>
          <w:sz w:val="20"/>
          <w:szCs w:val="20"/>
          <w:lang w:val="en-US" w:eastAsia="zh-CN"/>
        </w:rPr>
        <w:t>K</w:t>
      </w:r>
      <w:r>
        <w:rPr>
          <w:rFonts w:hint="eastAsia" w:ascii="Times New Roman" w:hAnsi="Times New Roman" w:eastAsia="宋体" w:cs="Times New Roman"/>
          <w:b w:val="0"/>
          <w:bCs w:val="0"/>
          <w:sz w:val="20"/>
          <w:szCs w:val="20"/>
          <w:lang w:val="en-US" w:eastAsia="zh-CN"/>
        </w:rPr>
        <w:t>)</w:t>
      </w:r>
      <w:r>
        <w:rPr>
          <w:rFonts w:hint="default" w:ascii="Times New Roman" w:hAnsi="Times New Roman" w:eastAsia="宋体" w:cs="Times New Roman"/>
          <w:sz w:val="20"/>
          <w:szCs w:val="20"/>
        </w:rPr>
        <w:t xml:space="preserve"> </w:t>
      </w:r>
      <w:r>
        <w:rPr>
          <w:rFonts w:hint="default" w:ascii="Times New Roman" w:hAnsi="Times New Roman" w:eastAsia="宋体" w:cs="Times New Roman"/>
          <w:sz w:val="20"/>
          <w:szCs w:val="20"/>
          <w:lang w:val="en-US" w:eastAsia="zh-CN"/>
        </w:rPr>
        <w:t xml:space="preserve">in TCGA by </w:t>
      </w:r>
      <w:r>
        <w:rPr>
          <w:rFonts w:hint="eastAsia" w:ascii="Times New Roman" w:hAnsi="Times New Roman" w:eastAsia="宋体" w:cs="Times New Roman"/>
          <w:sz w:val="20"/>
          <w:szCs w:val="20"/>
          <w:lang w:val="en-US" w:eastAsia="zh-CN"/>
        </w:rPr>
        <w:t xml:space="preserve">HMMR </w:t>
      </w:r>
      <w:r>
        <w:rPr>
          <w:rFonts w:hint="default" w:ascii="Times New Roman" w:hAnsi="Times New Roman" w:eastAsia="宋体" w:cs="Times New Roman"/>
          <w:sz w:val="20"/>
          <w:szCs w:val="20"/>
          <w:lang w:val="en-US" w:eastAsia="zh-CN"/>
        </w:rPr>
        <w:t>gene expression.</w:t>
      </w:r>
    </w:p>
    <w:p>
      <w:pPr>
        <w:keepNext/>
        <w:keepLines/>
        <w:tabs>
          <w:tab w:val="left" w:pos="1939"/>
        </w:tabs>
        <w:spacing w:before="260" w:after="260" w:line="360" w:lineRule="auto"/>
        <w:outlineLvl w:val="2"/>
        <w:rPr>
          <w:rFonts w:hint="default" w:ascii="Times New Roman" w:hAnsi="Times New Roman" w:eastAsia="宋体" w:cs="Times New Roman"/>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ure S4</w:t>
      </w:r>
      <w:r>
        <w:rPr>
          <w:rFonts w:hint="default" w:ascii="Times New Roman" w:hAnsi="Times New Roman" w:eastAsia="宋体" w:cs="Times New Roman"/>
          <w:b/>
          <w:bCs/>
          <w:sz w:val="20"/>
          <w:szCs w:val="20"/>
        </w:rPr>
        <w:t xml:space="preserve">. Correlation between </w:t>
      </w:r>
      <w:r>
        <w:rPr>
          <w:rFonts w:hint="eastAsia" w:ascii="Times New Roman" w:hAnsi="Times New Roman" w:eastAsia="宋体" w:cs="Times New Roman"/>
          <w:b/>
          <w:bCs/>
          <w:sz w:val="20"/>
          <w:szCs w:val="20"/>
          <w:lang w:val="en-US" w:eastAsia="zh-CN"/>
        </w:rPr>
        <w:t xml:space="preserve">HMMR </w:t>
      </w:r>
      <w:r>
        <w:rPr>
          <w:rFonts w:hint="default" w:ascii="Times New Roman" w:hAnsi="Times New Roman" w:eastAsia="宋体" w:cs="Times New Roman"/>
          <w:b/>
          <w:bCs/>
          <w:sz w:val="20"/>
          <w:szCs w:val="20"/>
        </w:rPr>
        <w:t xml:space="preserve">gene expression and </w:t>
      </w:r>
      <w:r>
        <w:rPr>
          <w:rFonts w:hint="eastAsia" w:ascii="Times New Roman" w:hAnsi="Times New Roman" w:eastAsia="宋体" w:cs="Times New Roman"/>
          <w:b/>
          <w:bCs/>
          <w:sz w:val="20"/>
          <w:szCs w:val="20"/>
          <w:lang w:val="en-US" w:eastAsia="zh-CN"/>
        </w:rPr>
        <w:t xml:space="preserve">Disease free </w:t>
      </w:r>
      <w:r>
        <w:rPr>
          <w:rFonts w:hint="default" w:ascii="Times New Roman" w:hAnsi="Times New Roman" w:eastAsia="宋体" w:cs="Times New Roman"/>
          <w:b/>
          <w:bCs/>
          <w:sz w:val="20"/>
          <w:szCs w:val="20"/>
        </w:rPr>
        <w:t>survival prognosis of cancers</w:t>
      </w:r>
      <w:r>
        <w:rPr>
          <w:rFonts w:hint="eastAsia" w:ascii="Times New Roman" w:hAnsi="Times New Roman" w:eastAsia="宋体" w:cs="Times New Roman"/>
          <w:b/>
          <w:bCs/>
          <w:sz w:val="20"/>
          <w:szCs w:val="20"/>
          <w:lang w:val="en-US" w:eastAsia="zh-CN"/>
        </w:rPr>
        <w:t xml:space="preserve"> </w:t>
      </w:r>
      <w:r>
        <w:rPr>
          <w:rFonts w:hint="default" w:ascii="Times New Roman" w:hAnsi="Times New Roman" w:eastAsia="宋体" w:cs="Times New Roman"/>
          <w:b/>
          <w:bCs/>
          <w:sz w:val="20"/>
          <w:szCs w:val="20"/>
        </w:rPr>
        <w:t>in TCGA.</w:t>
      </w:r>
      <w:r>
        <w:rPr>
          <w:rFonts w:hint="eastAsia" w:ascii="Times New Roman" w:hAnsi="Times New Roman" w:eastAsia="宋体" w:cs="Times New Roman"/>
          <w:b/>
          <w:bCs/>
          <w:sz w:val="20"/>
          <w:szCs w:val="20"/>
          <w:lang w:val="en-US" w:eastAsia="zh-CN"/>
        </w:rPr>
        <w:t xml:space="preserve"> </w:t>
      </w:r>
      <w:r>
        <w:rPr>
          <w:rFonts w:hint="eastAsia" w:ascii="Times New Roman" w:hAnsi="Times New Roman" w:eastAsia="宋体" w:cs="Times New Roman"/>
          <w:b w:val="0"/>
          <w:bCs w:val="0"/>
          <w:sz w:val="20"/>
          <w:szCs w:val="20"/>
          <w:lang w:val="en-US" w:eastAsia="zh-CN"/>
        </w:rPr>
        <w:t>T</w:t>
      </w:r>
      <w:r>
        <w:rPr>
          <w:rFonts w:hint="default" w:ascii="Times New Roman" w:hAnsi="Times New Roman" w:eastAsia="宋体" w:cs="Times New Roman"/>
          <w:sz w:val="20"/>
          <w:szCs w:val="20"/>
        </w:rPr>
        <w:t xml:space="preserve">he GEPIA2 tool to perform </w:t>
      </w:r>
      <w:r>
        <w:rPr>
          <w:rFonts w:hint="eastAsia" w:ascii="Times New Roman" w:hAnsi="Times New Roman" w:eastAsia="宋体" w:cs="Times New Roman"/>
          <w:sz w:val="20"/>
          <w:szCs w:val="20"/>
          <w:lang w:val="en-US" w:eastAsia="zh-CN"/>
        </w:rPr>
        <w:t>disease free</w:t>
      </w:r>
      <w:r>
        <w:rPr>
          <w:rFonts w:hint="default" w:ascii="Times New Roman" w:hAnsi="Times New Roman" w:eastAsia="宋体" w:cs="Times New Roman"/>
          <w:sz w:val="20"/>
          <w:szCs w:val="20"/>
        </w:rPr>
        <w:t xml:space="preserve"> survival </w:t>
      </w:r>
      <w:r>
        <w:rPr>
          <w:rFonts w:hint="eastAsia" w:ascii="Times New Roman" w:hAnsi="Times New Roman" w:eastAsia="宋体" w:cs="Times New Roman"/>
          <w:sz w:val="20"/>
          <w:szCs w:val="20"/>
          <w:lang w:val="en-US" w:eastAsia="zh-CN"/>
        </w:rPr>
        <w:t>analyses showed ACC (</w:t>
      </w:r>
      <w:r>
        <w:rPr>
          <w:rFonts w:hint="eastAsia" w:ascii="Times New Roman" w:hAnsi="Times New Roman" w:eastAsia="宋体" w:cs="Times New Roman"/>
          <w:b/>
          <w:bCs/>
          <w:sz w:val="20"/>
          <w:szCs w:val="20"/>
          <w:lang w:val="en-US" w:eastAsia="zh-CN"/>
        </w:rPr>
        <w:t>A</w:t>
      </w:r>
      <w:r>
        <w:rPr>
          <w:rFonts w:hint="eastAsia" w:ascii="Times New Roman" w:hAnsi="Times New Roman" w:eastAsia="宋体" w:cs="Times New Roman"/>
          <w:sz w:val="20"/>
          <w:szCs w:val="20"/>
          <w:lang w:val="en-US" w:eastAsia="zh-CN"/>
        </w:rPr>
        <w:t>), BLCA (</w:t>
      </w:r>
      <w:r>
        <w:rPr>
          <w:rFonts w:hint="eastAsia" w:ascii="Times New Roman" w:hAnsi="Times New Roman" w:eastAsia="宋体" w:cs="Times New Roman"/>
          <w:b/>
          <w:bCs/>
          <w:sz w:val="20"/>
          <w:szCs w:val="20"/>
          <w:lang w:val="en-US" w:eastAsia="zh-CN"/>
        </w:rPr>
        <w:t>B</w:t>
      </w:r>
      <w:r>
        <w:rPr>
          <w:rFonts w:hint="eastAsia" w:ascii="Times New Roman" w:hAnsi="Times New Roman" w:eastAsia="宋体" w:cs="Times New Roman"/>
          <w:sz w:val="20"/>
          <w:szCs w:val="20"/>
          <w:lang w:val="en-US" w:eastAsia="zh-CN"/>
        </w:rPr>
        <w:t>), KIRP (</w:t>
      </w:r>
      <w:r>
        <w:rPr>
          <w:rFonts w:hint="eastAsia" w:ascii="Times New Roman" w:hAnsi="Times New Roman" w:eastAsia="宋体" w:cs="Times New Roman"/>
          <w:b/>
          <w:bCs/>
          <w:sz w:val="20"/>
          <w:szCs w:val="20"/>
          <w:lang w:val="en-US" w:eastAsia="zh-CN"/>
        </w:rPr>
        <w:t>C</w:t>
      </w:r>
      <w:r>
        <w:rPr>
          <w:rFonts w:hint="eastAsia" w:ascii="Times New Roman" w:hAnsi="Times New Roman" w:eastAsia="宋体" w:cs="Times New Roman"/>
          <w:sz w:val="20"/>
          <w:szCs w:val="20"/>
          <w:lang w:val="en-US" w:eastAsia="zh-CN"/>
        </w:rPr>
        <w:t>), KIRC (</w:t>
      </w:r>
      <w:r>
        <w:rPr>
          <w:rFonts w:hint="eastAsia" w:ascii="Times New Roman" w:hAnsi="Times New Roman" w:eastAsia="宋体" w:cs="Times New Roman"/>
          <w:b/>
          <w:bCs/>
          <w:sz w:val="20"/>
          <w:szCs w:val="20"/>
          <w:lang w:val="en-US" w:eastAsia="zh-CN"/>
        </w:rPr>
        <w:t>D</w:t>
      </w:r>
      <w:r>
        <w:rPr>
          <w:rFonts w:hint="eastAsia" w:ascii="Times New Roman" w:hAnsi="Times New Roman" w:eastAsia="宋体" w:cs="Times New Roman"/>
          <w:sz w:val="20"/>
          <w:szCs w:val="20"/>
          <w:lang w:val="en-US" w:eastAsia="zh-CN"/>
        </w:rPr>
        <w:t>), SARC (</w:t>
      </w:r>
      <w:r>
        <w:rPr>
          <w:rFonts w:hint="eastAsia" w:ascii="Times New Roman" w:hAnsi="Times New Roman" w:eastAsia="宋体" w:cs="Times New Roman"/>
          <w:b/>
          <w:bCs/>
          <w:sz w:val="20"/>
          <w:szCs w:val="20"/>
          <w:lang w:val="en-US" w:eastAsia="zh-CN"/>
        </w:rPr>
        <w:t>E</w:t>
      </w:r>
      <w:r>
        <w:rPr>
          <w:rFonts w:hint="eastAsia" w:ascii="Times New Roman" w:hAnsi="Times New Roman" w:eastAsia="宋体" w:cs="Times New Roman"/>
          <w:sz w:val="20"/>
          <w:szCs w:val="20"/>
          <w:lang w:val="en-US" w:eastAsia="zh-CN"/>
        </w:rPr>
        <w:t>), LGG (</w:t>
      </w:r>
      <w:r>
        <w:rPr>
          <w:rFonts w:hint="eastAsia" w:ascii="Times New Roman" w:hAnsi="Times New Roman" w:eastAsia="宋体" w:cs="Times New Roman"/>
          <w:b/>
          <w:bCs/>
          <w:sz w:val="20"/>
          <w:szCs w:val="20"/>
          <w:lang w:val="en-US" w:eastAsia="zh-CN"/>
        </w:rPr>
        <w:t>F</w:t>
      </w:r>
      <w:r>
        <w:rPr>
          <w:rFonts w:hint="eastAsia" w:ascii="Times New Roman" w:hAnsi="Times New Roman" w:eastAsia="宋体" w:cs="Times New Roman"/>
          <w:sz w:val="20"/>
          <w:szCs w:val="20"/>
          <w:lang w:val="en-US" w:eastAsia="zh-CN"/>
        </w:rPr>
        <w:t>), LIHC (</w:t>
      </w:r>
      <w:r>
        <w:rPr>
          <w:rFonts w:hint="eastAsia" w:ascii="Times New Roman" w:hAnsi="Times New Roman" w:eastAsia="宋体" w:cs="Times New Roman"/>
          <w:b/>
          <w:bCs/>
          <w:sz w:val="20"/>
          <w:szCs w:val="20"/>
          <w:lang w:val="en-US" w:eastAsia="zh-CN"/>
        </w:rPr>
        <w:t>G</w:t>
      </w:r>
      <w:r>
        <w:rPr>
          <w:rFonts w:hint="eastAsia" w:ascii="Times New Roman" w:hAnsi="Times New Roman" w:eastAsia="宋体" w:cs="Times New Roman"/>
          <w:sz w:val="20"/>
          <w:szCs w:val="20"/>
          <w:lang w:val="en-US" w:eastAsia="zh-CN"/>
        </w:rPr>
        <w:t>), LUAD (</w:t>
      </w:r>
      <w:r>
        <w:rPr>
          <w:rFonts w:hint="eastAsia" w:ascii="Times New Roman" w:hAnsi="Times New Roman" w:eastAsia="宋体" w:cs="Times New Roman"/>
          <w:b/>
          <w:bCs/>
          <w:sz w:val="20"/>
          <w:szCs w:val="20"/>
          <w:lang w:val="en-US" w:eastAsia="zh-CN"/>
        </w:rPr>
        <w:t>H</w:t>
      </w:r>
      <w:r>
        <w:rPr>
          <w:rFonts w:hint="eastAsia" w:ascii="Times New Roman" w:hAnsi="Times New Roman" w:eastAsia="宋体" w:cs="Times New Roman"/>
          <w:sz w:val="20"/>
          <w:szCs w:val="20"/>
          <w:lang w:val="en-US" w:eastAsia="zh-CN"/>
        </w:rPr>
        <w:t>), THCA (</w:t>
      </w:r>
      <w:r>
        <w:rPr>
          <w:rFonts w:hint="eastAsia" w:ascii="Times New Roman" w:hAnsi="Times New Roman" w:eastAsia="宋体" w:cs="Times New Roman"/>
          <w:b/>
          <w:bCs/>
          <w:sz w:val="20"/>
          <w:szCs w:val="20"/>
          <w:lang w:val="en-US" w:eastAsia="zh-CN"/>
        </w:rPr>
        <w:t>I</w:t>
      </w:r>
      <w:r>
        <w:rPr>
          <w:rFonts w:hint="eastAsia" w:ascii="Times New Roman" w:hAnsi="Times New Roman" w:eastAsia="宋体" w:cs="Times New Roman"/>
          <w:sz w:val="20"/>
          <w:szCs w:val="20"/>
          <w:lang w:val="en-US" w:eastAsia="zh-CN"/>
        </w:rPr>
        <w:t>), PAAD (</w:t>
      </w:r>
      <w:r>
        <w:rPr>
          <w:rFonts w:hint="eastAsia" w:ascii="Times New Roman" w:hAnsi="Times New Roman" w:eastAsia="宋体" w:cs="Times New Roman"/>
          <w:b/>
          <w:bCs/>
          <w:sz w:val="20"/>
          <w:szCs w:val="20"/>
          <w:lang w:val="en-US" w:eastAsia="zh-CN"/>
        </w:rPr>
        <w:t>J</w:t>
      </w:r>
      <w:r>
        <w:rPr>
          <w:rFonts w:hint="eastAsia" w:ascii="Times New Roman" w:hAnsi="Times New Roman" w:eastAsia="宋体" w:cs="Times New Roman"/>
          <w:sz w:val="20"/>
          <w:szCs w:val="20"/>
          <w:lang w:val="en-US" w:eastAsia="zh-CN"/>
        </w:rPr>
        <w:t xml:space="preserve">), and PRAD </w:t>
      </w:r>
      <w:r>
        <w:rPr>
          <w:rFonts w:hint="eastAsia" w:ascii="Times New Roman" w:hAnsi="Times New Roman" w:eastAsia="宋体" w:cs="Times New Roman"/>
          <w:b w:val="0"/>
          <w:bCs w:val="0"/>
          <w:sz w:val="20"/>
          <w:szCs w:val="20"/>
          <w:lang w:val="en-US" w:eastAsia="zh-CN"/>
        </w:rPr>
        <w:t>(</w:t>
      </w:r>
      <w:r>
        <w:rPr>
          <w:rFonts w:hint="eastAsia" w:ascii="Times New Roman" w:hAnsi="Times New Roman" w:eastAsia="宋体" w:cs="Times New Roman"/>
          <w:b/>
          <w:bCs/>
          <w:sz w:val="20"/>
          <w:szCs w:val="20"/>
          <w:lang w:val="en-US" w:eastAsia="zh-CN"/>
        </w:rPr>
        <w:t>K</w:t>
      </w:r>
      <w:r>
        <w:rPr>
          <w:rFonts w:hint="eastAsia" w:ascii="Times New Roman" w:hAnsi="Times New Roman" w:eastAsia="宋体" w:cs="Times New Roman"/>
          <w:b w:val="0"/>
          <w:bCs w:val="0"/>
          <w:sz w:val="20"/>
          <w:szCs w:val="20"/>
          <w:lang w:val="en-US" w:eastAsia="zh-CN"/>
        </w:rPr>
        <w:t>)</w:t>
      </w:r>
      <w:r>
        <w:rPr>
          <w:rFonts w:hint="default" w:ascii="Times New Roman" w:hAnsi="Times New Roman" w:eastAsia="宋体" w:cs="Times New Roman"/>
          <w:sz w:val="20"/>
          <w:szCs w:val="20"/>
        </w:rPr>
        <w:t xml:space="preserve"> </w:t>
      </w:r>
      <w:r>
        <w:rPr>
          <w:rFonts w:hint="default" w:ascii="Times New Roman" w:hAnsi="Times New Roman" w:eastAsia="宋体" w:cs="Times New Roman"/>
          <w:sz w:val="20"/>
          <w:szCs w:val="20"/>
          <w:lang w:val="en-US" w:eastAsia="zh-CN"/>
        </w:rPr>
        <w:t xml:space="preserve">in TCGA by </w:t>
      </w:r>
      <w:r>
        <w:rPr>
          <w:rFonts w:hint="eastAsia" w:ascii="Times New Roman" w:hAnsi="Times New Roman" w:eastAsia="宋体" w:cs="Times New Roman"/>
          <w:sz w:val="20"/>
          <w:szCs w:val="20"/>
          <w:lang w:val="en-US" w:eastAsia="zh-CN"/>
        </w:rPr>
        <w:t xml:space="preserve">HMMR </w:t>
      </w:r>
      <w:r>
        <w:rPr>
          <w:rFonts w:hint="default" w:ascii="Times New Roman" w:hAnsi="Times New Roman" w:eastAsia="宋体" w:cs="Times New Roman"/>
          <w:sz w:val="20"/>
          <w:szCs w:val="20"/>
          <w:lang w:val="en-US" w:eastAsia="zh-CN"/>
        </w:rPr>
        <w:t>gene expression.</w:t>
      </w: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 xml:space="preserve">ure S5. Relationship between HMMR gene and OS of cancers using the SangerBox tool. </w:t>
      </w:r>
      <w:r>
        <w:rPr>
          <w:rFonts w:hint="eastAsia" w:ascii="Times New Roman" w:hAnsi="Times New Roman" w:eastAsia="宋体" w:cs="Times New Roman"/>
          <w:b w:val="0"/>
          <w:bCs w:val="0"/>
          <w:sz w:val="20"/>
          <w:szCs w:val="20"/>
          <w:lang w:val="en-US" w:eastAsia="zh-CN"/>
        </w:rPr>
        <w:t xml:space="preserve">We used the SangerBox toll to perform OS analyses indifferent cancers </w:t>
      </w:r>
      <w:r>
        <w:rPr>
          <w:rFonts w:hint="default" w:ascii="Times New Roman" w:hAnsi="Times New Roman" w:eastAsia="宋体" w:cs="Times New Roman"/>
          <w:sz w:val="20"/>
          <w:szCs w:val="20"/>
        </w:rPr>
        <w:t>of TCGA</w:t>
      </w:r>
      <w:r>
        <w:rPr>
          <w:rFonts w:hint="eastAsia" w:ascii="Times New Roman" w:hAnsi="Times New Roman" w:eastAsia="宋体" w:cs="Times New Roman"/>
          <w:b w:val="0"/>
          <w:bCs w:val="0"/>
          <w:sz w:val="20"/>
          <w:szCs w:val="20"/>
          <w:lang w:val="en-US" w:eastAsia="zh-CN"/>
        </w:rPr>
        <w:t>.</w:t>
      </w:r>
    </w:p>
    <w:p>
      <w:pPr>
        <w:keepNext/>
        <w:keepLines/>
        <w:spacing w:before="260" w:after="260" w:line="360" w:lineRule="auto"/>
        <w:outlineLvl w:val="2"/>
        <w:rPr>
          <w:rFonts w:hint="default" w:ascii="Times New Roman" w:hAnsi="Times New Roman" w:eastAsia="宋体" w:cs="Times New Roman"/>
          <w:b/>
          <w:bCs/>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 xml:space="preserve">ure S6. Correlation between </w:t>
      </w:r>
      <w:r>
        <w:rPr>
          <w:rFonts w:hint="eastAsia" w:ascii="Times New Roman" w:hAnsi="Times New Roman" w:eastAsia="宋体" w:cs="Times New Roman"/>
          <w:b/>
          <w:bCs/>
          <w:i/>
          <w:iCs/>
          <w:sz w:val="20"/>
          <w:szCs w:val="20"/>
          <w:lang w:val="en-US" w:eastAsia="zh-CN"/>
        </w:rPr>
        <w:t>HMMR</w:t>
      </w:r>
      <w:r>
        <w:rPr>
          <w:rFonts w:hint="eastAsia" w:ascii="Times New Roman" w:hAnsi="Times New Roman" w:eastAsia="宋体" w:cs="Times New Roman"/>
          <w:b/>
          <w:bCs/>
          <w:sz w:val="20"/>
          <w:szCs w:val="20"/>
          <w:lang w:val="en-US" w:eastAsia="zh-CN"/>
        </w:rPr>
        <w:t xml:space="preserve"> expression and tumor mutational burden.</w:t>
      </w:r>
      <w:r>
        <w:rPr>
          <w:rFonts w:ascii="Arial" w:hAnsi="Arial" w:eastAsia="宋体" w:cs="Arial"/>
          <w:b/>
          <w:bCs/>
          <w:sz w:val="20"/>
          <w:szCs w:val="20"/>
        </w:rPr>
        <w:t xml:space="preserve"> </w:t>
      </w:r>
      <w:r>
        <w:rPr>
          <w:rFonts w:hint="default" w:ascii="Times New Roman" w:hAnsi="Times New Roman" w:eastAsia="宋体" w:cs="Times New Roman"/>
          <w:bCs/>
          <w:sz w:val="20"/>
          <w:szCs w:val="20"/>
        </w:rPr>
        <w:t>Based on the</w:t>
      </w:r>
      <w:r>
        <w:rPr>
          <w:rFonts w:hint="default" w:ascii="Times New Roman" w:hAnsi="Times New Roman" w:eastAsia="宋体" w:cs="Times New Roman"/>
          <w:b/>
          <w:bCs/>
          <w:sz w:val="20"/>
          <w:szCs w:val="20"/>
        </w:rPr>
        <w:t xml:space="preserve"> </w:t>
      </w:r>
      <w:r>
        <w:rPr>
          <w:rFonts w:hint="default" w:ascii="Times New Roman" w:hAnsi="Times New Roman" w:eastAsia="宋体" w:cs="Times New Roman"/>
          <w:sz w:val="20"/>
          <w:szCs w:val="20"/>
        </w:rPr>
        <w:t xml:space="preserve">different tumors of TCGA, we explored the potential correlation between </w:t>
      </w:r>
      <w:r>
        <w:rPr>
          <w:rFonts w:hint="eastAsia" w:ascii="Times New Roman" w:hAnsi="Times New Roman" w:eastAsia="宋体" w:cs="Times New Roman"/>
          <w:i/>
          <w:iCs/>
          <w:sz w:val="20"/>
          <w:szCs w:val="20"/>
          <w:lang w:val="en-US" w:eastAsia="zh-CN"/>
        </w:rPr>
        <w:t>HMMR</w:t>
      </w:r>
      <w:r>
        <w:rPr>
          <w:rFonts w:hint="default" w:ascii="Times New Roman" w:hAnsi="Times New Roman" w:eastAsia="宋体" w:cs="Times New Roman"/>
          <w:sz w:val="20"/>
          <w:szCs w:val="20"/>
        </w:rPr>
        <w:t xml:space="preserve"> expression and tumor mutational burden (TMB). The </w:t>
      </w:r>
      <w:r>
        <w:rPr>
          <w:rStyle w:val="7"/>
          <w:rFonts w:hint="default" w:ascii="Times New Roman" w:hAnsi="Times New Roman" w:cs="Times New Roman"/>
          <w:sz w:val="20"/>
          <w:szCs w:val="20"/>
          <w:shd w:val="clear" w:color="auto" w:fill="FFFFFF"/>
        </w:rPr>
        <w:t>P</w:t>
      </w:r>
      <w:r>
        <w:rPr>
          <w:rStyle w:val="7"/>
          <w:rFonts w:hint="default" w:ascii="Times New Roman" w:hAnsi="Times New Roman" w:cs="Times New Roman"/>
          <w:i w:val="0"/>
          <w:iCs w:val="0"/>
          <w:sz w:val="20"/>
          <w:szCs w:val="20"/>
          <w:shd w:val="clear" w:color="auto" w:fill="FFFFFF"/>
        </w:rPr>
        <w:t xml:space="preserve">-value is supplied. The </w:t>
      </w:r>
      <w:r>
        <w:rPr>
          <w:rFonts w:hint="default" w:ascii="Times New Roman" w:hAnsi="Times New Roman" w:eastAsia="微软雅黑" w:cs="Times New Roman"/>
          <w:sz w:val="20"/>
          <w:szCs w:val="20"/>
          <w:shd w:val="clear" w:color="auto" w:fill="FFFFFF"/>
        </w:rPr>
        <w:t xml:space="preserve">partial correlation </w:t>
      </w:r>
      <w:r>
        <w:rPr>
          <w:rFonts w:hint="default" w:ascii="Times New Roman" w:hAnsi="Times New Roman" w:eastAsia="宋体" w:cs="Times New Roman"/>
          <w:sz w:val="20"/>
          <w:szCs w:val="20"/>
        </w:rPr>
        <w:t>(</w:t>
      </w:r>
      <w:r>
        <w:rPr>
          <w:rFonts w:hint="default" w:ascii="Times New Roman" w:hAnsi="Times New Roman" w:eastAsia="微软雅黑" w:cs="Times New Roman"/>
          <w:sz w:val="20"/>
          <w:szCs w:val="20"/>
          <w:shd w:val="clear" w:color="auto" w:fill="FFFFFF"/>
        </w:rPr>
        <w:t>cor</w:t>
      </w:r>
      <w:r>
        <w:rPr>
          <w:rFonts w:hint="default" w:ascii="Times New Roman" w:hAnsi="Times New Roman" w:eastAsia="宋体" w:cs="Times New Roman"/>
          <w:sz w:val="20"/>
          <w:szCs w:val="20"/>
        </w:rPr>
        <w:t>) values of +0.</w:t>
      </w:r>
      <w:r>
        <w:rPr>
          <w:rFonts w:hint="eastAsia" w:ascii="Times New Roman" w:hAnsi="Times New Roman" w:eastAsia="宋体" w:cs="Times New Roman"/>
          <w:sz w:val="20"/>
          <w:szCs w:val="20"/>
          <w:lang w:val="en-US" w:eastAsia="zh-CN"/>
        </w:rPr>
        <w:t>62</w:t>
      </w:r>
      <w:r>
        <w:rPr>
          <w:rFonts w:hint="default" w:ascii="Times New Roman" w:hAnsi="Times New Roman" w:eastAsia="宋体" w:cs="Times New Roman"/>
          <w:sz w:val="20"/>
          <w:szCs w:val="20"/>
        </w:rPr>
        <w:t xml:space="preserve"> and -0.</w:t>
      </w:r>
      <w:r>
        <w:rPr>
          <w:rFonts w:hint="eastAsia" w:ascii="Times New Roman" w:hAnsi="Times New Roman" w:eastAsia="宋体" w:cs="Times New Roman"/>
          <w:sz w:val="20"/>
          <w:szCs w:val="20"/>
          <w:lang w:val="en-US" w:eastAsia="zh-CN"/>
        </w:rPr>
        <w:t>62</w:t>
      </w:r>
      <w:r>
        <w:rPr>
          <w:rFonts w:hint="default" w:ascii="Times New Roman" w:hAnsi="Times New Roman" w:eastAsia="宋体" w:cs="Times New Roman"/>
          <w:sz w:val="20"/>
          <w:szCs w:val="20"/>
        </w:rPr>
        <w:t xml:space="preserve"> are marked.</w:t>
      </w:r>
    </w:p>
    <w:p>
      <w:pPr>
        <w:keepNext/>
        <w:keepLines/>
        <w:spacing w:before="260" w:after="260" w:line="360" w:lineRule="auto"/>
        <w:outlineLvl w:val="2"/>
        <w:rPr>
          <w:rFonts w:hint="eastAsia" w:ascii="Times New Roman" w:hAnsi="Times New Roman" w:eastAsia="宋体" w:cs="Times New Roman"/>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 xml:space="preserve">ure S7. </w:t>
      </w:r>
      <w:r>
        <w:rPr>
          <w:rFonts w:hint="default" w:ascii="Times New Roman" w:hAnsi="Times New Roman" w:eastAsia="宋体" w:cs="Times New Roman"/>
          <w:b/>
          <w:bCs/>
          <w:sz w:val="20"/>
          <w:szCs w:val="20"/>
          <w:lang w:val="en-US" w:eastAsia="zh-CN"/>
        </w:rPr>
        <w:t xml:space="preserve">Correlation between </w:t>
      </w:r>
      <w:r>
        <w:rPr>
          <w:rFonts w:hint="eastAsia" w:ascii="Times New Roman" w:hAnsi="Times New Roman" w:eastAsia="宋体" w:cs="Times New Roman"/>
          <w:b/>
          <w:bCs/>
          <w:i/>
          <w:iCs/>
          <w:sz w:val="20"/>
          <w:szCs w:val="20"/>
          <w:lang w:val="en-US" w:eastAsia="zh-CN"/>
        </w:rPr>
        <w:t>HMMR</w:t>
      </w:r>
      <w:r>
        <w:rPr>
          <w:rFonts w:hint="default" w:ascii="Times New Roman" w:hAnsi="Times New Roman" w:eastAsia="宋体" w:cs="Times New Roman"/>
          <w:b/>
          <w:bCs/>
          <w:sz w:val="20"/>
          <w:szCs w:val="20"/>
          <w:lang w:val="en-US" w:eastAsia="zh-CN"/>
        </w:rPr>
        <w:t xml:space="preserve"> expression and microsatellite instability.</w:t>
      </w:r>
      <w:r>
        <w:rPr>
          <w:rFonts w:hint="eastAsia" w:ascii="Times New Roman" w:hAnsi="Times New Roman" w:eastAsia="宋体" w:cs="Times New Roman"/>
          <w:b/>
          <w:bCs/>
          <w:sz w:val="20"/>
          <w:szCs w:val="20"/>
          <w:lang w:val="en-US" w:eastAsia="zh-CN"/>
        </w:rPr>
        <w:t xml:space="preserve"> </w:t>
      </w:r>
      <w:r>
        <w:rPr>
          <w:rFonts w:hint="default" w:ascii="Times New Roman" w:hAnsi="Times New Roman" w:eastAsia="宋体" w:cs="Times New Roman"/>
          <w:sz w:val="20"/>
          <w:szCs w:val="20"/>
        </w:rPr>
        <w:t xml:space="preserve">Based on the different tumors of TCGA, we explored the potential correlation between </w:t>
      </w:r>
      <w:r>
        <w:rPr>
          <w:rFonts w:hint="eastAsia" w:ascii="Times New Roman" w:hAnsi="Times New Roman" w:eastAsia="宋体" w:cs="Times New Roman"/>
          <w:i/>
          <w:iCs/>
          <w:sz w:val="20"/>
          <w:szCs w:val="20"/>
          <w:lang w:val="en-US" w:eastAsia="zh-CN"/>
        </w:rPr>
        <w:t>HMMR</w:t>
      </w:r>
      <w:r>
        <w:rPr>
          <w:rFonts w:hint="default" w:ascii="Times New Roman" w:hAnsi="Times New Roman" w:eastAsia="宋体" w:cs="Times New Roman"/>
          <w:sz w:val="20"/>
          <w:szCs w:val="20"/>
        </w:rPr>
        <w:t xml:space="preserve"> expression and microsatellite instability (MSI). The </w:t>
      </w:r>
      <w:r>
        <w:rPr>
          <w:rFonts w:hint="default" w:ascii="Times New Roman" w:hAnsi="Times New Roman" w:eastAsia="宋体" w:cs="Times New Roman"/>
          <w:i/>
          <w:iCs/>
          <w:sz w:val="20"/>
          <w:szCs w:val="20"/>
        </w:rPr>
        <w:t>P</w:t>
      </w:r>
      <w:r>
        <w:rPr>
          <w:rFonts w:hint="default" w:ascii="Times New Roman" w:hAnsi="Times New Roman" w:eastAsia="宋体" w:cs="Times New Roman"/>
          <w:sz w:val="20"/>
          <w:szCs w:val="20"/>
        </w:rPr>
        <w:t>-value is supplied. The partial correlation (cor) values of +0.</w:t>
      </w:r>
      <w:r>
        <w:rPr>
          <w:rFonts w:hint="eastAsia" w:ascii="Times New Roman" w:hAnsi="Times New Roman" w:eastAsia="宋体" w:cs="Times New Roman"/>
          <w:sz w:val="20"/>
          <w:szCs w:val="20"/>
          <w:lang w:val="en-US" w:eastAsia="zh-CN"/>
        </w:rPr>
        <w:t>55</w:t>
      </w:r>
      <w:r>
        <w:rPr>
          <w:rFonts w:hint="default" w:ascii="Times New Roman" w:hAnsi="Times New Roman" w:eastAsia="宋体" w:cs="Times New Roman"/>
          <w:sz w:val="20"/>
          <w:szCs w:val="20"/>
        </w:rPr>
        <w:t xml:space="preserve"> and -0.</w:t>
      </w:r>
      <w:r>
        <w:rPr>
          <w:rFonts w:hint="eastAsia" w:ascii="Times New Roman" w:hAnsi="Times New Roman" w:eastAsia="宋体" w:cs="Times New Roman"/>
          <w:sz w:val="20"/>
          <w:szCs w:val="20"/>
          <w:lang w:val="en-US" w:eastAsia="zh-CN"/>
        </w:rPr>
        <w:t>55</w:t>
      </w:r>
      <w:r>
        <w:rPr>
          <w:rFonts w:hint="default" w:ascii="Times New Roman" w:hAnsi="Times New Roman" w:eastAsia="宋体" w:cs="Times New Roman"/>
          <w:sz w:val="20"/>
          <w:szCs w:val="20"/>
        </w:rPr>
        <w:t xml:space="preserve"> are marked.</w:t>
      </w:r>
      <w:r>
        <w:rPr>
          <w:rFonts w:hint="eastAsia" w:ascii="Times New Roman" w:hAnsi="Times New Roman" w:eastAsia="宋体" w:cs="Times New Roman"/>
          <w:sz w:val="20"/>
          <w:szCs w:val="20"/>
          <w:lang w:val="en-US" w:eastAsia="zh-CN"/>
        </w:rPr>
        <w:t xml:space="preserve"> </w:t>
      </w: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ure S8. HMMR</w:t>
      </w:r>
      <w:r>
        <w:rPr>
          <w:rFonts w:hint="default" w:ascii="Times New Roman" w:hAnsi="Times New Roman" w:eastAsia="宋体" w:cs="Times New Roman"/>
          <w:b/>
          <w:bCs/>
          <w:sz w:val="20"/>
          <w:szCs w:val="20"/>
          <w:lang w:val="en-US" w:eastAsia="zh-CN"/>
        </w:rPr>
        <w:t xml:space="preserve"> promoted </w:t>
      </w:r>
      <w:r>
        <w:rPr>
          <w:rFonts w:hint="eastAsia" w:ascii="Times New Roman" w:hAnsi="Times New Roman" w:eastAsia="宋体" w:cs="Times New Roman"/>
          <w:b/>
          <w:bCs/>
          <w:sz w:val="20"/>
          <w:szCs w:val="20"/>
          <w:lang w:val="en-US" w:eastAsia="zh-CN"/>
        </w:rPr>
        <w:t>PDAC</w:t>
      </w:r>
      <w:r>
        <w:rPr>
          <w:rFonts w:hint="default" w:ascii="Times New Roman" w:hAnsi="Times New Roman" w:eastAsia="宋体" w:cs="Times New Roman"/>
          <w:b/>
          <w:bCs/>
          <w:sz w:val="20"/>
          <w:szCs w:val="20"/>
          <w:lang w:val="en-US" w:eastAsia="zh-CN"/>
        </w:rPr>
        <w:t xml:space="preserve"> cells proliferation.</w:t>
      </w:r>
      <w:r>
        <w:rPr>
          <w:rFonts w:hint="default" w:ascii="Times New Roman" w:hAnsi="Times New Roman" w:eastAsia="宋体" w:cs="Times New Roman"/>
          <w:b w:val="0"/>
          <w:bCs w:val="0"/>
          <w:sz w:val="20"/>
          <w:szCs w:val="20"/>
          <w:lang w:val="en-US" w:eastAsia="zh-CN"/>
        </w:rPr>
        <w:t xml:space="preserve"> (</w:t>
      </w:r>
      <w:r>
        <w:rPr>
          <w:rFonts w:hint="eastAsia" w:ascii="Times New Roman" w:hAnsi="Times New Roman" w:eastAsia="宋体" w:cs="Times New Roman"/>
          <w:b/>
          <w:bCs/>
          <w:sz w:val="20"/>
          <w:szCs w:val="20"/>
          <w:lang w:val="en-US" w:eastAsia="zh-CN"/>
        </w:rPr>
        <w:t>A</w:t>
      </w:r>
      <w:r>
        <w:rPr>
          <w:rFonts w:hint="default" w:ascii="Times New Roman" w:hAnsi="Times New Roman" w:eastAsia="宋体" w:cs="Times New Roman"/>
          <w:b w:val="0"/>
          <w:bCs w:val="0"/>
          <w:sz w:val="20"/>
          <w:szCs w:val="20"/>
          <w:lang w:val="en-US" w:eastAsia="zh-CN"/>
        </w:rPr>
        <w:t>) Real-time PCR and (</w:t>
      </w:r>
      <w:r>
        <w:rPr>
          <w:rFonts w:hint="eastAsia" w:ascii="Times New Roman" w:hAnsi="Times New Roman" w:eastAsia="宋体" w:cs="Times New Roman"/>
          <w:b/>
          <w:bCs/>
          <w:sz w:val="20"/>
          <w:szCs w:val="20"/>
          <w:lang w:val="en-US" w:eastAsia="zh-CN"/>
        </w:rPr>
        <w:t>B</w:t>
      </w:r>
      <w:r>
        <w:rPr>
          <w:rFonts w:hint="default" w:ascii="Times New Roman" w:hAnsi="Times New Roman" w:eastAsia="宋体" w:cs="Times New Roman"/>
          <w:b w:val="0"/>
          <w:bCs w:val="0"/>
          <w:sz w:val="20"/>
          <w:szCs w:val="20"/>
          <w:lang w:val="en-US" w:eastAsia="zh-CN"/>
        </w:rPr>
        <w:t>) western blot identified the mRNA</w:t>
      </w:r>
      <w:r>
        <w:rPr>
          <w:rFonts w:hint="eastAsia" w:ascii="Times New Roman" w:hAnsi="Times New Roman" w:eastAsia="宋体" w:cs="Times New Roman"/>
          <w:b w:val="0"/>
          <w:bCs w:val="0"/>
          <w:sz w:val="20"/>
          <w:szCs w:val="20"/>
          <w:lang w:val="en-US" w:eastAsia="zh-CN"/>
        </w:rPr>
        <w:t xml:space="preserve"> </w:t>
      </w:r>
      <w:r>
        <w:rPr>
          <w:rFonts w:hint="default" w:ascii="Times New Roman" w:hAnsi="Times New Roman" w:eastAsia="宋体" w:cs="Times New Roman"/>
          <w:b w:val="0"/>
          <w:bCs w:val="0"/>
          <w:sz w:val="20"/>
          <w:szCs w:val="20"/>
          <w:lang w:val="en-US" w:eastAsia="zh-CN"/>
        </w:rPr>
        <w:t>and protein expression of</w:t>
      </w:r>
      <w:r>
        <w:rPr>
          <w:rFonts w:hint="eastAsia" w:ascii="Times New Roman" w:hAnsi="Times New Roman" w:eastAsia="宋体" w:cs="Times New Roman"/>
          <w:b w:val="0"/>
          <w:bCs w:val="0"/>
          <w:sz w:val="20"/>
          <w:szCs w:val="20"/>
          <w:lang w:val="en-US" w:eastAsia="zh-CN"/>
        </w:rPr>
        <w:t xml:space="preserve"> Capan-2</w:t>
      </w:r>
      <w:r>
        <w:rPr>
          <w:rFonts w:hint="default" w:ascii="Times New Roman" w:hAnsi="Times New Roman" w:eastAsia="宋体" w:cs="Times New Roman"/>
          <w:b w:val="0"/>
          <w:bCs w:val="0"/>
          <w:sz w:val="20"/>
          <w:szCs w:val="20"/>
          <w:lang w:val="en-US" w:eastAsia="zh-CN"/>
        </w:rPr>
        <w:t>-sh</w:t>
      </w:r>
      <w:r>
        <w:rPr>
          <w:rFonts w:hint="eastAsia" w:ascii="Times New Roman" w:hAnsi="Times New Roman" w:eastAsia="宋体" w:cs="Times New Roman"/>
          <w:b w:val="0"/>
          <w:bCs w:val="0"/>
          <w:sz w:val="20"/>
          <w:szCs w:val="20"/>
          <w:lang w:val="en-US" w:eastAsia="zh-CN"/>
        </w:rPr>
        <w:t>HMMR</w:t>
      </w:r>
      <w:r>
        <w:rPr>
          <w:rFonts w:hint="default" w:ascii="Times New Roman" w:hAnsi="Times New Roman" w:eastAsia="宋体" w:cs="Times New Roman"/>
          <w:b w:val="0"/>
          <w:bCs w:val="0"/>
          <w:sz w:val="20"/>
          <w:szCs w:val="20"/>
          <w:lang w:val="en-US" w:eastAsia="zh-CN"/>
        </w:rPr>
        <w:t>-1,-2,-3 cells and their control cells. (</w:t>
      </w:r>
      <w:r>
        <w:rPr>
          <w:rFonts w:hint="eastAsia" w:ascii="Times New Roman" w:hAnsi="Times New Roman" w:eastAsia="宋体" w:cs="Times New Roman"/>
          <w:b/>
          <w:bCs/>
          <w:sz w:val="20"/>
          <w:szCs w:val="20"/>
          <w:lang w:val="en-US" w:eastAsia="zh-CN"/>
        </w:rPr>
        <w:t>C</w:t>
      </w:r>
      <w:r>
        <w:rPr>
          <w:rFonts w:hint="default" w:ascii="Times New Roman" w:hAnsi="Times New Roman" w:eastAsia="宋体" w:cs="Times New Roman"/>
          <w:b w:val="0"/>
          <w:bCs w:val="0"/>
          <w:sz w:val="20"/>
          <w:szCs w:val="20"/>
          <w:lang w:val="en-US" w:eastAsia="zh-CN"/>
        </w:rPr>
        <w:t xml:space="preserve">) </w:t>
      </w:r>
      <w:r>
        <w:rPr>
          <w:rFonts w:hint="eastAsia" w:ascii="Times New Roman" w:hAnsi="Times New Roman" w:eastAsia="宋体" w:cs="Times New Roman"/>
          <w:b w:val="0"/>
          <w:bCs w:val="0"/>
          <w:sz w:val="20"/>
          <w:szCs w:val="20"/>
          <w:lang w:val="en-US" w:eastAsia="zh-CN"/>
        </w:rPr>
        <w:t>Proliferation of Capan-2</w:t>
      </w:r>
      <w:r>
        <w:rPr>
          <w:rFonts w:hint="default" w:ascii="Times New Roman" w:hAnsi="Times New Roman" w:eastAsia="宋体" w:cs="Times New Roman"/>
          <w:b w:val="0"/>
          <w:bCs w:val="0"/>
          <w:sz w:val="20"/>
          <w:szCs w:val="20"/>
          <w:lang w:val="en-US" w:eastAsia="zh-CN"/>
        </w:rPr>
        <w:t>-sh</w:t>
      </w:r>
      <w:r>
        <w:rPr>
          <w:rFonts w:hint="eastAsia" w:ascii="Times New Roman" w:hAnsi="Times New Roman" w:eastAsia="宋体" w:cs="Times New Roman"/>
          <w:b w:val="0"/>
          <w:bCs w:val="0"/>
          <w:sz w:val="20"/>
          <w:szCs w:val="20"/>
          <w:lang w:val="en-US" w:eastAsia="zh-CN"/>
        </w:rPr>
        <w:t>HMMR</w:t>
      </w:r>
      <w:r>
        <w:rPr>
          <w:rFonts w:hint="default" w:ascii="Times New Roman" w:hAnsi="Times New Roman" w:eastAsia="宋体" w:cs="Times New Roman"/>
          <w:b w:val="0"/>
          <w:bCs w:val="0"/>
          <w:sz w:val="20"/>
          <w:szCs w:val="20"/>
          <w:lang w:val="en-US" w:eastAsia="zh-CN"/>
        </w:rPr>
        <w:t>-2 cells</w:t>
      </w:r>
      <w:r>
        <w:rPr>
          <w:rFonts w:hint="eastAsia" w:ascii="Times New Roman" w:hAnsi="Times New Roman" w:eastAsia="宋体" w:cs="Times New Roman"/>
          <w:b w:val="0"/>
          <w:bCs w:val="0"/>
          <w:sz w:val="20"/>
          <w:szCs w:val="20"/>
          <w:lang w:val="en-US" w:eastAsia="zh-CN"/>
        </w:rPr>
        <w:t xml:space="preserve"> cells and control cells was examined by MTS.</w:t>
      </w:r>
    </w:p>
    <w:p>
      <w:pPr>
        <w:keepNext/>
        <w:keepLines/>
        <w:spacing w:before="260" w:after="260" w:line="360" w:lineRule="auto"/>
        <w:outlineLvl w:val="2"/>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bCs/>
          <w:sz w:val="20"/>
          <w:szCs w:val="20"/>
        </w:rPr>
        <w:t>Fig</w:t>
      </w:r>
      <w:r>
        <w:rPr>
          <w:rFonts w:hint="eastAsia" w:ascii="Times New Roman" w:hAnsi="Times New Roman" w:eastAsia="宋体" w:cs="Times New Roman"/>
          <w:b/>
          <w:bCs/>
          <w:sz w:val="20"/>
          <w:szCs w:val="20"/>
          <w:lang w:val="en-US" w:eastAsia="zh-CN"/>
        </w:rPr>
        <w:t xml:space="preserve">ure S9. GO-biological process/cellular component analysis of HMMR-related genes in tumors. </w:t>
      </w:r>
      <w:r>
        <w:rPr>
          <w:rFonts w:hint="default" w:ascii="Times New Roman" w:hAnsi="Times New Roman" w:eastAsia="宋体" w:cs="Times New Roman"/>
          <w:b w:val="0"/>
          <w:bCs w:val="0"/>
          <w:sz w:val="20"/>
          <w:szCs w:val="20"/>
          <w:lang w:val="en-US" w:eastAsia="zh-CN"/>
        </w:rPr>
        <w:t xml:space="preserve">Based on the </w:t>
      </w:r>
      <w:r>
        <w:rPr>
          <w:rFonts w:hint="eastAsia" w:ascii="Times New Roman" w:hAnsi="Times New Roman" w:eastAsia="宋体" w:cs="Times New Roman"/>
          <w:b w:val="0"/>
          <w:bCs w:val="0"/>
          <w:sz w:val="20"/>
          <w:szCs w:val="20"/>
          <w:lang w:val="en-US" w:eastAsia="zh-CN"/>
        </w:rPr>
        <w:t>HMMR</w:t>
      </w:r>
      <w:r>
        <w:rPr>
          <w:rFonts w:hint="default" w:ascii="Times New Roman" w:hAnsi="Times New Roman" w:eastAsia="宋体" w:cs="Times New Roman"/>
          <w:b w:val="0"/>
          <w:bCs w:val="0"/>
          <w:sz w:val="20"/>
          <w:szCs w:val="20"/>
          <w:lang w:val="en-US" w:eastAsia="zh-CN"/>
        </w:rPr>
        <w:t xml:space="preserve">-binding and interacted genes, we performed GO enrichment analysis. The cnetplots for </w:t>
      </w:r>
      <w:bookmarkStart w:id="3" w:name="_Hlk42180697"/>
      <w:r>
        <w:rPr>
          <w:rFonts w:hint="default" w:ascii="Times New Roman" w:hAnsi="Times New Roman" w:eastAsia="宋体" w:cs="Times New Roman"/>
          <w:b w:val="0"/>
          <w:bCs w:val="0"/>
          <w:sz w:val="20"/>
          <w:szCs w:val="20"/>
          <w:lang w:val="en-US" w:eastAsia="zh-CN"/>
        </w:rPr>
        <w:t>the biological process (</w:t>
      </w:r>
      <w:r>
        <w:rPr>
          <w:rFonts w:hint="eastAsia" w:ascii="Times New Roman" w:hAnsi="Times New Roman" w:eastAsia="宋体" w:cs="Times New Roman"/>
          <w:b/>
          <w:bCs/>
          <w:sz w:val="20"/>
          <w:szCs w:val="20"/>
          <w:lang w:val="en-US" w:eastAsia="zh-CN"/>
        </w:rPr>
        <w:t>A</w:t>
      </w:r>
      <w:r>
        <w:rPr>
          <w:rFonts w:hint="default" w:ascii="Times New Roman" w:hAnsi="Times New Roman" w:eastAsia="宋体" w:cs="Times New Roman"/>
          <w:b w:val="0"/>
          <w:bCs w:val="0"/>
          <w:sz w:val="20"/>
          <w:szCs w:val="20"/>
          <w:lang w:val="en-US" w:eastAsia="zh-CN"/>
        </w:rPr>
        <w:t>) and cellular component (</w:t>
      </w:r>
      <w:r>
        <w:rPr>
          <w:rFonts w:hint="eastAsia" w:ascii="Times New Roman" w:hAnsi="Times New Roman" w:eastAsia="宋体" w:cs="Times New Roman"/>
          <w:b/>
          <w:bCs/>
          <w:sz w:val="20"/>
          <w:szCs w:val="20"/>
          <w:lang w:val="en-US" w:eastAsia="zh-CN"/>
        </w:rPr>
        <w:t>B</w:t>
      </w:r>
      <w:r>
        <w:rPr>
          <w:rFonts w:hint="default" w:ascii="Times New Roman" w:hAnsi="Times New Roman" w:eastAsia="宋体" w:cs="Times New Roman"/>
          <w:b w:val="0"/>
          <w:bCs w:val="0"/>
          <w:sz w:val="20"/>
          <w:szCs w:val="20"/>
          <w:lang w:val="en-US" w:eastAsia="zh-CN"/>
        </w:rPr>
        <w:t xml:space="preserve">) </w:t>
      </w:r>
      <w:bookmarkEnd w:id="3"/>
      <w:r>
        <w:rPr>
          <w:rFonts w:hint="default" w:ascii="Times New Roman" w:hAnsi="Times New Roman" w:eastAsia="宋体" w:cs="Times New Roman"/>
          <w:b w:val="0"/>
          <w:bCs w:val="0"/>
          <w:sz w:val="20"/>
          <w:szCs w:val="20"/>
          <w:lang w:val="en-US" w:eastAsia="zh-CN"/>
        </w:rPr>
        <w:t>data are supplied.</w:t>
      </w: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keepNext/>
        <w:keepLines/>
        <w:spacing w:before="260" w:after="260" w:line="360" w:lineRule="auto"/>
        <w:outlineLvl w:val="2"/>
        <w:rPr>
          <w:rFonts w:hint="eastAsia" w:ascii="Times New Roman" w:hAnsi="Times New Roman" w:eastAsia="宋体" w:cs="Times New Roman"/>
          <w:b w:val="0"/>
          <w:bCs w:val="0"/>
          <w:sz w:val="20"/>
          <w:szCs w:val="20"/>
          <w:lang w:val="en-US" w:eastAsia="zh-CN"/>
        </w:rPr>
      </w:pPr>
    </w:p>
    <w:p>
      <w:pPr>
        <w:pStyle w:val="10"/>
        <w:keepNext/>
        <w:keepLines/>
        <w:numPr>
          <w:ilvl w:val="0"/>
          <w:numId w:val="1"/>
        </w:numPr>
        <w:spacing w:before="260" w:after="260" w:line="360" w:lineRule="auto"/>
        <w:ind w:firstLineChars="0"/>
        <w:outlineLvl w:val="1"/>
        <w:rPr>
          <w:rFonts w:hint="default" w:ascii="Times New Roman" w:hAnsi="Times New Roman" w:cs="Times New Roman" w:eastAsiaTheme="majorEastAsia"/>
          <w:b/>
          <w:bCs/>
          <w:sz w:val="20"/>
          <w:szCs w:val="20"/>
        </w:rPr>
      </w:pPr>
      <w:r>
        <w:rPr>
          <w:rFonts w:hint="default" w:ascii="Times New Roman" w:hAnsi="Times New Roman" w:cs="Times New Roman" w:eastAsiaTheme="majorEastAsia"/>
          <w:b/>
          <w:bCs/>
          <w:sz w:val="20"/>
          <w:szCs w:val="20"/>
        </w:rPr>
        <w:t>Supplementary table</w:t>
      </w:r>
    </w:p>
    <w:p>
      <w:pPr>
        <w:keepNext/>
        <w:keepLines/>
        <w:spacing w:before="260" w:after="260" w:line="360" w:lineRule="auto"/>
        <w:outlineLvl w:val="2"/>
        <w:rPr>
          <w:rFonts w:hint="default" w:ascii="Times New Roman" w:hAnsi="Times New Roman" w:cs="Times New Roman" w:eastAsiaTheme="majorEastAsia"/>
          <w:b/>
          <w:bCs/>
          <w:sz w:val="20"/>
          <w:szCs w:val="20"/>
        </w:rPr>
      </w:pPr>
      <w:r>
        <w:rPr>
          <w:rFonts w:hint="default" w:ascii="Times New Roman" w:hAnsi="Times New Roman" w:eastAsia="宋体" w:cs="Times New Roman"/>
          <w:b/>
          <w:bCs/>
          <w:sz w:val="20"/>
          <w:szCs w:val="20"/>
          <w:lang w:val="en-US" w:eastAsia="zh-CN"/>
        </w:rPr>
        <w:t>Table S1</w:t>
      </w:r>
      <w:bookmarkStart w:id="5" w:name="_GoBack"/>
      <w:bookmarkEnd w:id="5"/>
      <w:r>
        <w:rPr>
          <w:rFonts w:hint="default" w:ascii="Times New Roman" w:hAnsi="Times New Roman" w:eastAsia="宋体" w:cs="Times New Roman"/>
          <w:b/>
          <w:bCs/>
          <w:sz w:val="20"/>
          <w:szCs w:val="20"/>
          <w:lang w:val="en-US" w:eastAsia="zh-CN"/>
        </w:rPr>
        <w:t xml:space="preserve"> </w:t>
      </w:r>
      <w:r>
        <w:rPr>
          <w:rFonts w:hint="eastAsia" w:ascii="Times New Roman" w:hAnsi="Times New Roman" w:eastAsia="宋体" w:cs="Times New Roman"/>
          <w:b/>
          <w:bCs/>
          <w:i/>
          <w:iCs/>
          <w:sz w:val="20"/>
          <w:szCs w:val="20"/>
          <w:lang w:val="en-US" w:eastAsia="zh-CN"/>
        </w:rPr>
        <w:t>HMMR</w:t>
      </w:r>
      <w:r>
        <w:rPr>
          <w:rFonts w:hint="eastAsia" w:ascii="Times New Roman" w:hAnsi="Times New Roman" w:eastAsia="宋体" w:cs="Times New Roman"/>
          <w:b/>
          <w:bCs/>
          <w:sz w:val="20"/>
          <w:szCs w:val="20"/>
          <w:lang w:val="en-US" w:eastAsia="zh-CN"/>
        </w:rPr>
        <w:t xml:space="preserve"> expression in cancers vs normal tissue in oncomine database.</w:t>
      </w:r>
    </w:p>
    <w:p>
      <w:pPr>
        <w:pStyle w:val="10"/>
        <w:keepNext/>
        <w:keepLines/>
        <w:numPr>
          <w:ilvl w:val="0"/>
          <w:numId w:val="0"/>
        </w:numPr>
        <w:spacing w:before="260" w:after="260" w:line="360" w:lineRule="auto"/>
        <w:ind w:leftChars="0"/>
        <w:outlineLvl w:val="1"/>
        <w:rPr>
          <w:rFonts w:hint="eastAsia" w:ascii="Times New Roman" w:hAnsi="Times New Roman" w:eastAsia="宋体" w:cs="Times New Roman"/>
          <w:b/>
          <w:bCs/>
          <w:kern w:val="2"/>
          <w:sz w:val="20"/>
          <w:szCs w:val="20"/>
          <w:lang w:val="en-US" w:eastAsia="zh-CN" w:bidi="ar-SA"/>
        </w:rPr>
      </w:pPr>
      <w:r>
        <w:rPr>
          <w:rFonts w:hint="default" w:ascii="Times New Roman" w:hAnsi="Times New Roman" w:cs="Times New Roman" w:eastAsiaTheme="majorEastAsia"/>
          <w:b/>
          <w:bCs/>
          <w:sz w:val="20"/>
          <w:szCs w:val="20"/>
        </w:rPr>
        <w:t xml:space="preserve">Table S2 </w:t>
      </w:r>
      <w:r>
        <w:rPr>
          <w:rFonts w:hint="eastAsia" w:ascii="Times New Roman" w:hAnsi="Times New Roman" w:eastAsia="宋体" w:cs="Times New Roman"/>
          <w:b/>
          <w:bCs/>
          <w:kern w:val="2"/>
          <w:sz w:val="20"/>
          <w:szCs w:val="20"/>
          <w:lang w:val="en-US" w:eastAsia="zh-CN" w:bidi="ar-SA"/>
        </w:rPr>
        <w:t xml:space="preserve">Relation between </w:t>
      </w:r>
      <w:r>
        <w:rPr>
          <w:rFonts w:hint="eastAsia" w:ascii="Times New Roman" w:hAnsi="Times New Roman" w:eastAsia="宋体" w:cs="Times New Roman"/>
          <w:b/>
          <w:bCs/>
          <w:i/>
          <w:iCs/>
          <w:kern w:val="2"/>
          <w:sz w:val="20"/>
          <w:szCs w:val="20"/>
          <w:lang w:val="en-US" w:eastAsia="zh-CN" w:bidi="ar-SA"/>
        </w:rPr>
        <w:t>HMMR</w:t>
      </w:r>
      <w:r>
        <w:rPr>
          <w:rFonts w:hint="eastAsia" w:ascii="Times New Roman" w:hAnsi="Times New Roman" w:eastAsia="宋体" w:cs="Times New Roman"/>
          <w:b/>
          <w:bCs/>
          <w:kern w:val="2"/>
          <w:sz w:val="20"/>
          <w:szCs w:val="20"/>
          <w:lang w:val="en-US" w:eastAsia="zh-CN" w:bidi="ar-SA"/>
        </w:rPr>
        <w:t xml:space="preserve"> expression and patient prognosis of different cancer (Disease Specific Survival) in Prognoscan database.</w:t>
      </w:r>
    </w:p>
    <w:p>
      <w:pPr>
        <w:pStyle w:val="10"/>
        <w:keepNext/>
        <w:keepLines/>
        <w:numPr>
          <w:ilvl w:val="0"/>
          <w:numId w:val="0"/>
        </w:numPr>
        <w:spacing w:before="260" w:after="260" w:line="360" w:lineRule="auto"/>
        <w:ind w:leftChars="0"/>
        <w:outlineLvl w:val="1"/>
        <w:rPr>
          <w:rFonts w:hint="default" w:ascii="Times New Roman" w:hAnsi="Times New Roman" w:eastAsia="宋体" w:cs="Times New Roman"/>
          <w:b/>
          <w:bCs/>
          <w:kern w:val="2"/>
          <w:sz w:val="20"/>
          <w:szCs w:val="20"/>
          <w:lang w:val="en-US" w:eastAsia="zh-CN" w:bidi="ar-SA"/>
        </w:rPr>
      </w:pPr>
      <w:r>
        <w:rPr>
          <w:rFonts w:hint="default" w:ascii="Times New Roman" w:hAnsi="Times New Roman" w:eastAsia="宋体" w:cs="Times New Roman"/>
          <w:b/>
          <w:bCs/>
          <w:kern w:val="2"/>
          <w:sz w:val="20"/>
          <w:szCs w:val="20"/>
          <w:lang w:val="en-US" w:eastAsia="zh-CN" w:bidi="ar-SA"/>
        </w:rPr>
        <w:t xml:space="preserve">Table S3 Relation between </w:t>
      </w:r>
      <w:r>
        <w:rPr>
          <w:rFonts w:hint="eastAsia" w:ascii="Times New Roman" w:hAnsi="Times New Roman" w:eastAsia="宋体" w:cs="Times New Roman"/>
          <w:b/>
          <w:bCs/>
          <w:i/>
          <w:iCs/>
          <w:kern w:val="2"/>
          <w:sz w:val="20"/>
          <w:szCs w:val="20"/>
          <w:lang w:val="en-US" w:eastAsia="zh-CN" w:bidi="ar-SA"/>
        </w:rPr>
        <w:t>HMMR</w:t>
      </w:r>
      <w:r>
        <w:rPr>
          <w:rFonts w:hint="default" w:ascii="Times New Roman" w:hAnsi="Times New Roman" w:eastAsia="宋体" w:cs="Times New Roman"/>
          <w:b/>
          <w:bCs/>
          <w:kern w:val="2"/>
          <w:sz w:val="20"/>
          <w:szCs w:val="20"/>
          <w:lang w:val="en-US" w:eastAsia="zh-CN" w:bidi="ar-SA"/>
        </w:rPr>
        <w:t xml:space="preserve"> expression and patient prognosis of different cancer</w:t>
      </w:r>
      <w:r>
        <w:rPr>
          <w:rFonts w:hint="eastAsia" w:ascii="Times New Roman" w:hAnsi="Times New Roman" w:eastAsia="宋体" w:cs="Times New Roman"/>
          <w:b/>
          <w:bCs/>
          <w:kern w:val="2"/>
          <w:sz w:val="20"/>
          <w:szCs w:val="20"/>
          <w:lang w:val="en-US" w:eastAsia="zh-CN" w:bidi="ar-SA"/>
        </w:rPr>
        <w:t xml:space="preserve"> (</w:t>
      </w:r>
      <w:r>
        <w:rPr>
          <w:rFonts w:hint="default" w:ascii="Times New Roman" w:hAnsi="Times New Roman" w:eastAsia="宋体" w:cs="Times New Roman"/>
          <w:b/>
          <w:bCs/>
          <w:kern w:val="2"/>
          <w:sz w:val="20"/>
          <w:szCs w:val="20"/>
          <w:lang w:val="en-US" w:eastAsia="zh-CN" w:bidi="ar-SA"/>
        </w:rPr>
        <w:t>Distant Metastasis Free Survival</w:t>
      </w:r>
      <w:r>
        <w:rPr>
          <w:rFonts w:hint="eastAsia" w:ascii="Times New Roman" w:hAnsi="Times New Roman" w:eastAsia="宋体" w:cs="Times New Roman"/>
          <w:b/>
          <w:bCs/>
          <w:kern w:val="2"/>
          <w:sz w:val="20"/>
          <w:szCs w:val="20"/>
          <w:lang w:val="en-US" w:eastAsia="zh-CN" w:bidi="ar-SA"/>
        </w:rPr>
        <w:t>)</w:t>
      </w:r>
      <w:r>
        <w:rPr>
          <w:rFonts w:hint="default" w:ascii="Times New Roman" w:hAnsi="Times New Roman" w:eastAsia="宋体" w:cs="Times New Roman"/>
          <w:b/>
          <w:bCs/>
          <w:kern w:val="2"/>
          <w:sz w:val="20"/>
          <w:szCs w:val="20"/>
          <w:lang w:val="en-US" w:eastAsia="zh-CN" w:bidi="ar-SA"/>
        </w:rPr>
        <w:t xml:space="preserve"> in Prognoscan database.</w:t>
      </w:r>
    </w:p>
    <w:p>
      <w:pPr>
        <w:pStyle w:val="10"/>
        <w:keepNext/>
        <w:keepLines/>
        <w:numPr>
          <w:ilvl w:val="0"/>
          <w:numId w:val="0"/>
        </w:numPr>
        <w:spacing w:before="260" w:after="260" w:line="360" w:lineRule="auto"/>
        <w:ind w:leftChars="0"/>
        <w:outlineLvl w:val="1"/>
        <w:rPr>
          <w:rFonts w:hint="default" w:ascii="Times New Roman" w:hAnsi="Times New Roman" w:cs="Times New Roman" w:eastAsiaTheme="majorEastAsia"/>
          <w:b/>
          <w:bCs/>
          <w:sz w:val="20"/>
          <w:szCs w:val="20"/>
        </w:rPr>
      </w:pPr>
      <w:r>
        <w:rPr>
          <w:rFonts w:hint="default" w:ascii="Times New Roman" w:hAnsi="Times New Roman" w:cs="Times New Roman" w:eastAsiaTheme="majorEastAsia"/>
          <w:b/>
          <w:bCs/>
          <w:sz w:val="20"/>
          <w:szCs w:val="20"/>
        </w:rPr>
        <w:t xml:space="preserve">Table S4 Relation between </w:t>
      </w:r>
      <w:r>
        <w:rPr>
          <w:rFonts w:hint="eastAsia" w:ascii="Times New Roman" w:hAnsi="Times New Roman" w:cs="Times New Roman" w:eastAsiaTheme="majorEastAsia"/>
          <w:b/>
          <w:bCs/>
          <w:i/>
          <w:iCs/>
          <w:sz w:val="20"/>
          <w:szCs w:val="20"/>
          <w:lang w:val="en-US" w:eastAsia="zh-CN"/>
        </w:rPr>
        <w:t>HMMR</w:t>
      </w:r>
      <w:r>
        <w:rPr>
          <w:rFonts w:hint="default" w:ascii="Times New Roman" w:hAnsi="Times New Roman" w:cs="Times New Roman" w:eastAsiaTheme="majorEastAsia"/>
          <w:b/>
          <w:bCs/>
          <w:sz w:val="20"/>
          <w:szCs w:val="20"/>
        </w:rPr>
        <w:t xml:space="preserve"> expression and patient prognosis of different cancer</w:t>
      </w:r>
      <w:r>
        <w:rPr>
          <w:rFonts w:hint="eastAsia" w:ascii="Times New Roman" w:hAnsi="Times New Roman" w:cs="Times New Roman" w:eastAsiaTheme="majorEastAsia"/>
          <w:b/>
          <w:bCs/>
          <w:sz w:val="20"/>
          <w:szCs w:val="20"/>
          <w:lang w:val="en-US" w:eastAsia="zh-CN"/>
        </w:rPr>
        <w:t xml:space="preserve"> </w:t>
      </w:r>
      <w:r>
        <w:rPr>
          <w:rFonts w:hint="eastAsia" w:ascii="Times New Roman" w:hAnsi="Times New Roman" w:cs="Times New Roman" w:eastAsiaTheme="majorEastAsia"/>
          <w:b/>
          <w:bCs/>
          <w:sz w:val="20"/>
          <w:szCs w:val="20"/>
        </w:rPr>
        <w:t>(</w:t>
      </w:r>
      <w:r>
        <w:rPr>
          <w:rFonts w:hint="default" w:ascii="Times New Roman" w:hAnsi="Times New Roman" w:cs="Times New Roman" w:eastAsiaTheme="majorEastAsia"/>
          <w:b/>
          <w:bCs/>
          <w:sz w:val="20"/>
          <w:szCs w:val="20"/>
        </w:rPr>
        <w:t>Relapse Free Survival) in Prognoscan database.</w:t>
      </w: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spacing w:beforeLines="0" w:afterLines="0"/>
        <w:jc w:val="center"/>
        <w:rPr>
          <w:rFonts w:hint="default"/>
          <w:sz w:val="24"/>
        </w:rPr>
      </w:pPr>
      <w:r>
        <w:rPr>
          <w:rFonts w:hint="default" w:ascii="Times New Roman" w:hAnsi="Times New Roman" w:eastAsia="Times New Roman"/>
          <w:b/>
          <w:color w:val="000000"/>
          <w:sz w:val="40"/>
        </w:rPr>
        <w:t>References:</w:t>
      </w:r>
    </w:p>
    <w:p>
      <w:pPr>
        <w:spacing w:beforeLines="0" w:afterLines="0"/>
        <w:ind w:left="200" w:hanging="200"/>
        <w:rPr>
          <w:rFonts w:hint="default"/>
          <w:sz w:val="24"/>
        </w:rPr>
      </w:pPr>
      <w:r>
        <w:rPr>
          <w:rFonts w:hint="default" w:ascii="Times New Roman" w:hAnsi="Times New Roman" w:eastAsia="Times New Roman"/>
          <w:color w:val="000000"/>
          <w:sz w:val="20"/>
        </w:rPr>
        <w:t xml:space="preserve">1. </w:t>
      </w:r>
      <w:bookmarkStart w:id="4" w:name="_neb9AF1ECA4_CDF4_4F1D_ABAA_72614FA0FEE5"/>
      <w:r>
        <w:rPr>
          <w:rFonts w:hint="default" w:ascii="Times New Roman" w:hAnsi="Times New Roman" w:eastAsia="Times New Roman"/>
          <w:color w:val="000000"/>
          <w:sz w:val="20"/>
        </w:rPr>
        <w:t>Bonneville R, Krook MA, Kautto EA, Miya J, Wing MR, Chen HZ, Reeser JW, Yu L and Roychowdhury S. Landscape of Microsatellite Instability Across 39 Cancer Types. JCO Precis Oncol. 2017; 2017.10.1200/PO.17.00073 PMID:29850653</w:t>
      </w:r>
      <w:bookmarkEnd w:id="4"/>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pStyle w:val="10"/>
        <w:keepNext/>
        <w:keepLines/>
        <w:widowControl w:val="0"/>
        <w:numPr>
          <w:ilvl w:val="0"/>
          <w:numId w:val="0"/>
        </w:numPr>
        <w:spacing w:before="260" w:after="260" w:line="360" w:lineRule="auto"/>
        <w:jc w:val="both"/>
        <w:outlineLvl w:val="1"/>
        <w:rPr>
          <w:rFonts w:hint="eastAsia" w:ascii="Times New Roman" w:hAnsi="Times New Roman" w:cs="Times New Roman" w:eastAsiaTheme="majorEastAsia"/>
          <w:b/>
          <w:bCs/>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S</w:t>
      </w:r>
      <w:r>
        <w:rPr>
          <w:rFonts w:ascii="Times New Roman" w:hAnsi="Times New Roman" w:cs="Times New Roman"/>
          <w:sz w:val="24"/>
          <w:szCs w:val="24"/>
        </w:rPr>
        <w:t xml:space="preserve">1. </w:t>
      </w:r>
      <w:r>
        <w:rPr>
          <w:rFonts w:hint="eastAsia" w:ascii="Times New Roman" w:hAnsi="Times New Roman" w:cs="Times New Roman"/>
          <w:sz w:val="24"/>
          <w:szCs w:val="24"/>
          <w:lang w:val="en-US" w:eastAsia="zh-CN"/>
        </w:rPr>
        <w:t>HMMR</w:t>
      </w:r>
      <w:r>
        <w:rPr>
          <w:rFonts w:ascii="Times New Roman" w:hAnsi="Times New Roman" w:cs="Times New Roman"/>
          <w:sz w:val="24"/>
          <w:szCs w:val="24"/>
        </w:rPr>
        <w:t xml:space="preserve"> expression in cancers vs normal tissue in oncomine database</w:t>
      </w:r>
    </w:p>
    <w:tbl>
      <w:tblPr>
        <w:tblStyle w:val="5"/>
        <w:tblW w:w="10762" w:type="dxa"/>
        <w:tblInd w:w="-1132"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93"/>
        <w:gridCol w:w="3893"/>
        <w:gridCol w:w="1107"/>
        <w:gridCol w:w="932"/>
        <w:gridCol w:w="837"/>
        <w:gridCol w:w="663"/>
        <w:gridCol w:w="15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Cancer</w:t>
            </w:r>
          </w:p>
        </w:tc>
        <w:tc>
          <w:tcPr>
            <w:tcW w:w="3893"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Cancer type</w:t>
            </w:r>
          </w:p>
        </w:tc>
        <w:tc>
          <w:tcPr>
            <w:tcW w:w="1107"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P-value</w:t>
            </w:r>
          </w:p>
        </w:tc>
        <w:tc>
          <w:tcPr>
            <w:tcW w:w="932"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Fold change</w:t>
            </w:r>
          </w:p>
        </w:tc>
        <w:tc>
          <w:tcPr>
            <w:tcW w:w="837"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Rank (%)</w:t>
            </w:r>
          </w:p>
        </w:tc>
        <w:tc>
          <w:tcPr>
            <w:tcW w:w="663"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Sample</w:t>
            </w:r>
          </w:p>
        </w:tc>
        <w:tc>
          <w:tcPr>
            <w:tcW w:w="1537" w:type="dxa"/>
            <w:tcBorders>
              <w:top w:val="single" w:color="auto" w:sz="4" w:space="0"/>
              <w:bottom w:val="single" w:color="auto" w:sz="4" w:space="0"/>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Reference (PMID)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Bladder</w:t>
            </w:r>
          </w:p>
        </w:tc>
        <w:tc>
          <w:tcPr>
            <w:tcW w:w="3893"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Infiltrating Bladder Urothelial</w:t>
            </w:r>
          </w:p>
        </w:tc>
        <w:tc>
          <w:tcPr>
            <w:tcW w:w="1107"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4.77E-16</w:t>
            </w:r>
          </w:p>
        </w:tc>
        <w:tc>
          <w:tcPr>
            <w:tcW w:w="932"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5.715</w:t>
            </w:r>
          </w:p>
        </w:tc>
        <w:tc>
          <w:tcPr>
            <w:tcW w:w="837"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tcBorders>
              <w:top w:val="single" w:color="auto" w:sz="4" w:space="0"/>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129</w:t>
            </w:r>
          </w:p>
        </w:tc>
        <w:tc>
          <w:tcPr>
            <w:tcW w:w="1537" w:type="dxa"/>
            <w:tcBorders>
              <w:top w:val="single" w:color="auto" w:sz="4" w:space="0"/>
              <w:bottom w:val="nil"/>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16432078</w:t>
            </w:r>
          </w:p>
          <w:p>
            <w:pPr>
              <w:spacing w:after="0" w:line="240" w:lineRule="auto"/>
              <w:jc w:val="left"/>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nil"/>
              <w:bottom w:val="nil"/>
            </w:tcBorders>
            <w:vAlign w:val="center"/>
          </w:tcPr>
          <w:p>
            <w:pPr>
              <w:spacing w:after="0" w:line="240" w:lineRule="auto"/>
              <w:jc w:val="left"/>
              <w:rPr>
                <w:rFonts w:ascii="Times New Roman" w:hAnsi="Times New Roman" w:cs="Times New Roman"/>
                <w:sz w:val="24"/>
                <w:szCs w:val="24"/>
              </w:rPr>
            </w:pPr>
          </w:p>
        </w:tc>
        <w:tc>
          <w:tcPr>
            <w:tcW w:w="3893" w:type="dxa"/>
            <w:tcBorders>
              <w:top w:val="nil"/>
              <w:bottom w:val="nil"/>
            </w:tcBorders>
            <w:vAlign w:val="center"/>
          </w:tcPr>
          <w:p>
            <w:pPr>
              <w:spacing w:after="0" w:line="240" w:lineRule="auto"/>
              <w:jc w:val="left"/>
              <w:rPr>
                <w:rFonts w:ascii="Times New Roman" w:hAnsi="Times New Roman" w:cs="Times New Roman"/>
                <w:sz w:val="24"/>
                <w:szCs w:val="24"/>
              </w:rPr>
            </w:pPr>
            <w:r>
              <w:rPr>
                <w:rFonts w:hint="eastAsia" w:ascii="Times New Roman" w:hAnsi="Times New Roman" w:cs="Times New Roman"/>
                <w:sz w:val="24"/>
                <w:szCs w:val="24"/>
                <w:lang w:val="en-US" w:eastAsia="zh-CN"/>
              </w:rPr>
              <w:t>Infiltrating Bladder Urothelial</w:t>
            </w:r>
          </w:p>
        </w:tc>
        <w:tc>
          <w:tcPr>
            <w:tcW w:w="1107"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2.29E-4</w:t>
            </w:r>
          </w:p>
        </w:tc>
        <w:tc>
          <w:tcPr>
            <w:tcW w:w="932"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3.039</w:t>
            </w:r>
          </w:p>
        </w:tc>
        <w:tc>
          <w:tcPr>
            <w:tcW w:w="837"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w:t>
            </w:r>
          </w:p>
        </w:tc>
        <w:tc>
          <w:tcPr>
            <w:tcW w:w="1537" w:type="dxa"/>
            <w:tcBorders>
              <w:top w:val="nil"/>
              <w:bottom w:val="nil"/>
            </w:tcBorders>
            <w:vAlign w:val="center"/>
          </w:tcPr>
          <w:p>
            <w:pPr>
              <w:spacing w:after="0" w:line="240" w:lineRule="auto"/>
              <w:jc w:val="left"/>
              <w:rPr>
                <w:rFonts w:ascii="Times New Roman" w:hAnsi="Times New Roman" w:cs="Times New Roman"/>
                <w:sz w:val="24"/>
                <w:szCs w:val="24"/>
              </w:rPr>
            </w:pPr>
            <w:r>
              <w:rPr>
                <w:rFonts w:hint="eastAsia" w:ascii="Times New Roman" w:hAnsi="Times New Roman" w:cs="Times New Roman"/>
                <w:sz w:val="24"/>
                <w:szCs w:val="24"/>
                <w:lang w:val="en-US" w:eastAsia="zh-CN"/>
              </w:rPr>
              <w:t>15930339</w:t>
            </w:r>
          </w:p>
          <w:p>
            <w:pPr>
              <w:spacing w:after="0" w:line="240" w:lineRule="auto"/>
              <w:jc w:val="left"/>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nil"/>
              <w:bottom w:val="nil"/>
            </w:tcBorders>
            <w:vAlign w:val="center"/>
          </w:tcPr>
          <w:p>
            <w:pPr>
              <w:spacing w:after="0" w:line="240" w:lineRule="auto"/>
              <w:jc w:val="left"/>
              <w:rPr>
                <w:rFonts w:ascii="Times New Roman" w:hAnsi="Times New Roman" w:cs="Times New Roman"/>
                <w:sz w:val="24"/>
                <w:szCs w:val="24"/>
              </w:rPr>
            </w:pPr>
          </w:p>
        </w:tc>
        <w:tc>
          <w:tcPr>
            <w:tcW w:w="3893"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ascii="Times New Roman" w:hAnsi="Times New Roman" w:cs="Times New Roman"/>
                <w:sz w:val="24"/>
                <w:szCs w:val="24"/>
              </w:rPr>
              <w:t>Superficial Bladder</w:t>
            </w:r>
          </w:p>
        </w:tc>
        <w:tc>
          <w:tcPr>
            <w:tcW w:w="1107"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9.23E-4</w:t>
            </w:r>
          </w:p>
        </w:tc>
        <w:tc>
          <w:tcPr>
            <w:tcW w:w="932"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2.113</w:t>
            </w:r>
          </w:p>
        </w:tc>
        <w:tc>
          <w:tcPr>
            <w:tcW w:w="837"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46</w:t>
            </w:r>
          </w:p>
        </w:tc>
        <w:tc>
          <w:tcPr>
            <w:tcW w:w="1537" w:type="dxa"/>
            <w:tcBorders>
              <w:top w:val="nil"/>
              <w:bottom w:val="nil"/>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15930339</w:t>
            </w:r>
          </w:p>
          <w:p>
            <w:pPr>
              <w:spacing w:after="0" w:line="240" w:lineRule="auto"/>
              <w:jc w:val="left"/>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nil"/>
              <w:bottom w:val="nil"/>
            </w:tcBorders>
            <w:vAlign w:val="center"/>
          </w:tcPr>
          <w:p>
            <w:pPr>
              <w:spacing w:after="0" w:line="240" w:lineRule="auto"/>
              <w:jc w:val="left"/>
              <w:rPr>
                <w:rFonts w:ascii="Times New Roman" w:hAnsi="Times New Roman" w:cs="Times New Roman"/>
                <w:sz w:val="24"/>
                <w:szCs w:val="24"/>
              </w:rPr>
            </w:pPr>
          </w:p>
        </w:tc>
        <w:tc>
          <w:tcPr>
            <w:tcW w:w="3893" w:type="dxa"/>
            <w:tcBorders>
              <w:top w:val="nil"/>
              <w:bottom w:val="nil"/>
            </w:tcBorders>
            <w:vAlign w:val="center"/>
          </w:tcPr>
          <w:p>
            <w:pPr>
              <w:spacing w:after="0" w:line="240" w:lineRule="auto"/>
              <w:jc w:val="left"/>
              <w:rPr>
                <w:rFonts w:ascii="Times New Roman" w:hAnsi="Times New Roman" w:cs="Times New Roman"/>
                <w:sz w:val="24"/>
                <w:szCs w:val="24"/>
              </w:rPr>
            </w:pPr>
            <w:r>
              <w:rPr>
                <w:rFonts w:hint="eastAsia" w:ascii="Times New Roman" w:hAnsi="Times New Roman" w:cs="Times New Roman"/>
                <w:sz w:val="24"/>
                <w:szCs w:val="24"/>
                <w:lang w:val="en-US" w:eastAsia="zh-CN"/>
              </w:rPr>
              <w:t>Infiltrating Bladder Urothelial</w:t>
            </w:r>
          </w:p>
        </w:tc>
        <w:tc>
          <w:tcPr>
            <w:tcW w:w="1107"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1.28E-7</w:t>
            </w:r>
          </w:p>
        </w:tc>
        <w:tc>
          <w:tcPr>
            <w:tcW w:w="932"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2.032</w:t>
            </w:r>
          </w:p>
        </w:tc>
        <w:tc>
          <w:tcPr>
            <w:tcW w:w="837" w:type="dxa"/>
            <w:tcBorders>
              <w:top w:val="nil"/>
              <w:bottom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tcBorders>
              <w:top w:val="nil"/>
              <w:bottom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130</w:t>
            </w:r>
          </w:p>
        </w:tc>
        <w:tc>
          <w:tcPr>
            <w:tcW w:w="1537" w:type="dxa"/>
            <w:tcBorders>
              <w:top w:val="nil"/>
              <w:bottom w:val="nil"/>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20421545</w:t>
            </w:r>
          </w:p>
          <w:p>
            <w:pPr>
              <w:spacing w:after="0" w:line="240" w:lineRule="auto"/>
              <w:jc w:val="left"/>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793" w:type="dxa"/>
            <w:tcBorders>
              <w:top w:val="nil"/>
            </w:tcBorders>
            <w:vAlign w:val="center"/>
          </w:tcPr>
          <w:p>
            <w:pPr>
              <w:spacing w:after="0" w:line="240" w:lineRule="auto"/>
              <w:jc w:val="left"/>
              <w:rPr>
                <w:rFonts w:ascii="Times New Roman" w:hAnsi="Times New Roman" w:cs="Times New Roman"/>
                <w:sz w:val="24"/>
                <w:szCs w:val="24"/>
              </w:rPr>
            </w:pPr>
            <w:r>
              <w:rPr>
                <w:rFonts w:ascii="Times New Roman" w:hAnsi="Times New Roman" w:cs="Times New Roman"/>
                <w:sz w:val="24"/>
                <w:szCs w:val="24"/>
              </w:rPr>
              <w:t> Brain and CNS</w:t>
            </w:r>
          </w:p>
        </w:tc>
        <w:tc>
          <w:tcPr>
            <w:tcW w:w="3893"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Glioblastoma</w:t>
            </w:r>
          </w:p>
        </w:tc>
        <w:tc>
          <w:tcPr>
            <w:tcW w:w="1107"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2.98E-21</w:t>
            </w:r>
          </w:p>
        </w:tc>
        <w:tc>
          <w:tcPr>
            <w:tcW w:w="932"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3.540</w:t>
            </w:r>
          </w:p>
        </w:tc>
        <w:tc>
          <w:tcPr>
            <w:tcW w:w="837"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w:t>
            </w:r>
          </w:p>
        </w:tc>
        <w:tc>
          <w:tcPr>
            <w:tcW w:w="1537"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18565887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1793" w:type="dxa"/>
            <w:tcBorders>
              <w:top w:val="nil"/>
            </w:tcBorders>
            <w:vAlign w:val="center"/>
          </w:tcPr>
          <w:p>
            <w:pPr>
              <w:spacing w:after="0" w:line="240" w:lineRule="auto"/>
              <w:jc w:val="left"/>
              <w:rPr>
                <w:rFonts w:ascii="Times New Roman" w:hAnsi="Times New Roman" w:cs="Times New Roman"/>
                <w:sz w:val="24"/>
                <w:szCs w:val="24"/>
              </w:rPr>
            </w:pPr>
          </w:p>
        </w:tc>
        <w:tc>
          <w:tcPr>
            <w:tcW w:w="3893"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Brain Glioblastoma</w:t>
            </w:r>
          </w:p>
        </w:tc>
        <w:tc>
          <w:tcPr>
            <w:tcW w:w="1107" w:type="dxa"/>
            <w:tcBorders>
              <w:top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4.08E-15</w:t>
            </w:r>
          </w:p>
        </w:tc>
        <w:tc>
          <w:tcPr>
            <w:tcW w:w="932" w:type="dxa"/>
            <w:tcBorders>
              <w:top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5.059</w:t>
            </w:r>
          </w:p>
        </w:tc>
        <w:tc>
          <w:tcPr>
            <w:tcW w:w="837" w:type="dxa"/>
            <w:tcBorders>
              <w:top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tcBorders>
              <w:top w:val="nil"/>
            </w:tcBorders>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552</w:t>
            </w:r>
          </w:p>
        </w:tc>
        <w:tc>
          <w:tcPr>
            <w:tcW w:w="1537" w:type="dxa"/>
            <w:tcBorders>
              <w:top w:val="nil"/>
            </w:tcBorders>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tcBorders>
              <w:top w:val="nil"/>
            </w:tcBorders>
            <w:vAlign w:val="center"/>
          </w:tcPr>
          <w:p>
            <w:pPr>
              <w:spacing w:after="0" w:line="240" w:lineRule="auto"/>
              <w:jc w:val="left"/>
              <w:rPr>
                <w:rFonts w:ascii="Times New Roman" w:hAnsi="Times New Roman" w:cs="Times New Roman"/>
                <w:sz w:val="24"/>
                <w:szCs w:val="24"/>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Glioblastoma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1.48E-15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2.451</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16616334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ascii="Times New Roman" w:hAnsi="Times New Roman" w:cs="Times New Roman"/>
                <w:sz w:val="24"/>
                <w:szCs w:val="24"/>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Anaplastic Astrocytoma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4.352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16616334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ascii="Times New Roman" w:hAnsi="Times New Roman" w:cs="Times New Roman"/>
                <w:sz w:val="24"/>
                <w:szCs w:val="24"/>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Oligodendroglioma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7.13E-8</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3.583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73</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16616334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Anaplastic Oligodendroglioma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2.72E-5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2.135</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16357140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Breast</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Ductal Breast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1.84E-125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2.329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1700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Medullary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8.30E-16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3.374</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Ductal and Invasive Lobular Breast Carcinoma</w:t>
            </w:r>
          </w:p>
        </w:tc>
        <w:tc>
          <w:tcPr>
            <w:tcW w:w="110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1.14E-31</w:t>
            </w:r>
          </w:p>
        </w:tc>
        <w:tc>
          <w:tcPr>
            <w:tcW w:w="932"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1.993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2.89E-7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1.977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Lobular Breast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1.54E-38</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1.756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Breast cancer</w:t>
            </w:r>
          </w:p>
        </w:tc>
        <w:tc>
          <w:tcPr>
            <w:tcW w:w="110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1.15E-5</w:t>
            </w:r>
          </w:p>
        </w:tc>
        <w:tc>
          <w:tcPr>
            <w:tcW w:w="932"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2.078</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Mucinous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2.78E-15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1.894</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Tubular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1.21E-20</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1.723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Ductal Breast Carcinoma in Situ</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9.12E-4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2.370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22522925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Lobular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2.79E-18</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5.446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1.55E-31</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15.458</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Invasive Ductal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2.78E-35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6.486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Intraductal Cribriform Breast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4.08E-4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7.602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Ductal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9.38E-12</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7.890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16473279</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Ductal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2.33E-4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3.498</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10963602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Lobular Breast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2.40E-4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3.016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15034139</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Cervical</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Cervical Squamous Cell Carcinoma Epithelia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3.21E-6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4.353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17974957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Cervical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5.51E-6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3.409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18506748</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Cervical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1.69E-6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3.097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18191186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Colorectal</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Rectal Adenoma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2.20E-10</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3.321</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18171984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Colon Adenoma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8.55E-15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2.881</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18171984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Rectosigmoid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1.19E-7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4.970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Cecum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3.42E-13</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2.349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Rectal Mucinous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1.26E-6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4.885</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Colon Mucinous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9.31E-11</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2.141</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Colon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6.30E-16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2.327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123</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Rectal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1.18E-14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2.133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Colorectal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1.68E-6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2.549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20957034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Esophageal</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Esophageal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7.45E-7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3.138</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20955586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Esophageal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3.14E-15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1.977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21385931</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Gastric</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Gastric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7.56E-4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2.452</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21447720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Diffuse Gastric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1.27E-6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2.080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21447720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Gastric Mixed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3.13E-4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2.229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21447720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Gastric Mixed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2.10E-4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2.969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19081245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Head and Neck</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Floor of the Mouth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1.40E-6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2.831</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17510386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Salivary Gland Adenoid Cystic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5.03E-4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8.386</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12368205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Tongue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4.02E-4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1.547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18254958</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Nasopharyngeal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8.02E-5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3.208</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16912175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Oral Cavity Squamous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1.50E-6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1.912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21853135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Kidney</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Renal Pelvis Urothelial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2.52E-21</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7.585</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16115910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Liver</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Hepatocellular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2.41E-15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9.158</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17393520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Hepatocellular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4.47E-70</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3.899</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21159642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Hepatocellular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4.10E-9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3.409</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43</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21159642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Hepatocellular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2.60E-15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2.377</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12058060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5.05E-16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4.714</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20421987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Squamous Cell Lung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2.95E-18</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6.624</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20421987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Large Cell Lung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3.50E-8</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4.459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20421987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2.00E-9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5.409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17540040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Small Cell Lung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1.53E-4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5.219</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11707590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Large Cell Lung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7.94E-4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4.338</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11707590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Squamous Cell Lung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3.64E-5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4.052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11707590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4.81E-5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3.042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11707590</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Small Cell Lung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2.36E-5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5.327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11707567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2.58E-16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1.977</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107</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18297132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7.45E-17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1.860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22613842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6.58E-5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3.092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16314486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Lung Adenocarcinoma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16.2E-12</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5.180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22080568</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Lymphoma</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Unspecified Peripheral T-Cell Lymphoma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2.74E-15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11.813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17304354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Angioimmunoblastic T-Cell Lymphoma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1.93E-6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11.303</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17304354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Anaplastic Large Cell Lymphoma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6.82E-6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11.820</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17304354</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Melanoma</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Cutaneous Melanoma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9.68E-5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2.285</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16243793</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Others</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Malignant Fibrous Histiocytoma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9.53E-9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20.345</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15994966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Vulvar Intraepithelial Neoplasia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3.12E-6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7.812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17471573</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Pleural Malignant Mesothelioma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7.08E-5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5.588</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15920167</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Skin Squamous Cell Carcinoma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2.97E-4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2.994</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18442402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Skin Basal Cell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6.81E-4</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2.626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18442402</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Pancreatic</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Pancreatic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1.78E-7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3.266</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19732725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Prostate</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Prostate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3.90E-13</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4.157</w:t>
            </w:r>
          </w:p>
        </w:tc>
        <w:tc>
          <w:tcPr>
            <w:tcW w:w="8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22722839</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Prostate Carcinoma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6.53E-6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2.702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12154061</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Sarcoma</w:t>
            </w: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Malignant Fibrous Histiocytoma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9.53E-9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20.345</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15994966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Pleomorphic Liposarcoma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5.60E-7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15.979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15994966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Leiomyosarcoma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8.58E-6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14.729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15994966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Round Cell Liposarcoma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8.42E-5</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8.415</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15994966</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Dedifferentiated Liposarcoma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2.77E-17</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2.469</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20601955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Myxofibrosarcoma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5.75E-16</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4.282</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20601955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Pleomorphic Liposarcoma</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4.81E-9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3.396</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20601955</w:t>
            </w:r>
          </w:p>
          <w:p>
            <w:pPr>
              <w:spacing w:after="0" w:line="240" w:lineRule="auto"/>
              <w:jc w:val="left"/>
              <w:rPr>
                <w:rFonts w:hint="eastAsia" w:ascii="Times New Roman" w:hAnsi="Times New Roman" w:cs="Times New Roman"/>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93" w:type="dxa"/>
            <w:vAlign w:val="center"/>
          </w:tcPr>
          <w:p>
            <w:pPr>
              <w:spacing w:after="0" w:line="240" w:lineRule="auto"/>
              <w:jc w:val="left"/>
              <w:rPr>
                <w:rFonts w:hint="eastAsia" w:ascii="Times New Roman" w:hAnsi="Times New Roman" w:cs="Times New Roman"/>
                <w:sz w:val="24"/>
                <w:szCs w:val="24"/>
                <w:lang w:val="en-US" w:eastAsia="zh-CN"/>
              </w:rPr>
            </w:pPr>
          </w:p>
        </w:tc>
        <w:tc>
          <w:tcPr>
            <w:tcW w:w="3893"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Leiomyosarcoma</w:t>
            </w:r>
            <w:r>
              <w:rPr>
                <w:rFonts w:hint="default" w:ascii="Times New Roman" w:hAnsi="Times New Roman" w:cs="Times New Roman"/>
                <w:sz w:val="24"/>
                <w:szCs w:val="24"/>
                <w:lang w:val="en-US" w:eastAsia="zh-CN"/>
              </w:rPr>
              <w:t> </w:t>
            </w:r>
          </w:p>
        </w:tc>
        <w:tc>
          <w:tcPr>
            <w:tcW w:w="110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1.32E-9</w:t>
            </w:r>
          </w:p>
        </w:tc>
        <w:tc>
          <w:tcPr>
            <w:tcW w:w="932"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3.683</w:t>
            </w:r>
          </w:p>
        </w:tc>
        <w:tc>
          <w:tcPr>
            <w:tcW w:w="837"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63" w:type="dxa"/>
            <w:vAlign w:val="center"/>
          </w:tcPr>
          <w:p>
            <w:pPr>
              <w:spacing w:after="0" w:line="240" w:lineRule="auto"/>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w:t>
            </w:r>
          </w:p>
        </w:tc>
        <w:tc>
          <w:tcPr>
            <w:tcW w:w="1537" w:type="dxa"/>
            <w:vAlign w:val="center"/>
          </w:tcPr>
          <w:p>
            <w:pPr>
              <w:spacing w:after="0" w:line="240" w:lineRule="auto"/>
              <w:jc w:val="lef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20601955</w:t>
            </w:r>
          </w:p>
          <w:p>
            <w:pPr>
              <w:spacing w:after="0" w:line="240" w:lineRule="auto"/>
              <w:jc w:val="left"/>
              <w:rPr>
                <w:rFonts w:hint="eastAsia" w:ascii="Times New Roman" w:hAnsi="Times New Roman" w:cs="Times New Roman"/>
                <w:sz w:val="24"/>
                <w:szCs w:val="24"/>
                <w:lang w:val="en-US" w:eastAsia="zh-CN"/>
              </w:rPr>
            </w:pPr>
          </w:p>
        </w:tc>
      </w:tr>
    </w:tbl>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Pr>
        <w:jc w:val="left"/>
        <w:rPr>
          <w:rFonts w:hint="eastAsia" w:ascii="Times New Roman" w:hAnsi="Times New Roman" w:cs="Times New Roman"/>
          <w:sz w:val="24"/>
          <w:szCs w:val="24"/>
          <w:lang w:val="en-US" w:eastAsia="zh-CN"/>
        </w:rPr>
      </w:pPr>
    </w:p>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S</w:t>
      </w:r>
      <w:r>
        <w:rPr>
          <w:rFonts w:ascii="Times New Roman" w:hAnsi="Times New Roman" w:cs="Times New Roman"/>
          <w:sz w:val="24"/>
          <w:szCs w:val="24"/>
        </w:rPr>
        <w:t xml:space="preserve">2. Relation between </w:t>
      </w:r>
      <w:r>
        <w:rPr>
          <w:rFonts w:hint="eastAsia" w:ascii="Times New Roman" w:hAnsi="Times New Roman" w:cs="Times New Roman"/>
          <w:sz w:val="24"/>
          <w:szCs w:val="24"/>
          <w:lang w:val="en-US" w:eastAsia="zh-CN"/>
        </w:rPr>
        <w:t>HMMR</w:t>
      </w:r>
      <w:r>
        <w:rPr>
          <w:rFonts w:ascii="Times New Roman" w:hAnsi="Times New Roman" w:cs="Times New Roman"/>
          <w:sz w:val="24"/>
          <w:szCs w:val="24"/>
        </w:rPr>
        <w:t xml:space="preserve"> expression and patient prognosis of different cancer</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w:t>
      </w:r>
      <w:r>
        <w:rPr>
          <w:rFonts w:ascii="Times New Roman" w:hAnsi="Times New Roman" w:cs="Times New Roman"/>
          <w:sz w:val="24"/>
          <w:szCs w:val="24"/>
        </w:rPr>
        <w:t>Disease Specific Survival) in Prognoscan database.</w:t>
      </w:r>
    </w:p>
    <w:tbl>
      <w:tblPr>
        <w:tblStyle w:val="5"/>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3"/>
        <w:gridCol w:w="2387"/>
        <w:gridCol w:w="1313"/>
        <w:gridCol w:w="277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043"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Cancer type</w:t>
            </w:r>
          </w:p>
        </w:tc>
        <w:tc>
          <w:tcPr>
            <w:tcW w:w="2387"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Dataset</w:t>
            </w:r>
          </w:p>
        </w:tc>
        <w:tc>
          <w:tcPr>
            <w:tcW w:w="1313"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i/>
                <w:iCs/>
                <w:sz w:val="24"/>
                <w:szCs w:val="24"/>
                <w:vertAlign w:val="baseline"/>
                <w:lang w:val="en-US" w:eastAsia="zh-CN"/>
              </w:rPr>
              <w:t>P</w:t>
            </w:r>
            <w:r>
              <w:rPr>
                <w:rFonts w:hint="eastAsia" w:ascii="Times New Roman" w:hAnsi="Times New Roman" w:cs="Times New Roman"/>
                <w:sz w:val="24"/>
                <w:szCs w:val="24"/>
                <w:vertAlign w:val="baseline"/>
                <w:lang w:val="en-US" w:eastAsia="zh-CN"/>
              </w:rPr>
              <w:t>-value</w:t>
            </w:r>
          </w:p>
        </w:tc>
        <w:tc>
          <w:tcPr>
            <w:tcW w:w="2779"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Hazard ratio (95% CI)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043"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Bladder cancer</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Blood cancer</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Breast cancer</w:t>
            </w: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Colorectal cancer</w:t>
            </w: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Lung cancer</w:t>
            </w:r>
          </w:p>
        </w:tc>
        <w:tc>
          <w:tcPr>
            <w:tcW w:w="2387"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GSE13507(N=165)</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GSE2658(N=559)</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GSE3494(N=236)</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GSE1456(N=159)</w:t>
            </w:r>
          </w:p>
          <w:p>
            <w:pPr>
              <w:numPr>
                <w:ilvl w:val="0"/>
                <w:numId w:val="3"/>
              </w:num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TABM-158(N=117)</w:t>
            </w:r>
          </w:p>
          <w:p>
            <w:pPr>
              <w:numPr>
                <w:ilvl w:val="0"/>
                <w:numId w:val="0"/>
              </w:num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GSE17536(N=177)</w:t>
            </w:r>
          </w:p>
          <w:p>
            <w:pPr>
              <w:numPr>
                <w:ilvl w:val="0"/>
                <w:numId w:val="0"/>
              </w:num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GSE17537(N=49)</w:t>
            </w:r>
          </w:p>
          <w:p>
            <w:pPr>
              <w:numPr>
                <w:ilvl w:val="0"/>
                <w:numId w:val="0"/>
              </w:num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GSE14814(N=90)</w:t>
            </w:r>
          </w:p>
        </w:tc>
        <w:tc>
          <w:tcPr>
            <w:tcW w:w="1313"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0.0029</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0.0003</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0.0054</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0.0016</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0.0227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0.3049</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0.5161</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0.0602</w:t>
            </w:r>
          </w:p>
        </w:tc>
        <w:tc>
          <w:tcPr>
            <w:tcW w:w="2779"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1.65 (1.19 - 2.29)</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1.71 (1.28 - 2.29)</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1.79 (1.19 - 2.70)</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2.08 (1.32 - 3.28)</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0.47 (0.24 - 0.90)</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0.84 (0.60 - 1.17)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1.27 (0.61 - 2.65)</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3.33 (0.95 - 11.65)</w:t>
            </w:r>
          </w:p>
        </w:tc>
      </w:tr>
    </w:tbl>
    <w:p>
      <w:pPr>
        <w:spacing w:line="480" w:lineRule="auto"/>
        <w:jc w:val="both"/>
        <w:rPr>
          <w:rFonts w:ascii="Times New Roman" w:hAnsi="Times New Roman" w:cs="Times New Roman"/>
          <w:sz w:val="24"/>
          <w:szCs w:val="24"/>
        </w:rPr>
      </w:pPr>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S</w:t>
      </w:r>
      <w:r>
        <w:rPr>
          <w:rFonts w:ascii="Times New Roman" w:hAnsi="Times New Roman" w:cs="Times New Roman"/>
          <w:sz w:val="24"/>
          <w:szCs w:val="24"/>
        </w:rPr>
        <w:t xml:space="preserve">3. Relation between </w:t>
      </w:r>
      <w:r>
        <w:rPr>
          <w:rFonts w:hint="eastAsia" w:ascii="Times New Roman" w:hAnsi="Times New Roman" w:cs="Times New Roman"/>
          <w:sz w:val="24"/>
          <w:szCs w:val="24"/>
          <w:lang w:val="en-US" w:eastAsia="zh-CN"/>
        </w:rPr>
        <w:t>HMMR</w:t>
      </w:r>
      <w:r>
        <w:rPr>
          <w:rFonts w:ascii="Times New Roman" w:hAnsi="Times New Roman" w:cs="Times New Roman"/>
          <w:sz w:val="24"/>
          <w:szCs w:val="24"/>
        </w:rPr>
        <w:t xml:space="preserve"> expression and patient prognosis of different cancer</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w:t>
      </w:r>
      <w:r>
        <w:rPr>
          <w:rFonts w:ascii="Times New Roman" w:hAnsi="Times New Roman" w:cs="Times New Roman"/>
          <w:sz w:val="24"/>
          <w:szCs w:val="24"/>
        </w:rPr>
        <w:t>Distant Metastasis Free Survival</w:t>
      </w:r>
      <w:r>
        <w:rPr>
          <w:rFonts w:hint="eastAsia" w:ascii="Times New Roman" w:hAnsi="Times New Roman" w:cs="Times New Roman"/>
          <w:sz w:val="24"/>
          <w:szCs w:val="24"/>
        </w:rPr>
        <w:t>)</w:t>
      </w:r>
      <w:r>
        <w:rPr>
          <w:rFonts w:ascii="Times New Roman" w:hAnsi="Times New Roman" w:cs="Times New Roman"/>
          <w:sz w:val="24"/>
          <w:szCs w:val="24"/>
        </w:rPr>
        <w:t xml:space="preserve"> in Prognoscan database.</w:t>
      </w:r>
    </w:p>
    <w:tbl>
      <w:tblPr>
        <w:tblStyle w:val="5"/>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3"/>
        <w:gridCol w:w="2387"/>
        <w:gridCol w:w="1313"/>
        <w:gridCol w:w="277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043"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Cancer type</w:t>
            </w:r>
          </w:p>
        </w:tc>
        <w:tc>
          <w:tcPr>
            <w:tcW w:w="2387"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Dataset</w:t>
            </w:r>
          </w:p>
        </w:tc>
        <w:tc>
          <w:tcPr>
            <w:tcW w:w="1313"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i/>
                <w:iCs/>
                <w:sz w:val="24"/>
                <w:szCs w:val="24"/>
                <w:vertAlign w:val="baseline"/>
                <w:lang w:val="en-US" w:eastAsia="zh-CN"/>
              </w:rPr>
              <w:t>P</w:t>
            </w:r>
            <w:r>
              <w:rPr>
                <w:rFonts w:hint="eastAsia" w:ascii="Times New Roman" w:hAnsi="Times New Roman" w:cs="Times New Roman"/>
                <w:sz w:val="24"/>
                <w:szCs w:val="24"/>
                <w:vertAlign w:val="baseline"/>
                <w:lang w:val="en-US" w:eastAsia="zh-CN"/>
              </w:rPr>
              <w:t>-value</w:t>
            </w:r>
          </w:p>
        </w:tc>
        <w:tc>
          <w:tcPr>
            <w:tcW w:w="2779"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Hazard ratio (95% CI)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043"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Breast cancer</w:t>
            </w: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Eye cancer</w:t>
            </w:r>
          </w:p>
        </w:tc>
        <w:tc>
          <w:tcPr>
            <w:tcW w:w="2387"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GSE19615(N=115)</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GSE6532(N=87)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GSE9195(N=77)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GSE12093(N=136)</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GSE11121(N=200)</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GSE2034(N=286)</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GSE7390(N=198)</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GSE22138(N=63)</w:t>
            </w:r>
          </w:p>
        </w:tc>
        <w:tc>
          <w:tcPr>
            <w:tcW w:w="1313" w:type="dxa"/>
            <w:tcBorders>
              <w:top w:val="single" w:color="auto" w:sz="6" w:space="0"/>
              <w:tl2br w:val="nil"/>
              <w:tr2bl w:val="nil"/>
            </w:tcBorders>
          </w:tcPr>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0.6180</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0.0733</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0.0405</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0.0426</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0.0285</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0.0000</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0.0211</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0.0682</w:t>
            </w:r>
          </w:p>
        </w:tc>
        <w:tc>
          <w:tcPr>
            <w:tcW w:w="2779"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1.34 (0.42 - 4.28)</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1.38 (0.97 - 1.98)</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2.09 (1.03 - 3.37)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2.11 (1.03 - 4.33)</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2.14 (1.08 - 1.24)</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1.99 (1.45 - 2.75)</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1.44 (1.06 - 1.97)</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1.28 (0.98 - 1.66)</w:t>
            </w:r>
          </w:p>
        </w:tc>
      </w:tr>
    </w:tbl>
    <w:p>
      <w:pPr>
        <w:spacing w:line="480" w:lineRule="auto"/>
        <w:jc w:val="both"/>
        <w:rPr>
          <w:rFonts w:ascii="Times New Roman" w:hAnsi="Times New Roman" w:cs="Times New Roman"/>
          <w:sz w:val="24"/>
          <w:szCs w:val="24"/>
        </w:rPr>
      </w:pPr>
    </w:p>
    <w:p/>
    <w:p/>
    <w:p/>
    <w:p/>
    <w:p/>
    <w:p/>
    <w:p/>
    <w:p/>
    <w:p/>
    <w:p/>
    <w:p/>
    <w:p/>
    <w:p/>
    <w:p/>
    <w:p/>
    <w:p/>
    <w:p>
      <w:pPr>
        <w:spacing w:line="480" w:lineRule="auto"/>
        <w:jc w:val="both"/>
        <w:rPr>
          <w:rFonts w:ascii="Times New Roman" w:hAnsi="Times New Roman" w:cs="Times New Roman"/>
          <w:sz w:val="24"/>
          <w:szCs w:val="24"/>
        </w:rPr>
      </w:pPr>
    </w:p>
    <w:p>
      <w:pPr>
        <w:spacing w:line="480" w:lineRule="auto"/>
        <w:jc w:val="center"/>
        <w:rPr>
          <w:rFonts w:ascii="Times New Roman" w:hAnsi="Times New Roman" w:cs="Times New Roman"/>
          <w:sz w:val="24"/>
          <w:szCs w:val="24"/>
        </w:rPr>
      </w:pPr>
    </w:p>
    <w:p>
      <w:pPr>
        <w:spacing w:line="480" w:lineRule="auto"/>
        <w:jc w:val="both"/>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S4</w:t>
      </w:r>
      <w:r>
        <w:rPr>
          <w:rFonts w:ascii="Times New Roman" w:hAnsi="Times New Roman" w:cs="Times New Roman"/>
          <w:sz w:val="24"/>
          <w:szCs w:val="24"/>
        </w:rPr>
        <w:t>. Relation between TGF</w:t>
      </w:r>
      <w:r>
        <w:rPr>
          <w:rFonts w:hint="eastAsia" w:ascii="Times New Roman" w:hAnsi="Times New Roman" w:cs="Times New Roman"/>
          <w:sz w:val="24"/>
          <w:szCs w:val="24"/>
        </w:rPr>
        <w:t>β2</w:t>
      </w:r>
      <w:r>
        <w:rPr>
          <w:rFonts w:ascii="Times New Roman" w:hAnsi="Times New Roman" w:cs="Times New Roman"/>
          <w:sz w:val="24"/>
          <w:szCs w:val="24"/>
        </w:rPr>
        <w:t xml:space="preserve"> expression and patient prognosis of different cancer</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w:t>
      </w:r>
      <w:r>
        <w:rPr>
          <w:rFonts w:ascii="Times New Roman" w:hAnsi="Times New Roman" w:cs="Times New Roman"/>
          <w:sz w:val="24"/>
          <w:szCs w:val="24"/>
        </w:rPr>
        <w:t>Relapse Free Survival) in Prognoscan database.</w:t>
      </w:r>
    </w:p>
    <w:tbl>
      <w:tblPr>
        <w:tblStyle w:val="5"/>
        <w:tblW w:w="0" w:type="auto"/>
        <w:tblInd w:w="-332"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25"/>
        <w:gridCol w:w="2237"/>
        <w:gridCol w:w="1313"/>
        <w:gridCol w:w="277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5"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Cancer type</w:t>
            </w:r>
          </w:p>
        </w:tc>
        <w:tc>
          <w:tcPr>
            <w:tcW w:w="2237"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Dataset</w:t>
            </w:r>
          </w:p>
        </w:tc>
        <w:tc>
          <w:tcPr>
            <w:tcW w:w="1313"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i/>
                <w:iCs/>
                <w:sz w:val="24"/>
                <w:szCs w:val="24"/>
                <w:vertAlign w:val="baseline"/>
                <w:lang w:val="en-US" w:eastAsia="zh-CN"/>
              </w:rPr>
              <w:t>P</w:t>
            </w:r>
            <w:r>
              <w:rPr>
                <w:rFonts w:hint="eastAsia" w:ascii="Times New Roman" w:hAnsi="Times New Roman" w:cs="Times New Roman"/>
                <w:sz w:val="24"/>
                <w:szCs w:val="24"/>
                <w:vertAlign w:val="baseline"/>
                <w:lang w:val="en-US" w:eastAsia="zh-CN"/>
              </w:rPr>
              <w:t>-value</w:t>
            </w:r>
          </w:p>
        </w:tc>
        <w:tc>
          <w:tcPr>
            <w:tcW w:w="2779" w:type="dxa"/>
            <w:tcBorders>
              <w:bottom w:val="single" w:color="auto" w:sz="6" w:space="0"/>
            </w:tcBorders>
            <w:vAlign w:val="top"/>
          </w:tcPr>
          <w:p>
            <w:pPr>
              <w:spacing w:after="0" w:line="480" w:lineRule="auto"/>
              <w:jc w:val="left"/>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sz w:val="24"/>
                <w:szCs w:val="24"/>
                <w:vertAlign w:val="baseline"/>
                <w:lang w:val="en-US" w:eastAsia="zh-CN"/>
              </w:rPr>
              <w:t>Hazard ratio (95% CI)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5"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Breast cancer</w:t>
            </w: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Head and neck cancer</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Lung cancer</w:t>
            </w:r>
          </w:p>
        </w:tc>
        <w:tc>
          <w:tcPr>
            <w:tcW w:w="2237"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GSE12276(N=204)</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GSE6532(N=87)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GSE9195(N=77)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GSE1456(N=159)</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GSE2990(N=125)</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GSE7390(N=198)</w:t>
            </w:r>
          </w:p>
          <w:p>
            <w:pPr>
              <w:numPr>
                <w:ilvl w:val="0"/>
                <w:numId w:val="0"/>
              </w:num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GSE2837(N=28)</w:t>
            </w:r>
          </w:p>
          <w:p>
            <w:pPr>
              <w:numPr>
                <w:ilvl w:val="0"/>
                <w:numId w:val="0"/>
              </w:num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GSE31210(N=204)</w:t>
            </w:r>
          </w:p>
          <w:p>
            <w:pPr>
              <w:numPr>
                <w:ilvl w:val="0"/>
                <w:numId w:val="0"/>
              </w:num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GSE8894(N=138)</w:t>
            </w:r>
          </w:p>
          <w:p>
            <w:pPr>
              <w:numPr>
                <w:ilvl w:val="0"/>
                <w:numId w:val="0"/>
              </w:num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GSE17710(N=56)</w:t>
            </w:r>
          </w:p>
        </w:tc>
        <w:tc>
          <w:tcPr>
            <w:tcW w:w="1313" w:type="dxa"/>
            <w:tcBorders>
              <w:top w:val="single" w:color="auto" w:sz="6" w:space="0"/>
              <w:tl2br w:val="nil"/>
              <w:tr2bl w:val="nil"/>
            </w:tcBorders>
          </w:tcPr>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0.0002</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0.0733</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0.0501</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0.0034</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0.1436</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0.1797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0.5912</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0.0000</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0.0043</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0.4886</w:t>
            </w:r>
          </w:p>
        </w:tc>
        <w:tc>
          <w:tcPr>
            <w:tcW w:w="2779" w:type="dxa"/>
            <w:tcBorders>
              <w:top w:val="single" w:color="auto" w:sz="6" w:space="0"/>
              <w:tl2br w:val="nil"/>
              <w:tr2bl w:val="nil"/>
            </w:tcBorders>
          </w:tcPr>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1.57 (1.24 - 1.99)</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1.38 (0.97 - 1.98)</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1.84 (1.00 - 3.37)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2.75 (1.40 - 5.40)</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1.36 (0.90 - 2.04)</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1.15 (0.94 - 1.42)</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3.44 (0.04 - 312.91)</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2.12 (1.52 - 2.97)</w:t>
            </w:r>
          </w:p>
          <w:p>
            <w:pPr>
              <w:spacing w:after="0" w:line="480" w:lineRule="auto"/>
              <w:jc w:val="both"/>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1.33 (1.09 - 1.62)</w:t>
            </w:r>
          </w:p>
          <w:p>
            <w:pPr>
              <w:spacing w:after="0" w:line="480" w:lineRule="auto"/>
              <w:jc w:val="both"/>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1.17 (0.75 - 2.30)</w:t>
            </w:r>
          </w:p>
        </w:tc>
      </w:tr>
    </w:tbl>
    <w:p>
      <w:pPr>
        <w:spacing w:beforeLines="0" w:afterLines="0"/>
        <w:jc w:val="left"/>
        <w:rPr>
          <w:rFonts w:hint="default"/>
          <w:sz w:val="24"/>
        </w:rPr>
      </w:pPr>
      <w:r>
        <w:fldChar w:fldCharType="begin"/>
      </w:r>
      <w:r>
        <w:rPr>
          <w:rFonts w:hint="eastAsia"/>
          <w:lang w:eastAsia="zh-CN"/>
        </w:rPr>
        <w:instrText xml:space="preserve"> ADDIN NE.Bib</w:instrText>
      </w:r>
      <w:r>
        <w:fldChar w:fldCharType="separate"/>
      </w:r>
    </w:p>
    <w:p>
      <w:pPr>
        <w:spacing w:beforeLines="0" w:afterLines="0"/>
        <w:jc w:val="center"/>
        <w:rPr>
          <w:rFonts w:hint="default"/>
          <w:sz w:val="24"/>
        </w:rPr>
      </w:pPr>
      <w:r>
        <w:rPr>
          <w:rFonts w:hint="default" w:ascii="Times New Roman" w:hAnsi="Times New Roman" w:eastAsia="Times New Roman"/>
          <w:b/>
          <w:color w:val="000000"/>
          <w:sz w:val="40"/>
        </w:rPr>
        <w:t>References:</w:t>
      </w:r>
    </w:p>
    <w:p>
      <w:pPr>
        <w:spacing w:beforeLines="0" w:afterLines="0"/>
        <w:rPr>
          <w:rFonts w:hint="default"/>
          <w:sz w:val="24"/>
        </w:rPr>
      </w:pPr>
      <w:r>
        <w:rPr>
          <w:rFonts w:hint="default" w:ascii="Times New Roman" w:hAnsi="Times New Roman" w:eastAsia="Times New Roman"/>
          <w:color w:val="000000"/>
          <w:sz w:val="20"/>
        </w:rPr>
        <w:t>1.</w:t>
      </w:r>
      <w:r>
        <w:rPr>
          <w:rFonts w:hint="default" w:ascii="Times New Roman" w:hAnsi="Times New Roman" w:eastAsia="Times New Roman"/>
          <w:color w:val="000000"/>
          <w:sz w:val="20"/>
        </w:rPr>
        <w:tab/>
      </w:r>
      <w:r>
        <w:rPr>
          <w:rFonts w:hint="default" w:ascii="Times New Roman" w:hAnsi="Times New Roman" w:eastAsia="Times New Roman"/>
          <w:color w:val="000000"/>
          <w:sz w:val="20"/>
        </w:rPr>
        <w:t xml:space="preserve">Bonneville R, Krook MA, Kautto EA, Miya J, Wing MR, Chen HZ, Reeser JW, Yu L, Roychowdhury S: </w:t>
      </w:r>
      <w:r>
        <w:rPr>
          <w:rFonts w:hint="default" w:ascii="Times New Roman" w:hAnsi="Times New Roman" w:eastAsia="Times New Roman"/>
          <w:b/>
          <w:color w:val="000000"/>
          <w:sz w:val="20"/>
        </w:rPr>
        <w:t>Landscape of Microsatellite Instability Across 39 Cancer Types</w:t>
      </w:r>
      <w:r>
        <w:rPr>
          <w:rFonts w:hint="default" w:ascii="Times New Roman" w:hAnsi="Times New Roman" w:eastAsia="Times New Roman"/>
          <w:color w:val="000000"/>
          <w:sz w:val="20"/>
        </w:rPr>
        <w:t xml:space="preserve">. </w:t>
      </w:r>
      <w:r>
        <w:rPr>
          <w:rFonts w:hint="default" w:ascii="Times New Roman" w:hAnsi="Times New Roman" w:eastAsia="Times New Roman"/>
          <w:i/>
          <w:color w:val="000000"/>
          <w:sz w:val="20"/>
        </w:rPr>
        <w:t>JCO Precis Oncol</w:t>
      </w:r>
      <w:r>
        <w:rPr>
          <w:rFonts w:hint="default" w:ascii="Times New Roman" w:hAnsi="Times New Roman" w:eastAsia="Times New Roman"/>
          <w:color w:val="000000"/>
          <w:sz w:val="20"/>
        </w:rPr>
        <w:t xml:space="preserve"> 2017, </w:t>
      </w:r>
      <w:r>
        <w:rPr>
          <w:rFonts w:hint="default" w:ascii="Times New Roman" w:hAnsi="Times New Roman" w:eastAsia="Times New Roman"/>
          <w:b/>
          <w:color w:val="000000"/>
          <w:sz w:val="20"/>
        </w:rPr>
        <w:t>2017</w:t>
      </w:r>
      <w:r>
        <w:rPr>
          <w:rFonts w:hint="default" w:ascii="Times New Roman" w:hAnsi="Times New Roman" w:eastAsia="Times New Roman"/>
          <w:color w:val="000000"/>
          <w:sz w:val="20"/>
        </w:rPr>
        <w:t>.</w:t>
      </w:r>
    </w:p>
    <w:p>
      <w:pPr>
        <w:spacing w:beforeLines="0" w:afterLines="0"/>
        <w:jc w:val="left"/>
        <w:rPr>
          <w:rFonts w:hint="default"/>
          <w:sz w:val="24"/>
        </w:rPr>
      </w:pPr>
      <w:r>
        <w:fldChar w:fldCharType="end"/>
      </w:r>
      <w:r>
        <w:fldChar w:fldCharType="begin"/>
      </w:r>
      <w:r>
        <w:rPr>
          <w:rFonts w:hint="eastAsia"/>
          <w:lang w:eastAsia="zh-CN"/>
        </w:rPr>
        <w:instrText xml:space="preserve"> ADDIN NE.Rep</w:instrText>
      </w:r>
      <w:r>
        <w:fldChar w:fldCharType="separate"/>
      </w:r>
    </w:p>
    <w:p>
      <w:pPr>
        <w:spacing w:beforeLines="0" w:afterLines="0"/>
        <w:jc w:val="center"/>
        <w:rPr>
          <w:rFonts w:hint="default"/>
          <w:color w:val="000000"/>
          <w:sz w:val="24"/>
        </w:rPr>
      </w:pPr>
      <w:r>
        <w:rPr>
          <w:rFonts w:hint="default"/>
          <w:b/>
          <w:color w:val="FF0000"/>
          <w:sz w:val="24"/>
        </w:rPr>
        <w:t>校对报告</w:t>
      </w:r>
    </w:p>
    <w:p>
      <w:pPr>
        <w:spacing w:beforeLines="0" w:afterLines="0"/>
        <w:jc w:val="center"/>
        <w:rPr>
          <w:rFonts w:hint="default"/>
          <w:sz w:val="24"/>
        </w:rPr>
      </w:pPr>
    </w:p>
    <w:p>
      <w:pPr>
        <w:spacing w:beforeLines="0" w:afterLines="0"/>
        <w:jc w:val="left"/>
        <w:rPr>
          <w:rFonts w:hint="default"/>
          <w:color w:val="000000"/>
          <w:sz w:val="24"/>
        </w:rPr>
      </w:pPr>
      <w:r>
        <w:rPr>
          <w:rFonts w:hint="default"/>
          <w:color w:val="000000"/>
          <w:sz w:val="24"/>
        </w:rPr>
        <w:t>当前使用的样式是 [Cancer Cell International]</w:t>
      </w:r>
    </w:p>
    <w:p>
      <w:pPr>
        <w:spacing w:beforeLines="0" w:afterLines="0"/>
        <w:jc w:val="left"/>
        <w:rPr>
          <w:rFonts w:hint="default"/>
          <w:color w:val="000000"/>
          <w:sz w:val="24"/>
        </w:rPr>
      </w:pPr>
      <w:r>
        <w:rPr>
          <w:rFonts w:hint="default"/>
          <w:color w:val="000000"/>
          <w:sz w:val="24"/>
        </w:rPr>
        <w:t>当前文档包含的题录共1条</w:t>
      </w:r>
    </w:p>
    <w:p>
      <w:pPr>
        <w:spacing w:beforeLines="0" w:afterLines="0"/>
        <w:jc w:val="left"/>
        <w:rPr>
          <w:rFonts w:hint="default"/>
          <w:color w:val="000000"/>
          <w:sz w:val="24"/>
        </w:rPr>
      </w:pPr>
      <w:r>
        <w:rPr>
          <w:rFonts w:hint="default"/>
          <w:color w:val="000000"/>
          <w:sz w:val="24"/>
        </w:rPr>
        <w:t>有0条题录存在必填字段内容缺失的问题</w:t>
      </w:r>
    </w:p>
    <w:p>
      <w:r>
        <w:rPr>
          <w:rFonts w:hint="default"/>
          <w:color w:val="000000"/>
          <w:sz w:val="24"/>
        </w:rPr>
        <w:t>所有题录的数据正常</w:t>
      </w:r>
      <w: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MT">
    <w:altName w:val="Arial"/>
    <w:panose1 w:val="00000000000000000000"/>
    <w:charset w:val="00"/>
    <w:family w:val="roman"/>
    <w:pitch w:val="default"/>
    <w:sig w:usb0="00000000" w:usb1="00000000" w:usb2="00000000" w:usb3="00000000" w:csb0="00000000" w:csb1="00000000"/>
  </w:font>
  <w:font w:name="STIX-Regular">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75957"/>
    <w:multiLevelType w:val="singleLevel"/>
    <w:tmpl w:val="41375957"/>
    <w:lvl w:ilvl="0" w:tentative="0">
      <w:start w:val="5"/>
      <w:numFmt w:val="upperLetter"/>
      <w:suff w:val="nothing"/>
      <w:lvlText w:val="%1-"/>
      <w:lvlJc w:val="left"/>
    </w:lvl>
  </w:abstractNum>
  <w:abstractNum w:abstractNumId="1">
    <w:nsid w:val="43497854"/>
    <w:multiLevelType w:val="multilevel"/>
    <w:tmpl w:val="43497854"/>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2">
    <w:nsid w:val="7694555A"/>
    <w:multiLevelType w:val="multilevel"/>
    <w:tmpl w:val="7694555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06BD3233-5B8A-48E0-BCE7-FFCCB71498A6}" w:val=" ADDIN NE.Ref.{06BD3233-5B8A-48E0-BCE7-FFCCB71498A6}&lt;Citation&gt;&lt;Group&gt;&lt;References&gt;&lt;Item&gt;&lt;ID&gt;431&lt;/ID&gt;&lt;UID&gt;{8C77EBEC-8FB3-490B-A3F9-53B551111CA2}&lt;/UID&gt;&lt;Title&gt;The human genome browser at UCSC&lt;/Title&gt;&lt;Template&gt;Journal Article&lt;/Template&gt;&lt;Star&gt;0&lt;/Star&gt;&lt;Tag&gt;0&lt;/Tag&gt;&lt;Author&gt;Kent, W J; Sugnet, C W; Furey, T S; Roskin, K M; Pringle, T H; Zahler, A M; Haussler, D&lt;/Author&gt;&lt;Year&gt;2002&lt;/Year&gt;&lt;Details&gt;&lt;_accession_num&gt;12045153&lt;/_accession_num&gt;&lt;_author_adr&gt;Department of Molecular, Cellular, and Developmental Biology, University of California, Santa Cruz, CA 95064, USA. kent@biology.ucsc.edu&lt;/_author_adr&gt;&lt;_date_display&gt;2002 Jun&lt;/_date_display&gt;&lt;_date&gt;2002-06-01&lt;/_date&gt;&lt;_doi&gt;10.1101/gr.229102&lt;/_doi&gt;&lt;_isbn&gt;1088-9051 (Print); 1088-9051 (Linking)&lt;/_isbn&gt;&lt;_issue&gt;6&lt;/_issue&gt;&lt;_journal&gt;Genome Res&lt;/_journal&gt;&lt;_language&gt;eng&lt;/_language&gt;&lt;_pages&gt;996-1006&lt;/_pages&gt;&lt;_subject_headings&gt;California; *Database Management Systems; Databases, Genetic; Gene Expression; Genes; *Genome, Human; Humans; RNA, Messenger; Sequence Homology, Nucleic Acid; Software; Universities/trends&lt;/_subject_headings&gt;&lt;_tertiary_title&gt;Genome research&lt;/_tertiary_title&gt;&lt;_type_work&gt;Journal Article; Research Support, Non-U.S. Gov&amp;apos;t; Research Support, U.S. Gov&amp;apos;t, Non-P.H.S.; Research Support, U.S. Gov&amp;apos;t, P.H.S.&lt;/_type_work&gt;&lt;_url&gt;http://www.ncbi.nlm.nih.gov/entrez/query.fcgi?cmd=Retrieve&amp;amp;db=pubmed&amp;amp;dopt=Abstract&amp;amp;list_uids=12045153&amp;amp;query_hl=1&lt;/_url&gt;&lt;_volume&gt;12&lt;/_volume&gt;&lt;_created&gt;63726693&lt;/_created&gt;&lt;_modified&gt;63726693&lt;/_modified&gt;&lt;_db_updated&gt;PubMed&lt;/_db_updated&gt;&lt;_impact_factor&gt;  11.093&lt;/_impact_factor&gt;&lt;_collection_scope&gt;SCI;SCIE&lt;/_collection_scope&gt;&lt;/Details&gt;&lt;Extra&gt;&lt;DBUID&gt;{F96A950B-833F-4880-A151-76DA2D6A2879}&lt;/DBUID&gt;&lt;/Extra&gt;&lt;/Item&gt;&lt;/References&gt;&lt;/Group&gt;&lt;/Citation&gt;_x000a_"/>
    <w:docVar w:name="NE.Ref{1E16F038-7771-445C-913F-2E08C9311CCD}" w:val=" ADDIN NE.Ref.{1E16F038-7771-445C-913F-2E08C9311CCD}&lt;Citation&gt;&lt;Group&gt;&lt;References&gt;&lt;Item&gt;&lt;ID&gt;430&lt;/ID&gt;&lt;UID&gt;{9D7D0425-4107-45D2-9060-9BC232C5A86B}&lt;/UID&gt;&lt;Title&gt;A Novel Bioavailable BH3 Mimetic Efficiently Inhibits Colon Cancer via Cascade Effects of Mitochondria&lt;/Title&gt;&lt;Template&gt;Journal Article&lt;/Template&gt;&lt;Star&gt;0&lt;/Star&gt;&lt;Tag&gt;0&lt;/Tag&gt;&lt;Author&gt;Wang, X; Zhang, C; Yan, X; Lan, B; Wang, J; Wei, C; Cao, X; Wang, R; Yao, J; Zhou, T; Zhou, M; Liu, Q; Jiang, B; Jiang, P; Kesari, S; Lin, X; Guo, F&lt;/Author&gt;&lt;Year&gt;2016&lt;/Year&gt;&lt;Details&gt;&lt;_accession_num&gt;26515494&lt;/_accession_num&gt;&lt;_author_adr&gt;Laboratory of Tumor Targeted Therapy, Shanghai Advanced Research Institute, Chinese Academy of Sciences, University of Chinese Academy of Sciences, Shanghai, China. Institute of Health Sciences, Shanghai Institute for Biological Sciences,  Chinese Academy of Sciences &amp;amp; Shanghai Jiao Tong University School of Medicine, Shanghai, China.; CAS Key Laboratory of Synthetic Chemistry of Natural Substance, Shanghai Institute of Organic Chemistry, University of Chinese Academy of Sciences, Shanghai, China.; Laboratory of Tumor Targeted Therapy, Shanghai Advanced Research Institute, Chinese Academy of Sciences, University of Chinese Academy of Sciences, Shanghai, China.; Institute of Health Sciences, Shanghai Institute for Biological Sciences, Chinese Academy of Sciences &amp;amp; Shanghai Jiao Tong University School of Medicine, Shanghai, China. Key Laboratory of Systems Biomedicine (Ministry of Education), Shanghai Center for Systems Biomedicine, Shanghai Jiao Tong University, Shanghai, China.; Laboratory of Tumor Targeted Therapy, Shanghai Advanced Research Institute, Chinese Academy of Sciences, University of Chinese Academy of Sciences, Shanghai, China.; Laboratory of Tumor Targeted Therapy, Shanghai Advanced Research Institute, Chinese Academy of Sciences, University of Chinese Academy of Sciences, Shanghai, China.; CAS Key Laboratory of Synthetic Chemistry of Natural Substance, Shanghai Institute of Organic Chemistry, University of Chinese Academy of Sciences, Shanghai, China.; CAS Key Laboratory of Synthetic Chemistry of Natural Substance, Shanghai Institute of Organic Chemistry, University of Chinese Academy of Sciences, Shanghai, China.; CAS Key Laboratory of Synthetic Chemistry of Natural Substance, Shanghai Institute of Organic Chemistry, University of Chinese Academy of Sciences, Shanghai, China.; Academy of Life Science, Shanghai University, Shanghai, China.; CAS Key Laboratory of Synthetic Chemistry of Natural Substance, Shanghai Institute of Organic Chemistry, University of Chinese Academy of Sciences, Shanghai, China.; Laboratory of Tumor Targeted Therapy, Shanghai Advanced Research Institute, Chinese Academy of Sciences, University of Chinese Academy of Sciences, Shanghai, China.; CAS Key Laboratory of Synthetic Chemistry of Natural Substance, Shanghai Institute of Organic Chemistry, University of Chinese Academy of Sciences, Shanghai, China.; Department of Medicine and UC San Diego Moores Cancer Center, University of California-San Diego, La Jolla, California.; Department of Medicine and UC San Diego Moores Cancer Center, University of California-San Diego, La Jolla, California.; Department of Medicine and UC San Diego Moores Cancer Center, University of California-San Diego, La Jolla, California. guof@sari.ac.cn xlin@ucsd.edu.; Laboratory of Tumor Targeted Therapy, Shanghai Advanced Research Institute, Chinese Academy of Sciences, University of Chinese Academy of Sciences, Shanghai, China. Key Laboratory of Systems Biomedicine (Ministry of Education), Shanghai Center for Systems Biomedicine, Shanghai Jiao Tong University, Shanghai, China. guof@sari.ac.cn xlin@ucsd.edu.&lt;/_author_adr&gt;&lt;_date_display&gt;2016 Mar 15&lt;/_date_display&gt;&lt;_date&gt;2016-03-15&lt;/_date&gt;&lt;_doi&gt;10.1158/1078-0432.CCR-15-0732&lt;/_doi&gt;&lt;_isbn&gt;1557-3265 (Electronic); 1078-0432 (Linking)&lt;/_isbn&gt;&lt;_issue&gt;6&lt;/_issue&gt;&lt;_journal&gt;Clin Cancer Res&lt;/_journal&gt;&lt;_language&gt;eng&lt;/_language&gt;&lt;_ori_publication&gt;(c)2015 American Association for Cancer Research.&lt;/_ori_publication&gt;&lt;_pages&gt;1445-58&lt;/_pages&gt;&lt;_subject_headings&gt;Aniline Compounds/pharmacology; Apoptosis/drug effects; *Biological Mimicry; Caspases/metabolism; Cell Cycle Checkpoints/drug effects; Cell Movement; Cell Proliferation/drug effects; Cell Survival; Colonic Neoplasms/*metabolism/pathology; Humans; Inhibitor of Apoptosis Proteins/metabolism; Mitochondria/*drug effects/*metabolism/ultrastructure; Mitophagy/drug effects; Models, Molecular; Molecular Structure; Organoplatinum Compounds/pharmacology; Oxaliplatin; Peptide Fragments/chemistry/*pharmacology; Protein Binding; Protein Conformation; Proto-Oncogene Proteins/chemistry/*pharmacology; Proto-Oncogene Proteins c-bcl-2/antagonists &amp;amp; inhibitors/chemistry/metabolism; Sulfonamides/pharmacology; TOR Serine-Threonine Kinases/metabolism&lt;/_subject_headings&gt;&lt;_tertiary_title&gt;Clinical cancer research : an official journal of the American Association for_x000d__x000a_      Cancer Research&lt;/_tertiary_title&gt;&lt;_type_work&gt;Journal Article; Research Support, Non-U.S. Gov&amp;apos;t&lt;/_type_work&gt;&lt;_url&gt;http://www.ncbi.nlm.nih.gov/entrez/query.fcgi?cmd=Retrieve&amp;amp;db=pubmed&amp;amp;dopt=Abstract&amp;amp;list_uids=26515494&amp;amp;query_hl=1&lt;/_url&gt;&lt;_volume&gt;22&lt;/_volume&gt;&lt;_created&gt;63726666&lt;/_created&gt;&lt;_modified&gt;63726666&lt;/_modified&gt;&lt;_db_updated&gt;PubMed&lt;/_db_updated&gt;&lt;_impact_factor&gt;  10.107&lt;/_impact_factor&gt;&lt;_collection_scope&gt;SCI;SCIE&lt;/_collection_scope&gt;&lt;/Details&gt;&lt;Extra&gt;&lt;DBUID&gt;{F96A950B-833F-4880-A151-76DA2D6A2879}&lt;/DBUID&gt;&lt;/Extra&gt;&lt;/Item&gt;&lt;/References&gt;&lt;/Group&gt;&lt;/Citation&gt;_x000a_"/>
    <w:docVar w:name="NE.Ref{B56AB4B0-E21F-40C2-A289-EDBFB1C774B6}" w:val=" ADDIN NE.Ref.{B56AB4B0-E21F-40C2-A289-EDBFB1C774B6}&lt;Citation&gt;&lt;Group&gt;&lt;References&gt;&lt;Item&gt;&lt;ID&gt;428&lt;/ID&gt;&lt;UID&gt;{6A9E3C82-B8B6-4917-8571-EE1FF1482897}&lt;/UID&gt;&lt;Title&gt;A Novel Bioavailable BH3 Mimetic Efficiently Inhibits Colon Cancer via Cascade Effects of Mitochondria&lt;/Title&gt;&lt;Template&gt;Journal Article&lt;/Template&gt;&lt;Star&gt;0&lt;/Star&gt;&lt;Tag&gt;0&lt;/Tag&gt;&lt;Author&gt;Wang, X; Zhang, C; Yan, X; Lan, B; Wang, J; Wei, C; Cao, X; Wang, R; Yao, J; Zhou, T; Zhou, M; Liu, Q; Jiang, B; Jiang, P; Kesari, S; Lin, X; Guo, F&lt;/Author&gt;&lt;Year&gt;2016&lt;/Year&gt;&lt;Details&gt;&lt;_accession_num&gt;26515494&lt;/_accession_num&gt;&lt;_author_adr&gt;Laboratory of Tumor Targeted Therapy, Shanghai Advanced Research Institute, Chinese Academy of Sciences, University of Chinese Academy of Sciences, Shanghai, China. Institute of Health Sciences, Shanghai Institute for Biological Sciences,  Chinese Academy of Sciences &amp;amp; Shanghai Jiao Tong University School of Medicine, Shanghai, China.; CAS Key Laboratory of Synthetic Chemistry of Natural Substance, Shanghai Institute of Organic Chemistry, University of Chinese Academy of Sciences, Shanghai, China.; Laboratory of Tumor Targeted Therapy, Shanghai Advanced Research Institute, Chinese Academy of Sciences, University of Chinese Academy of Sciences, Shanghai, China.; Institute of Health Sciences, Shanghai Institute for Biological Sciences, Chinese Academy of Sciences &amp;amp; Shanghai Jiao Tong University School of Medicine, Shanghai, China. Key Laboratory of Systems Biomedicine (Ministry of Education), Shanghai Center for Systems Biomedicine, Shanghai Jiao Tong University, Shanghai, China.; Laboratory of Tumor Targeted Therapy, Shanghai Advanced Research Institute, Chinese Academy of Sciences, University of Chinese Academy of Sciences, Shanghai, China.; Laboratory of Tumor Targeted Therapy, Shanghai Advanced Research Institute, Chinese Academy of Sciences, University of Chinese Academy of Sciences, Shanghai, China.; CAS Key Laboratory of Synthetic Chemistry of Natural Substance, Shanghai Institute of Organic Chemistry, University of Chinese Academy of Sciences, Shanghai, China.; CAS Key Laboratory of Synthetic Chemistry of Natural Substance, Shanghai Institute of Organic Chemistry, University of Chinese Academy of Sciences, Shanghai, China.; CAS Key Laboratory of Synthetic Chemistry of Natural Substance, Shanghai Institute of Organic Chemistry, University of Chinese Academy of Sciences, Shanghai, China.; Academy of Life Science, Shanghai University, Shanghai, China.; CAS Key Laboratory of Synthetic Chemistry of Natural Substance, Shanghai Institute of Organic Chemistry, University of Chinese Academy of Sciences, Shanghai, China.; Laboratory of Tumor Targeted Therapy, Shanghai Advanced Research Institute, Chinese Academy of Sciences, University of Chinese Academy of Sciences, Shanghai, China.; CAS Key Laboratory of Synthetic Chemistry of Natural Substance, Shanghai Institute of Organic Chemistry, University of Chinese Academy of Sciences, Shanghai, China.; Department of Medicine and UC San Diego Moores Cancer Center, University of California-San Diego, La Jolla, California.; Department of Medicine and UC San Diego Moores Cancer Center, University of California-San Diego, La Jolla, California.; Department of Medicine and UC San Diego Moores Cancer Center, University of California-San Diego, La Jolla, California. guof@sari.ac.cn xlin@ucsd.edu.; Laboratory of Tumor Targeted Therapy, Shanghai Advanced Research Institute, Chinese Academy of Sciences, University of Chinese Academy of Sciences, Shanghai, China. Key Laboratory of Systems Biomedicine (Ministry of Education), Shanghai Center for Systems Biomedicine, Shanghai Jiao Tong University, Shanghai, China. guof@sari.ac.cn xlin@ucsd.edu.&lt;/_author_adr&gt;&lt;_date_display&gt;2016 Mar 15&lt;/_date_display&gt;&lt;_date&gt;2016-03-15&lt;/_date&gt;&lt;_doi&gt;10.1158/1078-0432.CCR-15-0732&lt;/_doi&gt;&lt;_isbn&gt;1557-3265 (Electronic); 1078-0432 (Linking)&lt;/_isbn&gt;&lt;_issue&gt;6&lt;/_issue&gt;&lt;_journal&gt;Clin Cancer Res&lt;/_journal&gt;&lt;_language&gt;eng&lt;/_language&gt;&lt;_ori_publication&gt;(c)2015 American Association for Cancer Research.&lt;/_ori_publication&gt;&lt;_pages&gt;1445-58&lt;/_pages&gt;&lt;_subject_headings&gt;Aniline Compounds/pharmacology; Apoptosis/drug effects; *Biological Mimicry; Caspases/metabolism; Cell Cycle Checkpoints/drug effects; Cell Movement; Cell Proliferation/drug effects; Cell Survival; Colonic Neoplasms/*metabolism/pathology; Humans; Inhibitor of Apoptosis Proteins/metabolism; Mitochondria/*drug effects/*metabolism/ultrastructure; Mitophagy/drug effects; Models, Molecular; Molecular Structure; Organoplatinum Compounds/pharmacology; Oxaliplatin; Peptide Fragments/chemistry/*pharmacology; Protein Binding; Protein Conformation; Proto-Oncogene Proteins/chemistry/*pharmacology; Proto-Oncogene Proteins c-bcl-2/antagonists &amp;amp; inhibitors/chemistry/metabolism; Sulfonamides/pharmacology; TOR Serine-Threonine Kinases/metabolism&lt;/_subject_headings&gt;&lt;_tertiary_title&gt;Clinical cancer research : an official journal of the American Association for_x000d__x000a_      Cancer Research&lt;/_tertiary_title&gt;&lt;_type_work&gt;Journal Article; Research Support, Non-U.S. Gov&amp;apos;t&lt;/_type_work&gt;&lt;_url&gt;http://www.ncbi.nlm.nih.gov/entrez/query.fcgi?cmd=Retrieve&amp;amp;db=pubmed&amp;amp;dopt=Abstract&amp;amp;list_uids=26515494&amp;amp;query_hl=1&lt;/_url&gt;&lt;_volume&gt;22&lt;/_volume&gt;&lt;_created&gt;63726500&lt;/_created&gt;&lt;_modified&gt;63726664&lt;/_modified&gt;&lt;_db_updated&gt;PubMed&lt;/_db_updated&gt;&lt;_impact_factor&gt;  10.107&lt;/_impact_factor&gt;&lt;_collection_scope&gt;SCI;SCIE&lt;/_collection_scope&gt;&lt;_accessed&gt;63726646&lt;/_accessed&gt;&lt;/Details&gt;&lt;Extra&gt;&lt;DBUID&gt;{F96A950B-833F-4880-A151-76DA2D6A2879}&lt;/DBUID&gt;&lt;/Extra&gt;&lt;/Item&gt;&lt;/References&gt;&lt;/Group&gt;&lt;/Citation&gt;_x000a_"/>
    <w:docVar w:name="NE.Ref{E4C2966C-863B-405A-A915-BC3CA6A03D35}" w:val=" ADDIN NE.Ref.{E4C2966C-863B-405A-A915-BC3CA6A03D35}&lt;Citation&gt;&lt;Group&gt;&lt;References&gt;&lt;Item&gt;&lt;ID&gt;432&lt;/ID&gt;&lt;UID&gt;{9AF1ECA4-CDF4-4F1D-ABAA-72614FA0FEE5}&lt;/UID&gt;&lt;Title&gt;Landscape of Microsatellite Instability Across 39 Cancer Types&lt;/Title&gt;&lt;Template&gt;Journal Article&lt;/Template&gt;&lt;Star&gt;0&lt;/Star&gt;&lt;Tag&gt;0&lt;/Tag&gt;&lt;Author&gt;Bonneville, R; Krook, M A; Kautto, E A; Miya, J; Wing, M R; Chen, H Z; Reeser, J W; Yu, L; Roychowdhury, S&lt;/Author&gt;&lt;Year&gt;2017&lt;/Year&gt;&lt;Details&gt;&lt;_accession_num&gt;29850653&lt;/_accession_num&gt;&lt;_author_adr&gt;The Ohio State University, Columbus, OH.; The Ohio State University, Columbus, OH.; The Ohio State University, Columbus, OH.; The Ohio State University, Columbus, OH.; The Ohio State University, Columbus, OH.; The Ohio State University, Columbus, OH.; The Ohio State University, Columbus, OH.; The Ohio State University, Columbus, OH.; The Ohio State University, Columbus, OH.&lt;/_author_adr&gt;&lt;_date_display&gt;2017&lt;/_date_display&gt;&lt;_date&gt;2017-01-20&lt;/_date&gt;&lt;_doi&gt;10.1200/PO.17.00073&lt;/_doi&gt;&lt;_isbn&gt;2473-4284 (Print); 2473-4284 (Linking)&lt;/_isbn&gt;&lt;_journal&gt;JCO Precis Oncol&lt;/_journal&gt;&lt;_language&gt;eng&lt;/_language&gt;&lt;_tertiary_title&gt;JCO precision oncology&lt;/_tertiary_title&gt;&lt;_type_work&gt;Journal Article&lt;/_type_work&gt;&lt;_url&gt;http://www.ncbi.nlm.nih.gov/entrez/query.fcgi?cmd=Retrieve&amp;amp;db=pubmed&amp;amp;dopt=Abstract&amp;amp;list_uids=29850653&amp;amp;query_hl=1&lt;/_url&gt;&lt;_volume&gt;2017&lt;/_volume&gt;&lt;_created&gt;63726696&lt;/_created&gt;&lt;_modified&gt;63726696&lt;/_modified&gt;&lt;_db_updated&gt;PubMed&lt;/_db_updated&gt;&lt;/Details&gt;&lt;Extra&gt;&lt;DBUID&gt;{F96A950B-833F-4880-A151-76DA2D6A2879}&lt;/DBUID&gt;&lt;/Extra&gt;&lt;/Item&gt;&lt;/References&gt;&lt;/Group&gt;&lt;/Citation&gt;_x000a_"/>
    <w:docVar w:name="ne_docsoft" w:val="MSWord"/>
    <w:docVar w:name="ne_docversion" w:val="NoteExpress 2.0"/>
    <w:docVar w:name="ne_stylename" w:val="Cancer Cell International"/>
  </w:docVars>
  <w:rsids>
    <w:rsidRoot w:val="00172A27"/>
    <w:rsid w:val="03F530B2"/>
    <w:rsid w:val="0B4355D6"/>
    <w:rsid w:val="211369D0"/>
    <w:rsid w:val="2B962080"/>
    <w:rsid w:val="2DA5777A"/>
    <w:rsid w:val="3CEB6D1C"/>
    <w:rsid w:val="3E100CB3"/>
    <w:rsid w:val="40642D98"/>
    <w:rsid w:val="442D66AB"/>
    <w:rsid w:val="472C4843"/>
    <w:rsid w:val="4B080B4B"/>
    <w:rsid w:val="4EB211C0"/>
    <w:rsid w:val="4FD73906"/>
    <w:rsid w:val="53E17C1C"/>
    <w:rsid w:val="552C44BD"/>
    <w:rsid w:val="583D6134"/>
    <w:rsid w:val="5C04571E"/>
    <w:rsid w:val="63C74393"/>
    <w:rsid w:val="63F862B6"/>
    <w:rsid w:val="64DB78CA"/>
    <w:rsid w:val="65417E13"/>
    <w:rsid w:val="6711173B"/>
    <w:rsid w:val="67BE29A9"/>
    <w:rsid w:val="6DAC35F0"/>
    <w:rsid w:val="6EB242F5"/>
    <w:rsid w:val="779922DD"/>
    <w:rsid w:val="7EB84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39"/>
    <w:pPr>
      <w:spacing w:after="0" w:line="240" w:lineRule="auto"/>
    </w:pPr>
    <w:rPr>
      <w:rFonts w:eastAsiaTheme="minorEastAsia"/>
      <w:kern w:val="2"/>
      <w:sz w:val="21"/>
      <w:lang w:val="en-US"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Emphasis"/>
    <w:basedOn w:val="6"/>
    <w:qFormat/>
    <w:uiPriority w:val="20"/>
    <w:rPr>
      <w:i/>
      <w:iCs/>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fontstyle01"/>
    <w:basedOn w:val="6"/>
    <w:qFormat/>
    <w:uiPriority w:val="0"/>
    <w:rPr>
      <w:rFonts w:hint="eastAsia" w:ascii="宋体" w:hAnsi="宋体" w:eastAsia="宋体"/>
      <w:color w:val="000000"/>
      <w:sz w:val="22"/>
      <w:szCs w:val="22"/>
    </w:rPr>
  </w:style>
  <w:style w:type="paragraph" w:styleId="10">
    <w:name w:val="List Paragraph"/>
    <w:basedOn w:val="1"/>
    <w:qFormat/>
    <w:uiPriority w:val="34"/>
    <w:pPr>
      <w:ind w:firstLine="420" w:firstLineChars="200"/>
    </w:pPr>
  </w:style>
  <w:style w:type="character" w:customStyle="1" w:styleId="11">
    <w:name w:val="fontstyle11"/>
    <w:basedOn w:val="6"/>
    <w:qFormat/>
    <w:uiPriority w:val="0"/>
    <w:rPr>
      <w:rFonts w:hint="default" w:ascii="ArialMT" w:hAnsi="ArialMT"/>
      <w:color w:val="000000"/>
      <w:sz w:val="22"/>
      <w:szCs w:val="22"/>
    </w:rPr>
  </w:style>
  <w:style w:type="character" w:customStyle="1" w:styleId="12">
    <w:name w:val="fontstyle21"/>
    <w:basedOn w:val="6"/>
    <w:uiPriority w:val="0"/>
    <w:rPr>
      <w:rFonts w:ascii="STIX-Regular" w:hAnsi="STIX-Regular" w:eastAsia="STIX-Regular" w:cs="STIX-Regular"/>
      <w:color w:val="242021"/>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2021-03-01T06:56:00Z</dcterms:created>
  <dc:creator>大怪兽</dc:creator>
  <cp:lastModifiedBy>大怪兽</cp:lastModifiedBy>
  <dcterms:modified xsi:type="dcterms:W3CDTF">2021-04-18T11:28:21Z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