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36C054" w14:textId="3BB2754B" w:rsidR="007B183E" w:rsidRPr="00B76E3C" w:rsidRDefault="007B183E" w:rsidP="007B183E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Supplementary </w:t>
      </w:r>
      <w:r w:rsidRPr="00182E1D">
        <w:rPr>
          <w:rFonts w:ascii="Times New Roman" w:hAnsi="Times New Roman" w:cs="Times New Roman"/>
          <w:b/>
          <w:bCs/>
          <w:sz w:val="32"/>
          <w:szCs w:val="32"/>
        </w:rPr>
        <w:t>Figure</w:t>
      </w:r>
    </w:p>
    <w:p w14:paraId="7BA4BD17" w14:textId="77777777" w:rsidR="00EC3ED9" w:rsidRDefault="00EC3ED9"/>
    <w:p w14:paraId="4214FFC1" w14:textId="77777777" w:rsidR="007B183E" w:rsidRPr="00182E1D" w:rsidRDefault="007B183E" w:rsidP="007B183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Supplementary Figure 1. </w:t>
      </w:r>
      <w:r w:rsidRPr="00182E1D">
        <w:rPr>
          <w:rFonts w:ascii="Times New Roman" w:hAnsi="Times New Roman" w:cs="Times New Roman"/>
          <w:b/>
          <w:bCs/>
          <w:sz w:val="24"/>
          <w:szCs w:val="24"/>
        </w:rPr>
        <w:t>Timeline of the in vivo experimental design</w:t>
      </w:r>
    </w:p>
    <w:p w14:paraId="3AA4795D" w14:textId="77777777" w:rsidR="007B183E" w:rsidRPr="00182E1D" w:rsidRDefault="007B183E" w:rsidP="007B183E">
      <w:pPr>
        <w:rPr>
          <w:rFonts w:ascii="Times New Roman" w:hAnsi="Times New Roman" w:cs="Times New Roman"/>
          <w:sz w:val="24"/>
          <w:szCs w:val="24"/>
        </w:rPr>
      </w:pPr>
      <w:r w:rsidRPr="00182E1D">
        <w:rPr>
          <w:rFonts w:ascii="Times New Roman" w:hAnsi="Times New Roman" w:cs="Times New Roman"/>
          <w:sz w:val="24"/>
          <w:szCs w:val="24"/>
        </w:rPr>
        <w:t xml:space="preserve">Schedules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182E1D">
        <w:rPr>
          <w:rFonts w:ascii="Times New Roman" w:hAnsi="Times New Roman" w:cs="Times New Roman"/>
          <w:sz w:val="24"/>
          <w:szCs w:val="24"/>
        </w:rPr>
        <w:t xml:space="preserve">cumulative urine volume evaluation (Experiment 1: blue arrows) and kidney tissue sample collection for immunofluorescence staining (Experiment 2: red arrows) are </w:t>
      </w:r>
      <w:r>
        <w:rPr>
          <w:rFonts w:ascii="Times New Roman" w:hAnsi="Times New Roman" w:cs="Times New Roman"/>
          <w:sz w:val="24"/>
          <w:szCs w:val="24"/>
        </w:rPr>
        <w:t>presented</w:t>
      </w:r>
      <w:r w:rsidRPr="00182E1D">
        <w:rPr>
          <w:rFonts w:ascii="Times New Roman" w:hAnsi="Times New Roman" w:cs="Times New Roman"/>
          <w:sz w:val="24"/>
          <w:szCs w:val="24"/>
        </w:rPr>
        <w:t>.</w:t>
      </w:r>
    </w:p>
    <w:p w14:paraId="0FF0B6C8" w14:textId="77777777" w:rsidR="007B183E" w:rsidRDefault="007B183E">
      <w:pPr>
        <w:rPr>
          <w:rFonts w:ascii="Times New Roman" w:hAnsi="Times New Roman" w:cs="Times New Roman"/>
        </w:rPr>
      </w:pPr>
    </w:p>
    <w:p w14:paraId="696D8C0D" w14:textId="2AA2B6E0" w:rsidR="007B183E" w:rsidRPr="007B183E" w:rsidRDefault="007B183E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F4E7549" wp14:editId="3FF6370E">
            <wp:extent cx="5391785" cy="1434465"/>
            <wp:effectExtent l="0" t="0" r="0" b="0"/>
            <wp:docPr id="1264022927" name="図 11" descr="メーター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4022927" name="図 11" descr="メーター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785" cy="143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83E" w:rsidRPr="007B183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25C"/>
    <w:rsid w:val="00036A8C"/>
    <w:rsid w:val="0020725C"/>
    <w:rsid w:val="007B183E"/>
    <w:rsid w:val="00C31281"/>
    <w:rsid w:val="00EC3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0F08E2F"/>
  <w15:chartTrackingRefBased/>
  <w15:docId w15:val="{07677822-8A2D-4D3B-9D6D-88604751D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183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0725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072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0725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0725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0725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0725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0725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0725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0725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0725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0725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0725C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20725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0725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0725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0725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0725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0725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0725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072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0725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0725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0725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0725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0725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0725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072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0725C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2072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小倉　圭介（ツムラ　ツムラ漢方研究所）</dc:creator>
  <cp:keywords/>
  <dc:description/>
  <cp:lastModifiedBy>小倉　圭介（ツムラ　ツムラ漢方研究所）</cp:lastModifiedBy>
  <cp:revision>2</cp:revision>
  <dcterms:created xsi:type="dcterms:W3CDTF">2024-04-30T08:21:00Z</dcterms:created>
  <dcterms:modified xsi:type="dcterms:W3CDTF">2024-04-30T08:21:00Z</dcterms:modified>
</cp:coreProperties>
</file>