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69" w:rsidRPr="007824EF" w:rsidRDefault="00B24569" w:rsidP="0086308D">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Supplementary Methods</w:t>
      </w:r>
    </w:p>
    <w:p w:rsidR="00B24569" w:rsidRPr="007824EF" w:rsidRDefault="00B24569" w:rsidP="0086308D">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Patient characteristics</w:t>
      </w:r>
    </w:p>
    <w:p w:rsidR="00B24569" w:rsidRPr="007824EF" w:rsidRDefault="00B24569" w:rsidP="00991120">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Ethical considerations and study design</w:t>
      </w:r>
    </w:p>
    <w:p w:rsidR="00B24569" w:rsidRPr="007824EF" w:rsidRDefault="00B24569" w:rsidP="008321FC">
      <w:pPr>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This study was a retrospective, single-center analysis of patients who received a diagnosis of PTC (between December 2015 and October 2019). All procedures involving patients were performed in accordance with the institutional ethical standards, applicable local/national regulations, and guidelines of the 1964 Helsinki Declaration and its later amendments. In accordance with the Bioethics and Safety Act of Korea, formal written consent was not required for this retrospective observational analysis. The study protocol was approved by the Institutional Review Board (IRB) of Severance Hospital, Yonsei University College of Medicine (IRB protocol: 3-2022-0331). Cell samples were obtained from </w:t>
      </w:r>
      <w:r w:rsidRPr="007824EF">
        <w:rPr>
          <w:rFonts w:ascii="Times New Roman" w:eastAsia="맑은 고딕" w:hAnsi="Times New Roman" w:cs="Times New Roman"/>
          <w:sz w:val="24"/>
          <w:szCs w:val="24"/>
        </w:rPr>
        <w:t>the patients at</w:t>
      </w:r>
      <w:r w:rsidRPr="007824EF">
        <w:rPr>
          <w:rFonts w:ascii="Times New Roman" w:hAnsi="Times New Roman" w:cs="Times New Roman"/>
          <w:sz w:val="24"/>
          <w:szCs w:val="24"/>
        </w:rPr>
        <w:t xml:space="preserve"> Severance Hospital, Yonsei University College of Medicine, Seoul, Korea.</w:t>
      </w:r>
    </w:p>
    <w:p w:rsidR="00B24569" w:rsidRPr="007824EF" w:rsidRDefault="00B24569" w:rsidP="00991120">
      <w:pPr>
        <w:spacing w:line="480" w:lineRule="auto"/>
        <w:rPr>
          <w:rFonts w:ascii="Times New Roman" w:hAnsi="Times New Roman" w:cs="Times New Roman"/>
          <w:sz w:val="24"/>
          <w:szCs w:val="24"/>
        </w:rPr>
      </w:pPr>
    </w:p>
    <w:p w:rsidR="00B24569" w:rsidRPr="007824EF" w:rsidRDefault="00B24569" w:rsidP="00991120">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 xml:space="preserve">Patient 1 </w:t>
      </w:r>
    </w:p>
    <w:p w:rsidR="00B24569" w:rsidRPr="007824EF" w:rsidRDefault="00B24569" w:rsidP="008321FC">
      <w:pPr>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YUMC-S-P1 was </w:t>
      </w:r>
      <w:r w:rsidRPr="007824EF">
        <w:rPr>
          <w:rFonts w:ascii="Times New Roman" w:eastAsia="맑은 고딕" w:hAnsi="Times New Roman" w:cs="Times New Roman"/>
          <w:sz w:val="24"/>
          <w:szCs w:val="24"/>
        </w:rPr>
        <w:t xml:space="preserve">a </w:t>
      </w:r>
      <w:r w:rsidRPr="007824EF">
        <w:rPr>
          <w:rFonts w:ascii="Times New Roman" w:hAnsi="Times New Roman" w:cs="Times New Roman"/>
          <w:sz w:val="24"/>
          <w:szCs w:val="24"/>
        </w:rPr>
        <w:t>53-year-old man with papillary thyroid cancer (PTC). The patient had bilateral thyroid tumors with extrathyroidal extension</w:t>
      </w:r>
      <w:r w:rsidRPr="007824EF">
        <w:rPr>
          <w:rFonts w:ascii="Times New Roman" w:eastAsia="맑은 고딕" w:hAnsi="Times New Roman" w:cs="Times New Roman"/>
          <w:sz w:val="24"/>
          <w:szCs w:val="24"/>
        </w:rPr>
        <w:t>. Th</w:t>
      </w:r>
      <w:r w:rsidRPr="007824EF">
        <w:rPr>
          <w:rFonts w:ascii="Times New Roman" w:hAnsi="Times New Roman" w:cs="Times New Roman"/>
          <w:sz w:val="24"/>
          <w:szCs w:val="24"/>
        </w:rPr>
        <w:t>e patient underwent bilateral total thyroidectomy and unilateral lateral neck dissection with central compartment neck dissection. The pathology report indicated the presence of PTC with lateral neck metastasis. After surgery, he was administered high-dose radioiodine ablation therapy</w:t>
      </w:r>
      <w:r w:rsidRPr="007824EF">
        <w:rPr>
          <w:rFonts w:ascii="Times New Roman" w:eastAsia="맑은 고딕" w:hAnsi="Times New Roman" w:cs="Times New Roman"/>
          <w:sz w:val="24"/>
          <w:szCs w:val="24"/>
        </w:rPr>
        <w:t>. Recent radiologic examinations and thyroglobulin tests showed no</w:t>
      </w:r>
      <w:r w:rsidRPr="007824EF">
        <w:rPr>
          <w:rFonts w:ascii="Times New Roman" w:hAnsi="Times New Roman" w:cs="Times New Roman"/>
          <w:sz w:val="24"/>
          <w:szCs w:val="24"/>
        </w:rPr>
        <w:t xml:space="preserve"> recurrence. </w:t>
      </w:r>
    </w:p>
    <w:p w:rsidR="00B24569" w:rsidRPr="007824EF" w:rsidRDefault="00B24569" w:rsidP="00991120">
      <w:pPr>
        <w:spacing w:line="480" w:lineRule="auto"/>
        <w:rPr>
          <w:rFonts w:ascii="Times New Roman" w:hAnsi="Times New Roman" w:cs="Times New Roman"/>
          <w:b/>
          <w:i/>
          <w:sz w:val="24"/>
          <w:szCs w:val="24"/>
        </w:rPr>
      </w:pPr>
    </w:p>
    <w:p w:rsidR="00B24569" w:rsidRPr="007824EF" w:rsidRDefault="00B24569" w:rsidP="00991120">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 xml:space="preserve">Patients 2 </w:t>
      </w:r>
    </w:p>
    <w:p w:rsidR="00B24569" w:rsidRPr="007824EF" w:rsidRDefault="00B24569" w:rsidP="008321FC">
      <w:pPr>
        <w:spacing w:line="480" w:lineRule="auto"/>
        <w:rPr>
          <w:rFonts w:ascii="Times New Roman" w:hAnsi="Times New Roman" w:cs="Times New Roman"/>
          <w:sz w:val="24"/>
          <w:szCs w:val="24"/>
        </w:rPr>
      </w:pPr>
      <w:r w:rsidRPr="007824EF">
        <w:rPr>
          <w:rFonts w:ascii="Times New Roman" w:hAnsi="Times New Roman" w:cs="Times New Roman"/>
          <w:sz w:val="24"/>
          <w:szCs w:val="24"/>
        </w:rPr>
        <w:lastRenderedPageBreak/>
        <w:t xml:space="preserve">YUMC-P1-main and -meta was </w:t>
      </w:r>
      <w:r w:rsidRPr="007824EF">
        <w:rPr>
          <w:rFonts w:ascii="Times New Roman" w:eastAsia="맑은 고딕" w:hAnsi="Times New Roman" w:cs="Times New Roman"/>
          <w:sz w:val="24"/>
          <w:szCs w:val="24"/>
        </w:rPr>
        <w:t>4</w:t>
      </w:r>
      <w:r w:rsidRPr="007824EF">
        <w:rPr>
          <w:rFonts w:ascii="Times New Roman" w:hAnsi="Times New Roman" w:cs="Times New Roman"/>
          <w:sz w:val="24"/>
          <w:szCs w:val="24"/>
        </w:rPr>
        <w:t>-year-old women with PTC. The patients had multiple tumors and extensive extrathyroidal extension. The patients underwent bilateral total thyroidectomy bilateral lateral neck dissection with central compartment neck dissection. Specimens for culture were obtained after initial operation. The pathology report indicated the presence of diffuse sclerosing subtype of PTC with lateral neck metastasis. After surgery, she was administered twice high-dose radioiodine ablation therapy</w:t>
      </w:r>
      <w:r w:rsidRPr="007824EF">
        <w:rPr>
          <w:rFonts w:ascii="Times New Roman" w:eastAsia="맑은 고딕" w:hAnsi="Times New Roman" w:cs="Times New Roman"/>
          <w:sz w:val="24"/>
          <w:szCs w:val="24"/>
        </w:rPr>
        <w:t>. Recent radiologic examinations and thyroglobulin tests showed no</w:t>
      </w:r>
      <w:r w:rsidRPr="007824EF">
        <w:rPr>
          <w:rFonts w:ascii="Times New Roman" w:hAnsi="Times New Roman" w:cs="Times New Roman"/>
          <w:sz w:val="24"/>
          <w:szCs w:val="24"/>
        </w:rPr>
        <w:t xml:space="preserve"> recurrence</w:t>
      </w:r>
    </w:p>
    <w:p w:rsidR="00B24569" w:rsidRPr="007824EF" w:rsidRDefault="00B24569" w:rsidP="00991120">
      <w:pPr>
        <w:spacing w:line="480" w:lineRule="auto"/>
        <w:rPr>
          <w:rFonts w:ascii="Times New Roman" w:hAnsi="Times New Roman" w:cs="Times New Roman"/>
          <w:sz w:val="24"/>
          <w:szCs w:val="24"/>
        </w:rPr>
      </w:pPr>
    </w:p>
    <w:p w:rsidR="00B24569" w:rsidRPr="007824EF" w:rsidRDefault="00B24569" w:rsidP="00991120">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Patient 3</w:t>
      </w:r>
    </w:p>
    <w:p w:rsidR="00B24569" w:rsidRPr="007824EF" w:rsidRDefault="00B24569" w:rsidP="008321FC">
      <w:pPr>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YUMC-P1-main and -meta was </w:t>
      </w:r>
      <w:r w:rsidRPr="007824EF">
        <w:rPr>
          <w:rFonts w:ascii="Times New Roman" w:eastAsia="맑은 고딕" w:hAnsi="Times New Roman" w:cs="Times New Roman"/>
          <w:sz w:val="24"/>
          <w:szCs w:val="24"/>
        </w:rPr>
        <w:t>13</w:t>
      </w:r>
      <w:r w:rsidRPr="007824EF">
        <w:rPr>
          <w:rFonts w:ascii="Times New Roman" w:hAnsi="Times New Roman" w:cs="Times New Roman"/>
          <w:sz w:val="24"/>
          <w:szCs w:val="24"/>
        </w:rPr>
        <w:t>-year-old women with PTC. The patients had multiple tumors and extensive extrathyroidal extension. The patients underwent bilateral total thyroidectomy bilateral lateral neck dissection with central compartment neck dissection. Specimens for culture were obtained after initial operation. The pathology report indicated the presence of diffuse sclerosing subtype of PTC with lateral neck metastasis. After surgery, she was administered twice high-dose radioiodine ablation therapy</w:t>
      </w:r>
      <w:r w:rsidRPr="007824EF">
        <w:rPr>
          <w:rFonts w:ascii="Times New Roman" w:eastAsia="맑은 고딕" w:hAnsi="Times New Roman" w:cs="Times New Roman"/>
          <w:sz w:val="24"/>
          <w:szCs w:val="24"/>
        </w:rPr>
        <w:t>. A year later after operation, the patient no longer visited the hospital, so follow-up was not possible.</w:t>
      </w:r>
    </w:p>
    <w:p w:rsidR="00B24569" w:rsidRDefault="00B24569" w:rsidP="006B26A4">
      <w:pPr>
        <w:spacing w:after="0" w:line="480" w:lineRule="auto"/>
        <w:rPr>
          <w:rFonts w:ascii="Times New Roman" w:hAnsi="Times New Roman" w:cs="Times New Roman"/>
          <w:b/>
          <w:bCs/>
          <w:sz w:val="24"/>
          <w:szCs w:val="24"/>
        </w:rPr>
      </w:pPr>
    </w:p>
    <w:p w:rsidR="00B24569" w:rsidRPr="007824EF" w:rsidRDefault="00B24569" w:rsidP="006B26A4">
      <w:pPr>
        <w:spacing w:after="0" w:line="480" w:lineRule="auto"/>
        <w:rPr>
          <w:rFonts w:ascii="Times New Roman" w:hAnsi="Times New Roman" w:cs="Times New Roman"/>
          <w:sz w:val="24"/>
          <w:szCs w:val="24"/>
        </w:rPr>
      </w:pPr>
      <w:r w:rsidRPr="007824EF">
        <w:rPr>
          <w:rFonts w:ascii="Times New Roman" w:hAnsi="Times New Roman" w:cs="Times New Roman"/>
          <w:b/>
          <w:bCs/>
          <w:sz w:val="24"/>
          <w:szCs w:val="24"/>
        </w:rPr>
        <w:t>Tumor Cell Isolation and Primary Culture</w:t>
      </w:r>
    </w:p>
    <w:p w:rsidR="00B24569" w:rsidRPr="007824EF" w:rsidRDefault="00B24569" w:rsidP="008321FC">
      <w:pPr>
        <w:spacing w:after="0" w:line="480" w:lineRule="auto"/>
        <w:rPr>
          <w:rFonts w:ascii="Times New Roman" w:hAnsi="Times New Roman" w:cs="Times New Roman"/>
          <w:sz w:val="24"/>
          <w:szCs w:val="24"/>
        </w:rPr>
      </w:pPr>
      <w:r w:rsidRPr="007824EF">
        <w:rPr>
          <w:rFonts w:ascii="Times New Roman" w:hAnsi="Times New Roman" w:cs="Times New Roman"/>
          <w:sz w:val="24"/>
          <w:szCs w:val="24"/>
        </w:rPr>
        <w:t xml:space="preserve">After resection, tumors were kept in normal saline with antifungal and antibiotics and moved to the laboratory. Normal tissue and fat were removed and the tissues were rinsed with 1× Hank’s Balanced Salt Solution. Tumors were minced in a tube with dissociation medium containing Dulbecco's Modified Eagle’s Medium/Nutrient Mixture F-12 (DMEM/F12) with 20% fetal bovine serum (FBS) supplemented with 1 mg/mL collagenase type IV (Sigma, St. </w:t>
      </w:r>
      <w:r w:rsidRPr="007824EF">
        <w:rPr>
          <w:rFonts w:ascii="Times New Roman" w:hAnsi="Times New Roman" w:cs="Times New Roman"/>
          <w:sz w:val="24"/>
          <w:szCs w:val="24"/>
        </w:rPr>
        <w:lastRenderedPageBreak/>
        <w:t xml:space="preserve">Louis, MO; C5138). The minced and suspended tumor cells were filtered through sterile nylon cell strainers with 70-micron pores (BD Falcon, Franklin Lakes, NJ, USA), rinsed with 50 mL of 1× Hank’s Balanced Salt Solution, and centrifuged at 220 </w:t>
      </w:r>
      <w:r w:rsidRPr="007824EF">
        <w:rPr>
          <w:rFonts w:ascii="Times New Roman" w:hAnsi="Times New Roman" w:cs="Times New Roman"/>
          <w:i/>
          <w:sz w:val="24"/>
          <w:szCs w:val="24"/>
        </w:rPr>
        <w:t>g</w:t>
      </w:r>
      <w:r w:rsidRPr="007824EF">
        <w:rPr>
          <w:rFonts w:ascii="Times New Roman" w:hAnsi="Times New Roman" w:cs="Times New Roman"/>
          <w:sz w:val="24"/>
          <w:szCs w:val="24"/>
        </w:rPr>
        <w:t xml:space="preserve"> for 5 min. Cells were re-suspended in RPMI-1640 (Hyclone, South Logan, UT) medium with 15% FBS (Hyclone) and 2% penicillin/streptomycin solution (Gibco, Grand Island, NY, USA). Cell viability was determined using the trypan blue dye exclusion method.</w:t>
      </w:r>
    </w:p>
    <w:p w:rsidR="00B24569" w:rsidRPr="007824EF" w:rsidRDefault="00B24569" w:rsidP="00F0092B">
      <w:pPr>
        <w:spacing w:line="480" w:lineRule="auto"/>
        <w:rPr>
          <w:rFonts w:ascii="Times New Roman" w:hAnsi="Times New Roman" w:cs="Times New Roman"/>
          <w:b/>
          <w:sz w:val="24"/>
          <w:szCs w:val="24"/>
        </w:rPr>
      </w:pPr>
    </w:p>
    <w:p w:rsidR="00B24569" w:rsidRPr="007824EF" w:rsidRDefault="00B24569" w:rsidP="00F0092B">
      <w:pPr>
        <w:spacing w:line="480" w:lineRule="auto"/>
        <w:rPr>
          <w:rFonts w:ascii="Times New Roman" w:hAnsi="Times New Roman" w:cs="Times New Roman"/>
          <w:b/>
          <w:sz w:val="24"/>
          <w:szCs w:val="24"/>
        </w:rPr>
      </w:pPr>
      <w:r w:rsidRPr="007824EF">
        <w:rPr>
          <w:rFonts w:ascii="Times New Roman" w:hAnsi="Times New Roman" w:cs="Times New Roman"/>
          <w:b/>
          <w:sz w:val="24"/>
          <w:szCs w:val="24"/>
        </w:rPr>
        <w:t>Cell culture</w:t>
      </w:r>
    </w:p>
    <w:p w:rsidR="00B24569" w:rsidRPr="007824EF" w:rsidRDefault="00B24569" w:rsidP="008321FC">
      <w:pPr>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Current study used the patient-derived cancer cells were obtained from fresh tumors of patients with papillary thyroid cancer. YUMC-S-P1 (anti-cancer drug sensitive PTC), YUMC-P1-Main or -P2-Main (main mass PTC) and YUMC-P1-Meta or -P2-Meta (lymphnode metastasis PTC) were obtained from PTC patients treated at the Severance Hospital, Yonsei University College of Medicine, Seoul, Korea. The cells were grown in Roswell Park Memorial Institute-1640 medium, 15% fetal bovine serum. The cells were authenticated using short tandem repeat profiling, karyotyping, and isoenzyme analysis. Mycoplasmal contamination was checked for with the Lookout Mycoplasma PCR Detection Kit (Sigma-Aldrich, St. Louis, MO, USA; MP0035). </w:t>
      </w:r>
    </w:p>
    <w:p w:rsidR="00B24569" w:rsidRDefault="00B24569" w:rsidP="00903362">
      <w:pPr>
        <w:wordWrap/>
        <w:spacing w:line="480" w:lineRule="auto"/>
        <w:rPr>
          <w:rFonts w:ascii="Times New Roman" w:hAnsi="Times New Roman" w:cs="Times New Roman"/>
          <w:b/>
          <w:sz w:val="24"/>
          <w:szCs w:val="24"/>
        </w:rPr>
      </w:pPr>
    </w:p>
    <w:p w:rsidR="00B24569" w:rsidRPr="007824EF" w:rsidRDefault="00B24569" w:rsidP="00903362">
      <w:pPr>
        <w:wordWrap/>
        <w:spacing w:line="480" w:lineRule="auto"/>
        <w:rPr>
          <w:rFonts w:ascii="Times New Roman" w:hAnsi="Times New Roman" w:cs="Times New Roman"/>
          <w:b/>
          <w:sz w:val="24"/>
          <w:szCs w:val="24"/>
        </w:rPr>
      </w:pPr>
      <w:r w:rsidRPr="007824EF">
        <w:rPr>
          <w:rFonts w:ascii="Times New Roman" w:hAnsi="Times New Roman" w:cs="Times New Roman"/>
          <w:b/>
          <w:sz w:val="24"/>
          <w:szCs w:val="24"/>
        </w:rPr>
        <w:t>mRNA-Seq data</w:t>
      </w:r>
    </w:p>
    <w:p w:rsidR="00B24569" w:rsidRPr="007824EF" w:rsidRDefault="00B24569" w:rsidP="00A171FD">
      <w:pPr>
        <w:wordWrap/>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We preprocessed the raw reads from the sequencer to remove low quality and adapter sequences before analysis and aligned the processed reads to the </w:t>
      </w:r>
      <w:r w:rsidRPr="007824EF">
        <w:rPr>
          <w:rFonts w:ascii="Times New Roman" w:hAnsi="Times New Roman" w:cs="Times New Roman"/>
          <w:i/>
          <w:iCs/>
          <w:sz w:val="24"/>
          <w:szCs w:val="24"/>
        </w:rPr>
        <w:t>Homo sapiens</w:t>
      </w:r>
      <w:r w:rsidRPr="007824EF">
        <w:rPr>
          <w:rFonts w:ascii="Times New Roman" w:hAnsi="Times New Roman" w:cs="Times New Roman"/>
          <w:sz w:val="24"/>
          <w:szCs w:val="24"/>
        </w:rPr>
        <w:t xml:space="preserve"> genome assembly (GRCh37) using HISAT v2.1.0</w:t>
      </w:r>
      <w:r>
        <w:rPr>
          <w:rFonts w:ascii="Times New Roman" w:hAnsi="Times New Roman" w:cs="Times New Roman" w:hint="eastAsia"/>
          <w:noProof/>
          <w:sz w:val="24"/>
          <w:szCs w:val="24"/>
        </w:rPr>
        <w:t> </w:t>
      </w:r>
      <w:r>
        <w:rPr>
          <w:rFonts w:ascii="Times New Roman" w:hAnsi="Times New Roman" w:cs="Times New Roman"/>
          <w:noProof/>
          <w:sz w:val="24"/>
          <w:szCs w:val="24"/>
        </w:rPr>
        <w:t>[1]</w:t>
      </w:r>
      <w:r w:rsidRPr="007824EF">
        <w:rPr>
          <w:rFonts w:ascii="Times New Roman" w:hAnsi="Times New Roman" w:cs="Times New Roman"/>
          <w:sz w:val="24"/>
          <w:szCs w:val="24"/>
        </w:rPr>
        <w:t xml:space="preserve">. HISAT utilizes two types of indexes for alignment: a global, whole-genome index, and tens of thousands of small local indexes. Both </w:t>
      </w:r>
      <w:r w:rsidRPr="007824EF">
        <w:rPr>
          <w:rFonts w:ascii="Times New Roman" w:hAnsi="Times New Roman" w:cs="Times New Roman"/>
          <w:sz w:val="24"/>
          <w:szCs w:val="24"/>
        </w:rPr>
        <w:lastRenderedPageBreak/>
        <w:t>are constructed using the same Burrows–Wheeler transform (BWT) or graph FM index (GFM) as Bowtie2. Because of the use of these efficient data structures and algorithms, HISAT generates spliced alignments several times faster than Bowtie and the widely used BWA. The reference genome sequence of Homo sapiens (GRCh37) and annotation data were downloaded from the National Center for Biotechnology Information (NCBI). Then, transcript assembly of known transcripts was processed using StringTie v2.1.3b</w:t>
      </w:r>
      <w:r>
        <w:rPr>
          <w:rFonts w:ascii="Times New Roman" w:hAnsi="Times New Roman" w:cs="Times New Roman" w:hint="eastAsia"/>
          <w:noProof/>
          <w:sz w:val="24"/>
          <w:szCs w:val="24"/>
        </w:rPr>
        <w:t> </w:t>
      </w:r>
      <w:r>
        <w:rPr>
          <w:rFonts w:ascii="Times New Roman" w:hAnsi="Times New Roman" w:cs="Times New Roman"/>
          <w:noProof/>
          <w:sz w:val="24"/>
          <w:szCs w:val="24"/>
        </w:rPr>
        <w:t>[2, 3]</w:t>
      </w:r>
      <w:r w:rsidRPr="007824EF">
        <w:rPr>
          <w:rFonts w:ascii="Times New Roman" w:hAnsi="Times New Roman" w:cs="Times New Roman"/>
          <w:sz w:val="24"/>
          <w:szCs w:val="24"/>
        </w:rPr>
        <w:t>. Based on these results, expression abundance of transcript and gene were calculated as read count or fragments per kilobase of exon per million fragments mapped (FPKM) value per sample. The expression profiles were used for additional analyses, such as of differentially expressed genes (DEGs). In groups with different conditions, differentially expressed genes or transcripts were filtered through statistical hypothesis testing.</w:t>
      </w:r>
    </w:p>
    <w:p w:rsidR="00B24569" w:rsidRPr="007824EF" w:rsidRDefault="00B24569" w:rsidP="00903362">
      <w:pPr>
        <w:wordWrap/>
        <w:spacing w:line="480" w:lineRule="auto"/>
        <w:rPr>
          <w:rFonts w:ascii="Times New Roman" w:hAnsi="Times New Roman" w:cs="Times New Roman"/>
          <w:sz w:val="24"/>
          <w:szCs w:val="24"/>
        </w:rPr>
      </w:pPr>
    </w:p>
    <w:p w:rsidR="00B24569" w:rsidRPr="007824EF" w:rsidRDefault="00B24569" w:rsidP="00903362">
      <w:pPr>
        <w:wordWrap/>
        <w:spacing w:line="480" w:lineRule="auto"/>
        <w:rPr>
          <w:rFonts w:ascii="Times New Roman" w:hAnsi="Times New Roman" w:cs="Times New Roman"/>
          <w:sz w:val="24"/>
          <w:szCs w:val="24"/>
        </w:rPr>
      </w:pPr>
      <w:r w:rsidRPr="007824EF">
        <w:rPr>
          <w:rFonts w:ascii="Times New Roman" w:hAnsi="Times New Roman" w:cs="Times New Roman"/>
          <w:b/>
          <w:sz w:val="24"/>
          <w:szCs w:val="24"/>
        </w:rPr>
        <w:t>Statistical analysis of gene expression level</w:t>
      </w:r>
    </w:p>
    <w:p w:rsidR="00B24569" w:rsidRPr="007824EF" w:rsidRDefault="00B24569" w:rsidP="008321FC">
      <w:pPr>
        <w:wordWrap/>
        <w:spacing w:line="480" w:lineRule="auto"/>
        <w:rPr>
          <w:rFonts w:ascii="Times New Roman" w:hAnsi="Times New Roman" w:cs="Times New Roman"/>
          <w:sz w:val="24"/>
          <w:szCs w:val="24"/>
        </w:rPr>
      </w:pPr>
      <w:r w:rsidRPr="007824EF">
        <w:rPr>
          <w:rFonts w:ascii="Times New Roman" w:hAnsi="Times New Roman" w:cs="Times New Roman"/>
          <w:sz w:val="24"/>
          <w:szCs w:val="24"/>
        </w:rPr>
        <w:t xml:space="preserve">The relative abundances of genes were measured in Read Count using StringTie. We performed statistical analyses to find differentially expressed genes using the estimates of abundances for each gene in the samples. Genes with one more than zero Read Count values in the samples were excluded. To facilitate log2 transformation, 1 was added to each Read Count value of filtered genes. Filtered data were log2-transformed and subjected to trimmed mean of M-values (TMM) normalization. The statistical significance of the differential expression data was determined using exactTest, edgeR and fold change, in which the null hypothesis was that no difference exists among groups. False discovery rate (FDR) was controlled by adjusting the p-value using the Benjamini-Hochberg algorithm. For DEG sets, hierarchical clustering analysis was performed using complete linkage and Euclidean distance as a measure of similarity. Gene-enrichment and functional annotation analysis and pathway </w:t>
      </w:r>
      <w:r w:rsidRPr="007824EF">
        <w:rPr>
          <w:rFonts w:ascii="Times New Roman" w:hAnsi="Times New Roman" w:cs="Times New Roman"/>
          <w:sz w:val="24"/>
          <w:szCs w:val="24"/>
        </w:rPr>
        <w:lastRenderedPageBreak/>
        <w:t>analysis for significant gene list were performed based on Gene Ontology and KEGG pathway analyses.</w:t>
      </w:r>
    </w:p>
    <w:p w:rsidR="00B24569" w:rsidRPr="007824EF" w:rsidRDefault="00B24569" w:rsidP="00903362">
      <w:pPr>
        <w:spacing w:line="480" w:lineRule="auto"/>
        <w:rPr>
          <w:rFonts w:ascii="Times New Roman" w:hAnsi="Times New Roman" w:cs="Times New Roman"/>
          <w:b/>
          <w:sz w:val="24"/>
          <w:szCs w:val="24"/>
        </w:rPr>
      </w:pPr>
    </w:p>
    <w:p w:rsidR="00B24569" w:rsidRPr="007824EF" w:rsidRDefault="00B24569" w:rsidP="008A10B5">
      <w:pPr>
        <w:wordWrap/>
        <w:spacing w:line="480" w:lineRule="auto"/>
        <w:rPr>
          <w:rFonts w:ascii="Times New Roman" w:hAnsi="Times New Roman" w:cs="Times New Roman"/>
          <w:sz w:val="24"/>
          <w:szCs w:val="24"/>
        </w:rPr>
      </w:pPr>
      <w:r w:rsidRPr="007824EF">
        <w:rPr>
          <w:rFonts w:ascii="Times New Roman" w:hAnsi="Times New Roman" w:cs="Times New Roman"/>
          <w:b/>
          <w:kern w:val="0"/>
          <w:sz w:val="24"/>
          <w:szCs w:val="24"/>
        </w:rPr>
        <w:t>Subcellular fractionation and immunoblot analysis</w:t>
      </w:r>
    </w:p>
    <w:p w:rsidR="00B24569" w:rsidRPr="007824EF" w:rsidRDefault="00B24569" w:rsidP="008321FC">
      <w:pPr>
        <w:spacing w:line="480" w:lineRule="auto"/>
        <w:ind w:left="100"/>
        <w:rPr>
          <w:rFonts w:ascii="Times New Roman" w:hAnsi="Times New Roman" w:cs="Times New Roman"/>
          <w:sz w:val="24"/>
          <w:szCs w:val="24"/>
        </w:rPr>
      </w:pPr>
      <w:r w:rsidRPr="007824EF">
        <w:rPr>
          <w:rFonts w:ascii="Times New Roman" w:hAnsi="Times New Roman" w:cs="Times New Roman"/>
          <w:kern w:val="0"/>
          <w:sz w:val="24"/>
          <w:szCs w:val="24"/>
        </w:rPr>
        <w:t xml:space="preserve">Antibodies against SERCA1 (1:200, #133275, Abcam, Cambridge, UK), SERCA2 (1:400, #137020, Abcam, Cambridge, UK), SERCA3 (1:200, #154259, Abcam, Cambridge, UK), CaMK2α (1:500, #92332, Abcam, Cambridge, UK), Bcl-2 (1:400, #196495, Abcam, Cambridge, UK), </w:t>
      </w:r>
      <w:r w:rsidRPr="007824EF">
        <w:rPr>
          <w:rFonts w:ascii="Times New Roman" w:hAnsi="Times New Roman" w:cs="Times New Roman"/>
          <w:sz w:val="24"/>
          <w:szCs w:val="24"/>
        </w:rPr>
        <w:t>pNF</w:t>
      </w:r>
      <w:r w:rsidRPr="007824EF">
        <w:rPr>
          <w:rFonts w:ascii="Times New Roman" w:eastAsia="맑은 고딕" w:hAnsi="Times New Roman" w:cs="Times New Roman"/>
          <w:sz w:val="24"/>
          <w:szCs w:val="24"/>
        </w:rPr>
        <w:t>κ</w:t>
      </w:r>
      <w:r w:rsidRPr="007824EF">
        <w:rPr>
          <w:rFonts w:ascii="Times New Roman" w:hAnsi="Times New Roman" w:cs="Times New Roman"/>
          <w:sz w:val="24"/>
          <w:szCs w:val="24"/>
        </w:rPr>
        <w:t>B (1:500, #86299, Abcam, Cambridge, UK),</w:t>
      </w:r>
      <w:r w:rsidRPr="007824EF">
        <w:rPr>
          <w:rFonts w:ascii="Times New Roman" w:hAnsi="Times New Roman" w:cs="Times New Roman"/>
          <w:kern w:val="0"/>
          <w:sz w:val="24"/>
          <w:szCs w:val="24"/>
        </w:rPr>
        <w:t xml:space="preserve"> Histone H3 (</w:t>
      </w:r>
      <w:r w:rsidRPr="007824EF">
        <w:rPr>
          <w:rFonts w:ascii="Times New Roman" w:hAnsi="Times New Roman" w:cs="Times New Roman"/>
          <w:sz w:val="24"/>
          <w:szCs w:val="24"/>
        </w:rPr>
        <w:t>1:500, #18521, Abcam, Cambridge, UK</w:t>
      </w:r>
      <w:r w:rsidRPr="007824EF">
        <w:rPr>
          <w:rFonts w:ascii="Times New Roman" w:hAnsi="Times New Roman" w:cs="Times New Roman"/>
          <w:kern w:val="0"/>
          <w:sz w:val="24"/>
          <w:szCs w:val="24"/>
        </w:rPr>
        <w:t xml:space="preserve">), caspase-3 (1:500, #9661, Cell Signaling Technology, Beverly, MA,USA) and </w:t>
      </w:r>
      <w:r w:rsidRPr="007824EF">
        <w:rPr>
          <w:rFonts w:ascii="Times New Roman" w:eastAsia="AdvP697C" w:hAnsi="Times New Roman" w:cs="Times New Roman"/>
          <w:kern w:val="0"/>
          <w:sz w:val="24"/>
          <w:szCs w:val="24"/>
        </w:rPr>
        <w:t>β</w:t>
      </w:r>
      <w:r w:rsidRPr="007824EF">
        <w:rPr>
          <w:rFonts w:ascii="Times New Roman" w:hAnsi="Times New Roman" w:cs="Times New Roman"/>
          <w:kern w:val="0"/>
          <w:sz w:val="24"/>
          <w:szCs w:val="24"/>
        </w:rPr>
        <w:t>-actin (Santa Cruz Biotechnology, CA, USA, #</w:t>
      </w:r>
      <w:r w:rsidRPr="007824EF">
        <w:rPr>
          <w:rFonts w:ascii="Times New Roman" w:hAnsi="Times New Roman" w:cs="Times New Roman"/>
          <w:sz w:val="24"/>
          <w:szCs w:val="24"/>
        </w:rPr>
        <w:t xml:space="preserve"> </w:t>
      </w:r>
      <w:r w:rsidRPr="007824EF">
        <w:rPr>
          <w:rFonts w:ascii="Times New Roman" w:hAnsi="Times New Roman" w:cs="Times New Roman"/>
          <w:kern w:val="0"/>
          <w:sz w:val="24"/>
          <w:szCs w:val="24"/>
        </w:rPr>
        <w:t xml:space="preserve">47778) were used. </w:t>
      </w:r>
      <w:r w:rsidRPr="007824EF">
        <w:rPr>
          <w:rFonts w:ascii="Times New Roman" w:hAnsi="Times New Roman" w:cs="Times New Roman"/>
          <w:sz w:val="24"/>
          <w:szCs w:val="24"/>
        </w:rPr>
        <w:t xml:space="preserve">Equal amounts of protein were separated on 8-10% sodium dodecyl sulfate-polyacrylamide gels; the resolved proteins were electro-transferred onto polyvinylidene fluoride membranes (Millipore, Bedford, MA, USA). The membranes were subsequently blocked with 5-10% nonfat milk in TBST for 1 hour at room temperature or overnight at 4 °C and incubated with appropriate concentrations of primary antibodies overnight at 4 °C. The membranes were then rinsed 3-10 times with TBST and probed with the corresponding secondary antibodies conjugated to horse radish peroxidase (Santa Cruz) at room temperature for 1 hour. After rinsing, the blots were developed with ECL reagents (Pierce) and exposed using Kodak X-OMAT AR Film (Eastman Kodak, Rochester, NY, USA) for 1-5 minutes. </w:t>
      </w:r>
      <w:r w:rsidRPr="007824EF">
        <w:rPr>
          <w:rFonts w:ascii="Times New Roman" w:hAnsi="Times New Roman" w:cs="Times New Roman"/>
          <w:kern w:val="0"/>
          <w:sz w:val="24"/>
          <w:szCs w:val="24"/>
        </w:rPr>
        <w:t>Nuclear fractions were prepared using the NE-PER Nuclear and Cytoplasmic Extraction reagents (Thermo Fisher Scienti</w:t>
      </w:r>
      <w:r w:rsidRPr="007824EF">
        <w:rPr>
          <w:rFonts w:ascii="Times New Roman" w:eastAsia="AdvOT260e5629+fb" w:hAnsi="Times New Roman" w:cs="Times New Roman"/>
          <w:kern w:val="0"/>
          <w:sz w:val="24"/>
          <w:szCs w:val="24"/>
        </w:rPr>
        <w:t>fi</w:t>
      </w:r>
      <w:r w:rsidRPr="007824EF">
        <w:rPr>
          <w:rFonts w:ascii="Times New Roman" w:hAnsi="Times New Roman" w:cs="Times New Roman"/>
          <w:kern w:val="0"/>
          <w:sz w:val="24"/>
          <w:szCs w:val="24"/>
        </w:rPr>
        <w:t xml:space="preserve">c; #78833) in accordance with the manufacturer's instructions. Separated neuclear and cytoplasmic extracts were isolated with protein extraction solution (PRO-PREP, iNtRON Biotechnology, Seoul, Korea, #17081) or histone extraction kit (Abcam, Cambridge, UK, #113476). Protein extracts and bands were quantified using NanoDrop </w:t>
      </w:r>
      <w:r w:rsidRPr="007824EF">
        <w:rPr>
          <w:rFonts w:ascii="Times New Roman" w:hAnsi="Times New Roman" w:cs="Times New Roman"/>
          <w:kern w:val="0"/>
          <w:sz w:val="24"/>
          <w:szCs w:val="24"/>
        </w:rPr>
        <w:lastRenderedPageBreak/>
        <w:t>2000 (Thermo Fisher Scientific, Waltham, MA, USA) and ImageJ software (NIH, Bethesda, MD, USA).</w:t>
      </w:r>
      <w:r w:rsidRPr="007824EF">
        <w:rPr>
          <w:rFonts w:ascii="Times New Roman" w:hAnsi="Times New Roman" w:cs="Times New Roman"/>
          <w:sz w:val="24"/>
          <w:szCs w:val="24"/>
        </w:rPr>
        <w:t xml:space="preserve"> </w:t>
      </w:r>
    </w:p>
    <w:p w:rsidR="00B24569" w:rsidRPr="007824EF" w:rsidRDefault="00B24569" w:rsidP="00892BE3">
      <w:pPr>
        <w:spacing w:line="480" w:lineRule="auto"/>
        <w:rPr>
          <w:rFonts w:ascii="Times New Roman" w:hAnsi="Times New Roman" w:cs="Times New Roman"/>
          <w:sz w:val="24"/>
          <w:szCs w:val="24"/>
        </w:rPr>
      </w:pPr>
    </w:p>
    <w:p w:rsidR="00B24569" w:rsidRPr="007824EF" w:rsidRDefault="00B24569" w:rsidP="00892BE3">
      <w:pPr>
        <w:spacing w:line="480" w:lineRule="auto"/>
        <w:rPr>
          <w:rFonts w:ascii="Times New Roman" w:hAnsi="Times New Roman" w:cs="Times New Roman"/>
          <w:b/>
          <w:kern w:val="0"/>
          <w:sz w:val="24"/>
          <w:szCs w:val="24"/>
        </w:rPr>
      </w:pPr>
      <w:r w:rsidRPr="007824EF">
        <w:rPr>
          <w:rFonts w:ascii="Times New Roman" w:hAnsi="Times New Roman" w:cs="Times New Roman"/>
          <w:b/>
          <w:kern w:val="0"/>
          <w:sz w:val="24"/>
          <w:szCs w:val="24"/>
        </w:rPr>
        <w:t>Cytosolic Free Calcium Measurements by Microspectrofluorimetry</w:t>
      </w:r>
    </w:p>
    <w:p w:rsidR="00B24569" w:rsidRPr="007824EF" w:rsidRDefault="00B24569" w:rsidP="008321FC">
      <w:pPr>
        <w:spacing w:line="480" w:lineRule="auto"/>
        <w:ind w:left="100"/>
        <w:rPr>
          <w:rFonts w:ascii="Times New Roman" w:hAnsi="Times New Roman" w:cs="Times New Roman"/>
          <w:kern w:val="0"/>
          <w:sz w:val="24"/>
          <w:szCs w:val="24"/>
        </w:rPr>
      </w:pPr>
      <w:r w:rsidRPr="007824EF">
        <w:rPr>
          <w:rFonts w:ascii="Times New Roman" w:hAnsi="Times New Roman" w:cs="Times New Roman"/>
          <w:kern w:val="0"/>
          <w:sz w:val="24"/>
          <w:szCs w:val="24"/>
        </w:rPr>
        <w:t>Patient-derived PTC cells were cultured and loaded with Fura-2/AM. Whole patient-derived PTC cells were perfused with 140 mM NaCl, 5.4 mM KCl, 2 mM CaCl2, 1 mM MgCl2, 33 mM glucose, and 20 mM HEPES (pH 7.4, adjusted with NaOH, and 320–335 Osm with sucrose). The cytosolic free calcium level of PTC cells was imaged using a calcium-sensitive fluorescent dye, Fura-2AM. The ratio of Fura-2 fluorescence intensities measured with excitation at 340 nm and 380 nm [F340/F380] was used as a [Ca</w:t>
      </w:r>
      <w:r w:rsidRPr="007824EF">
        <w:rPr>
          <w:rFonts w:ascii="Times New Roman" w:hAnsi="Times New Roman" w:cs="Times New Roman"/>
          <w:kern w:val="0"/>
          <w:sz w:val="24"/>
          <w:szCs w:val="24"/>
          <w:vertAlign w:val="superscript"/>
        </w:rPr>
        <w:t>2+</w:t>
      </w:r>
      <w:r w:rsidRPr="007824EF">
        <w:rPr>
          <w:rFonts w:ascii="Times New Roman" w:hAnsi="Times New Roman" w:cs="Times New Roman"/>
          <w:kern w:val="0"/>
          <w:sz w:val="24"/>
          <w:szCs w:val="24"/>
        </w:rPr>
        <w:t>]</w:t>
      </w:r>
      <w:r w:rsidRPr="007824EF">
        <w:rPr>
          <w:rFonts w:ascii="Times New Roman" w:hAnsi="Times New Roman" w:cs="Times New Roman"/>
          <w:kern w:val="0"/>
          <w:sz w:val="24"/>
          <w:szCs w:val="24"/>
          <w:vertAlign w:val="subscript"/>
        </w:rPr>
        <w:t>i</w:t>
      </w:r>
      <w:r w:rsidRPr="007824EF">
        <w:rPr>
          <w:rFonts w:ascii="Times New Roman" w:hAnsi="Times New Roman" w:cs="Times New Roman"/>
          <w:kern w:val="0"/>
          <w:sz w:val="24"/>
          <w:szCs w:val="24"/>
        </w:rPr>
        <w:t>-related signal. Fluorescence intensities (</w:t>
      </w:r>
      <w:r w:rsidRPr="007824EF">
        <w:rPr>
          <w:rFonts w:ascii="Times New Roman" w:eastAsia="바탕" w:hAnsi="Times New Roman" w:cs="Times New Roman"/>
          <w:kern w:val="0"/>
          <w:sz w:val="24"/>
          <w:szCs w:val="24"/>
        </w:rPr>
        <w:t>∆</w:t>
      </w:r>
      <w:r w:rsidRPr="007824EF">
        <w:rPr>
          <w:rFonts w:ascii="Times New Roman" w:hAnsi="Times New Roman" w:cs="Times New Roman"/>
          <w:kern w:val="0"/>
          <w:sz w:val="24"/>
          <w:szCs w:val="24"/>
        </w:rPr>
        <w:t xml:space="preserve">F) were normalized to the resting values. </w:t>
      </w:r>
    </w:p>
    <w:p w:rsidR="00B24569" w:rsidRPr="007824EF" w:rsidRDefault="00B24569" w:rsidP="00903362">
      <w:pPr>
        <w:spacing w:line="480" w:lineRule="auto"/>
        <w:rPr>
          <w:rFonts w:ascii="Times New Roman" w:hAnsi="Times New Roman" w:cs="Times New Roman"/>
          <w:sz w:val="24"/>
          <w:szCs w:val="24"/>
        </w:rPr>
      </w:pPr>
    </w:p>
    <w:p w:rsidR="00B24569" w:rsidRPr="007824EF" w:rsidRDefault="00B24569" w:rsidP="00EF2FA6">
      <w:pPr>
        <w:spacing w:line="480" w:lineRule="auto"/>
        <w:rPr>
          <w:rFonts w:ascii="Times New Roman" w:hAnsi="Times New Roman" w:cs="Times New Roman"/>
          <w:b/>
          <w:sz w:val="24"/>
          <w:szCs w:val="24"/>
        </w:rPr>
      </w:pPr>
      <w:r w:rsidRPr="007824EF">
        <w:rPr>
          <w:rFonts w:ascii="Times New Roman" w:hAnsi="Times New Roman" w:cs="Times New Roman"/>
          <w:b/>
          <w:iCs/>
          <w:sz w:val="24"/>
          <w:szCs w:val="24"/>
        </w:rPr>
        <w:t>In vivo</w:t>
      </w:r>
      <w:r w:rsidRPr="007824EF">
        <w:rPr>
          <w:rFonts w:ascii="Times New Roman" w:hAnsi="Times New Roman" w:cs="Times New Roman"/>
          <w:b/>
          <w:sz w:val="24"/>
          <w:szCs w:val="24"/>
        </w:rPr>
        <w:t xml:space="preserve"> mouse xenograft model with patient-derived PTC cells</w:t>
      </w:r>
    </w:p>
    <w:p w:rsidR="00B24569" w:rsidRPr="007824EF" w:rsidRDefault="00B24569" w:rsidP="008321FC">
      <w:pPr>
        <w:spacing w:line="480" w:lineRule="auto"/>
        <w:rPr>
          <w:rFonts w:ascii="Times New Roman" w:eastAsia="맑은 고딕" w:hAnsi="Times New Roman" w:cs="Times New Roman"/>
          <w:sz w:val="24"/>
          <w:szCs w:val="24"/>
        </w:rPr>
      </w:pPr>
      <w:r w:rsidRPr="007824EF">
        <w:rPr>
          <w:rFonts w:ascii="Times New Roman" w:hAnsi="Times New Roman" w:cs="Times New Roman"/>
          <w:sz w:val="24"/>
          <w:szCs w:val="24"/>
        </w:rPr>
        <w:t>Whole experiments were within the guidelines established by the Animal Experi-ment Committee of Yonsei University. Patient-derived PTC cells (4.5 × 10</w:t>
      </w:r>
      <w:r w:rsidRPr="007824EF">
        <w:rPr>
          <w:rFonts w:ascii="Times New Roman" w:hAnsi="Times New Roman" w:cs="Times New Roman"/>
          <w:sz w:val="24"/>
          <w:szCs w:val="24"/>
          <w:vertAlign w:val="superscript"/>
        </w:rPr>
        <w:t>6</w:t>
      </w:r>
      <w:r w:rsidRPr="007824EF">
        <w:rPr>
          <w:rFonts w:ascii="Times New Roman" w:hAnsi="Times New Roman" w:cs="Times New Roman"/>
          <w:sz w:val="24"/>
          <w:szCs w:val="24"/>
        </w:rPr>
        <w:t xml:space="preserve"> cells/mouse) were then injected subcutaneously into the upper left flank region of female NOD/Shi-scid, IL-2Rγ KOJic (NOG) mice. After 13 days, tumor cell planted mice were randomly grouped (n = 10 per group). Tumor size was measured using calipers; tumor volume was then estimated using the following formula: L × S</w:t>
      </w:r>
      <w:r w:rsidRPr="007824EF">
        <w:rPr>
          <w:rFonts w:ascii="Times New Roman" w:hAnsi="Times New Roman" w:cs="Times New Roman"/>
          <w:sz w:val="24"/>
          <w:szCs w:val="24"/>
          <w:vertAlign w:val="superscript"/>
        </w:rPr>
        <w:t>2</w:t>
      </w:r>
      <w:r w:rsidRPr="007824EF">
        <w:rPr>
          <w:rFonts w:ascii="Times New Roman" w:hAnsi="Times New Roman" w:cs="Times New Roman"/>
          <w:sz w:val="24"/>
          <w:szCs w:val="24"/>
        </w:rPr>
        <w:t>/2 (where L and S are the longest and shortest diameters, respectively). After 13 days, when the tumor sizes reached volumes of approximately 100–200 mm</w:t>
      </w:r>
      <w:r w:rsidRPr="007824EF">
        <w:rPr>
          <w:rFonts w:ascii="Times New Roman" w:hAnsi="Times New Roman" w:cs="Times New Roman"/>
          <w:sz w:val="24"/>
          <w:szCs w:val="24"/>
          <w:vertAlign w:val="superscript"/>
        </w:rPr>
        <w:t>3</w:t>
      </w:r>
      <w:r w:rsidRPr="007824EF">
        <w:rPr>
          <w:rFonts w:ascii="Times New Roman" w:hAnsi="Times New Roman" w:cs="Times New Roman"/>
          <w:sz w:val="24"/>
          <w:szCs w:val="24"/>
        </w:rPr>
        <w:t xml:space="preserve">, tumor-bearing mice were randomly grouped and  administered with 80 mg/kg sorafenib (p.o.) and 40 mg/kg lenvatinib (p.o.) alone, or a combination 40 mg/kg sorafenib (p.o.) and 20 mg/kg lenvatinib with SERCA inhibitors 25 mg/kg (p.o.) (thapsigargin or CKP1 </w:t>
      </w:r>
      <w:r w:rsidRPr="007824EF">
        <w:rPr>
          <w:rFonts w:ascii="Times New Roman" w:hAnsi="Times New Roman" w:cs="Times New Roman"/>
          <w:sz w:val="24"/>
          <w:szCs w:val="24"/>
        </w:rPr>
        <w:lastRenderedPageBreak/>
        <w:t xml:space="preserve">or CKP2). Tumor volume was quantified every two days by calipers. Tumor volume was gauged by the following formula: L × S2/2 (L, longest diameter; S, shortest diameter). </w:t>
      </w:r>
      <w:r w:rsidRPr="007824EF">
        <w:rPr>
          <w:rFonts w:ascii="Times New Roman" w:eastAsia="맑은 고딕" w:hAnsi="Times New Roman" w:cs="Times New Roman"/>
          <w:sz w:val="24"/>
          <w:szCs w:val="24"/>
        </w:rPr>
        <w:t>Animals were maintained under specific pathogen-free conditions. All the experiments were approved by the Animal Experiment Committee of Yonsei University (</w:t>
      </w:r>
      <w:r w:rsidRPr="007824EF">
        <w:rPr>
          <w:rFonts w:ascii="Times New Roman" w:hAnsi="Times New Roman" w:cs="Times New Roman"/>
          <w:sz w:val="24"/>
          <w:szCs w:val="24"/>
        </w:rPr>
        <w:t>IACUC approval No 2022-0105</w:t>
      </w:r>
      <w:r w:rsidRPr="007824EF">
        <w:rPr>
          <w:rFonts w:ascii="Times New Roman" w:eastAsia="맑은 고딕" w:hAnsi="Times New Roman" w:cs="Times New Roman"/>
          <w:sz w:val="24"/>
          <w:szCs w:val="24"/>
        </w:rPr>
        <w:t>).</w:t>
      </w:r>
    </w:p>
    <w:p w:rsidR="00B24569" w:rsidRPr="007824EF" w:rsidRDefault="00B24569" w:rsidP="00903362">
      <w:pPr>
        <w:spacing w:line="480" w:lineRule="auto"/>
        <w:rPr>
          <w:rFonts w:ascii="Times New Roman" w:hAnsi="Times New Roman" w:cs="Times New Roman"/>
          <w:sz w:val="24"/>
          <w:szCs w:val="24"/>
        </w:rPr>
      </w:pPr>
    </w:p>
    <w:p w:rsidR="00B24569" w:rsidRDefault="00B24569" w:rsidP="003620EC">
      <w:pPr>
        <w:widowControl/>
        <w:wordWrap/>
        <w:autoSpaceDE/>
        <w:autoSpaceDN/>
        <w:spacing w:line="480" w:lineRule="auto"/>
        <w:rPr>
          <w:rFonts w:ascii="Times New Roman" w:hAnsi="Times New Roman" w:cs="Times New Roman"/>
          <w:sz w:val="24"/>
          <w:szCs w:val="24"/>
        </w:rPr>
      </w:pPr>
      <w:r w:rsidRPr="007824EF">
        <w:rPr>
          <w:rFonts w:ascii="Times New Roman" w:hAnsi="Times New Roman" w:cs="Times New Roman"/>
          <w:b/>
          <w:sz w:val="24"/>
          <w:szCs w:val="24"/>
        </w:rPr>
        <w:t>References</w:t>
      </w:r>
    </w:p>
    <w:p w:rsidR="00B24569" w:rsidRPr="00922708" w:rsidRDefault="00B24569" w:rsidP="00922708">
      <w:pPr>
        <w:pStyle w:val="EndNoteBibliography"/>
        <w:spacing w:after="0" w:line="480" w:lineRule="auto"/>
        <w:ind w:left="720" w:hanging="720"/>
        <w:rPr>
          <w:rFonts w:ascii="Times New Roman" w:hAnsi="Times New Roman" w:cs="Times New Roman"/>
          <w:sz w:val="24"/>
          <w:szCs w:val="24"/>
        </w:rPr>
      </w:pPr>
      <w:r w:rsidRPr="00922708">
        <w:rPr>
          <w:rFonts w:ascii="Times New Roman" w:hAnsi="Times New Roman" w:cs="Times New Roman"/>
          <w:sz w:val="24"/>
          <w:szCs w:val="24"/>
        </w:rPr>
        <w:t>1.</w:t>
      </w:r>
      <w:r w:rsidRPr="00922708">
        <w:rPr>
          <w:rFonts w:ascii="Times New Roman" w:hAnsi="Times New Roman" w:cs="Times New Roman"/>
          <w:sz w:val="24"/>
          <w:szCs w:val="24"/>
        </w:rPr>
        <w:tab/>
        <w:t xml:space="preserve">Kim D, Langmead B, Salzberg SL. HISAT: </w:t>
      </w:r>
      <w:r w:rsidRPr="00BB585A">
        <w:rPr>
          <w:rFonts w:ascii="Times New Roman" w:hAnsi="Times New Roman" w:cs="Times New Roman"/>
          <w:b/>
          <w:sz w:val="24"/>
          <w:szCs w:val="24"/>
        </w:rPr>
        <w:t>a fast spliced aligner with low memory requirements</w:t>
      </w:r>
      <w:r w:rsidRPr="00922708">
        <w:rPr>
          <w:rFonts w:ascii="Times New Roman" w:hAnsi="Times New Roman" w:cs="Times New Roman"/>
          <w:sz w:val="24"/>
          <w:szCs w:val="24"/>
        </w:rPr>
        <w:t xml:space="preserve">. </w:t>
      </w:r>
      <w:r w:rsidRPr="00BB585A">
        <w:rPr>
          <w:rFonts w:ascii="Times New Roman" w:hAnsi="Times New Roman" w:cs="Times New Roman"/>
          <w:i/>
          <w:sz w:val="24"/>
          <w:szCs w:val="24"/>
        </w:rPr>
        <w:t>Nat Methods</w:t>
      </w:r>
      <w:r w:rsidRPr="00922708">
        <w:rPr>
          <w:rFonts w:ascii="Times New Roman" w:hAnsi="Times New Roman" w:cs="Times New Roman"/>
          <w:sz w:val="24"/>
          <w:szCs w:val="24"/>
        </w:rPr>
        <w:t>. 2015;</w:t>
      </w:r>
      <w:r w:rsidRPr="00BB585A">
        <w:rPr>
          <w:rFonts w:ascii="Times New Roman" w:hAnsi="Times New Roman" w:cs="Times New Roman"/>
          <w:b/>
          <w:sz w:val="24"/>
          <w:szCs w:val="24"/>
        </w:rPr>
        <w:t>12</w:t>
      </w:r>
      <w:r w:rsidRPr="00922708">
        <w:rPr>
          <w:rFonts w:ascii="Times New Roman" w:hAnsi="Times New Roman" w:cs="Times New Roman"/>
          <w:sz w:val="24"/>
          <w:szCs w:val="24"/>
        </w:rPr>
        <w:t>(4):357-60.</w:t>
      </w:r>
    </w:p>
    <w:p w:rsidR="00B24569" w:rsidRPr="00922708" w:rsidRDefault="00B24569" w:rsidP="00922708">
      <w:pPr>
        <w:pStyle w:val="EndNoteBibliography"/>
        <w:spacing w:after="0" w:line="480" w:lineRule="auto"/>
        <w:ind w:left="720" w:hanging="720"/>
        <w:rPr>
          <w:rFonts w:ascii="Times New Roman" w:hAnsi="Times New Roman" w:cs="Times New Roman"/>
          <w:sz w:val="24"/>
          <w:szCs w:val="24"/>
        </w:rPr>
      </w:pPr>
      <w:r w:rsidRPr="00922708">
        <w:rPr>
          <w:rFonts w:ascii="Times New Roman" w:hAnsi="Times New Roman" w:cs="Times New Roman"/>
          <w:sz w:val="24"/>
          <w:szCs w:val="24"/>
        </w:rPr>
        <w:t>2.</w:t>
      </w:r>
      <w:r w:rsidRPr="00922708">
        <w:rPr>
          <w:rFonts w:ascii="Times New Roman" w:hAnsi="Times New Roman" w:cs="Times New Roman"/>
          <w:sz w:val="24"/>
          <w:szCs w:val="24"/>
        </w:rPr>
        <w:tab/>
        <w:t xml:space="preserve">Pertea M, Kim D, Pertea GM, Leek JT, Salzberg SL. </w:t>
      </w:r>
      <w:r w:rsidRPr="00BB585A">
        <w:rPr>
          <w:rFonts w:ascii="Times New Roman" w:hAnsi="Times New Roman" w:cs="Times New Roman"/>
          <w:b/>
          <w:sz w:val="24"/>
          <w:szCs w:val="24"/>
        </w:rPr>
        <w:t>Transcript-level expression analysis of RNA-seq experiments with HISAT, StringTie and Ballgown.</w:t>
      </w:r>
      <w:r w:rsidRPr="00922708">
        <w:rPr>
          <w:rFonts w:ascii="Times New Roman" w:hAnsi="Times New Roman" w:cs="Times New Roman"/>
          <w:sz w:val="24"/>
          <w:szCs w:val="24"/>
        </w:rPr>
        <w:t xml:space="preserve"> </w:t>
      </w:r>
      <w:r w:rsidRPr="00BB585A">
        <w:rPr>
          <w:rFonts w:ascii="Times New Roman" w:hAnsi="Times New Roman" w:cs="Times New Roman"/>
          <w:i/>
          <w:sz w:val="24"/>
          <w:szCs w:val="24"/>
        </w:rPr>
        <w:t>Nat Protoc.</w:t>
      </w:r>
      <w:r w:rsidRPr="00922708">
        <w:rPr>
          <w:rFonts w:ascii="Times New Roman" w:hAnsi="Times New Roman" w:cs="Times New Roman"/>
          <w:sz w:val="24"/>
          <w:szCs w:val="24"/>
        </w:rPr>
        <w:t xml:space="preserve"> 2016;</w:t>
      </w:r>
      <w:r w:rsidRPr="00BB585A">
        <w:rPr>
          <w:rFonts w:ascii="Times New Roman" w:hAnsi="Times New Roman" w:cs="Times New Roman"/>
          <w:b/>
          <w:sz w:val="24"/>
          <w:szCs w:val="24"/>
        </w:rPr>
        <w:t>11</w:t>
      </w:r>
      <w:r w:rsidRPr="00922708">
        <w:rPr>
          <w:rFonts w:ascii="Times New Roman" w:hAnsi="Times New Roman" w:cs="Times New Roman"/>
          <w:sz w:val="24"/>
          <w:szCs w:val="24"/>
        </w:rPr>
        <w:t>(9):1650-67.</w:t>
      </w:r>
    </w:p>
    <w:p w:rsidR="00B24569" w:rsidRPr="00922708" w:rsidRDefault="00B24569" w:rsidP="00922708">
      <w:pPr>
        <w:pStyle w:val="EndNoteBibliography"/>
        <w:spacing w:line="480" w:lineRule="auto"/>
        <w:ind w:left="720" w:hanging="720"/>
        <w:rPr>
          <w:rFonts w:ascii="Times New Roman" w:hAnsi="Times New Roman" w:cs="Times New Roman"/>
          <w:sz w:val="24"/>
          <w:szCs w:val="24"/>
        </w:rPr>
      </w:pPr>
      <w:r w:rsidRPr="00922708">
        <w:rPr>
          <w:rFonts w:ascii="Times New Roman" w:hAnsi="Times New Roman" w:cs="Times New Roman"/>
          <w:sz w:val="24"/>
          <w:szCs w:val="24"/>
        </w:rPr>
        <w:t>3.</w:t>
      </w:r>
      <w:r w:rsidRPr="00922708">
        <w:rPr>
          <w:rFonts w:ascii="Times New Roman" w:hAnsi="Times New Roman" w:cs="Times New Roman"/>
          <w:sz w:val="24"/>
          <w:szCs w:val="24"/>
        </w:rPr>
        <w:tab/>
        <w:t xml:space="preserve">Pertea M, Pertea GM, Antonescu CM, Chang TC, Mendell JT, Salzberg SL. </w:t>
      </w:r>
      <w:r w:rsidRPr="00BB585A">
        <w:rPr>
          <w:rFonts w:ascii="Times New Roman" w:hAnsi="Times New Roman" w:cs="Times New Roman"/>
          <w:b/>
          <w:sz w:val="24"/>
          <w:szCs w:val="24"/>
        </w:rPr>
        <w:t>StringTie enables improved reconstruction of a transcriptome from RNA-seq reads.</w:t>
      </w:r>
      <w:r w:rsidRPr="00922708">
        <w:rPr>
          <w:rFonts w:ascii="Times New Roman" w:hAnsi="Times New Roman" w:cs="Times New Roman"/>
          <w:sz w:val="24"/>
          <w:szCs w:val="24"/>
        </w:rPr>
        <w:t xml:space="preserve"> </w:t>
      </w:r>
      <w:r w:rsidRPr="00BB585A">
        <w:rPr>
          <w:rFonts w:ascii="Times New Roman" w:hAnsi="Times New Roman" w:cs="Times New Roman"/>
          <w:i/>
          <w:sz w:val="24"/>
          <w:szCs w:val="24"/>
        </w:rPr>
        <w:t>Nat Biotechnol.</w:t>
      </w:r>
      <w:r w:rsidRPr="00922708">
        <w:rPr>
          <w:rFonts w:ascii="Times New Roman" w:hAnsi="Times New Roman" w:cs="Times New Roman"/>
          <w:sz w:val="24"/>
          <w:szCs w:val="24"/>
        </w:rPr>
        <w:t xml:space="preserve"> 2015;</w:t>
      </w:r>
      <w:r w:rsidRPr="00BB585A">
        <w:rPr>
          <w:rFonts w:ascii="Times New Roman" w:hAnsi="Times New Roman" w:cs="Times New Roman"/>
          <w:b/>
          <w:sz w:val="24"/>
          <w:szCs w:val="24"/>
        </w:rPr>
        <w:t>33</w:t>
      </w:r>
      <w:r w:rsidRPr="00922708">
        <w:rPr>
          <w:rFonts w:ascii="Times New Roman" w:hAnsi="Times New Roman" w:cs="Times New Roman"/>
          <w:sz w:val="24"/>
          <w:szCs w:val="24"/>
        </w:rPr>
        <w:t>(3):290-5.</w:t>
      </w:r>
      <w:bookmarkStart w:id="0" w:name="_GoBack"/>
      <w:bookmarkEnd w:id="0"/>
    </w:p>
    <w:p w:rsidR="00B24569" w:rsidRPr="007824EF" w:rsidRDefault="00B24569" w:rsidP="00922708">
      <w:pPr>
        <w:spacing w:line="480" w:lineRule="auto"/>
        <w:ind w:left="720" w:hangingChars="300" w:hanging="720"/>
        <w:rPr>
          <w:rFonts w:ascii="Times New Roman" w:hAnsi="Times New Roman" w:cs="Times New Roman"/>
          <w:sz w:val="24"/>
          <w:szCs w:val="24"/>
        </w:rPr>
      </w:pPr>
    </w:p>
    <w:p w:rsidR="00BD75D2" w:rsidRDefault="00BD75D2"/>
    <w:sectPr w:rsidR="00BD75D2" w:rsidSect="005B16CF">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F36" w:rsidRDefault="00202F36" w:rsidP="005B16CF">
      <w:pPr>
        <w:spacing w:after="0" w:line="240" w:lineRule="auto"/>
      </w:pPr>
      <w:r>
        <w:separator/>
      </w:r>
    </w:p>
  </w:endnote>
  <w:endnote w:type="continuationSeparator" w:id="0">
    <w:p w:rsidR="00202F36" w:rsidRDefault="00202F36" w:rsidP="005B1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dvP697C">
    <w:altName w:val="맑은 고딕"/>
    <w:panose1 w:val="00000000000000000000"/>
    <w:charset w:val="81"/>
    <w:family w:val="auto"/>
    <w:notTrueType/>
    <w:pitch w:val="default"/>
    <w:sig w:usb0="00000001" w:usb1="09060000" w:usb2="00000010" w:usb3="00000000" w:csb0="00080000" w:csb1="00000000"/>
  </w:font>
  <w:font w:name="AdvOT260e5629+fb">
    <w:altName w:val="맑은 고딕"/>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F36" w:rsidRDefault="00202F36" w:rsidP="005B16CF">
      <w:pPr>
        <w:spacing w:after="0" w:line="240" w:lineRule="auto"/>
      </w:pPr>
      <w:r>
        <w:separator/>
      </w:r>
    </w:p>
  </w:footnote>
  <w:footnote w:type="continuationSeparator" w:id="0">
    <w:p w:rsidR="00202F36" w:rsidRDefault="00202F36" w:rsidP="005B16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E5F5D"/>
    <w:multiLevelType w:val="hybridMultilevel"/>
    <w:tmpl w:val="FCC81466"/>
    <w:lvl w:ilvl="0" w:tplc="E700A7B2">
      <w:numFmt w:val="bullet"/>
      <w:lvlText w:val=""/>
      <w:lvlJc w:val="left"/>
      <w:pPr>
        <w:ind w:left="460" w:hanging="360"/>
      </w:pPr>
      <w:rPr>
        <w:rFonts w:ascii="Wingdings" w:eastAsiaTheme="minorEastAsia" w:hAnsi="Wingdings" w:cstheme="minorBidi"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24569"/>
    <w:rsid w:val="00202F36"/>
    <w:rsid w:val="00250402"/>
    <w:rsid w:val="00251D83"/>
    <w:rsid w:val="00327A08"/>
    <w:rsid w:val="004C6061"/>
    <w:rsid w:val="005B16CF"/>
    <w:rsid w:val="00B24569"/>
    <w:rsid w:val="00BB585A"/>
    <w:rsid w:val="00BD75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6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24569"/>
    <w:rPr>
      <w:sz w:val="18"/>
      <w:szCs w:val="18"/>
    </w:rPr>
  </w:style>
  <w:style w:type="paragraph" w:styleId="a4">
    <w:name w:val="annotation text"/>
    <w:basedOn w:val="a"/>
    <w:link w:val="Char"/>
    <w:uiPriority w:val="99"/>
    <w:semiHidden/>
    <w:unhideWhenUsed/>
    <w:rsid w:val="00B24569"/>
    <w:pPr>
      <w:spacing w:after="0" w:line="240" w:lineRule="auto"/>
      <w:ind w:leftChars="50" w:left="50"/>
    </w:pPr>
    <w:rPr>
      <w:sz w:val="24"/>
      <w:szCs w:val="24"/>
    </w:rPr>
  </w:style>
  <w:style w:type="character" w:customStyle="1" w:styleId="Char">
    <w:name w:val="메모 텍스트 Char"/>
    <w:basedOn w:val="a0"/>
    <w:link w:val="a4"/>
    <w:uiPriority w:val="99"/>
    <w:semiHidden/>
    <w:rsid w:val="00B24569"/>
    <w:rPr>
      <w:sz w:val="24"/>
      <w:szCs w:val="24"/>
    </w:rPr>
  </w:style>
  <w:style w:type="paragraph" w:styleId="a5">
    <w:name w:val="Balloon Text"/>
    <w:basedOn w:val="a"/>
    <w:link w:val="Char0"/>
    <w:uiPriority w:val="99"/>
    <w:semiHidden/>
    <w:unhideWhenUsed/>
    <w:rsid w:val="00B24569"/>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B24569"/>
    <w:rPr>
      <w:rFonts w:asciiTheme="majorHAnsi" w:eastAsiaTheme="majorEastAsia" w:hAnsiTheme="majorHAnsi" w:cstheme="majorBidi"/>
      <w:sz w:val="18"/>
      <w:szCs w:val="18"/>
    </w:rPr>
  </w:style>
  <w:style w:type="character" w:styleId="a6">
    <w:name w:val="Hyperlink"/>
    <w:basedOn w:val="a0"/>
    <w:uiPriority w:val="99"/>
    <w:unhideWhenUsed/>
    <w:rsid w:val="00B24569"/>
    <w:rPr>
      <w:color w:val="0000FF" w:themeColor="hyperlink"/>
      <w:u w:val="single"/>
    </w:rPr>
  </w:style>
  <w:style w:type="paragraph" w:styleId="a7">
    <w:name w:val="Normal (Web)"/>
    <w:basedOn w:val="a"/>
    <w:uiPriority w:val="99"/>
    <w:semiHidden/>
    <w:unhideWhenUsed/>
    <w:rsid w:val="00B24569"/>
    <w:pPr>
      <w:spacing w:after="0" w:line="240" w:lineRule="auto"/>
      <w:ind w:leftChars="50" w:left="50"/>
    </w:pPr>
    <w:rPr>
      <w:rFonts w:ascii="Times New Roman" w:hAnsi="Times New Roman" w:cs="Times New Roman"/>
      <w:sz w:val="24"/>
      <w:szCs w:val="24"/>
    </w:rPr>
  </w:style>
  <w:style w:type="paragraph" w:styleId="a8">
    <w:name w:val="header"/>
    <w:basedOn w:val="a"/>
    <w:link w:val="Char1"/>
    <w:uiPriority w:val="99"/>
    <w:unhideWhenUsed/>
    <w:rsid w:val="00B24569"/>
    <w:pPr>
      <w:tabs>
        <w:tab w:val="center" w:pos="4513"/>
        <w:tab w:val="right" w:pos="9026"/>
      </w:tabs>
      <w:snapToGrid w:val="0"/>
    </w:pPr>
  </w:style>
  <w:style w:type="character" w:customStyle="1" w:styleId="Char1">
    <w:name w:val="머리글 Char"/>
    <w:basedOn w:val="a0"/>
    <w:link w:val="a8"/>
    <w:uiPriority w:val="99"/>
    <w:rsid w:val="00B24569"/>
  </w:style>
  <w:style w:type="paragraph" w:styleId="a9">
    <w:name w:val="footer"/>
    <w:basedOn w:val="a"/>
    <w:link w:val="Char2"/>
    <w:uiPriority w:val="99"/>
    <w:unhideWhenUsed/>
    <w:rsid w:val="00B24569"/>
    <w:pPr>
      <w:tabs>
        <w:tab w:val="center" w:pos="4513"/>
        <w:tab w:val="right" w:pos="9026"/>
      </w:tabs>
      <w:snapToGrid w:val="0"/>
    </w:pPr>
  </w:style>
  <w:style w:type="character" w:customStyle="1" w:styleId="Char2">
    <w:name w:val="바닥글 Char"/>
    <w:basedOn w:val="a0"/>
    <w:link w:val="a9"/>
    <w:uiPriority w:val="99"/>
    <w:rsid w:val="00B24569"/>
  </w:style>
  <w:style w:type="paragraph" w:customStyle="1" w:styleId="EndNoteBibliographyTitle">
    <w:name w:val="EndNote Bibliography Title"/>
    <w:basedOn w:val="a"/>
    <w:link w:val="EndNoteBibliographyTitleChar"/>
    <w:rsid w:val="00B24569"/>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B24569"/>
    <w:rPr>
      <w:rFonts w:ascii="맑은 고딕" w:eastAsia="맑은 고딕" w:hAnsi="맑은 고딕"/>
      <w:noProof/>
    </w:rPr>
  </w:style>
  <w:style w:type="paragraph" w:customStyle="1" w:styleId="EndNoteBibliography">
    <w:name w:val="EndNote Bibliography"/>
    <w:basedOn w:val="a"/>
    <w:link w:val="EndNoteBibliographyChar"/>
    <w:rsid w:val="00B24569"/>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B24569"/>
    <w:rPr>
      <w:rFonts w:ascii="맑은 고딕" w:eastAsia="맑은 고딕" w:hAnsi="맑은 고딕"/>
      <w:noProof/>
    </w:rPr>
  </w:style>
  <w:style w:type="character" w:styleId="aa">
    <w:name w:val="line number"/>
    <w:basedOn w:val="a0"/>
    <w:uiPriority w:val="99"/>
    <w:semiHidden/>
    <w:unhideWhenUsed/>
    <w:rsid w:val="00B24569"/>
  </w:style>
  <w:style w:type="paragraph" w:styleId="ab">
    <w:name w:val="annotation subject"/>
    <w:basedOn w:val="a4"/>
    <w:next w:val="a4"/>
    <w:link w:val="Char3"/>
    <w:uiPriority w:val="99"/>
    <w:semiHidden/>
    <w:unhideWhenUsed/>
    <w:rsid w:val="00B24569"/>
    <w:pPr>
      <w:spacing w:after="200" w:line="276" w:lineRule="auto"/>
      <w:ind w:leftChars="0" w:left="0"/>
      <w:jc w:val="left"/>
    </w:pPr>
    <w:rPr>
      <w:b/>
      <w:bCs/>
    </w:rPr>
  </w:style>
  <w:style w:type="character" w:customStyle="1" w:styleId="Char3">
    <w:name w:val="메모 주제 Char"/>
    <w:basedOn w:val="Char"/>
    <w:link w:val="ab"/>
    <w:uiPriority w:val="99"/>
    <w:semiHidden/>
    <w:rsid w:val="00B2456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6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24569"/>
    <w:rPr>
      <w:sz w:val="18"/>
      <w:szCs w:val="18"/>
    </w:rPr>
  </w:style>
  <w:style w:type="paragraph" w:styleId="a4">
    <w:name w:val="annotation text"/>
    <w:basedOn w:val="a"/>
    <w:link w:val="Char"/>
    <w:uiPriority w:val="99"/>
    <w:semiHidden/>
    <w:unhideWhenUsed/>
    <w:rsid w:val="00B24569"/>
    <w:pPr>
      <w:spacing w:after="0" w:line="240" w:lineRule="auto"/>
      <w:ind w:leftChars="50" w:left="50"/>
    </w:pPr>
    <w:rPr>
      <w:sz w:val="24"/>
      <w:szCs w:val="24"/>
    </w:rPr>
  </w:style>
  <w:style w:type="character" w:customStyle="1" w:styleId="Char">
    <w:name w:val="메모 텍스트 Char"/>
    <w:basedOn w:val="a0"/>
    <w:link w:val="a4"/>
    <w:uiPriority w:val="99"/>
    <w:semiHidden/>
    <w:rsid w:val="00B24569"/>
    <w:rPr>
      <w:sz w:val="24"/>
      <w:szCs w:val="24"/>
    </w:rPr>
  </w:style>
  <w:style w:type="paragraph" w:styleId="a5">
    <w:name w:val="Balloon Text"/>
    <w:basedOn w:val="a"/>
    <w:link w:val="Char0"/>
    <w:uiPriority w:val="99"/>
    <w:semiHidden/>
    <w:unhideWhenUsed/>
    <w:rsid w:val="00B24569"/>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B24569"/>
    <w:rPr>
      <w:rFonts w:asciiTheme="majorHAnsi" w:eastAsiaTheme="majorEastAsia" w:hAnsiTheme="majorHAnsi" w:cstheme="majorBidi"/>
      <w:sz w:val="18"/>
      <w:szCs w:val="18"/>
    </w:rPr>
  </w:style>
  <w:style w:type="character" w:styleId="a6">
    <w:name w:val="Hyperlink"/>
    <w:basedOn w:val="a0"/>
    <w:uiPriority w:val="99"/>
    <w:unhideWhenUsed/>
    <w:rsid w:val="00B24569"/>
    <w:rPr>
      <w:color w:val="0000FF" w:themeColor="hyperlink"/>
      <w:u w:val="single"/>
    </w:rPr>
  </w:style>
  <w:style w:type="paragraph" w:styleId="a7">
    <w:name w:val="Normal (Web)"/>
    <w:basedOn w:val="a"/>
    <w:uiPriority w:val="99"/>
    <w:semiHidden/>
    <w:unhideWhenUsed/>
    <w:rsid w:val="00B24569"/>
    <w:pPr>
      <w:spacing w:after="0" w:line="240" w:lineRule="auto"/>
      <w:ind w:leftChars="50" w:left="50"/>
    </w:pPr>
    <w:rPr>
      <w:rFonts w:ascii="Times New Roman" w:hAnsi="Times New Roman" w:cs="Times New Roman"/>
      <w:sz w:val="24"/>
      <w:szCs w:val="24"/>
    </w:rPr>
  </w:style>
  <w:style w:type="paragraph" w:styleId="a8">
    <w:name w:val="header"/>
    <w:basedOn w:val="a"/>
    <w:link w:val="Char1"/>
    <w:uiPriority w:val="99"/>
    <w:unhideWhenUsed/>
    <w:rsid w:val="00B24569"/>
    <w:pPr>
      <w:tabs>
        <w:tab w:val="center" w:pos="4513"/>
        <w:tab w:val="right" w:pos="9026"/>
      </w:tabs>
      <w:snapToGrid w:val="0"/>
    </w:pPr>
  </w:style>
  <w:style w:type="character" w:customStyle="1" w:styleId="Char1">
    <w:name w:val="머리글 Char"/>
    <w:basedOn w:val="a0"/>
    <w:link w:val="a8"/>
    <w:uiPriority w:val="99"/>
    <w:rsid w:val="00B24569"/>
  </w:style>
  <w:style w:type="paragraph" w:styleId="a9">
    <w:name w:val="footer"/>
    <w:basedOn w:val="a"/>
    <w:link w:val="Char2"/>
    <w:uiPriority w:val="99"/>
    <w:unhideWhenUsed/>
    <w:rsid w:val="00B24569"/>
    <w:pPr>
      <w:tabs>
        <w:tab w:val="center" w:pos="4513"/>
        <w:tab w:val="right" w:pos="9026"/>
      </w:tabs>
      <w:snapToGrid w:val="0"/>
    </w:pPr>
  </w:style>
  <w:style w:type="character" w:customStyle="1" w:styleId="Char2">
    <w:name w:val="바닥글 Char"/>
    <w:basedOn w:val="a0"/>
    <w:link w:val="a9"/>
    <w:uiPriority w:val="99"/>
    <w:rsid w:val="00B24569"/>
  </w:style>
  <w:style w:type="paragraph" w:customStyle="1" w:styleId="EndNoteBibliographyTitle">
    <w:name w:val="EndNote Bibliography Title"/>
    <w:basedOn w:val="a"/>
    <w:link w:val="EndNoteBibliographyTitleChar"/>
    <w:rsid w:val="00B24569"/>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B24569"/>
    <w:rPr>
      <w:rFonts w:ascii="맑은 고딕" w:eastAsia="맑은 고딕" w:hAnsi="맑은 고딕"/>
      <w:noProof/>
    </w:rPr>
  </w:style>
  <w:style w:type="paragraph" w:customStyle="1" w:styleId="EndNoteBibliography">
    <w:name w:val="EndNote Bibliography"/>
    <w:basedOn w:val="a"/>
    <w:link w:val="EndNoteBibliographyChar"/>
    <w:rsid w:val="00B24569"/>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B24569"/>
    <w:rPr>
      <w:rFonts w:ascii="맑은 고딕" w:eastAsia="맑은 고딕" w:hAnsi="맑은 고딕"/>
      <w:noProof/>
    </w:rPr>
  </w:style>
  <w:style w:type="character" w:styleId="aa">
    <w:name w:val="line number"/>
    <w:basedOn w:val="a0"/>
    <w:uiPriority w:val="99"/>
    <w:semiHidden/>
    <w:unhideWhenUsed/>
    <w:rsid w:val="00B24569"/>
  </w:style>
  <w:style w:type="paragraph" w:styleId="ab">
    <w:name w:val="annotation subject"/>
    <w:basedOn w:val="a4"/>
    <w:next w:val="a4"/>
    <w:link w:val="Char3"/>
    <w:uiPriority w:val="99"/>
    <w:semiHidden/>
    <w:unhideWhenUsed/>
    <w:rsid w:val="00B24569"/>
    <w:pPr>
      <w:spacing w:after="200" w:line="276" w:lineRule="auto"/>
      <w:ind w:leftChars="0" w:left="0"/>
      <w:jc w:val="left"/>
    </w:pPr>
    <w:rPr>
      <w:b/>
      <w:bCs/>
    </w:rPr>
  </w:style>
  <w:style w:type="character" w:customStyle="1" w:styleId="Char3">
    <w:name w:val="메모 주제 Char"/>
    <w:basedOn w:val="Char"/>
    <w:link w:val="ab"/>
    <w:uiPriority w:val="99"/>
    <w:semiHidden/>
    <w:rsid w:val="00B2456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1649</Words>
  <Characters>9400</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사용자</dc:creator>
  <cp:lastModifiedBy>Windows 사용자</cp:lastModifiedBy>
  <cp:revision>5</cp:revision>
  <dcterms:created xsi:type="dcterms:W3CDTF">2023-12-05T12:29:00Z</dcterms:created>
  <dcterms:modified xsi:type="dcterms:W3CDTF">2024-04-16T04:12:00Z</dcterms:modified>
</cp:coreProperties>
</file>