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337"/>
        <w:gridCol w:w="2302"/>
        <w:gridCol w:w="2409"/>
        <w:gridCol w:w="22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  <w:noWrap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 w:val="0"/>
                <w:sz w:val="24"/>
                <w:szCs w:val="24"/>
              </w:rPr>
              <w:t>Table 2</w:t>
            </w:r>
            <w:r>
              <w:rPr>
                <w:rFonts w:cs="Times New Roman"/>
                <w:sz w:val="24"/>
                <w:szCs w:val="24"/>
              </w:rPr>
              <w:t xml:space="preserve">     The association between theobromine with periodontitis.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18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9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Model Ⅰ</w:t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OR (95%CI) </w:t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p-value</w:t>
            </w:r>
          </w:p>
        </w:tc>
        <w:tc>
          <w:tcPr>
            <w:tcW w:w="240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Model Ⅱ</w:t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OR (95%CI)</w:t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p-value</w:t>
            </w:r>
          </w:p>
        </w:tc>
        <w:tc>
          <w:tcPr>
            <w:tcW w:w="228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Model Ⅲ</w:t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OR (95%CI) </w:t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gridSpan w:val="3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cs="Times New Roman"/>
                <w:b/>
                <w:bCs w:val="0"/>
                <w:sz w:val="24"/>
                <w:szCs w:val="24"/>
              </w:rPr>
            </w:pPr>
            <w:r>
              <w:rPr>
                <w:rFonts w:cs="Times New Roman"/>
                <w:b/>
                <w:bCs w:val="0"/>
                <w:sz w:val="24"/>
                <w:szCs w:val="24"/>
              </w:rPr>
              <w:t>Theobromine</w:t>
            </w:r>
          </w:p>
        </w:tc>
        <w:tc>
          <w:tcPr>
            <w:tcW w:w="2409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</w:tcPr>
          <w:p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</w:tcPr>
          <w:p>
            <w:pPr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Medium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0.828 (0.783, 0.875) &lt;0.001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0.894 (0.848, 0.943) &lt;0.001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0.949 (0.903, 0.998) </w:t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High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0.790 (0.748, 0.834) &lt;0.001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0.865 (0.821, 0.911) &lt;0.001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0.915 (0.871, 0.960) 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6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noWrap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 for trend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522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cs="Times New Roman" w:eastAsiaTheme="minorEastAsia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OR, odds ratio; CI, confidence intervals; REF, </w:t>
            </w:r>
            <w:r>
              <w:rPr>
                <w:rFonts w:eastAsia="宋体" w:cs="Times New Roman"/>
                <w:sz w:val="20"/>
                <w:szCs w:val="20"/>
              </w:rPr>
              <w:t>reference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  <w:p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Model </w:t>
            </w:r>
            <w:r>
              <w:rPr>
                <w:rFonts w:eastAsia="宋体" w:cs="Times New Roman"/>
                <w:sz w:val="18"/>
                <w:szCs w:val="18"/>
              </w:rPr>
              <w:t>Ⅰ</w:t>
            </w:r>
            <w:r>
              <w:rPr>
                <w:rFonts w:cs="Times New Roman"/>
                <w:sz w:val="18"/>
                <w:szCs w:val="18"/>
              </w:rPr>
              <w:t xml:space="preserve">: adjusted for no covariates; Model </w:t>
            </w:r>
            <w:r>
              <w:rPr>
                <w:rFonts w:eastAsia="宋体" w:cs="Times New Roman"/>
                <w:sz w:val="18"/>
                <w:szCs w:val="18"/>
              </w:rPr>
              <w:t>Ⅱ</w:t>
            </w:r>
            <w:r>
              <w:rPr>
                <w:rFonts w:cs="Times New Roman"/>
                <w:sz w:val="18"/>
                <w:szCs w:val="18"/>
              </w:rPr>
              <w:t xml:space="preserve">: adjusted for age, sex, and race; Model </w:t>
            </w:r>
            <w:r>
              <w:rPr>
                <w:rFonts w:eastAsia="宋体" w:cs="Times New Roman"/>
                <w:sz w:val="18"/>
                <w:szCs w:val="18"/>
              </w:rPr>
              <w:t>Ⅲ</w:t>
            </w:r>
            <w:r>
              <w:rPr>
                <w:rFonts w:cs="Times New Roman"/>
                <w:sz w:val="18"/>
                <w:szCs w:val="18"/>
              </w:rPr>
              <w:t xml:space="preserve">: </w:t>
            </w:r>
            <w:bookmarkStart w:id="0" w:name="OLE_LINK14"/>
            <w:r>
              <w:rPr>
                <w:rFonts w:cs="Times New Roman"/>
                <w:sz w:val="18"/>
                <w:szCs w:val="18"/>
              </w:rPr>
              <w:t>adjusted for gender, age, race, education, marriage, drinking, hypertension, body mass index, family PIR, smoking and diabetes</w:t>
            </w:r>
            <w:bookmarkEnd w:id="0"/>
            <w:r>
              <w:rPr>
                <w:rFonts w:cs="Times New Roman"/>
                <w:sz w:val="18"/>
                <w:szCs w:val="18"/>
              </w:rPr>
              <w:t>.</w:t>
            </w:r>
          </w:p>
        </w:tc>
      </w:tr>
    </w:tbl>
    <w:p>
      <w:pPr>
        <w:rPr>
          <w:rFonts w:cs="Times New Roman"/>
        </w:rPr>
      </w:pPr>
    </w:p>
    <w:p/>
    <w:sectPr>
      <w:pgSz w:w="11906" w:h="16838"/>
      <w:pgMar w:top="567" w:right="567" w:bottom="567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ZDIzMjBhYjY3YjcwYmIxYWI1NjM4YzVmYjEyMDMifQ=="/>
  </w:docVars>
  <w:rsids>
    <w:rsidRoot w:val="00855DCC"/>
    <w:rsid w:val="00681519"/>
    <w:rsid w:val="00855DCC"/>
    <w:rsid w:val="4E8C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宋体"/>
      <w:bCs/>
      <w:kern w:val="0"/>
      <w:sz w:val="28"/>
      <w:szCs w:val="28"/>
      <w:lang w:val="en-US" w:eastAsia="zh-CN" w:bidi="ar-SA"/>
      <w14:ligatures w14:val="none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99"/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582</Characters>
  <Lines>4</Lines>
  <Paragraphs>1</Paragraphs>
  <TotalTime>5</TotalTime>
  <ScaleCrop>false</ScaleCrop>
  <LinksUpToDate>false</LinksUpToDate>
  <CharactersWithSpaces>682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2024-02-28T15:28:00Z</dcterms:created>
  <dc:creator>雅诗 周</dc:creator>
  <cp:lastModifiedBy>xixi</cp:lastModifiedBy>
  <dcterms:modified xsi:type="dcterms:W3CDTF">2024-05-09T05:13:37Z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A12B7A5709D54025887BB1C1FE3A6764_12</vt:lpwstr>
  </property>
</Properties>
</file>