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F4DC63" w14:textId="77777777" w:rsidR="00406535" w:rsidRPr="00BB298E" w:rsidRDefault="00406535" w:rsidP="00406535">
      <w:pPr>
        <w:spacing w:line="240" w:lineRule="auto"/>
        <w:jc w:val="both"/>
        <w:rPr>
          <w:rFonts w:ascii="Times New Roman" w:hAnsi="Times New Roman" w:cs="Times New Roman"/>
          <w:sz w:val="20"/>
          <w:szCs w:val="20"/>
        </w:rPr>
      </w:pPr>
      <w:r w:rsidRPr="00D81191">
        <w:rPr>
          <w:rFonts w:ascii="Times New Roman" w:hAnsi="Times New Roman" w:cs="Times New Roman"/>
          <w:b/>
          <w:sz w:val="20"/>
          <w:szCs w:val="20"/>
        </w:rPr>
        <w:t>Table 1</w:t>
      </w:r>
      <w:r w:rsidRPr="00BB298E">
        <w:rPr>
          <w:rFonts w:ascii="Times New Roman" w:hAnsi="Times New Roman" w:cs="Times New Roman"/>
          <w:sz w:val="20"/>
          <w:szCs w:val="20"/>
        </w:rPr>
        <w:t xml:space="preserve"> Chemical compositions of the constituent materials used </w:t>
      </w:r>
    </w:p>
    <w:tbl>
      <w:tblPr>
        <w:tblStyle w:val="TableGrid"/>
        <w:tblW w:w="9913" w:type="dxa"/>
        <w:tblInd w:w="10" w:type="dxa"/>
        <w:tblLook w:val="04A0" w:firstRow="1" w:lastRow="0" w:firstColumn="1" w:lastColumn="0" w:noHBand="0" w:noVBand="1"/>
      </w:tblPr>
      <w:tblGrid>
        <w:gridCol w:w="2683"/>
        <w:gridCol w:w="7230"/>
      </w:tblGrid>
      <w:tr w:rsidR="00406535" w:rsidRPr="00BB298E" w14:paraId="66E67413" w14:textId="77777777" w:rsidTr="007B42D9">
        <w:trPr>
          <w:trHeight w:val="111"/>
        </w:trPr>
        <w:tc>
          <w:tcPr>
            <w:tcW w:w="2683" w:type="dxa"/>
            <w:vMerge w:val="restart"/>
            <w:tcBorders>
              <w:left w:val="nil"/>
              <w:right w:val="nil"/>
            </w:tcBorders>
          </w:tcPr>
          <w:p w14:paraId="42B7AA91"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Constituents</w:t>
            </w:r>
          </w:p>
        </w:tc>
        <w:tc>
          <w:tcPr>
            <w:tcW w:w="7230" w:type="dxa"/>
            <w:tcBorders>
              <w:left w:val="nil"/>
              <w:right w:val="nil"/>
            </w:tcBorders>
          </w:tcPr>
          <w:p w14:paraId="1B174608" w14:textId="77777777" w:rsidR="00406535" w:rsidRPr="00BB298E" w:rsidRDefault="00406535" w:rsidP="007B42D9">
            <w:pPr>
              <w:ind w:left="1564"/>
              <w:jc w:val="both"/>
              <w:rPr>
                <w:rFonts w:ascii="Times New Roman" w:hAnsi="Times New Roman" w:cs="Times New Roman"/>
                <w:sz w:val="20"/>
                <w:szCs w:val="20"/>
              </w:rPr>
            </w:pPr>
            <w:r w:rsidRPr="00BB298E">
              <w:rPr>
                <w:rFonts w:ascii="Times New Roman" w:hAnsi="Times New Roman" w:cs="Times New Roman"/>
                <w:sz w:val="20"/>
                <w:szCs w:val="20"/>
              </w:rPr>
              <w:t>Oxides and percentages</w:t>
            </w:r>
            <w:r w:rsidRPr="00BB298E">
              <w:rPr>
                <w:rFonts w:ascii="Times New Roman" w:hAnsi="Times New Roman" w:cs="Times New Roman"/>
                <w:sz w:val="20"/>
                <w:szCs w:val="20"/>
                <w:u w:val="single"/>
              </w:rPr>
              <w:t xml:space="preserve">                                          </w:t>
            </w:r>
          </w:p>
        </w:tc>
      </w:tr>
      <w:tr w:rsidR="00406535" w:rsidRPr="00BB298E" w14:paraId="6277F748" w14:textId="77777777" w:rsidTr="007B42D9">
        <w:trPr>
          <w:trHeight w:val="446"/>
        </w:trPr>
        <w:tc>
          <w:tcPr>
            <w:tcW w:w="2683" w:type="dxa"/>
            <w:vMerge/>
            <w:tcBorders>
              <w:left w:val="nil"/>
              <w:right w:val="nil"/>
            </w:tcBorders>
          </w:tcPr>
          <w:p w14:paraId="31FFEE92" w14:textId="77777777" w:rsidR="00406535" w:rsidRPr="00BB298E" w:rsidRDefault="00406535" w:rsidP="007B42D9">
            <w:pPr>
              <w:jc w:val="both"/>
              <w:rPr>
                <w:rFonts w:ascii="Times New Roman" w:hAnsi="Times New Roman" w:cs="Times New Roman"/>
                <w:sz w:val="20"/>
                <w:szCs w:val="20"/>
              </w:rPr>
            </w:pPr>
          </w:p>
        </w:tc>
        <w:tc>
          <w:tcPr>
            <w:tcW w:w="7230" w:type="dxa"/>
            <w:tcBorders>
              <w:left w:val="nil"/>
              <w:right w:val="nil"/>
            </w:tcBorders>
          </w:tcPr>
          <w:p w14:paraId="42701F92" w14:textId="77777777" w:rsidR="00406535" w:rsidRPr="00BB298E" w:rsidRDefault="00406535" w:rsidP="007B42D9">
            <w:pPr>
              <w:ind w:left="-107"/>
              <w:jc w:val="both"/>
              <w:rPr>
                <w:rFonts w:ascii="Times New Roman" w:hAnsi="Times New Roman" w:cs="Times New Roman"/>
                <w:sz w:val="20"/>
                <w:szCs w:val="20"/>
              </w:rPr>
            </w:pPr>
            <w:r w:rsidRPr="00BB298E">
              <w:rPr>
                <w:rFonts w:ascii="Times New Roman" w:hAnsi="Times New Roman" w:cs="Times New Roman"/>
                <w:sz w:val="20"/>
                <w:szCs w:val="20"/>
              </w:rPr>
              <w:t>Al</w:t>
            </w:r>
            <w:r w:rsidRPr="00BB298E">
              <w:rPr>
                <w:rFonts w:ascii="Times New Roman" w:hAnsi="Times New Roman" w:cs="Times New Roman"/>
                <w:sz w:val="20"/>
                <w:szCs w:val="20"/>
                <w:vertAlign w:val="subscript"/>
              </w:rPr>
              <w:t>2</w:t>
            </w:r>
            <w:r w:rsidRPr="00BB298E">
              <w:rPr>
                <w:rFonts w:ascii="Times New Roman" w:hAnsi="Times New Roman" w:cs="Times New Roman"/>
                <w:sz w:val="20"/>
                <w:szCs w:val="20"/>
              </w:rPr>
              <w:t>O</w:t>
            </w:r>
            <w:r w:rsidRPr="00BB298E">
              <w:rPr>
                <w:rFonts w:ascii="Times New Roman" w:hAnsi="Times New Roman" w:cs="Times New Roman"/>
                <w:sz w:val="20"/>
                <w:szCs w:val="20"/>
                <w:vertAlign w:val="subscript"/>
              </w:rPr>
              <w:t>3</w:t>
            </w:r>
            <w:r w:rsidRPr="00BB298E">
              <w:rPr>
                <w:rFonts w:ascii="Times New Roman" w:hAnsi="Times New Roman" w:cs="Times New Roman"/>
                <w:sz w:val="20"/>
                <w:szCs w:val="20"/>
              </w:rPr>
              <w:t xml:space="preserve">    CaO      Fe</w:t>
            </w:r>
            <w:r w:rsidRPr="00BB298E">
              <w:rPr>
                <w:rFonts w:ascii="Times New Roman" w:hAnsi="Times New Roman" w:cs="Times New Roman"/>
                <w:sz w:val="20"/>
                <w:szCs w:val="20"/>
                <w:vertAlign w:val="subscript"/>
              </w:rPr>
              <w:t>2</w:t>
            </w:r>
            <w:r w:rsidRPr="00BB298E">
              <w:rPr>
                <w:rFonts w:ascii="Times New Roman" w:hAnsi="Times New Roman" w:cs="Times New Roman"/>
                <w:sz w:val="20"/>
                <w:szCs w:val="20"/>
              </w:rPr>
              <w:t>O</w:t>
            </w:r>
            <w:r w:rsidRPr="00BB298E">
              <w:rPr>
                <w:rFonts w:ascii="Times New Roman" w:hAnsi="Times New Roman" w:cs="Times New Roman"/>
                <w:sz w:val="20"/>
                <w:szCs w:val="20"/>
                <w:vertAlign w:val="subscript"/>
              </w:rPr>
              <w:t>3</w:t>
            </w:r>
            <w:r w:rsidRPr="00BB298E">
              <w:rPr>
                <w:rFonts w:ascii="Times New Roman" w:hAnsi="Times New Roman" w:cs="Times New Roman"/>
                <w:sz w:val="20"/>
                <w:szCs w:val="20"/>
              </w:rPr>
              <w:t xml:space="preserve">    K</w:t>
            </w:r>
            <w:r w:rsidRPr="00BB298E">
              <w:rPr>
                <w:rFonts w:ascii="Times New Roman" w:hAnsi="Times New Roman" w:cs="Times New Roman"/>
                <w:sz w:val="20"/>
                <w:szCs w:val="20"/>
                <w:vertAlign w:val="subscript"/>
              </w:rPr>
              <w:t>2</w:t>
            </w:r>
            <w:r w:rsidRPr="00BB298E">
              <w:rPr>
                <w:rFonts w:ascii="Times New Roman" w:hAnsi="Times New Roman" w:cs="Times New Roman"/>
                <w:sz w:val="20"/>
                <w:szCs w:val="20"/>
              </w:rPr>
              <w:t>O    SiO</w:t>
            </w:r>
            <w:r w:rsidRPr="00BB298E">
              <w:rPr>
                <w:rFonts w:ascii="Times New Roman" w:hAnsi="Times New Roman" w:cs="Times New Roman"/>
                <w:sz w:val="20"/>
                <w:szCs w:val="20"/>
                <w:vertAlign w:val="subscript"/>
              </w:rPr>
              <w:t>2</w:t>
            </w:r>
            <w:r w:rsidRPr="00BB298E">
              <w:rPr>
                <w:rFonts w:ascii="Times New Roman" w:hAnsi="Times New Roman" w:cs="Times New Roman"/>
                <w:sz w:val="20"/>
                <w:szCs w:val="20"/>
              </w:rPr>
              <w:t xml:space="preserve">     MgO     Na</w:t>
            </w:r>
            <w:r w:rsidRPr="00BB298E">
              <w:rPr>
                <w:rFonts w:ascii="Times New Roman" w:hAnsi="Times New Roman" w:cs="Times New Roman"/>
                <w:sz w:val="20"/>
                <w:szCs w:val="20"/>
                <w:vertAlign w:val="subscript"/>
              </w:rPr>
              <w:t>2</w:t>
            </w:r>
            <w:r w:rsidRPr="00BB298E">
              <w:rPr>
                <w:rFonts w:ascii="Times New Roman" w:hAnsi="Times New Roman" w:cs="Times New Roman"/>
                <w:sz w:val="20"/>
                <w:szCs w:val="20"/>
              </w:rPr>
              <w:t>O     SO</w:t>
            </w:r>
            <w:r w:rsidRPr="00BB298E">
              <w:rPr>
                <w:rFonts w:ascii="Times New Roman" w:hAnsi="Times New Roman" w:cs="Times New Roman"/>
                <w:sz w:val="20"/>
                <w:szCs w:val="20"/>
                <w:vertAlign w:val="subscript"/>
              </w:rPr>
              <w:t>3</w:t>
            </w:r>
            <w:r w:rsidRPr="00BB298E">
              <w:rPr>
                <w:rFonts w:ascii="Times New Roman" w:hAnsi="Times New Roman" w:cs="Times New Roman"/>
                <w:sz w:val="20"/>
                <w:szCs w:val="20"/>
              </w:rPr>
              <w:t xml:space="preserve">    MnO</w:t>
            </w:r>
            <w:r w:rsidRPr="00BB298E">
              <w:rPr>
                <w:rFonts w:ascii="Times New Roman" w:hAnsi="Times New Roman" w:cs="Times New Roman"/>
                <w:sz w:val="20"/>
                <w:szCs w:val="20"/>
                <w:vertAlign w:val="subscript"/>
              </w:rPr>
              <w:t>3</w:t>
            </w:r>
            <w:r w:rsidRPr="00BB298E">
              <w:rPr>
                <w:rFonts w:ascii="Times New Roman" w:hAnsi="Times New Roman" w:cs="Times New Roman"/>
                <w:sz w:val="20"/>
                <w:szCs w:val="20"/>
              </w:rPr>
              <w:t xml:space="preserve">  TiO</w:t>
            </w:r>
            <w:r w:rsidRPr="00BB298E">
              <w:rPr>
                <w:rFonts w:ascii="Times New Roman" w:hAnsi="Times New Roman" w:cs="Times New Roman"/>
                <w:sz w:val="20"/>
                <w:szCs w:val="20"/>
                <w:vertAlign w:val="subscript"/>
              </w:rPr>
              <w:t>2</w:t>
            </w:r>
          </w:p>
        </w:tc>
      </w:tr>
      <w:tr w:rsidR="00406535" w:rsidRPr="00BB298E" w14:paraId="48C611EB" w14:textId="77777777" w:rsidTr="007B42D9">
        <w:tc>
          <w:tcPr>
            <w:tcW w:w="9913" w:type="dxa"/>
            <w:gridSpan w:val="2"/>
            <w:tcBorders>
              <w:left w:val="nil"/>
              <w:right w:val="nil"/>
            </w:tcBorders>
          </w:tcPr>
          <w:p w14:paraId="2F567DCB"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Cement                               3.91      66.55     3.62      0.39    19.21    1.17      0.40      3.23      -          -</w:t>
            </w:r>
          </w:p>
          <w:p w14:paraId="24249928"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 xml:space="preserve">Periwinkle shell ash           6.42      52.10     4.64      0.25     0.14      0.82     0.26      0.26     0.14      -      </w:t>
            </w:r>
          </w:p>
          <w:p w14:paraId="2B146727"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Quarry dust                        15.52     14.30      6.53     4.35     45.4      3.54       -          0.55      -         2.65</w:t>
            </w:r>
          </w:p>
        </w:tc>
      </w:tr>
    </w:tbl>
    <w:p w14:paraId="71AA3A89" w14:textId="77777777" w:rsidR="00406535" w:rsidRPr="00BB298E" w:rsidRDefault="00406535" w:rsidP="00406535">
      <w:pPr>
        <w:spacing w:line="240" w:lineRule="auto"/>
        <w:jc w:val="both"/>
        <w:rPr>
          <w:rFonts w:ascii="Times New Roman" w:hAnsi="Times New Roman" w:cs="Times New Roman"/>
          <w:sz w:val="20"/>
          <w:szCs w:val="20"/>
        </w:rPr>
      </w:pPr>
      <w:r w:rsidRPr="00BB298E">
        <w:rPr>
          <w:rFonts w:ascii="Times New Roman" w:hAnsi="Times New Roman" w:cs="Times New Roman"/>
          <w:sz w:val="20"/>
          <w:szCs w:val="20"/>
        </w:rPr>
        <w:fldChar w:fldCharType="begin" w:fldLock="1"/>
      </w:r>
      <w:r w:rsidRPr="00BB298E">
        <w:rPr>
          <w:rFonts w:ascii="Times New Roman" w:hAnsi="Times New Roman" w:cs="Times New Roman"/>
          <w:sz w:val="20"/>
          <w:szCs w:val="20"/>
        </w:rPr>
        <w:instrText>ADDIN CSL_CITATION {"citationItems":[{"id":"ITEM-1","itemData":{"DOI":"10.1016/j.jobe.2018.04.023","ISSN":"23527102","abstract":"The disposal of agricultural waste is a serious environmental problem. Use of agricultural wastes in the production of cement block may reduce the global environmental pollution. This study analyzes the feasibility of using agricultural waste like rice husk, sawdust, peanut shell, rice straw and coconut shell as a partial sand replacement in the manufacture of cement blocks. The experiments have been conducted to determine the physical, strength and durability properties of cement block. Test results show that cement blocks with agricultural waste were satisfied the strength requirement according to the ASTM standard but durability is the major issue for these blocks. Cement block with coconut shell and peanut shell shows reasonable strength and durability properties.","author":[{"dropping-particle":"","family":"Sathiparan","given":"Navaratnarajah","non-dropping-particle":"","parse-names":false,"suffix":""},{"dropping-particle":"","family":"Zoysa","given":"H. T.S.M.","non-dropping-particle":"De","parse-names":false,"suffix":""}],"container-title":"Journal of Building Engineering","id":"ITEM-1","issue":"April","issued":{"date-parts":[["2018"]]},"page":"216-227","title":"The effects of using agricultural waste as partial substitute for sand in cement blocks","type":"article-journal","volume":"19"},"uris":["http://www.mendeley.com/documents/?uuid=aaced2e4-13ad-4e2b-9c16-82b01d930d37"]},{"id":"ITEM-2","itemData":{"DOI":"10.1016/j.clema.2021.100023","ISSN":"27723976","abstract":"Laboratory investigation on the effect of micro sized quarry dust on engineering behaviour of cement stabilized lateritic soil was carried out. The specific concentration was on the effective way of curtailing, managing and disposing solid wastes generated from quarry activities by incorporating them as admixture in cement amelioration protocol of weak lateritic soil bound for sustainable subgrade material. In airfield, embankment, railways, pavement foundation structures, special attention/consideration/interest is continually laid on how moisture percolation affect the bearing capacity or strength of the subgrade layer. The quarry dust of 0 to 10 % was admixed with cement of 0 to 8 %, both in step increment of 2% by dry weight of the soil forming a combination matrix of twenty-five test specimens in an amelioration protocol. The test results show that quarry dust admixture steadily improved the plasticity index of cement stabilized soil through the reduction in plasticity index. The maximum dry density in most part of the test, improved with increase in percentage stabilizers blend for the individual corresponding optimum moisture content of the treated soil. The mechanical properties (California bearing ratio and unconfined compressive strength) of cemented lateritic soil increased significantly with increase in the micro sized quarry dust stabilizer. The resistance to loss in strength showed that more than 80 % durability values was recorded. The SEM/EDS analysis of the optimally stabilized specimen in contrast to untreated soil established the development of calcite as C-S-H and C-(A)-S-H. The formation of C-S-H and C-(A)-S-H which was also confirmed through the FTIR and XRD test was responsible for strength development.","author":[{"dropping-particle":"","family":"Kufre Etim","given":"Roland","non-dropping-particle":"","parse-names":false,"suffix":""},{"dropping-particle":"","family":"Ufot Ekpo","given":"David","non-dropping-particle":"","parse-names":false,"suffix":""},{"dropping-particle":"","family":"Christopher Attah","given":"Imoh","non-dropping-particle":"","parse-names":false,"suffix":""},{"dropping-particle":"","family":"Chibuzor Onyelowe","given":"Kennedy","non-dropping-particle":"","parse-names":false,"suffix":""}],"container-title":"Cleaner Materials","id":"ITEM-2","issue":"September","issued":{"date-parts":[["2021"]]},"title":"Effect of micro sized quarry dust particle on the compaction and strength properties of cement stabilized lateritic soil","type":"article-journal","volume":"2"},"uris":["http://www.mendeley.com/documents/?uuid=4c3a8790-9aca-4134-8dde-15161e90e0e2"]},{"id":"ITEM-3","itemData":{"DOI":"10.33736/JCEST.147.2015","ISSN":"2462-1382","abstract":"The objective of this study is to examine the effect of accelerator (NaNO3) on the strength properties of High volume Periwinkle shell ash blended cement concrete. A mix ratio and water-binder ratio of 1:2:4 (cement: sand: gravel) and 0.60, respectively was used as the reference. The cement was then replaced with 30% Periwinkle Shell Ash (PSA) by weight of cement. Sodium nitrate in the dosages of 1, 2, and 3% by weight of cement was added to the blended mixture of cement and PSA. The strength properties investigated were compressive and splitting tensile strength tested at 7, 14 and 28 days hydration. The results indicated that the compressive strength and the splitting tensile strength generally increases with curing age, and that sodium nitrate of up to 2% dosage greatly improved the strength performance of high volume PSA blended cement concrete over that of the reference. The study concluded that the inclusion of 2% sodium nitrate by weight of cement in the mixture could be considered the optimum dosage for the improvement of both compressive and splitting tensile strength of concrete incorporating up to 30% PSA content.","author":[{"dropping-particle":"","family":"Umoh","given":"Akaninyene A.","non-dropping-particle":"","parse-names":false,"suffix":""},{"dropping-particle":"","family":"Ujene","given":"Anthony O.","non-dropping-particle":"","parse-names":false,"suffix":""}],"container-title":"Journal of Civil Engineering, Science and Technology","id":"ITEM-3","issue":"2","issued":{"date-parts":[["2015","9","1"]]},"page":"18-22","publisher":"UNIMAS Publisher","title":"Improving the strength performance of high volume periwinkle shell ash blended cement concrete with sodium nitrate as accelerator","type":"article-journal","volume":"6"},"uris":["http://www.mendeley.com/documents/?uuid=63ff71e3-e534-3541-80ae-1cdf06d4187f"]}],"mendeley":{"formattedCitation":"(Kufre Etim et al., 2021; Sathiparan &amp; De Zoysa, 2018; Umoh &amp; Ujene, 2015)","plainTextFormattedCitation":"(Kufre Etim et al., 2021; Sathiparan &amp; De Zoysa, 2018; Umoh &amp; Ujene, 2015)","previouslyFormattedCitation":"(Kufre Etim et al., 2021; Sathiparan &amp; De Zoysa, 2018; Umoh &amp; Ujene, 2015)"},"properties":{"noteIndex":0},"schema":"https://github.com/citation-style-language/schema/raw/master/csl-citation.json"}</w:instrText>
      </w:r>
      <w:r w:rsidRPr="00BB298E">
        <w:rPr>
          <w:rFonts w:ascii="Times New Roman" w:hAnsi="Times New Roman" w:cs="Times New Roman"/>
          <w:sz w:val="20"/>
          <w:szCs w:val="20"/>
        </w:rPr>
        <w:fldChar w:fldCharType="separate"/>
      </w:r>
      <w:r w:rsidRPr="00BB298E">
        <w:rPr>
          <w:rFonts w:ascii="Times New Roman" w:hAnsi="Times New Roman" w:cs="Times New Roman"/>
          <w:noProof/>
          <w:sz w:val="20"/>
          <w:szCs w:val="20"/>
        </w:rPr>
        <w:t>(Kufre</w:t>
      </w:r>
      <w:r>
        <w:rPr>
          <w:rFonts w:ascii="Times New Roman" w:hAnsi="Times New Roman" w:cs="Times New Roman"/>
          <w:noProof/>
          <w:sz w:val="20"/>
          <w:szCs w:val="20"/>
        </w:rPr>
        <w:t xml:space="preserve"> Etim et al., 2021; Sathiparan and De Zoysa, 2018; Umoh and</w:t>
      </w:r>
      <w:r w:rsidRPr="00BB298E">
        <w:rPr>
          <w:rFonts w:ascii="Times New Roman" w:hAnsi="Times New Roman" w:cs="Times New Roman"/>
          <w:noProof/>
          <w:sz w:val="20"/>
          <w:szCs w:val="20"/>
        </w:rPr>
        <w:t xml:space="preserve"> Ujene, 2015)</w:t>
      </w:r>
      <w:r w:rsidRPr="00BB298E">
        <w:rPr>
          <w:rFonts w:ascii="Times New Roman" w:hAnsi="Times New Roman" w:cs="Times New Roman"/>
          <w:sz w:val="20"/>
          <w:szCs w:val="20"/>
        </w:rPr>
        <w:fldChar w:fldCharType="end"/>
      </w:r>
    </w:p>
    <w:p w14:paraId="2A9495A1" w14:textId="77777777" w:rsidR="00406535" w:rsidRPr="00BB298E" w:rsidRDefault="00406535" w:rsidP="00406535">
      <w:pPr>
        <w:spacing w:line="240" w:lineRule="auto"/>
        <w:jc w:val="both"/>
        <w:rPr>
          <w:rFonts w:ascii="Times New Roman" w:hAnsi="Times New Roman" w:cs="Times New Roman"/>
          <w:sz w:val="20"/>
          <w:szCs w:val="20"/>
        </w:rPr>
      </w:pPr>
      <w:r w:rsidRPr="00D81191">
        <w:rPr>
          <w:rFonts w:ascii="Times New Roman" w:hAnsi="Times New Roman" w:cs="Times New Roman"/>
          <w:b/>
          <w:sz w:val="20"/>
          <w:szCs w:val="20"/>
        </w:rPr>
        <w:t>Table 2</w:t>
      </w:r>
      <w:r w:rsidRPr="00BB298E">
        <w:rPr>
          <w:rFonts w:ascii="Times New Roman" w:hAnsi="Times New Roman" w:cs="Times New Roman"/>
          <w:sz w:val="20"/>
          <w:szCs w:val="20"/>
        </w:rPr>
        <w:t xml:space="preserve"> Physical properties of the constituents</w:t>
      </w:r>
    </w:p>
    <w:tbl>
      <w:tblPr>
        <w:tblStyle w:val="TableGrid"/>
        <w:tblW w:w="9629" w:type="dxa"/>
        <w:tblInd w:w="10" w:type="dxa"/>
        <w:tblLook w:val="04A0" w:firstRow="1" w:lastRow="0" w:firstColumn="1" w:lastColumn="0" w:noHBand="0" w:noVBand="1"/>
      </w:tblPr>
      <w:tblGrid>
        <w:gridCol w:w="2742"/>
        <w:gridCol w:w="6887"/>
      </w:tblGrid>
      <w:tr w:rsidR="00406535" w:rsidRPr="00BB298E" w14:paraId="06960399" w14:textId="77777777" w:rsidTr="007B42D9">
        <w:trPr>
          <w:trHeight w:val="223"/>
        </w:trPr>
        <w:tc>
          <w:tcPr>
            <w:tcW w:w="2742" w:type="dxa"/>
            <w:vMerge w:val="restart"/>
            <w:tcBorders>
              <w:left w:val="nil"/>
              <w:right w:val="nil"/>
            </w:tcBorders>
          </w:tcPr>
          <w:p w14:paraId="213CFEB5"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 xml:space="preserve">Properties   </w:t>
            </w:r>
          </w:p>
        </w:tc>
        <w:tc>
          <w:tcPr>
            <w:tcW w:w="6887" w:type="dxa"/>
            <w:tcBorders>
              <w:left w:val="nil"/>
              <w:right w:val="nil"/>
            </w:tcBorders>
          </w:tcPr>
          <w:p w14:paraId="3C042897" w14:textId="77777777" w:rsidR="00406535" w:rsidRPr="00BB298E" w:rsidRDefault="00406535" w:rsidP="007B42D9">
            <w:pPr>
              <w:ind w:left="1255"/>
              <w:jc w:val="both"/>
              <w:rPr>
                <w:rFonts w:ascii="Times New Roman" w:hAnsi="Times New Roman" w:cs="Times New Roman"/>
                <w:sz w:val="20"/>
                <w:szCs w:val="20"/>
              </w:rPr>
            </w:pPr>
            <w:r w:rsidRPr="00BB298E">
              <w:rPr>
                <w:rFonts w:ascii="Times New Roman" w:hAnsi="Times New Roman" w:cs="Times New Roman"/>
                <w:sz w:val="20"/>
                <w:szCs w:val="20"/>
              </w:rPr>
              <w:t xml:space="preserve">           Constituents</w:t>
            </w:r>
          </w:p>
        </w:tc>
      </w:tr>
      <w:tr w:rsidR="00406535" w:rsidRPr="00BB298E" w14:paraId="61801B82" w14:textId="77777777" w:rsidTr="007B42D9">
        <w:trPr>
          <w:trHeight w:val="240"/>
        </w:trPr>
        <w:tc>
          <w:tcPr>
            <w:tcW w:w="2742" w:type="dxa"/>
            <w:vMerge/>
            <w:tcBorders>
              <w:left w:val="nil"/>
              <w:right w:val="nil"/>
            </w:tcBorders>
          </w:tcPr>
          <w:p w14:paraId="4414B6C9" w14:textId="77777777" w:rsidR="00406535" w:rsidRPr="00BB298E" w:rsidRDefault="00406535" w:rsidP="007B42D9">
            <w:pPr>
              <w:jc w:val="both"/>
              <w:rPr>
                <w:rFonts w:ascii="Times New Roman" w:hAnsi="Times New Roman" w:cs="Times New Roman"/>
                <w:sz w:val="20"/>
                <w:szCs w:val="20"/>
              </w:rPr>
            </w:pPr>
          </w:p>
        </w:tc>
        <w:tc>
          <w:tcPr>
            <w:tcW w:w="6887" w:type="dxa"/>
            <w:tcBorders>
              <w:left w:val="nil"/>
              <w:right w:val="nil"/>
            </w:tcBorders>
          </w:tcPr>
          <w:p w14:paraId="69B50B51"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 xml:space="preserve">OPC     Periwinkle shell ash    Quarry dust     River sand       Granite            </w:t>
            </w:r>
          </w:p>
        </w:tc>
      </w:tr>
      <w:tr w:rsidR="00406535" w:rsidRPr="00BB298E" w14:paraId="6A6AEB4B" w14:textId="77777777" w:rsidTr="007B42D9">
        <w:tc>
          <w:tcPr>
            <w:tcW w:w="9629" w:type="dxa"/>
            <w:gridSpan w:val="2"/>
            <w:tcBorders>
              <w:left w:val="nil"/>
              <w:right w:val="nil"/>
            </w:tcBorders>
          </w:tcPr>
          <w:p w14:paraId="0AAC3873"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Specific gravity                    3.13                 2.00                      3.21                 2.60               2.60</w:t>
            </w:r>
          </w:p>
          <w:p w14:paraId="0BFE4EAD"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Bulk density (kg/m</w:t>
            </w:r>
            <w:r w:rsidRPr="00BB298E">
              <w:rPr>
                <w:rFonts w:ascii="Times New Roman" w:hAnsi="Times New Roman" w:cs="Times New Roman"/>
                <w:sz w:val="20"/>
                <w:szCs w:val="20"/>
                <w:vertAlign w:val="superscript"/>
              </w:rPr>
              <w:t>3</w:t>
            </w:r>
            <w:r w:rsidRPr="00BB298E">
              <w:rPr>
                <w:rFonts w:ascii="Times New Roman" w:hAnsi="Times New Roman" w:cs="Times New Roman"/>
                <w:sz w:val="20"/>
                <w:szCs w:val="20"/>
              </w:rPr>
              <w:t xml:space="preserve">)            830                 727                       2147                1397              2711  </w:t>
            </w:r>
          </w:p>
          <w:p w14:paraId="361CED7C"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Particle size (mm)                5.00                4.50                      7.50                  6.80              20.00</w:t>
            </w:r>
          </w:p>
          <w:p w14:paraId="0ECF6F17" w14:textId="77777777" w:rsidR="00406535" w:rsidRPr="00BB298E" w:rsidRDefault="00406535" w:rsidP="007B42D9">
            <w:pPr>
              <w:jc w:val="both"/>
              <w:rPr>
                <w:rFonts w:ascii="Times New Roman" w:hAnsi="Times New Roman" w:cs="Times New Roman"/>
                <w:sz w:val="20"/>
                <w:szCs w:val="20"/>
              </w:rPr>
            </w:pPr>
            <w:r w:rsidRPr="00BB298E">
              <w:rPr>
                <w:rFonts w:ascii="Times New Roman" w:hAnsi="Times New Roman" w:cs="Times New Roman"/>
                <w:sz w:val="20"/>
                <w:szCs w:val="20"/>
              </w:rPr>
              <w:t>Fineness modulus (%)          2.5                  2.62                      2.82                  2.50              6.78</w:t>
            </w:r>
          </w:p>
          <w:p w14:paraId="46E56BF2" w14:textId="77777777" w:rsidR="00406535" w:rsidRPr="00BB298E" w:rsidRDefault="00406535" w:rsidP="007B42D9">
            <w:pPr>
              <w:ind w:left="7537" w:hanging="7537"/>
              <w:jc w:val="both"/>
              <w:rPr>
                <w:rFonts w:ascii="Times New Roman" w:hAnsi="Times New Roman" w:cs="Times New Roman"/>
                <w:sz w:val="20"/>
                <w:szCs w:val="20"/>
              </w:rPr>
            </w:pPr>
            <w:r w:rsidRPr="00BB298E">
              <w:rPr>
                <w:rFonts w:ascii="Times New Roman" w:hAnsi="Times New Roman" w:cs="Times New Roman"/>
                <w:sz w:val="20"/>
                <w:szCs w:val="20"/>
              </w:rPr>
              <w:t xml:space="preserve">Colour                                     greenish-grey    white-ash           grey           pale green      grey/white/black        </w:t>
            </w:r>
          </w:p>
        </w:tc>
      </w:tr>
    </w:tbl>
    <w:p w14:paraId="22D187EC" w14:textId="77777777" w:rsidR="00406535" w:rsidRPr="00BB298E" w:rsidRDefault="00406535" w:rsidP="00406535">
      <w:pPr>
        <w:spacing w:line="240" w:lineRule="auto"/>
        <w:rPr>
          <w:rFonts w:ascii="Times New Roman" w:hAnsi="Times New Roman" w:cs="Times New Roman"/>
          <w:sz w:val="20"/>
          <w:szCs w:val="20"/>
        </w:rPr>
      </w:pPr>
    </w:p>
    <w:p w14:paraId="5B20CA7A" w14:textId="77777777" w:rsidR="00406535" w:rsidRPr="00BB298E" w:rsidRDefault="00406535" w:rsidP="00406535">
      <w:pPr>
        <w:spacing w:line="240" w:lineRule="auto"/>
        <w:rPr>
          <w:rFonts w:ascii="Times New Roman" w:hAnsi="Times New Roman" w:cs="Times New Roman"/>
          <w:sz w:val="20"/>
          <w:szCs w:val="20"/>
        </w:rPr>
      </w:pPr>
      <w:r w:rsidRPr="00D81191">
        <w:rPr>
          <w:rFonts w:ascii="Times New Roman" w:hAnsi="Times New Roman" w:cs="Times New Roman"/>
          <w:b/>
          <w:sz w:val="20"/>
          <w:szCs w:val="20"/>
        </w:rPr>
        <w:t>Table 3</w:t>
      </w:r>
      <w:r w:rsidRPr="00BB298E">
        <w:rPr>
          <w:rFonts w:ascii="Times New Roman" w:hAnsi="Times New Roman" w:cs="Times New Roman"/>
          <w:sz w:val="20"/>
          <w:szCs w:val="20"/>
        </w:rPr>
        <w:t xml:space="preserve"> Concrete mix designations and constituent percentages</w:t>
      </w:r>
    </w:p>
    <w:tbl>
      <w:tblPr>
        <w:tblStyle w:val="TableGrid"/>
        <w:tblW w:w="0" w:type="auto"/>
        <w:tblLook w:val="04A0" w:firstRow="1" w:lastRow="0" w:firstColumn="1" w:lastColumn="0" w:noHBand="0" w:noVBand="1"/>
      </w:tblPr>
      <w:tblGrid>
        <w:gridCol w:w="8339"/>
      </w:tblGrid>
      <w:tr w:rsidR="00406535" w:rsidRPr="00BB298E" w14:paraId="10F21528" w14:textId="77777777" w:rsidTr="007B42D9">
        <w:trPr>
          <w:trHeight w:val="212"/>
        </w:trPr>
        <w:tc>
          <w:tcPr>
            <w:tcW w:w="8339" w:type="dxa"/>
            <w:tcBorders>
              <w:top w:val="single" w:sz="4" w:space="0" w:color="auto"/>
              <w:left w:val="nil"/>
              <w:bottom w:val="single" w:sz="4" w:space="0" w:color="auto"/>
              <w:right w:val="nil"/>
            </w:tcBorders>
            <w:hideMark/>
          </w:tcPr>
          <w:p w14:paraId="1404A31C" w14:textId="77777777" w:rsidR="00406535" w:rsidRPr="00BB298E" w:rsidRDefault="00406535" w:rsidP="007B42D9">
            <w:pPr>
              <w:rPr>
                <w:rFonts w:ascii="Times New Roman" w:hAnsi="Times New Roman" w:cs="Times New Roman"/>
                <w:sz w:val="20"/>
                <w:szCs w:val="20"/>
                <w:lang w:val="en-US"/>
              </w:rPr>
            </w:pPr>
            <w:r w:rsidRPr="00BB298E">
              <w:rPr>
                <w:rFonts w:ascii="Times New Roman" w:hAnsi="Times New Roman" w:cs="Times New Roman"/>
                <w:sz w:val="20"/>
                <w:szCs w:val="20"/>
                <w:lang w:val="en-US"/>
              </w:rPr>
              <w:t>Concrete mix designations                       Constituent percentages</w:t>
            </w:r>
          </w:p>
        </w:tc>
      </w:tr>
      <w:tr w:rsidR="00406535" w:rsidRPr="00BB298E" w14:paraId="67BFD98E" w14:textId="77777777" w:rsidTr="007B42D9">
        <w:trPr>
          <w:trHeight w:val="1797"/>
        </w:trPr>
        <w:tc>
          <w:tcPr>
            <w:tcW w:w="8339" w:type="dxa"/>
            <w:tcBorders>
              <w:top w:val="single" w:sz="4" w:space="0" w:color="auto"/>
              <w:left w:val="nil"/>
              <w:bottom w:val="single" w:sz="4" w:space="0" w:color="auto"/>
              <w:right w:val="nil"/>
            </w:tcBorders>
            <w:hideMark/>
          </w:tcPr>
          <w:p w14:paraId="32226AE9" w14:textId="77777777" w:rsidR="00406535" w:rsidRPr="00BB298E" w:rsidRDefault="00406535" w:rsidP="007B42D9">
            <w:pPr>
              <w:rPr>
                <w:rFonts w:ascii="Times New Roman" w:hAnsi="Times New Roman" w:cs="Times New Roman"/>
                <w:bCs/>
                <w:sz w:val="20"/>
                <w:szCs w:val="20"/>
                <w:lang w:val="en-US"/>
              </w:rPr>
            </w:pPr>
            <w:r w:rsidRPr="00BB298E">
              <w:rPr>
                <w:rFonts w:ascii="Times New Roman" w:hAnsi="Times New Roman" w:cs="Times New Roman"/>
                <w:sz w:val="20"/>
                <w:szCs w:val="20"/>
                <w:lang w:val="en-US"/>
              </w:rPr>
              <w:t xml:space="preserve">A (Control)                                  </w:t>
            </w:r>
            <w:r w:rsidRPr="00BB298E">
              <w:rPr>
                <w:rFonts w:ascii="Times New Roman" w:hAnsi="Times New Roman" w:cs="Times New Roman"/>
                <w:bCs/>
                <w:sz w:val="20"/>
                <w:szCs w:val="20"/>
                <w:lang w:val="en-US"/>
              </w:rPr>
              <w:t>0% PSA and QD; 100% Cement, Sand and Granite</w:t>
            </w:r>
          </w:p>
          <w:p w14:paraId="6D6C3C24" w14:textId="77777777" w:rsidR="00406535" w:rsidRPr="00BB298E" w:rsidRDefault="00406535" w:rsidP="007B42D9">
            <w:pPr>
              <w:rPr>
                <w:rFonts w:ascii="Times New Roman" w:hAnsi="Times New Roman" w:cs="Times New Roman"/>
                <w:bCs/>
                <w:sz w:val="20"/>
                <w:szCs w:val="20"/>
                <w:lang w:val="en-US"/>
              </w:rPr>
            </w:pPr>
            <w:r w:rsidRPr="00BB298E">
              <w:rPr>
                <w:rFonts w:ascii="Times New Roman" w:hAnsi="Times New Roman" w:cs="Times New Roman"/>
                <w:bCs/>
                <w:sz w:val="20"/>
                <w:szCs w:val="20"/>
                <w:lang w:val="en-US"/>
              </w:rPr>
              <w:t>B                                                  5% PSA and QD; 95% Cement, Sand and Granite</w:t>
            </w:r>
          </w:p>
          <w:p w14:paraId="6C4C2690" w14:textId="77777777" w:rsidR="00406535" w:rsidRPr="00BB298E" w:rsidRDefault="00406535" w:rsidP="007B42D9">
            <w:pPr>
              <w:rPr>
                <w:rFonts w:ascii="Times New Roman" w:hAnsi="Times New Roman" w:cs="Times New Roman"/>
                <w:bCs/>
                <w:sz w:val="20"/>
                <w:szCs w:val="20"/>
                <w:lang w:val="en-US"/>
              </w:rPr>
            </w:pPr>
            <w:r w:rsidRPr="00BB298E">
              <w:rPr>
                <w:rFonts w:ascii="Times New Roman" w:hAnsi="Times New Roman" w:cs="Times New Roman"/>
                <w:bCs/>
                <w:sz w:val="20"/>
                <w:szCs w:val="20"/>
                <w:lang w:val="en-US"/>
              </w:rPr>
              <w:t>C                                                  10% PSA and QD; 90% Cement, Sand and Granite</w:t>
            </w:r>
          </w:p>
          <w:p w14:paraId="40705B52" w14:textId="77777777" w:rsidR="00406535" w:rsidRPr="00BB298E" w:rsidRDefault="00406535" w:rsidP="007B42D9">
            <w:pPr>
              <w:rPr>
                <w:rFonts w:ascii="Times New Roman" w:hAnsi="Times New Roman" w:cs="Times New Roman"/>
                <w:bCs/>
                <w:sz w:val="20"/>
                <w:szCs w:val="20"/>
                <w:lang w:val="en-US"/>
              </w:rPr>
            </w:pPr>
            <w:r w:rsidRPr="00BB298E">
              <w:rPr>
                <w:rFonts w:ascii="Times New Roman" w:hAnsi="Times New Roman" w:cs="Times New Roman"/>
                <w:bCs/>
                <w:sz w:val="20"/>
                <w:szCs w:val="20"/>
                <w:lang w:val="en-US"/>
              </w:rPr>
              <w:t>D                                                  15% PSA and QD; 85% Cement, Sand and Granite</w:t>
            </w:r>
          </w:p>
          <w:p w14:paraId="316C401E" w14:textId="77777777" w:rsidR="00406535" w:rsidRPr="00BB298E" w:rsidRDefault="00406535" w:rsidP="007B42D9">
            <w:pPr>
              <w:rPr>
                <w:rFonts w:ascii="Times New Roman" w:hAnsi="Times New Roman" w:cs="Times New Roman"/>
                <w:bCs/>
                <w:sz w:val="20"/>
                <w:szCs w:val="20"/>
                <w:lang w:val="en-US"/>
              </w:rPr>
            </w:pPr>
            <w:r w:rsidRPr="00BB298E">
              <w:rPr>
                <w:rFonts w:ascii="Times New Roman" w:hAnsi="Times New Roman" w:cs="Times New Roman"/>
                <w:bCs/>
                <w:sz w:val="20"/>
                <w:szCs w:val="20"/>
                <w:lang w:val="en-US"/>
              </w:rPr>
              <w:t>E                                                   20% PSA and Q; 80% Cement, Sand and Granite</w:t>
            </w:r>
          </w:p>
          <w:p w14:paraId="20E484E2" w14:textId="77777777" w:rsidR="00406535" w:rsidRPr="00BB298E" w:rsidRDefault="00406535" w:rsidP="007B42D9">
            <w:pPr>
              <w:rPr>
                <w:rFonts w:ascii="Times New Roman" w:hAnsi="Times New Roman" w:cs="Times New Roman"/>
                <w:bCs/>
                <w:sz w:val="20"/>
                <w:szCs w:val="20"/>
                <w:lang w:val="en-US"/>
              </w:rPr>
            </w:pPr>
            <w:r w:rsidRPr="00BB298E">
              <w:rPr>
                <w:rFonts w:ascii="Times New Roman" w:hAnsi="Times New Roman" w:cs="Times New Roman"/>
                <w:bCs/>
                <w:sz w:val="20"/>
                <w:szCs w:val="20"/>
                <w:lang w:val="en-US"/>
              </w:rPr>
              <w:t>F                                                   100% PSA, Sand and Granite; 0% QD and Cement</w:t>
            </w:r>
          </w:p>
          <w:p w14:paraId="79CA9E9A" w14:textId="77777777" w:rsidR="00406535" w:rsidRPr="00BB298E" w:rsidRDefault="00406535" w:rsidP="007B42D9">
            <w:pPr>
              <w:rPr>
                <w:rFonts w:ascii="Times New Roman" w:hAnsi="Times New Roman" w:cs="Times New Roman"/>
                <w:bCs/>
                <w:sz w:val="20"/>
                <w:szCs w:val="20"/>
                <w:lang w:val="en-US"/>
              </w:rPr>
            </w:pPr>
            <w:r w:rsidRPr="00BB298E">
              <w:rPr>
                <w:rFonts w:ascii="Times New Roman" w:hAnsi="Times New Roman" w:cs="Times New Roman"/>
                <w:bCs/>
                <w:sz w:val="20"/>
                <w:szCs w:val="20"/>
                <w:lang w:val="en-US"/>
              </w:rPr>
              <w:t>G                                                  100% Cement, QD and Granite; 0% PSA and Sand</w:t>
            </w:r>
          </w:p>
          <w:p w14:paraId="6D33653D" w14:textId="77777777" w:rsidR="00406535" w:rsidRPr="00BB298E" w:rsidRDefault="00406535" w:rsidP="007B42D9">
            <w:pPr>
              <w:rPr>
                <w:rFonts w:ascii="Times New Roman" w:hAnsi="Times New Roman" w:cs="Times New Roman"/>
                <w:sz w:val="20"/>
                <w:szCs w:val="20"/>
                <w:lang w:val="en-US"/>
              </w:rPr>
            </w:pPr>
            <w:r w:rsidRPr="00BB298E">
              <w:rPr>
                <w:rFonts w:ascii="Times New Roman" w:hAnsi="Times New Roman" w:cs="Times New Roman"/>
                <w:bCs/>
                <w:sz w:val="20"/>
                <w:szCs w:val="20"/>
                <w:lang w:val="en-US"/>
              </w:rPr>
              <w:t xml:space="preserve">H                                                  100% PSA, QD and Granite; 0% Cement and Sand </w:t>
            </w:r>
          </w:p>
        </w:tc>
      </w:tr>
    </w:tbl>
    <w:p w14:paraId="460A1B4A" w14:textId="77777777" w:rsidR="00406535" w:rsidRPr="00BB298E" w:rsidRDefault="00406535" w:rsidP="00406535">
      <w:pPr>
        <w:spacing w:line="240" w:lineRule="auto"/>
        <w:rPr>
          <w:rFonts w:ascii="Times New Roman" w:hAnsi="Times New Roman" w:cs="Times New Roman"/>
          <w:sz w:val="20"/>
          <w:szCs w:val="20"/>
        </w:rPr>
      </w:pPr>
    </w:p>
    <w:p w14:paraId="0CC5C5A5" w14:textId="77777777" w:rsidR="00406535" w:rsidRPr="00BB298E" w:rsidRDefault="00406535" w:rsidP="00406535">
      <w:pPr>
        <w:rPr>
          <w:rFonts w:ascii="Times New Roman" w:hAnsi="Times New Roman" w:cs="Times New Roman"/>
          <w:sz w:val="20"/>
          <w:szCs w:val="20"/>
        </w:rPr>
      </w:pPr>
      <w:r w:rsidRPr="00D81191">
        <w:rPr>
          <w:rFonts w:ascii="Times New Roman" w:hAnsi="Times New Roman" w:cs="Times New Roman"/>
          <w:b/>
          <w:sz w:val="20"/>
          <w:szCs w:val="20"/>
        </w:rPr>
        <w:t>Table 4</w:t>
      </w:r>
      <w:r w:rsidRPr="00BB298E">
        <w:rPr>
          <w:rFonts w:ascii="Times New Roman" w:hAnsi="Times New Roman" w:cs="Times New Roman"/>
          <w:sz w:val="20"/>
          <w:szCs w:val="20"/>
        </w:rPr>
        <w:t xml:space="preserve"> Amounts of concrete constituents used</w:t>
      </w:r>
    </w:p>
    <w:tbl>
      <w:tblPr>
        <w:tblStyle w:val="TableGrid"/>
        <w:tblW w:w="9709" w:type="dxa"/>
        <w:tblInd w:w="10" w:type="dxa"/>
        <w:tblLook w:val="04A0" w:firstRow="1" w:lastRow="0" w:firstColumn="1" w:lastColumn="0" w:noHBand="0" w:noVBand="1"/>
      </w:tblPr>
      <w:tblGrid>
        <w:gridCol w:w="1719"/>
        <w:gridCol w:w="4505"/>
        <w:gridCol w:w="2147"/>
        <w:gridCol w:w="1338"/>
      </w:tblGrid>
      <w:tr w:rsidR="00406535" w:rsidRPr="00BB298E" w14:paraId="632859CC" w14:textId="77777777" w:rsidTr="007B42D9">
        <w:trPr>
          <w:trHeight w:val="507"/>
        </w:trPr>
        <w:tc>
          <w:tcPr>
            <w:tcW w:w="1734" w:type="dxa"/>
            <w:vMerge w:val="restart"/>
            <w:tcBorders>
              <w:top w:val="single" w:sz="4" w:space="0" w:color="auto"/>
              <w:left w:val="nil"/>
              <w:bottom w:val="single" w:sz="4" w:space="0" w:color="auto"/>
              <w:right w:val="nil"/>
            </w:tcBorders>
            <w:hideMark/>
          </w:tcPr>
          <w:p w14:paraId="1A3C03AA"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Mix designation</w:t>
            </w:r>
          </w:p>
          <w:p w14:paraId="0B65577E"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 xml:space="preserve">                                                                           </w:t>
            </w:r>
          </w:p>
        </w:tc>
        <w:tc>
          <w:tcPr>
            <w:tcW w:w="4596" w:type="dxa"/>
            <w:tcBorders>
              <w:top w:val="single" w:sz="4" w:space="0" w:color="auto"/>
              <w:left w:val="nil"/>
              <w:bottom w:val="single" w:sz="4" w:space="0" w:color="auto"/>
              <w:right w:val="nil"/>
            </w:tcBorders>
          </w:tcPr>
          <w:p w14:paraId="49DA423B"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 xml:space="preserve">Cement      PSA          Sand            QD      </w:t>
            </w:r>
          </w:p>
          <w:p w14:paraId="552BB9E2" w14:textId="77777777" w:rsidR="00406535" w:rsidRPr="00BB298E" w:rsidRDefault="00406535" w:rsidP="007B42D9">
            <w:pPr>
              <w:rPr>
                <w:rFonts w:ascii="Times New Roman" w:hAnsi="Times New Roman" w:cs="Times New Roman"/>
                <w:sz w:val="20"/>
                <w:szCs w:val="20"/>
              </w:rPr>
            </w:pPr>
          </w:p>
        </w:tc>
        <w:tc>
          <w:tcPr>
            <w:tcW w:w="2149" w:type="dxa"/>
            <w:tcBorders>
              <w:top w:val="single" w:sz="4" w:space="0" w:color="auto"/>
              <w:left w:val="nil"/>
              <w:right w:val="nil"/>
            </w:tcBorders>
          </w:tcPr>
          <w:p w14:paraId="0986F4E3" w14:textId="77777777" w:rsidR="00406535" w:rsidRPr="00BB298E" w:rsidRDefault="00406535" w:rsidP="007B42D9">
            <w:pPr>
              <w:ind w:left="1240" w:hanging="1240"/>
              <w:rPr>
                <w:rFonts w:ascii="Times New Roman" w:hAnsi="Times New Roman" w:cs="Times New Roman"/>
                <w:sz w:val="20"/>
                <w:szCs w:val="20"/>
              </w:rPr>
            </w:pPr>
            <w:r w:rsidRPr="00BB298E">
              <w:rPr>
                <w:rFonts w:ascii="Times New Roman" w:hAnsi="Times New Roman" w:cs="Times New Roman"/>
                <w:sz w:val="20"/>
                <w:szCs w:val="20"/>
              </w:rPr>
              <w:t xml:space="preserve">  Granite       Water      </w:t>
            </w:r>
          </w:p>
          <w:p w14:paraId="196D5D84" w14:textId="77777777" w:rsidR="00406535" w:rsidRPr="00BB298E" w:rsidRDefault="00406535" w:rsidP="007B42D9">
            <w:pPr>
              <w:rPr>
                <w:rFonts w:ascii="Times New Roman" w:hAnsi="Times New Roman" w:cs="Times New Roman"/>
                <w:sz w:val="20"/>
                <w:szCs w:val="20"/>
              </w:rPr>
            </w:pPr>
          </w:p>
        </w:tc>
        <w:tc>
          <w:tcPr>
            <w:tcW w:w="1230" w:type="dxa"/>
            <w:vMerge w:val="restart"/>
            <w:tcBorders>
              <w:top w:val="single" w:sz="4" w:space="0" w:color="auto"/>
              <w:left w:val="nil"/>
              <w:right w:val="nil"/>
            </w:tcBorders>
          </w:tcPr>
          <w:p w14:paraId="13A95B83"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Water/cement ratio</w:t>
            </w:r>
          </w:p>
        </w:tc>
      </w:tr>
      <w:tr w:rsidR="00406535" w:rsidRPr="00BB298E" w14:paraId="6914266E" w14:textId="77777777" w:rsidTr="007B42D9">
        <w:trPr>
          <w:trHeight w:val="258"/>
        </w:trPr>
        <w:tc>
          <w:tcPr>
            <w:tcW w:w="0" w:type="auto"/>
            <w:vMerge/>
            <w:tcBorders>
              <w:top w:val="single" w:sz="4" w:space="0" w:color="auto"/>
              <w:left w:val="nil"/>
              <w:bottom w:val="single" w:sz="4" w:space="0" w:color="auto"/>
              <w:right w:val="nil"/>
            </w:tcBorders>
            <w:vAlign w:val="center"/>
            <w:hideMark/>
          </w:tcPr>
          <w:p w14:paraId="1E09E391" w14:textId="77777777" w:rsidR="00406535" w:rsidRPr="00BB298E" w:rsidRDefault="00406535" w:rsidP="007B42D9">
            <w:pPr>
              <w:rPr>
                <w:rFonts w:ascii="Times New Roman" w:eastAsia="Calibri" w:hAnsi="Times New Roman" w:cs="Times New Roman"/>
                <w:sz w:val="20"/>
                <w:szCs w:val="20"/>
                <w:lang w:val="en-US"/>
              </w:rPr>
            </w:pPr>
          </w:p>
        </w:tc>
        <w:tc>
          <w:tcPr>
            <w:tcW w:w="4596" w:type="dxa"/>
            <w:tcBorders>
              <w:top w:val="single" w:sz="4" w:space="0" w:color="auto"/>
              <w:left w:val="nil"/>
              <w:bottom w:val="single" w:sz="4" w:space="0" w:color="auto"/>
              <w:right w:val="nil"/>
            </w:tcBorders>
            <w:hideMark/>
          </w:tcPr>
          <w:p w14:paraId="7C6C0033"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 xml:space="preserve">                                       in  (kg/m</w:t>
            </w:r>
            <w:r w:rsidRPr="00BB298E">
              <w:rPr>
                <w:rFonts w:ascii="Times New Roman" w:hAnsi="Times New Roman" w:cs="Times New Roman"/>
                <w:sz w:val="20"/>
                <w:szCs w:val="20"/>
                <w:vertAlign w:val="superscript"/>
              </w:rPr>
              <w:t>3</w:t>
            </w:r>
            <w:r w:rsidRPr="00BB298E">
              <w:rPr>
                <w:rFonts w:ascii="Times New Roman" w:hAnsi="Times New Roman" w:cs="Times New Roman"/>
                <w:sz w:val="20"/>
                <w:szCs w:val="20"/>
              </w:rPr>
              <w:t>)</w:t>
            </w:r>
          </w:p>
        </w:tc>
        <w:tc>
          <w:tcPr>
            <w:tcW w:w="2149" w:type="dxa"/>
            <w:tcBorders>
              <w:left w:val="nil"/>
              <w:bottom w:val="single" w:sz="4" w:space="0" w:color="auto"/>
              <w:right w:val="nil"/>
            </w:tcBorders>
            <w:vAlign w:val="center"/>
            <w:hideMark/>
          </w:tcPr>
          <w:p w14:paraId="56508C27" w14:textId="77777777" w:rsidR="00406535" w:rsidRPr="00BB298E" w:rsidRDefault="00406535" w:rsidP="007B42D9">
            <w:pPr>
              <w:rPr>
                <w:rFonts w:ascii="Times New Roman" w:eastAsia="Calibri" w:hAnsi="Times New Roman" w:cs="Times New Roman"/>
                <w:sz w:val="20"/>
                <w:szCs w:val="20"/>
                <w:lang w:val="en-US"/>
              </w:rPr>
            </w:pPr>
          </w:p>
        </w:tc>
        <w:tc>
          <w:tcPr>
            <w:tcW w:w="1230" w:type="dxa"/>
            <w:vMerge/>
            <w:tcBorders>
              <w:left w:val="nil"/>
              <w:bottom w:val="single" w:sz="4" w:space="0" w:color="auto"/>
              <w:right w:val="nil"/>
            </w:tcBorders>
            <w:vAlign w:val="center"/>
          </w:tcPr>
          <w:p w14:paraId="6B1D9619" w14:textId="77777777" w:rsidR="00406535" w:rsidRPr="00BB298E" w:rsidRDefault="00406535" w:rsidP="007B42D9">
            <w:pPr>
              <w:rPr>
                <w:rFonts w:ascii="Times New Roman" w:eastAsia="Calibri" w:hAnsi="Times New Roman" w:cs="Times New Roman"/>
                <w:sz w:val="20"/>
                <w:szCs w:val="20"/>
                <w:lang w:val="en-US"/>
              </w:rPr>
            </w:pPr>
          </w:p>
        </w:tc>
      </w:tr>
      <w:tr w:rsidR="00406535" w:rsidRPr="00BB298E" w14:paraId="2FAE9BB3" w14:textId="77777777" w:rsidTr="007B42D9">
        <w:trPr>
          <w:trHeight w:val="317"/>
        </w:trPr>
        <w:tc>
          <w:tcPr>
            <w:tcW w:w="9709" w:type="dxa"/>
            <w:gridSpan w:val="4"/>
            <w:tcBorders>
              <w:top w:val="single" w:sz="4" w:space="0" w:color="auto"/>
              <w:left w:val="nil"/>
              <w:bottom w:val="single" w:sz="4" w:space="0" w:color="auto"/>
              <w:right w:val="nil"/>
            </w:tcBorders>
            <w:hideMark/>
          </w:tcPr>
          <w:p w14:paraId="451332C9"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A                            6.8970      nil              13.8185        nil            27.6276      4.1382            0.6</w:t>
            </w:r>
          </w:p>
          <w:p w14:paraId="0C902748"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B                            6.5520      0.3450        13.1276      0.6909       27.6276      4.1382            0.6</w:t>
            </w:r>
          </w:p>
          <w:p w14:paraId="113FBBF7"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C                            6.2073      0.6897        12.4367      1.3819       27.6276      4.1382            0.6</w:t>
            </w:r>
          </w:p>
          <w:p w14:paraId="551ABF28"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D                            5.8620     1.0350         11.7455      2.0730       27.6276      4.1382            0.6</w:t>
            </w:r>
          </w:p>
          <w:p w14:paraId="7E2445DB"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E                            5.5180     1.3790         11.0548       2.7637      27.6276      4.1382            0.6</w:t>
            </w:r>
          </w:p>
          <w:p w14:paraId="5098EB14"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F                             nil           6.8970         13.8185       nil             27.6276      4.1382            0.6</w:t>
            </w:r>
          </w:p>
          <w:p w14:paraId="157F364F"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G                            6.8970     nil                 nil              13.8185     27.6276     4.1382            0.6</w:t>
            </w:r>
          </w:p>
          <w:p w14:paraId="4C533895"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H                            nil            6.8970          nil              13.8185     27.6276     4.1382            0.6</w:t>
            </w:r>
          </w:p>
        </w:tc>
      </w:tr>
    </w:tbl>
    <w:p w14:paraId="08223EAF" w14:textId="358D11B1" w:rsidR="00406535" w:rsidRPr="00BB298E" w:rsidRDefault="00406535" w:rsidP="00406535">
      <w:pPr>
        <w:spacing w:before="240" w:line="240" w:lineRule="auto"/>
        <w:jc w:val="both"/>
        <w:rPr>
          <w:rFonts w:ascii="Times New Roman" w:hAnsi="Times New Roman" w:cs="Times New Roman"/>
          <w:sz w:val="20"/>
          <w:szCs w:val="20"/>
        </w:rPr>
      </w:pPr>
    </w:p>
    <w:p w14:paraId="24CB7AEB" w14:textId="77777777" w:rsidR="00406535" w:rsidRPr="00BB298E" w:rsidRDefault="00406535" w:rsidP="00406535">
      <w:pPr>
        <w:spacing w:after="0" w:line="240" w:lineRule="auto"/>
        <w:jc w:val="both"/>
        <w:rPr>
          <w:rFonts w:ascii="Times New Roman" w:hAnsi="Times New Roman" w:cs="Times New Roman"/>
          <w:sz w:val="20"/>
          <w:szCs w:val="20"/>
        </w:rPr>
      </w:pPr>
    </w:p>
    <w:p w14:paraId="2D375DD1" w14:textId="77777777" w:rsidR="00406535" w:rsidRPr="00BB298E" w:rsidRDefault="00406535" w:rsidP="00406535">
      <w:pPr>
        <w:spacing w:line="240" w:lineRule="auto"/>
        <w:jc w:val="both"/>
        <w:rPr>
          <w:rFonts w:ascii="Times New Roman" w:hAnsi="Times New Roman" w:cs="Times New Roman"/>
          <w:sz w:val="20"/>
          <w:szCs w:val="20"/>
        </w:rPr>
      </w:pPr>
      <w:r w:rsidRPr="004C716B">
        <w:rPr>
          <w:rFonts w:ascii="Times New Roman" w:hAnsi="Times New Roman" w:cs="Times New Roman"/>
          <w:b/>
          <w:sz w:val="20"/>
          <w:szCs w:val="20"/>
        </w:rPr>
        <w:t>Table 5</w:t>
      </w:r>
      <w:r w:rsidRPr="00BB298E">
        <w:rPr>
          <w:rFonts w:ascii="Times New Roman" w:hAnsi="Times New Roman" w:cs="Times New Roman"/>
          <w:sz w:val="20"/>
          <w:szCs w:val="20"/>
        </w:rPr>
        <w:t xml:space="preserve"> Minerals and associated band groups in PSA </w:t>
      </w:r>
    </w:p>
    <w:tbl>
      <w:tblPr>
        <w:tblStyle w:val="TableGrid"/>
        <w:tblW w:w="0" w:type="auto"/>
        <w:tblLook w:val="04A0" w:firstRow="1" w:lastRow="0" w:firstColumn="1" w:lastColumn="0" w:noHBand="0" w:noVBand="1"/>
      </w:tblPr>
      <w:tblGrid>
        <w:gridCol w:w="7655"/>
      </w:tblGrid>
      <w:tr w:rsidR="00406535" w:rsidRPr="00BB298E" w14:paraId="4A0C8825" w14:textId="77777777" w:rsidTr="007B42D9">
        <w:trPr>
          <w:trHeight w:val="225"/>
        </w:trPr>
        <w:tc>
          <w:tcPr>
            <w:tcW w:w="7655" w:type="dxa"/>
            <w:tcBorders>
              <w:top w:val="single" w:sz="4" w:space="0" w:color="auto"/>
              <w:left w:val="nil"/>
              <w:bottom w:val="single" w:sz="4" w:space="0" w:color="auto"/>
              <w:right w:val="nil"/>
            </w:tcBorders>
            <w:hideMark/>
          </w:tcPr>
          <w:p w14:paraId="4016E99A"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Minerals                         Wave Number (cm</w:t>
            </w:r>
            <w:r w:rsidRPr="00BB298E">
              <w:rPr>
                <w:rFonts w:ascii="Times New Roman" w:hAnsi="Times New Roman" w:cs="Times New Roman"/>
                <w:sz w:val="20"/>
                <w:szCs w:val="20"/>
                <w:vertAlign w:val="superscript"/>
                <w:lang w:val="en-US"/>
              </w:rPr>
              <w:t>-1</w:t>
            </w:r>
            <w:r w:rsidRPr="00BB298E">
              <w:rPr>
                <w:rFonts w:ascii="Times New Roman" w:hAnsi="Times New Roman" w:cs="Times New Roman"/>
                <w:sz w:val="20"/>
                <w:szCs w:val="20"/>
                <w:lang w:val="en-US"/>
              </w:rPr>
              <w:t>)               Band Group</w:t>
            </w:r>
          </w:p>
        </w:tc>
      </w:tr>
      <w:tr w:rsidR="00406535" w:rsidRPr="00BB298E" w14:paraId="411253D0" w14:textId="77777777" w:rsidTr="007B42D9">
        <w:trPr>
          <w:trHeight w:val="231"/>
        </w:trPr>
        <w:tc>
          <w:tcPr>
            <w:tcW w:w="7655" w:type="dxa"/>
            <w:tcBorders>
              <w:top w:val="single" w:sz="4" w:space="0" w:color="auto"/>
              <w:left w:val="nil"/>
              <w:bottom w:val="single" w:sz="4" w:space="0" w:color="auto"/>
              <w:right w:val="nil"/>
            </w:tcBorders>
            <w:hideMark/>
          </w:tcPr>
          <w:p w14:paraId="5DCFCD0E"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Carbon-based                    1394                                  CH and CH</w:t>
            </w:r>
            <w:r w:rsidRPr="00BB298E">
              <w:rPr>
                <w:rFonts w:ascii="Times New Roman" w:hAnsi="Times New Roman" w:cs="Times New Roman"/>
                <w:sz w:val="20"/>
                <w:szCs w:val="20"/>
                <w:vertAlign w:val="subscript"/>
                <w:lang w:val="en-US"/>
              </w:rPr>
              <w:t>2</w:t>
            </w:r>
            <w:r w:rsidRPr="00BB298E">
              <w:rPr>
                <w:rFonts w:ascii="Times New Roman" w:hAnsi="Times New Roman" w:cs="Times New Roman"/>
                <w:sz w:val="20"/>
                <w:szCs w:val="20"/>
                <w:lang w:val="en-US"/>
              </w:rPr>
              <w:t xml:space="preserve"> bendings</w:t>
            </w:r>
          </w:p>
          <w:p w14:paraId="07FA7538"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Vaterite                               872                                     C – O vibrations</w:t>
            </w:r>
          </w:p>
          <w:p w14:paraId="2E6FA4BC"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Vaterite                               711                                     C – O vibrations</w:t>
            </w:r>
          </w:p>
          <w:p w14:paraId="0C0F8D67"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lastRenderedPageBreak/>
              <w:t>Bassanite                             656                                    S – O stretching</w:t>
            </w:r>
          </w:p>
          <w:p w14:paraId="4BB0585F"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Anhydrite                            611                                    S – O stretching</w:t>
            </w:r>
          </w:p>
          <w:p w14:paraId="473B17F1"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Alite (tricalcium silicate)    533                                    Si – O stretching</w:t>
            </w:r>
          </w:p>
        </w:tc>
      </w:tr>
    </w:tbl>
    <w:p w14:paraId="7726358A" w14:textId="77777777" w:rsidR="00406535" w:rsidRPr="00BB298E" w:rsidRDefault="00406535" w:rsidP="00406535">
      <w:pPr>
        <w:spacing w:after="0" w:line="240" w:lineRule="auto"/>
        <w:jc w:val="both"/>
        <w:rPr>
          <w:rFonts w:ascii="Times New Roman" w:hAnsi="Times New Roman" w:cs="Times New Roman"/>
          <w:sz w:val="20"/>
          <w:szCs w:val="20"/>
        </w:rPr>
      </w:pPr>
      <w:r w:rsidRPr="00BB298E">
        <w:rPr>
          <w:rFonts w:ascii="Times New Roman" w:hAnsi="Times New Roman" w:cs="Times New Roman"/>
          <w:sz w:val="20"/>
          <w:szCs w:val="20"/>
        </w:rPr>
        <w:lastRenderedPageBreak/>
        <w:t xml:space="preserve"> </w:t>
      </w:r>
      <w:r w:rsidRPr="00BB298E">
        <w:rPr>
          <w:rFonts w:ascii="Times New Roman" w:hAnsi="Times New Roman" w:cs="Times New Roman"/>
          <w:sz w:val="20"/>
          <w:szCs w:val="20"/>
        </w:rPr>
        <w:fldChar w:fldCharType="begin" w:fldLock="1"/>
      </w:r>
      <w:r w:rsidRPr="00BB298E">
        <w:rPr>
          <w:rFonts w:ascii="Times New Roman" w:hAnsi="Times New Roman" w:cs="Times New Roman"/>
          <w:sz w:val="20"/>
          <w:szCs w:val="20"/>
        </w:rPr>
        <w:instrText>ADDIN CSL_CITATION {"citationItems":[{"id":"ITEM-1","itemData":{"DOI":"10.5772/36186","abstract":"BACKGROUND Cancer patients are increasingly seeking out complementary and alternative medicine (cam) and might be reluctant to disclose its use to their oncology treatment team. Often, cam agents are not well studied, and little is known about their potential interactions with chemotherapy, radiation therapy, or biologic therapies, and their correlations with outcomes. In the present study, we set out to determine the rate of cam use in patients receiving treatment at a Northern Ontario cancer centre. METHODS Patients reporting for treatment at the Northeast Cancer Centre (necc) in Sudbury, Ontario, were asked to complete an anonymous questionnaire to assess cam use. Changes in cam use before, compared with after, diagnosis were also assessed. RESULTS Patients in Northern Ontario reported significant cam use both before and after diagnosis. However, as a function of the cam type, cam use was greatly enhanced after cancer diagnosis. For example, the number of patients who reported use of biologic products increased to 51.8% after a cancer diagnosis from 15.6% before a cancer diagnosis. Patients reported much smaller changes in the use of alternative medical systems or spiritual therapy after diagnosis. Vitamin use was reported by 66% of respondents, and the number of different cams used correlated significantly with the reported number of vitamins used. CONCLUSIONS Use of cam, particularly biologic products, increased significantly after a cancer diagnosis. Further studies are required to examine the effect of cam use on the efficacy and safety of cancer therapies.","author":[{"dropping-particle":"","family":"Fernández-Carrasco","given":"Lucia","non-dropping-particle":"","parse-names":false,"suffix":""},{"dropping-particle":"","family":"Torrens-Martín","given":"D.","non-dropping-particle":"","parse-names":false,"suffix":""},{"dropping-particle":"","family":"Morales","given":"L.M.","non-dropping-particle":"","parse-names":false,"suffix":""},{"dropping-particle":"","family":"Martínez-Ramírez","given":"Sagrario","non-dropping-particle":"","parse-names":false,"suffix":""}],"container-title":"Infrared Spectroscopy - Materials Science, Engineering and Technology","id":"ITEM-1","issued":{"date-parts":[["2012"]]},"title":"Infrared Spectroscopy in the Analysis of Building and Construction Materials","type":"article-journal"},"uris":["http://www.mendeley.com/documents/?uuid=5696bc0f-acc2-458f-9529-8ea7b58c34ae"]},{"id":"ITEM-2","itemData":{"DOI":"10.1088/1757-899X/919/2/022017","ISSN":"1757899X","abstract":"The study of daily tests (1-28 days) for compressive strength of ordinary Portland cement is presented. The daily strength curves were obtained for two water cement ratio (W/C=0.4 and W/C=0.5). On both curves, intervals with strength fluctuations were identified. For cement paste with W/C=0.4, one interval with fluctuations was detected (13th-18th days), for cement paste W/C=0.5, two intervals with fluctuations were detected (13th-17th days and 21st-25th days). The largest value of decrease in average strength for samples with W/C=0.4 is -7.1 MPa, for samples with W/C=0.5 the largest value of decrease in average strength is -2.7 MPa. For cement paste samples with W/C=0.4 for 15th-18th days, infrared spectra were obtained by Fourier-transform infrared spectroscopy. The analysis of the FTIR spectra showed that the strength fluctuation may be caused by the formation of a sulfate phase (ettringite) during hardening of the cement paste.","author":[{"dropping-particle":"V.","family":"Tararushkin","given":"E.","non-dropping-particle":"","parse-names":false,"suffix":""},{"dropping-particle":"","family":"Shchelokova","given":"T. N.","non-dropping-particle":"","parse-names":false,"suffix":""},{"dropping-particle":"","family":"Kudryavtseva","given":"V. D.","non-dropping-particle":"","parse-names":false,"suffix":""}],"container-title":"IOP Conference Series: Materials Science and Engineering","id":"ITEM-2","issue":"2","issued":{"date-parts":[["2020"]]},"page":"2-6","title":"A study of strength fluctuations of Portland cement by FTIR spectroscopy","type":"article-journal","volume":"919"},"uris":["http://www.mendeley.com/documents/?uuid=6607af19-9a37-4224-b220-7dbc23cf9582"]}],"mendeley":{"formattedCitation":"(Fernández-Carrasco et al., 2012; Tararushkin et al., 2020)","plainTextFormattedCitation":"(Fernández-Carrasco et al., 2012; Tararushkin et al., 2020)","previouslyFormattedCitation":"(Fernández-Carrasco et al., 2012; Tararushkin et al., 2020)"},"properties":{"noteIndex":0},"schema":"https://github.com/citation-style-language/schema/raw/master/csl-citation.json"}</w:instrText>
      </w:r>
      <w:r w:rsidRPr="00BB298E">
        <w:rPr>
          <w:rFonts w:ascii="Times New Roman" w:hAnsi="Times New Roman" w:cs="Times New Roman"/>
          <w:sz w:val="20"/>
          <w:szCs w:val="20"/>
        </w:rPr>
        <w:fldChar w:fldCharType="separate"/>
      </w:r>
      <w:r w:rsidRPr="00BB298E">
        <w:rPr>
          <w:rFonts w:ascii="Times New Roman" w:hAnsi="Times New Roman" w:cs="Times New Roman"/>
          <w:noProof/>
          <w:sz w:val="20"/>
          <w:szCs w:val="20"/>
        </w:rPr>
        <w:t>(Fernández-Carrasco et al., 2012; Tararushkin et al., 2020)</w:t>
      </w:r>
      <w:r w:rsidRPr="00BB298E">
        <w:rPr>
          <w:rFonts w:ascii="Times New Roman" w:hAnsi="Times New Roman" w:cs="Times New Roman"/>
          <w:sz w:val="20"/>
          <w:szCs w:val="20"/>
        </w:rPr>
        <w:fldChar w:fldCharType="end"/>
      </w:r>
    </w:p>
    <w:p w14:paraId="0FE0ED51" w14:textId="77777777" w:rsidR="00406535" w:rsidRPr="00BB298E" w:rsidRDefault="00406535" w:rsidP="00406535">
      <w:pPr>
        <w:spacing w:after="0" w:line="240" w:lineRule="auto"/>
        <w:jc w:val="both"/>
        <w:rPr>
          <w:rFonts w:ascii="Times New Roman" w:hAnsi="Times New Roman" w:cs="Times New Roman"/>
          <w:sz w:val="20"/>
          <w:szCs w:val="20"/>
        </w:rPr>
      </w:pPr>
    </w:p>
    <w:p w14:paraId="7BDFCA59" w14:textId="77777777" w:rsidR="00406535" w:rsidRPr="00BB298E" w:rsidRDefault="00406535" w:rsidP="00406535">
      <w:pPr>
        <w:spacing w:after="0" w:line="240" w:lineRule="auto"/>
        <w:jc w:val="both"/>
        <w:rPr>
          <w:rFonts w:ascii="Times New Roman" w:hAnsi="Times New Roman" w:cs="Times New Roman"/>
          <w:sz w:val="20"/>
          <w:szCs w:val="20"/>
        </w:rPr>
      </w:pPr>
    </w:p>
    <w:p w14:paraId="5362A2CE" w14:textId="77777777" w:rsidR="00406535" w:rsidRPr="00BB298E" w:rsidRDefault="00406535" w:rsidP="00406535">
      <w:pPr>
        <w:spacing w:line="240" w:lineRule="auto"/>
        <w:jc w:val="both"/>
        <w:rPr>
          <w:rFonts w:ascii="Times New Roman" w:hAnsi="Times New Roman" w:cs="Times New Roman"/>
          <w:sz w:val="20"/>
          <w:szCs w:val="20"/>
        </w:rPr>
      </w:pPr>
      <w:r w:rsidRPr="005060D5">
        <w:rPr>
          <w:rFonts w:ascii="Times New Roman" w:hAnsi="Times New Roman" w:cs="Times New Roman"/>
          <w:b/>
          <w:sz w:val="20"/>
          <w:szCs w:val="20"/>
        </w:rPr>
        <w:t>Table 6</w:t>
      </w:r>
      <w:r w:rsidRPr="00BB298E">
        <w:rPr>
          <w:rFonts w:ascii="Times New Roman" w:hAnsi="Times New Roman" w:cs="Times New Roman"/>
          <w:sz w:val="20"/>
          <w:szCs w:val="20"/>
        </w:rPr>
        <w:t xml:space="preserve"> Minerals and associated band groups in quarry dust </w:t>
      </w:r>
    </w:p>
    <w:tbl>
      <w:tblPr>
        <w:tblStyle w:val="TableGrid"/>
        <w:tblW w:w="9032" w:type="dxa"/>
        <w:tblLook w:val="04A0" w:firstRow="1" w:lastRow="0" w:firstColumn="1" w:lastColumn="0" w:noHBand="0" w:noVBand="1"/>
      </w:tblPr>
      <w:tblGrid>
        <w:gridCol w:w="9032"/>
      </w:tblGrid>
      <w:tr w:rsidR="00406535" w:rsidRPr="00BB298E" w14:paraId="200A8105" w14:textId="77777777" w:rsidTr="007B42D9">
        <w:trPr>
          <w:trHeight w:val="308"/>
        </w:trPr>
        <w:tc>
          <w:tcPr>
            <w:tcW w:w="9032" w:type="dxa"/>
            <w:tcBorders>
              <w:top w:val="single" w:sz="4" w:space="0" w:color="auto"/>
              <w:left w:val="nil"/>
              <w:bottom w:val="single" w:sz="4" w:space="0" w:color="auto"/>
              <w:right w:val="nil"/>
            </w:tcBorders>
            <w:hideMark/>
          </w:tcPr>
          <w:p w14:paraId="0A0C9706"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Minerals                                   Wave Number (cm</w:t>
            </w:r>
            <w:r w:rsidRPr="00BB298E">
              <w:rPr>
                <w:rFonts w:ascii="Times New Roman" w:hAnsi="Times New Roman" w:cs="Times New Roman"/>
                <w:sz w:val="20"/>
                <w:szCs w:val="20"/>
                <w:vertAlign w:val="superscript"/>
                <w:lang w:val="en-US"/>
              </w:rPr>
              <w:t>-1</w:t>
            </w:r>
            <w:r w:rsidRPr="00BB298E">
              <w:rPr>
                <w:rFonts w:ascii="Times New Roman" w:hAnsi="Times New Roman" w:cs="Times New Roman"/>
                <w:sz w:val="20"/>
                <w:szCs w:val="20"/>
                <w:lang w:val="en-US"/>
              </w:rPr>
              <w:t>)                 Band Group</w:t>
            </w:r>
          </w:p>
        </w:tc>
      </w:tr>
      <w:tr w:rsidR="00406535" w:rsidRPr="00BB298E" w14:paraId="51E8EB5E" w14:textId="77777777" w:rsidTr="007B42D9">
        <w:trPr>
          <w:trHeight w:val="317"/>
        </w:trPr>
        <w:tc>
          <w:tcPr>
            <w:tcW w:w="9032" w:type="dxa"/>
            <w:tcBorders>
              <w:top w:val="single" w:sz="4" w:space="0" w:color="auto"/>
              <w:left w:val="nil"/>
              <w:bottom w:val="single" w:sz="4" w:space="0" w:color="auto"/>
              <w:right w:val="nil"/>
            </w:tcBorders>
            <w:hideMark/>
          </w:tcPr>
          <w:p w14:paraId="4E046D5D"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Kaolinite                                     3391                                    O – H deformation</w:t>
            </w:r>
          </w:p>
          <w:p w14:paraId="1AE46CBE"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Magnesium and Chlorite           1640                                     O – H deformation</w:t>
            </w:r>
          </w:p>
          <w:p w14:paraId="482C7456"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Carbonate                                   1457                                    C – H bend</w:t>
            </w:r>
          </w:p>
          <w:p w14:paraId="6C77F3BC"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Quartz                                         980                                      Si – O stretching in plane</w:t>
            </w:r>
          </w:p>
          <w:p w14:paraId="50CE7419"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 xml:space="preserve">Quartz and Feldspar                   726.8                                   Si – O asymmetrical bending  </w:t>
            </w:r>
          </w:p>
          <w:p w14:paraId="1B48C637" w14:textId="77777777" w:rsidR="00406535" w:rsidRPr="00BB298E" w:rsidRDefault="00406535" w:rsidP="007B42D9">
            <w:pPr>
              <w:jc w:val="both"/>
              <w:rPr>
                <w:rFonts w:ascii="Times New Roman" w:hAnsi="Times New Roman" w:cs="Times New Roman"/>
                <w:sz w:val="20"/>
                <w:szCs w:val="20"/>
                <w:lang w:val="en-US"/>
              </w:rPr>
            </w:pPr>
            <w:r w:rsidRPr="00BB298E">
              <w:rPr>
                <w:rFonts w:ascii="Times New Roman" w:hAnsi="Times New Roman" w:cs="Times New Roman"/>
                <w:sz w:val="20"/>
                <w:szCs w:val="20"/>
                <w:lang w:val="en-US"/>
              </w:rPr>
              <w:t>Quartz and Feldspar                   574                                      Si – O asymmetrical bending</w:t>
            </w:r>
          </w:p>
        </w:tc>
      </w:tr>
    </w:tbl>
    <w:p w14:paraId="6F9A689C" w14:textId="77777777" w:rsidR="00406535" w:rsidRPr="00BB298E" w:rsidRDefault="00406535" w:rsidP="00406535">
      <w:pPr>
        <w:spacing w:after="0" w:line="240" w:lineRule="auto"/>
        <w:jc w:val="both"/>
        <w:rPr>
          <w:rFonts w:ascii="Times New Roman" w:hAnsi="Times New Roman" w:cs="Times New Roman"/>
          <w:sz w:val="20"/>
          <w:szCs w:val="20"/>
        </w:rPr>
      </w:pPr>
      <w:r w:rsidRPr="00BB298E">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{"citationItems":[{"id":"ITEM-1","itemData":{"author":[{"dropping-particle":"","family":"Coates","given":"John","non-dropping-particle":"","parse-names":false,"suffix":""}],"id":"ITEM-1","issued":{"date-parts":[["2000"]]},"page":"1-10","publisher":"John Wiley","publisher-place":"Chichester","title":"Interpretation of Infrared Spectra, A Practical Approach","type":"article"},"uris":["http://www.mendeley.com/documents/?uuid=531655ab-cd77-427e-877d-492c9650b1f3"]},{"id":"ITEM-2","itemData":{"DOI":"10.4172/2469-410x.1000171","abstract":"A light yellow colored bentonite clay mineral obtained from India is studied. X ray diffraction (XRD) studies are suggesting that Fe2O3, Al2O3, quartz and Ca bentonite phases are present in the compound. Ca-bentonite is the major constituent and its unit cell is monoclinic with a=5.16, b=8.798, c=9.347Å and β=100.46°. Internal structure studied using Transimission electron microscope (TEM) suggests that the clay consists of iron oxide, aluminium oxide, quartz, Ca bentonite. Tetrahedral and octahedral layers are present. Fe3+ is present in the location of Al3+ in the unit cell of Ca-bentonite. Electron paramagnetic resonance (EPR) results indicate that the unit cell of the crystal contains Fe(III), and its g values are found to be 4.19 and 2.13. IR studies are indicating that the presence of silicate and hydroxyl anions as ligands. Nonlinear optical measurements are indicating that the compound is having good potential applications in laser safety devices.","author":[{"dropping-particle":"","family":"Reddy T","given":"Ravindra","non-dropping-particle":"","parse-names":false,"suffix":""},{"dropping-particle":"","family":"S","given":"Kaneko","non-dropping-particle":"","parse-names":false,"suffix":""},{"dropping-particle":"","family":"T","given":"Endo","non-dropping-particle":"","parse-names":false,"suffix":""},{"dropping-particle":"","family":"Reddy S","given":"Lakshmi","non-dropping-particle":"","parse-names":false,"suffix":""}],"container-title":"Journal of Lasers, Optics &amp; Photonics","id":"ITEM-2","issue":"03","issued":{"date-parts":[["2017"]]},"title":"https://www.omicsonline.org/open-access/stimulated-brillouin-scattering-in-highpower-photonic-crystal-fiber-lasers-in-different-pump-schemes-2469-410X-1000170-96476.html","type":"article-journal","volume":"04"},"uris":["http://www.mendeley.com/documents/?uuid=668dbb0e-c838-4998-987a-47bbef687ef9"]},{"id":"ITEM-3","itemData":{"author":[{"dropping-particle":"","family":"Sivakumar","given":"S","non-dropping-particle":"","parse-names":false,"suffix":""},{"dropping-particle":"","family":"Ravisankar","given":"R","non-dropping-particle":"","parse-names":false,"suffix":""},{"dropping-particle":"","family":"Raghu","given":"Y","non-dropping-particle":"","parse-names":false,"suffix":""},{"dropping-particle":"","family":"Chandrasekaran","given":"A","non-dropping-particle":"","parse-names":false,"suffix":""},{"dropping-particle":"","family":"Chandramohan","given":"J","non-dropping-particle":"","parse-names":false,"suffix":""}],"id":"ITEM-3","issued":{"date-parts":[["2012"]]},"page":"40-46","title":"Available online at Indian Journal of Advances in Chemical Science FTIR Spectroscopic Studies on Coastal Sediment Samples from Cuddalore District , Tamilnadu , India","type":"article-journal"},"uris":["http://www.mendeley.com/documents/?uuid=482b57fe-1c97-4f6a-850b-ad1dc17e48bb"]},{"id":"ITEM-4","itemData":{"DOI":"10.1007/s13202-021-01449-y","ISBN":"1320202101","ISSN":"21900566","abstract":"The complete characteristics knowledge of clay minerals is necessary in the evaluation studies of hydrocarbon reservoirs. Ten samples taken from two wells in a heterogeneous clastic gas reservoir formation in NE Iran were selected to conduct the transmission Fourier transform infrared spectroscopy (FTIR) tests for the clay mineralogy studies. The FTIR analysis showed that there were clear signs of clay minerals in all samples. The wavenumber region of the clay minerals in FTIR tests was detected to be 3621, 3432, 1034, and 515 cm−1 for illite, 3567, 3432, 1613, 1088, 990, 687, 651, and 515 cm−1 for magnesium-rich chlorite, 3700, 3621, 3432, 1034, 687, and 463 cm−1 for kaolinite, and 3567, 1088, 990, and 463 cm−1 for glauconite. After screening of samples by the FTIR method, the samples were then analyzed by powder X-ray diffraction (PXRD), wavelength dispersive X-ray fluorescence (WDXRF), and scanning electron microscopy (SEM). The PXRD and SEM result showed illite was by far the most common clay present. Kaolinite, magnesium-rich chlorite, and traces of smectite and the mixed-layer clays of both the illite–smectite and chlorite-smectite types were also recognized. The combination of PXRD and WDXRF results could quantify the clay abundances in the each well too. It was concluded that the FTIR analysis successfully could show the absorption bonds of all constituent clays. However, the infrared absorption spectra of mixed-layer clays overlapped those of the respective constituents of each mixed-layer minerals. This can be considered as the evidence of the usefulness of FTIR technique in the screening of the samples for the clay mineralogy studies.","author":[{"dropping-particle":"","family":"Jozanikohan","given":"Golnaz","non-dropping-particle":"","parse-names":false,"suffix":""},{"dropping-particle":"","family":"Abarghooei","given":"Mohsen Nosrati","non-dropping-particle":"","parse-names":false,"suffix":""}],"container-title":"Journal of Petroleum Exploration and Production Technology","id":"ITEM-4","issue":"8","issued":{"date-parts":[["2022"]]},"page":"2093-2106","publisher":"Springer International Publishing","title":"The Fourier transform infrared spectroscopy (FTIR) analysis for the clay mineralogy studies in a clastic reservoir","type":"article-journal","volume":"12"},"uris":["http://www.mendeley.com/documents/?uuid=e4dfef84-b543-4d0a-b897-039e89c8c668"]}],"mendeley":{"formattedCitation":"(Coates, 2000; Jozanikohan &amp; Abarghooei, 2022; Reddy T et al., 2017; Sivakumar et al., 2012)","manualFormatting":"(Coates 2000; Jozanikohan and Abarghooei, 2022)","plainTextFormattedCitation":"(Coates, 2000; Jozanikohan &amp; Abarghooei, 2022; Reddy T et al., 2017; Sivakumar et al., 2012)","previouslyFormattedCitation":"(Coates, 2000; Jozanikohan &amp; Abarghooei, 2022; Reddy T et al., 2017; Sivakumar et al., 2012)"},"properties":{"noteIndex":0},"schema":"https://github.com/citation-style-language/schema/raw/master/csl-citation.json"}</w:instrText>
      </w:r>
      <w:r w:rsidRPr="00BB298E">
        <w:rPr>
          <w:rFonts w:ascii="Times New Roman" w:hAnsi="Times New Roman" w:cs="Times New Roman"/>
          <w:sz w:val="20"/>
          <w:szCs w:val="20"/>
        </w:rPr>
        <w:fldChar w:fldCharType="separate"/>
      </w:r>
      <w:r w:rsidRPr="00BB298E">
        <w:rPr>
          <w:rFonts w:ascii="Times New Roman" w:hAnsi="Times New Roman" w:cs="Times New Roman"/>
          <w:noProof/>
          <w:sz w:val="20"/>
          <w:szCs w:val="20"/>
        </w:rPr>
        <w:t>(Coates 2000; Jozanikohan and Abarghooei, 2022)</w:t>
      </w:r>
      <w:r w:rsidRPr="00BB298E">
        <w:rPr>
          <w:rFonts w:ascii="Times New Roman" w:hAnsi="Times New Roman" w:cs="Times New Roman"/>
          <w:sz w:val="20"/>
          <w:szCs w:val="20"/>
        </w:rPr>
        <w:fldChar w:fldCharType="end"/>
      </w:r>
    </w:p>
    <w:p w14:paraId="44164E72" w14:textId="77777777" w:rsidR="00406535" w:rsidRDefault="00406535" w:rsidP="00406535">
      <w:pPr>
        <w:spacing w:after="0" w:line="240" w:lineRule="auto"/>
        <w:rPr>
          <w:rFonts w:ascii="Times New Roman" w:hAnsi="Times New Roman" w:cs="Times New Roman"/>
          <w:sz w:val="20"/>
          <w:szCs w:val="20"/>
        </w:rPr>
      </w:pPr>
    </w:p>
    <w:p w14:paraId="14256F96" w14:textId="77777777" w:rsidR="00406535" w:rsidRPr="00BB298E" w:rsidRDefault="00406535" w:rsidP="00406535">
      <w:pPr>
        <w:spacing w:after="0" w:line="240" w:lineRule="auto"/>
        <w:rPr>
          <w:rFonts w:ascii="Times New Roman" w:hAnsi="Times New Roman" w:cs="Times New Roman"/>
          <w:sz w:val="20"/>
          <w:szCs w:val="20"/>
          <w:lang w:val="en-US"/>
        </w:rPr>
      </w:pPr>
    </w:p>
    <w:p w14:paraId="26CC434F" w14:textId="77777777" w:rsidR="00406535" w:rsidRPr="00BB298E" w:rsidRDefault="00406535" w:rsidP="00406535">
      <w:pPr>
        <w:spacing w:line="240" w:lineRule="auto"/>
        <w:rPr>
          <w:rFonts w:ascii="Times New Roman" w:hAnsi="Times New Roman" w:cs="Times New Roman"/>
          <w:sz w:val="20"/>
          <w:szCs w:val="20"/>
        </w:rPr>
      </w:pPr>
      <w:r w:rsidRPr="004C716B">
        <w:rPr>
          <w:rFonts w:ascii="Times New Roman" w:hAnsi="Times New Roman" w:cs="Times New Roman"/>
          <w:b/>
          <w:sz w:val="20"/>
          <w:szCs w:val="20"/>
        </w:rPr>
        <w:t>Table 7</w:t>
      </w:r>
      <w:r w:rsidRPr="00BB298E">
        <w:rPr>
          <w:rFonts w:ascii="Times New Roman" w:hAnsi="Times New Roman" w:cs="Times New Roman"/>
          <w:sz w:val="20"/>
          <w:szCs w:val="20"/>
        </w:rPr>
        <w:t xml:space="preserve"> Effect of PSA and QD partial and full replacements on the workability of the concrete</w:t>
      </w:r>
    </w:p>
    <w:tbl>
      <w:tblPr>
        <w:tblStyle w:val="TableGrid"/>
        <w:tblW w:w="0" w:type="auto"/>
        <w:tblInd w:w="10" w:type="dxa"/>
        <w:tblLook w:val="04A0" w:firstRow="1" w:lastRow="0" w:firstColumn="1" w:lastColumn="0" w:noHBand="0" w:noVBand="1"/>
      </w:tblPr>
      <w:tblGrid>
        <w:gridCol w:w="2818"/>
        <w:gridCol w:w="2489"/>
        <w:gridCol w:w="3704"/>
      </w:tblGrid>
      <w:tr w:rsidR="00406535" w:rsidRPr="00BB298E" w14:paraId="3140202C" w14:textId="77777777" w:rsidTr="007B42D9">
        <w:trPr>
          <w:trHeight w:val="210"/>
        </w:trPr>
        <w:tc>
          <w:tcPr>
            <w:tcW w:w="2818" w:type="dxa"/>
            <w:vMerge w:val="restart"/>
            <w:tcBorders>
              <w:top w:val="single" w:sz="4" w:space="0" w:color="auto"/>
              <w:left w:val="nil"/>
              <w:bottom w:val="single" w:sz="4" w:space="0" w:color="auto"/>
              <w:right w:val="nil"/>
            </w:tcBorders>
            <w:hideMark/>
          </w:tcPr>
          <w:p w14:paraId="053EE3A7"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Concrete Designation</w:t>
            </w:r>
          </w:p>
        </w:tc>
        <w:tc>
          <w:tcPr>
            <w:tcW w:w="2489" w:type="dxa"/>
            <w:tcBorders>
              <w:top w:val="single" w:sz="4" w:space="0" w:color="auto"/>
              <w:left w:val="nil"/>
              <w:bottom w:val="single" w:sz="4" w:space="0" w:color="auto"/>
              <w:right w:val="nil"/>
            </w:tcBorders>
            <w:hideMark/>
          </w:tcPr>
          <w:p w14:paraId="58B028C0"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 xml:space="preserve">   % Partial replacements</w:t>
            </w:r>
          </w:p>
        </w:tc>
        <w:tc>
          <w:tcPr>
            <w:tcW w:w="3704" w:type="dxa"/>
            <w:vMerge w:val="restart"/>
            <w:tcBorders>
              <w:top w:val="single" w:sz="4" w:space="0" w:color="auto"/>
              <w:left w:val="nil"/>
              <w:bottom w:val="single" w:sz="4" w:space="0" w:color="auto"/>
              <w:right w:val="nil"/>
            </w:tcBorders>
            <w:hideMark/>
          </w:tcPr>
          <w:p w14:paraId="79183898" w14:textId="77777777" w:rsidR="00406535" w:rsidRPr="00BB298E" w:rsidRDefault="00406535" w:rsidP="007B42D9">
            <w:pPr>
              <w:ind w:left="1047"/>
              <w:rPr>
                <w:rFonts w:ascii="Times New Roman" w:hAnsi="Times New Roman" w:cs="Times New Roman"/>
                <w:sz w:val="20"/>
                <w:szCs w:val="20"/>
              </w:rPr>
            </w:pPr>
            <w:r w:rsidRPr="00BB298E">
              <w:rPr>
                <w:rFonts w:ascii="Times New Roman" w:hAnsi="Times New Roman" w:cs="Times New Roman"/>
                <w:sz w:val="20"/>
                <w:szCs w:val="20"/>
              </w:rPr>
              <w:t>Slump (mm)</w:t>
            </w:r>
          </w:p>
        </w:tc>
      </w:tr>
      <w:tr w:rsidR="00406535" w:rsidRPr="00BB298E" w14:paraId="2B6723C4" w14:textId="77777777" w:rsidTr="007B42D9">
        <w:trPr>
          <w:trHeight w:val="255"/>
        </w:trPr>
        <w:tc>
          <w:tcPr>
            <w:tcW w:w="0" w:type="auto"/>
            <w:vMerge/>
            <w:tcBorders>
              <w:top w:val="single" w:sz="4" w:space="0" w:color="auto"/>
              <w:left w:val="nil"/>
              <w:bottom w:val="single" w:sz="4" w:space="0" w:color="auto"/>
              <w:right w:val="nil"/>
            </w:tcBorders>
            <w:vAlign w:val="center"/>
            <w:hideMark/>
          </w:tcPr>
          <w:p w14:paraId="041F02B1" w14:textId="77777777" w:rsidR="00406535" w:rsidRPr="00BB298E" w:rsidRDefault="00406535" w:rsidP="007B42D9">
            <w:pPr>
              <w:rPr>
                <w:rFonts w:ascii="Times New Roman" w:hAnsi="Times New Roman" w:cs="Times New Roman"/>
                <w:sz w:val="20"/>
                <w:szCs w:val="20"/>
              </w:rPr>
            </w:pPr>
          </w:p>
        </w:tc>
        <w:tc>
          <w:tcPr>
            <w:tcW w:w="2489" w:type="dxa"/>
            <w:tcBorders>
              <w:top w:val="single" w:sz="4" w:space="0" w:color="auto"/>
              <w:left w:val="nil"/>
              <w:bottom w:val="single" w:sz="4" w:space="0" w:color="auto"/>
              <w:right w:val="nil"/>
            </w:tcBorders>
            <w:hideMark/>
          </w:tcPr>
          <w:p w14:paraId="34B6F773" w14:textId="77777777" w:rsidR="00406535" w:rsidRPr="00BB298E" w:rsidRDefault="00406535" w:rsidP="007B42D9">
            <w:pPr>
              <w:ind w:left="80"/>
              <w:rPr>
                <w:rFonts w:ascii="Times New Roman" w:hAnsi="Times New Roman" w:cs="Times New Roman"/>
                <w:sz w:val="20"/>
                <w:szCs w:val="20"/>
              </w:rPr>
            </w:pPr>
            <w:r w:rsidRPr="00BB298E">
              <w:rPr>
                <w:rFonts w:ascii="Times New Roman" w:hAnsi="Times New Roman" w:cs="Times New Roman"/>
                <w:sz w:val="20"/>
                <w:szCs w:val="20"/>
              </w:rPr>
              <w:t xml:space="preserve">  PSA                   QD</w:t>
            </w:r>
          </w:p>
        </w:tc>
        <w:tc>
          <w:tcPr>
            <w:tcW w:w="0" w:type="auto"/>
            <w:vMerge/>
            <w:tcBorders>
              <w:top w:val="single" w:sz="4" w:space="0" w:color="auto"/>
              <w:left w:val="nil"/>
              <w:bottom w:val="single" w:sz="4" w:space="0" w:color="auto"/>
              <w:right w:val="nil"/>
            </w:tcBorders>
            <w:vAlign w:val="center"/>
            <w:hideMark/>
          </w:tcPr>
          <w:p w14:paraId="6A3FC4A0" w14:textId="77777777" w:rsidR="00406535" w:rsidRPr="00BB298E" w:rsidRDefault="00406535" w:rsidP="007B42D9">
            <w:pPr>
              <w:rPr>
                <w:rFonts w:ascii="Times New Roman" w:hAnsi="Times New Roman" w:cs="Times New Roman"/>
                <w:sz w:val="20"/>
                <w:szCs w:val="20"/>
              </w:rPr>
            </w:pPr>
          </w:p>
        </w:tc>
      </w:tr>
      <w:tr w:rsidR="00406535" w:rsidRPr="00BB298E" w14:paraId="53911487" w14:textId="77777777" w:rsidTr="007B42D9">
        <w:tc>
          <w:tcPr>
            <w:tcW w:w="9011" w:type="dxa"/>
            <w:gridSpan w:val="3"/>
            <w:tcBorders>
              <w:top w:val="single" w:sz="4" w:space="0" w:color="auto"/>
              <w:left w:val="nil"/>
              <w:bottom w:val="single" w:sz="4" w:space="0" w:color="auto"/>
              <w:right w:val="nil"/>
            </w:tcBorders>
            <w:hideMark/>
          </w:tcPr>
          <w:p w14:paraId="2ED3D06C"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A                                               0                        0                             66.1</w:t>
            </w:r>
          </w:p>
          <w:p w14:paraId="0EEF9E3F"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B                                               5                        5                             67.0</w:t>
            </w:r>
          </w:p>
          <w:p w14:paraId="199696A7"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C                                              10                      10                            67.0</w:t>
            </w:r>
          </w:p>
          <w:p w14:paraId="411E4E3F"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D                                              15                      15                            68.0</w:t>
            </w:r>
          </w:p>
          <w:p w14:paraId="42ACAEF6"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E                                              20                      20                            68.2</w:t>
            </w:r>
          </w:p>
          <w:p w14:paraId="75C0F8AB"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F                                              100                     0                              41.1</w:t>
            </w:r>
          </w:p>
          <w:p w14:paraId="0710A825"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G                                              0                      100                            79.6</w:t>
            </w:r>
          </w:p>
          <w:p w14:paraId="250F35D6" w14:textId="77777777" w:rsidR="00406535" w:rsidRPr="00BB298E" w:rsidRDefault="00406535" w:rsidP="007B42D9">
            <w:pPr>
              <w:rPr>
                <w:rFonts w:ascii="Times New Roman" w:hAnsi="Times New Roman" w:cs="Times New Roman"/>
                <w:sz w:val="20"/>
                <w:szCs w:val="20"/>
              </w:rPr>
            </w:pPr>
            <w:r w:rsidRPr="00BB298E">
              <w:rPr>
                <w:rFonts w:ascii="Times New Roman" w:hAnsi="Times New Roman" w:cs="Times New Roman"/>
                <w:sz w:val="20"/>
                <w:szCs w:val="20"/>
              </w:rPr>
              <w:t>H                                             100                   100                            55.9</w:t>
            </w:r>
          </w:p>
        </w:tc>
      </w:tr>
    </w:tbl>
    <w:p w14:paraId="64DDB7DA" w14:textId="4828F0EC" w:rsidR="00755780" w:rsidRDefault="00406535">
      <w:r w:rsidRPr="00BB298E">
        <w:rPr>
          <w:rFonts w:ascii="Times New Roman" w:hAnsi="Times New Roman" w:cs="Times New Roman"/>
          <w:sz w:val="20"/>
          <w:szCs w:val="20"/>
        </w:rPr>
        <w:t xml:space="preserve">    </w:t>
      </w:r>
    </w:p>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3AA4481"/>
    <w:multiLevelType w:val="hybridMultilevel"/>
    <w:tmpl w:val="95FA093C"/>
    <w:lvl w:ilvl="0" w:tplc="5A5A9E5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18590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535"/>
    <w:rsid w:val="00331A6B"/>
    <w:rsid w:val="00406535"/>
    <w:rsid w:val="00755780"/>
    <w:rsid w:val="00857596"/>
    <w:rsid w:val="00BF5C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32762"/>
  <w15:chartTrackingRefBased/>
  <w15:docId w15:val="{C9CFAEFA-7C96-46DE-9968-EDFFF229C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535"/>
    <w:rPr>
      <w:kern w:val="0"/>
      <w:lang w:val="en-GB"/>
      <w14:ligatures w14:val="none"/>
    </w:rPr>
  </w:style>
  <w:style w:type="paragraph" w:styleId="Heading1">
    <w:name w:val="heading 1"/>
    <w:basedOn w:val="Normal"/>
    <w:next w:val="Normal"/>
    <w:link w:val="Heading1Char"/>
    <w:uiPriority w:val="9"/>
    <w:qFormat/>
    <w:rsid w:val="004065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65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65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65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65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65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5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5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5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5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65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65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65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65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65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5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5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535"/>
    <w:rPr>
      <w:rFonts w:eastAsiaTheme="majorEastAsia" w:cstheme="majorBidi"/>
      <w:color w:val="272727" w:themeColor="text1" w:themeTint="D8"/>
    </w:rPr>
  </w:style>
  <w:style w:type="paragraph" w:styleId="Title">
    <w:name w:val="Title"/>
    <w:basedOn w:val="Normal"/>
    <w:next w:val="Normal"/>
    <w:link w:val="TitleChar"/>
    <w:uiPriority w:val="10"/>
    <w:qFormat/>
    <w:rsid w:val="004065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5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5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5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535"/>
    <w:pPr>
      <w:spacing w:before="160"/>
      <w:jc w:val="center"/>
    </w:pPr>
    <w:rPr>
      <w:i/>
      <w:iCs/>
      <w:color w:val="404040" w:themeColor="text1" w:themeTint="BF"/>
    </w:rPr>
  </w:style>
  <w:style w:type="character" w:customStyle="1" w:styleId="QuoteChar">
    <w:name w:val="Quote Char"/>
    <w:basedOn w:val="DefaultParagraphFont"/>
    <w:link w:val="Quote"/>
    <w:uiPriority w:val="29"/>
    <w:rsid w:val="00406535"/>
    <w:rPr>
      <w:i/>
      <w:iCs/>
      <w:color w:val="404040" w:themeColor="text1" w:themeTint="BF"/>
    </w:rPr>
  </w:style>
  <w:style w:type="paragraph" w:styleId="ListParagraph">
    <w:name w:val="List Paragraph"/>
    <w:basedOn w:val="Normal"/>
    <w:uiPriority w:val="34"/>
    <w:qFormat/>
    <w:rsid w:val="00406535"/>
    <w:pPr>
      <w:ind w:left="720"/>
      <w:contextualSpacing/>
    </w:pPr>
  </w:style>
  <w:style w:type="character" w:styleId="IntenseEmphasis">
    <w:name w:val="Intense Emphasis"/>
    <w:basedOn w:val="DefaultParagraphFont"/>
    <w:uiPriority w:val="21"/>
    <w:qFormat/>
    <w:rsid w:val="00406535"/>
    <w:rPr>
      <w:i/>
      <w:iCs/>
      <w:color w:val="0F4761" w:themeColor="accent1" w:themeShade="BF"/>
    </w:rPr>
  </w:style>
  <w:style w:type="paragraph" w:styleId="IntenseQuote">
    <w:name w:val="Intense Quote"/>
    <w:basedOn w:val="Normal"/>
    <w:next w:val="Normal"/>
    <w:link w:val="IntenseQuoteChar"/>
    <w:uiPriority w:val="30"/>
    <w:qFormat/>
    <w:rsid w:val="004065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6535"/>
    <w:rPr>
      <w:i/>
      <w:iCs/>
      <w:color w:val="0F4761" w:themeColor="accent1" w:themeShade="BF"/>
    </w:rPr>
  </w:style>
  <w:style w:type="character" w:styleId="IntenseReference">
    <w:name w:val="Intense Reference"/>
    <w:basedOn w:val="DefaultParagraphFont"/>
    <w:uiPriority w:val="32"/>
    <w:qFormat/>
    <w:rsid w:val="00406535"/>
    <w:rPr>
      <w:b/>
      <w:bCs/>
      <w:smallCaps/>
      <w:color w:val="0F4761" w:themeColor="accent1" w:themeShade="BF"/>
      <w:spacing w:val="5"/>
    </w:rPr>
  </w:style>
  <w:style w:type="table" w:styleId="TableGrid">
    <w:name w:val="Table Grid"/>
    <w:basedOn w:val="TableNormal"/>
    <w:uiPriority w:val="59"/>
    <w:rsid w:val="00406535"/>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3605</Words>
  <Characters>20554</Characters>
  <Application>Microsoft Office Word</Application>
  <DocSecurity>0</DocSecurity>
  <Lines>171</Lines>
  <Paragraphs>48</Paragraphs>
  <ScaleCrop>false</ScaleCrop>
  <Company>Springer Nature</Company>
  <LinksUpToDate>false</LinksUpToDate>
  <CharactersWithSpaces>24111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2024-07-22T10:56:00Z</dcterms:created>
  <dcterms:modified xsi:type="dcterms:W3CDTF">2024-07-22T10:58:00Z</dcterms:modified>
</cp:coreProperties>
</file>