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436CD" w:rsidRPr="004620D0" w:rsidRDefault="00834A2A" w:rsidP="00834A2A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4620D0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Supplemental materials </w:t>
      </w:r>
    </w:p>
    <w:p w:rsidR="00834A2A" w:rsidRPr="004620D0" w:rsidRDefault="00834A2A" w:rsidP="00834A2A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620D0">
        <w:rPr>
          <w:rFonts w:ascii="Times New Roman" w:hAnsi="Times New Roman" w:cs="Times New Roman"/>
          <w:b/>
          <w:bCs/>
          <w:sz w:val="28"/>
          <w:szCs w:val="28"/>
        </w:rPr>
        <w:t xml:space="preserve">Manufacturable </w:t>
      </w:r>
      <w:r w:rsidR="009B6FAE" w:rsidRPr="004620D0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high-speed </w:t>
      </w:r>
      <w:r w:rsidRPr="004620D0">
        <w:rPr>
          <w:rFonts w:ascii="Times New Roman" w:hAnsi="Times New Roman" w:cs="Times New Roman"/>
          <w:b/>
          <w:bCs/>
          <w:sz w:val="28"/>
          <w:szCs w:val="28"/>
        </w:rPr>
        <w:t>CMOS back-end-of-line-compatible spin-orbit-torque magnetic random-access memory with β-tungsten</w:t>
      </w:r>
    </w:p>
    <w:p w:rsidR="00834A2A" w:rsidRPr="004620D0" w:rsidRDefault="00834A2A" w:rsidP="00834A2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555D5" w:rsidRPr="007A3BB7" w:rsidRDefault="008555D5" w:rsidP="008555D5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8128F3">
        <w:rPr>
          <w:rFonts w:ascii="Times New Roman" w:hAnsi="Times New Roman" w:cs="Times New Roman"/>
        </w:rPr>
        <w:t>Yen-Lin Huang</w:t>
      </w:r>
      <w:r w:rsidRPr="008128F3">
        <w:rPr>
          <w:rFonts w:ascii="Times New Roman" w:hAnsi="Times New Roman" w:cs="Times New Roman"/>
          <w:vertAlign w:val="superscript"/>
        </w:rPr>
        <w:t>1,2</w:t>
      </w:r>
      <w:r w:rsidRPr="008128F3">
        <w:rPr>
          <w:rFonts w:ascii="Times New Roman" w:hAnsi="Times New Roman" w:cs="Times New Roman"/>
        </w:rPr>
        <w:t>, MingYaun Song</w:t>
      </w:r>
      <w:r w:rsidRPr="008128F3">
        <w:rPr>
          <w:rFonts w:ascii="Times New Roman" w:hAnsi="Times New Roman" w:cs="Times New Roman"/>
          <w:vertAlign w:val="superscript"/>
        </w:rPr>
        <w:t>3</w:t>
      </w:r>
      <w:r w:rsidRPr="008128F3">
        <w:rPr>
          <w:rFonts w:ascii="Times New Roman" w:hAnsi="Times New Roman" w:cs="Times New Roman"/>
        </w:rPr>
        <w:t>, Chien-Ming Lee</w:t>
      </w:r>
      <w:r w:rsidRPr="008128F3">
        <w:rPr>
          <w:rFonts w:ascii="Times New Roman" w:hAnsi="Times New Roman" w:cs="Times New Roman"/>
          <w:vertAlign w:val="superscript"/>
        </w:rPr>
        <w:t>3</w:t>
      </w:r>
      <w:r w:rsidRPr="008128F3">
        <w:rPr>
          <w:rFonts w:ascii="Times New Roman" w:hAnsi="Times New Roman" w:cs="Times New Roman"/>
        </w:rPr>
        <w:t>, Yu-Wei Chen</w:t>
      </w:r>
      <w:r w:rsidRPr="008128F3">
        <w:rPr>
          <w:rFonts w:ascii="Times New Roman" w:hAnsi="Times New Roman" w:cs="Times New Roman"/>
          <w:vertAlign w:val="superscript"/>
        </w:rPr>
        <w:t>1</w:t>
      </w:r>
      <w:r w:rsidRPr="007A3BB7">
        <w:rPr>
          <w:rFonts w:ascii="Times New Roman" w:hAnsi="Times New Roman" w:cs="Times New Roman"/>
          <w:color w:val="000000" w:themeColor="text1"/>
        </w:rPr>
        <w:t xml:space="preserve">, </w:t>
      </w:r>
      <w:r w:rsidRPr="007A3BB7">
        <w:rPr>
          <w:rFonts w:ascii="Times New Roman" w:hAnsi="Times New Roman"/>
          <w:color w:val="000000" w:themeColor="text1"/>
        </w:rPr>
        <w:t>Ching-Yu Chiang</w:t>
      </w:r>
      <w:r w:rsidRPr="007A3BB7">
        <w:rPr>
          <w:rFonts w:ascii="Times New Roman" w:hAnsi="Times New Roman"/>
          <w:color w:val="000000" w:themeColor="text1"/>
          <w:vertAlign w:val="superscript"/>
        </w:rPr>
        <w:t>4</w:t>
      </w:r>
    </w:p>
    <w:p w:rsidR="008555D5" w:rsidRPr="008128F3" w:rsidRDefault="008555D5" w:rsidP="008555D5">
      <w:pPr>
        <w:spacing w:line="360" w:lineRule="auto"/>
        <w:jc w:val="both"/>
        <w:rPr>
          <w:rFonts w:ascii="Times New Roman" w:hAnsi="Times New Roman" w:cs="Times New Roman"/>
          <w:vertAlign w:val="superscript"/>
        </w:rPr>
      </w:pPr>
      <w:r w:rsidRPr="008128F3">
        <w:rPr>
          <w:rFonts w:ascii="Times New Roman" w:hAnsi="Times New Roman" w:cs="Times New Roman"/>
        </w:rPr>
        <w:t>Hen-Rui Liu</w:t>
      </w:r>
      <w:r>
        <w:rPr>
          <w:rFonts w:ascii="Times New Roman" w:hAnsi="Times New Roman" w:cs="Times New Roman"/>
          <w:vertAlign w:val="superscript"/>
        </w:rPr>
        <w:t>5</w:t>
      </w:r>
      <w:r w:rsidRPr="008128F3">
        <w:rPr>
          <w:rFonts w:ascii="Times New Roman" w:hAnsi="Times New Roman" w:cs="Times New Roman"/>
        </w:rPr>
        <w:t>, Guan-Long Chen</w:t>
      </w:r>
      <w:r>
        <w:rPr>
          <w:rFonts w:ascii="Times New Roman" w:hAnsi="Times New Roman" w:cs="Times New Roman"/>
          <w:vertAlign w:val="superscript"/>
        </w:rPr>
        <w:t>6</w:t>
      </w:r>
      <w:r w:rsidRPr="008128F3">
        <w:rPr>
          <w:rFonts w:ascii="Times New Roman" w:hAnsi="Times New Roman" w:cs="Times New Roman"/>
        </w:rPr>
        <w:t>, Shan-Yi Yang</w:t>
      </w:r>
      <w:r>
        <w:rPr>
          <w:rFonts w:ascii="Times New Roman" w:hAnsi="Times New Roman" w:cs="Times New Roman"/>
          <w:vertAlign w:val="superscript"/>
        </w:rPr>
        <w:t>6</w:t>
      </w:r>
      <w:r w:rsidRPr="008128F3">
        <w:rPr>
          <w:rFonts w:ascii="Times New Roman" w:hAnsi="Times New Roman" w:cs="Times New Roman"/>
        </w:rPr>
        <w:t>, Yao-Jen Chang</w:t>
      </w:r>
      <w:r>
        <w:rPr>
          <w:rFonts w:ascii="Times New Roman" w:hAnsi="Times New Roman" w:cs="Times New Roman"/>
          <w:vertAlign w:val="superscript"/>
        </w:rPr>
        <w:t>6</w:t>
      </w:r>
      <w:r w:rsidRPr="008128F3">
        <w:rPr>
          <w:rFonts w:ascii="Times New Roman" w:hAnsi="Times New Roman" w:cs="Times New Roman"/>
        </w:rPr>
        <w:t>, I-Jung Wang</w:t>
      </w:r>
      <w:r>
        <w:rPr>
          <w:rFonts w:ascii="Times New Roman" w:hAnsi="Times New Roman" w:cs="Times New Roman"/>
          <w:vertAlign w:val="superscript"/>
        </w:rPr>
        <w:t>6</w:t>
      </w:r>
      <w:r w:rsidRPr="008128F3">
        <w:rPr>
          <w:rFonts w:ascii="Times New Roman" w:hAnsi="Times New Roman" w:cs="Times New Roman"/>
        </w:rPr>
        <w:t>, Yu-Chen Hsin</w:t>
      </w:r>
      <w:r>
        <w:rPr>
          <w:rFonts w:ascii="Times New Roman" w:hAnsi="Times New Roman" w:cs="Times New Roman"/>
          <w:vertAlign w:val="superscript"/>
        </w:rPr>
        <w:t>6</w:t>
      </w:r>
      <w:r w:rsidRPr="008128F3">
        <w:rPr>
          <w:rFonts w:ascii="Times New Roman" w:hAnsi="Times New Roman" w:cs="Times New Roman"/>
        </w:rPr>
        <w:t>, Yi-Hui Su</w:t>
      </w:r>
      <w:r>
        <w:rPr>
          <w:rFonts w:ascii="Times New Roman" w:hAnsi="Times New Roman" w:cs="Times New Roman"/>
          <w:vertAlign w:val="superscript"/>
        </w:rPr>
        <w:t>6</w:t>
      </w:r>
      <w:r w:rsidRPr="008128F3">
        <w:rPr>
          <w:rFonts w:ascii="Times New Roman" w:hAnsi="Times New Roman" w:cs="Times New Roman"/>
        </w:rPr>
        <w:t>, Jeng-Hua Wei</w:t>
      </w:r>
      <w:r>
        <w:rPr>
          <w:rFonts w:ascii="Times New Roman" w:hAnsi="Times New Roman" w:cs="Times New Roman"/>
          <w:vertAlign w:val="superscript"/>
        </w:rPr>
        <w:t>6</w:t>
      </w:r>
      <w:r w:rsidRPr="008128F3">
        <w:rPr>
          <w:rFonts w:ascii="Times New Roman" w:hAnsi="Times New Roman" w:cs="Times New Roman"/>
        </w:rPr>
        <w:t>, Fen Xue</w:t>
      </w:r>
      <w:r>
        <w:rPr>
          <w:rFonts w:ascii="Times New Roman" w:hAnsi="Times New Roman" w:cs="Times New Roman"/>
          <w:vertAlign w:val="superscript"/>
        </w:rPr>
        <w:t>7</w:t>
      </w:r>
      <w:r w:rsidRPr="008128F3">
        <w:rPr>
          <w:rFonts w:ascii="Times New Roman" w:hAnsi="Times New Roman" w:cs="Times New Roman"/>
        </w:rPr>
        <w:t>, Shan X. Wang</w:t>
      </w:r>
      <w:r>
        <w:rPr>
          <w:rFonts w:ascii="Times New Roman" w:hAnsi="Times New Roman" w:cs="Times New Roman"/>
          <w:vertAlign w:val="superscript"/>
        </w:rPr>
        <w:t>7</w:t>
      </w:r>
      <w:r w:rsidRPr="008128F3">
        <w:rPr>
          <w:rFonts w:ascii="Times New Roman" w:hAnsi="Times New Roman" w:cs="Times New Roman"/>
          <w:vertAlign w:val="superscript"/>
        </w:rPr>
        <w:t>,</w:t>
      </w:r>
      <w:r>
        <w:rPr>
          <w:rFonts w:ascii="Times New Roman" w:hAnsi="Times New Roman" w:cs="Times New Roman"/>
          <w:vertAlign w:val="superscript"/>
        </w:rPr>
        <w:t>8</w:t>
      </w:r>
      <w:r w:rsidRPr="008128F3">
        <w:rPr>
          <w:rFonts w:ascii="Times New Roman" w:hAnsi="Times New Roman" w:cs="Times New Roman"/>
        </w:rPr>
        <w:t>, Xinyu Bao</w:t>
      </w:r>
      <w:r w:rsidRPr="008128F3">
        <w:rPr>
          <w:rFonts w:ascii="Times New Roman" w:hAnsi="Times New Roman" w:cs="Times New Roman"/>
          <w:vertAlign w:val="superscript"/>
        </w:rPr>
        <w:t>2</w:t>
      </w:r>
    </w:p>
    <w:p w:rsidR="00834A2A" w:rsidRPr="004620D0" w:rsidRDefault="00834A2A" w:rsidP="00834A2A">
      <w:pPr>
        <w:spacing w:line="360" w:lineRule="auto"/>
        <w:jc w:val="both"/>
        <w:rPr>
          <w:rFonts w:ascii="Times New Roman" w:hAnsi="Times New Roman" w:cs="Times New Roman"/>
        </w:rPr>
      </w:pPr>
    </w:p>
    <w:p w:rsidR="00834A2A" w:rsidRPr="004620D0" w:rsidRDefault="00834A2A" w:rsidP="00834A2A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i/>
        </w:rPr>
      </w:pPr>
      <w:r w:rsidRPr="004620D0">
        <w:rPr>
          <w:rFonts w:ascii="Times New Roman" w:hAnsi="Times New Roman" w:cs="Times New Roman"/>
          <w:i/>
        </w:rPr>
        <w:t>Department of Materials Science and Engineering, National Yang Ming Chiao Tung University, Hsinchu 30010, Taiwan</w:t>
      </w:r>
    </w:p>
    <w:p w:rsidR="00834A2A" w:rsidRPr="004620D0" w:rsidRDefault="00834A2A" w:rsidP="00834A2A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i/>
        </w:rPr>
      </w:pPr>
      <w:r w:rsidRPr="004620D0">
        <w:rPr>
          <w:rFonts w:ascii="Times New Roman" w:hAnsi="Times New Roman" w:cs="Times New Roman"/>
          <w:i/>
        </w:rPr>
        <w:t>Corporate Research, Taiwan Semiconductor Manufacturing Company North America, San Jose 95134, USA</w:t>
      </w:r>
    </w:p>
    <w:p w:rsidR="00834A2A" w:rsidRDefault="00834A2A" w:rsidP="00834A2A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i/>
        </w:rPr>
      </w:pPr>
      <w:r w:rsidRPr="004620D0">
        <w:rPr>
          <w:rFonts w:ascii="Times New Roman" w:hAnsi="Times New Roman" w:cs="Times New Roman"/>
          <w:i/>
        </w:rPr>
        <w:t>Corporate Research, Taiwan Semiconductor Manufacturing Company, Hsinchu 30078, Taiwan</w:t>
      </w:r>
    </w:p>
    <w:p w:rsidR="00597A84" w:rsidRPr="00597A84" w:rsidRDefault="00597A84" w:rsidP="00597A84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i/>
        </w:rPr>
      </w:pPr>
      <w:r w:rsidRPr="0010404F">
        <w:rPr>
          <w:rFonts w:ascii="Times New Roman" w:hAnsi="Times New Roman" w:cs="Times New Roman"/>
          <w:i/>
        </w:rPr>
        <w:t>National Synchrotron Radiation Research Center, Hsinchu, 30076, Taiwan</w:t>
      </w:r>
    </w:p>
    <w:p w:rsidR="00834A2A" w:rsidRPr="004620D0" w:rsidRDefault="00834A2A" w:rsidP="00834A2A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i/>
        </w:rPr>
      </w:pPr>
      <w:r w:rsidRPr="004620D0">
        <w:rPr>
          <w:rFonts w:ascii="Times New Roman" w:hAnsi="Times New Roman" w:cs="Times New Roman"/>
          <w:i/>
        </w:rPr>
        <w:t xml:space="preserve">Department of Materials Science and Engineering, National Chung </w:t>
      </w:r>
      <w:proofErr w:type="spellStart"/>
      <w:r w:rsidRPr="004620D0">
        <w:rPr>
          <w:rFonts w:ascii="Times New Roman" w:hAnsi="Times New Roman" w:cs="Times New Roman"/>
          <w:i/>
        </w:rPr>
        <w:t>Hsing</w:t>
      </w:r>
      <w:proofErr w:type="spellEnd"/>
      <w:r w:rsidRPr="004620D0">
        <w:rPr>
          <w:rFonts w:ascii="Times New Roman" w:hAnsi="Times New Roman" w:cs="Times New Roman"/>
          <w:i/>
        </w:rPr>
        <w:t xml:space="preserve"> University, Taichung 40227, Taiwan</w:t>
      </w:r>
    </w:p>
    <w:p w:rsidR="00834A2A" w:rsidRPr="004620D0" w:rsidRDefault="00834A2A" w:rsidP="00834A2A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i/>
        </w:rPr>
      </w:pPr>
      <w:r w:rsidRPr="004620D0">
        <w:rPr>
          <w:rFonts w:ascii="Times New Roman" w:hAnsi="Times New Roman" w:cs="Times New Roman"/>
          <w:i/>
        </w:rPr>
        <w:t>Electronic and Optoelectronic System Research Laboratories, Industrial Technology Research Institute, Hsinchu, Taiwan</w:t>
      </w:r>
    </w:p>
    <w:p w:rsidR="00834A2A" w:rsidRPr="004620D0" w:rsidRDefault="00834A2A" w:rsidP="00834A2A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i/>
        </w:rPr>
      </w:pPr>
      <w:r w:rsidRPr="004620D0">
        <w:rPr>
          <w:rFonts w:ascii="Times New Roman" w:hAnsi="Times New Roman" w:cs="Times New Roman"/>
          <w:i/>
        </w:rPr>
        <w:t>Department of Materials Science and Engineering, Stanford University, Stanford, CA, USA</w:t>
      </w:r>
    </w:p>
    <w:p w:rsidR="00834A2A" w:rsidRPr="004620D0" w:rsidRDefault="00834A2A" w:rsidP="00834A2A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i/>
        </w:rPr>
      </w:pPr>
      <w:r w:rsidRPr="004620D0">
        <w:rPr>
          <w:rFonts w:ascii="Times New Roman" w:hAnsi="Times New Roman" w:cs="Times New Roman"/>
          <w:i/>
        </w:rPr>
        <w:t>Department of Electrical Engineering, Stanford University, Stanford, CA, USA</w:t>
      </w:r>
    </w:p>
    <w:p w:rsidR="00AA0C8B" w:rsidRPr="004620D0" w:rsidRDefault="00AA0C8B" w:rsidP="00AA0C8B">
      <w:pPr>
        <w:pStyle w:val="NormalWeb"/>
      </w:pPr>
    </w:p>
    <w:p w:rsidR="00AA0C8B" w:rsidRPr="00AA0C8B" w:rsidRDefault="00AA0C8B" w:rsidP="00AA0C8B">
      <w:pPr>
        <w:pBdr>
          <w:bottom w:val="single" w:sz="12" w:space="6" w:color="D5D5D5"/>
        </w:pBdr>
        <w:shd w:val="clear" w:color="auto" w:fill="FFFFFF"/>
        <w:outlineLvl w:val="1"/>
        <w:rPr>
          <w:rFonts w:ascii="Times New Roman" w:eastAsia="Times New Roman" w:hAnsi="Times New Roman" w:cs="Times New Roman"/>
          <w:b/>
          <w:bCs/>
          <w:color w:val="222222"/>
          <w:kern w:val="0"/>
          <w:sz w:val="36"/>
          <w:szCs w:val="36"/>
          <w14:ligatures w14:val="none"/>
        </w:rPr>
      </w:pPr>
      <w:r w:rsidRPr="00AA0C8B">
        <w:rPr>
          <w:rFonts w:ascii="Times New Roman" w:eastAsia="Times New Roman" w:hAnsi="Times New Roman" w:cs="Times New Roman"/>
          <w:b/>
          <w:bCs/>
          <w:color w:val="222222"/>
          <w:kern w:val="0"/>
          <w:sz w:val="36"/>
          <w:szCs w:val="36"/>
          <w14:ligatures w14:val="none"/>
        </w:rPr>
        <w:t>Methods</w:t>
      </w:r>
    </w:p>
    <w:p w:rsidR="00AA0C8B" w:rsidRPr="004620D0" w:rsidRDefault="00AA0C8B" w:rsidP="00AA0C8B">
      <w:pPr>
        <w:pStyle w:val="NormalWeb"/>
        <w:rPr>
          <w:b/>
          <w:bCs/>
        </w:rPr>
      </w:pPr>
      <w:r w:rsidRPr="004620D0">
        <w:rPr>
          <w:b/>
          <w:bCs/>
        </w:rPr>
        <w:t xml:space="preserve">Sample growth and thin film characterization </w:t>
      </w:r>
    </w:p>
    <w:p w:rsidR="00AA0C8B" w:rsidRPr="004620D0" w:rsidRDefault="00784B92" w:rsidP="00AA0C8B">
      <w:pPr>
        <w:pStyle w:val="NormalWeb"/>
      </w:pPr>
      <w:r>
        <w:t xml:space="preserve">The </w:t>
      </w:r>
      <w:proofErr w:type="gramStart"/>
      <w:r>
        <w:t>tungsten based</w:t>
      </w:r>
      <w:proofErr w:type="gramEnd"/>
      <w:r>
        <w:t xml:space="preserve"> film stacks</w:t>
      </w:r>
      <w:r w:rsidR="00AA0C8B" w:rsidRPr="004620D0">
        <w:t xml:space="preserve"> for the </w:t>
      </w:r>
      <w:proofErr w:type="spellStart"/>
      <w:r w:rsidR="00AA0C8B" w:rsidRPr="004620D0">
        <w:t>magnetotransport</w:t>
      </w:r>
      <w:proofErr w:type="spellEnd"/>
      <w:r w:rsidR="00AA0C8B" w:rsidRPr="004620D0">
        <w:t>, SOT characterization and magnetization switching were grown on Si/SiO</w:t>
      </w:r>
      <w:r w:rsidR="00AA0C8B" w:rsidRPr="004620D0">
        <w:rPr>
          <w:vertAlign w:val="subscript"/>
        </w:rPr>
        <w:t>2</w:t>
      </w:r>
      <w:r w:rsidR="00AA0C8B" w:rsidRPr="004620D0">
        <w:t xml:space="preserve"> substrate at room temperature then field annealed at 400℃ for 30 mins at the MRAM facilities at Electronic and Optoelectronic System Research Laboratories, Industrial Technology Research Institute, Hsinchu, Taiwan.</w:t>
      </w:r>
    </w:p>
    <w:p w:rsidR="00A26570" w:rsidRDefault="00AA0C8B" w:rsidP="00AA0C8B">
      <w:pPr>
        <w:pStyle w:val="NormalWeb"/>
      </w:pPr>
      <w:r w:rsidRPr="004620D0">
        <w:lastRenderedPageBreak/>
        <w:t xml:space="preserve">Thin sections for TEM were prepared by a focused ion beam in an FEI Helios </w:t>
      </w:r>
      <w:proofErr w:type="spellStart"/>
      <w:r w:rsidRPr="004620D0">
        <w:t>Nanolab</w:t>
      </w:r>
      <w:proofErr w:type="spellEnd"/>
      <w:r w:rsidRPr="004620D0">
        <w:t xml:space="preserve"> 660 TEM analysis was carried out with a Hitachi HF-5000 equipped with a probe aberration corrector, under 200 kV. Bright field, secondary electron and annular (both medium- and high-angle) dark-field images were captured simultaneously in scanning TEM mode. High-resolution energy-dispersive X-ray spectroscopy mapping and line scans were performed with an Oxford Instruments large solid angle (2.0 </w:t>
      </w:r>
      <w:proofErr w:type="spellStart"/>
      <w:r w:rsidRPr="004620D0">
        <w:t>sr</w:t>
      </w:r>
      <w:proofErr w:type="spellEnd"/>
      <w:r w:rsidRPr="004620D0">
        <w:t>) dual windowless detector</w:t>
      </w:r>
      <w:r w:rsidR="00784B92">
        <w:t xml:space="preserve"> supported by </w:t>
      </w:r>
      <w:proofErr w:type="spellStart"/>
      <w:r w:rsidR="00784B92">
        <w:t>tsmc</w:t>
      </w:r>
      <w:proofErr w:type="spellEnd"/>
      <w:r w:rsidRPr="004620D0">
        <w:t xml:space="preserve">. </w:t>
      </w:r>
    </w:p>
    <w:p w:rsidR="00DD7463" w:rsidRPr="004620D0" w:rsidRDefault="00DD7463" w:rsidP="00AA0C8B">
      <w:pPr>
        <w:pStyle w:val="NormalWeb"/>
        <w:rPr>
          <w:b/>
          <w:bCs/>
        </w:rPr>
      </w:pPr>
      <w:r w:rsidRPr="004620D0">
        <w:rPr>
          <w:b/>
          <w:bCs/>
        </w:rPr>
        <w:t>Device fabrication and electrical characterization</w:t>
      </w:r>
    </w:p>
    <w:p w:rsidR="00DD7463" w:rsidRPr="004620D0" w:rsidRDefault="00DD7463" w:rsidP="00DD7463">
      <w:pPr>
        <w:pStyle w:val="NormalWeb"/>
      </w:pPr>
      <w:r w:rsidRPr="004620D0">
        <w:t>The process involved in preparing the thin films for magneto transport, Hall harmonic voltage, and magnetization switching experiments included patterning them into Hall bars using optical lithography (e-beam for MTJ devices). These Hall bars, utilized in the experiments, measured 10 </w:t>
      </w:r>
      <w:proofErr w:type="spellStart"/>
      <w:r w:rsidRPr="004620D0">
        <w:t>μm</w:t>
      </w:r>
      <w:proofErr w:type="spellEnd"/>
      <w:r w:rsidRPr="004620D0">
        <w:t xml:space="preserve"> in width and 1</w:t>
      </w:r>
      <w:r w:rsidR="002B2F89" w:rsidRPr="004620D0">
        <w:t>1</w:t>
      </w:r>
      <w:r w:rsidRPr="004620D0">
        <w:t>0 </w:t>
      </w:r>
      <w:proofErr w:type="spellStart"/>
      <w:r w:rsidRPr="004620D0">
        <w:t>μm</w:t>
      </w:r>
      <w:proofErr w:type="spellEnd"/>
      <w:r w:rsidRPr="004620D0">
        <w:t xml:space="preserve"> in length, with a separation of 37 </w:t>
      </w:r>
      <w:proofErr w:type="spellStart"/>
      <w:r w:rsidRPr="004620D0">
        <w:t>μm</w:t>
      </w:r>
      <w:proofErr w:type="spellEnd"/>
      <w:r w:rsidRPr="004620D0">
        <w:t xml:space="preserve"> between the Hall crosses within the device. For ST-FMR measurements, the thin films were patterned into rectangular strips measuring </w:t>
      </w:r>
      <w:r w:rsidR="00836F7F" w:rsidRPr="004620D0">
        <w:t>1</w:t>
      </w:r>
      <w:r w:rsidR="002B2F89" w:rsidRPr="004620D0">
        <w:t>0</w:t>
      </w:r>
      <w:r w:rsidRPr="004620D0">
        <w:t> </w:t>
      </w:r>
      <w:proofErr w:type="spellStart"/>
      <w:r w:rsidRPr="004620D0">
        <w:t>μm</w:t>
      </w:r>
      <w:proofErr w:type="spellEnd"/>
      <w:r w:rsidRPr="004620D0">
        <w:t xml:space="preserve"> in length and </w:t>
      </w:r>
      <w:r w:rsidR="00836F7F" w:rsidRPr="004620D0">
        <w:t>4</w:t>
      </w:r>
      <w:r w:rsidRPr="004620D0">
        <w:t>0 </w:t>
      </w:r>
      <w:proofErr w:type="spellStart"/>
      <w:r w:rsidRPr="004620D0">
        <w:t>μm</w:t>
      </w:r>
      <w:proofErr w:type="spellEnd"/>
      <w:r w:rsidRPr="004620D0">
        <w:t xml:space="preserve"> in width. </w:t>
      </w:r>
    </w:p>
    <w:p w:rsidR="003209AA" w:rsidRDefault="00DD7463" w:rsidP="00DD7463">
      <w:pPr>
        <w:pStyle w:val="NormalWeb"/>
      </w:pPr>
      <w:r w:rsidRPr="004620D0">
        <w:t xml:space="preserve">Following the initial photolithography step, a precision argon ion mill was employed to precisely define the device geometry. Subsequently, </w:t>
      </w:r>
      <w:proofErr w:type="spellStart"/>
      <w:r w:rsidRPr="004620D0">
        <w:t>Ti</w:t>
      </w:r>
      <w:proofErr w:type="spellEnd"/>
      <w:r w:rsidRPr="004620D0">
        <w:t xml:space="preserve"> (10 nm)/Au (1</w:t>
      </w:r>
      <w:r w:rsidR="00597A84">
        <w:t>2</w:t>
      </w:r>
      <w:r w:rsidRPr="004620D0">
        <w:t xml:space="preserve">0 nm) thick electrical contacts were deposited after the second lithography step using a KJL e-beam evaporator. </w:t>
      </w:r>
    </w:p>
    <w:p w:rsidR="00AA0C8B" w:rsidRPr="004620D0" w:rsidRDefault="00DD7463" w:rsidP="00DD7463">
      <w:pPr>
        <w:pStyle w:val="NormalWeb"/>
      </w:pPr>
      <w:r w:rsidRPr="004620D0">
        <w:t xml:space="preserve">For voltage and current measurements, two </w:t>
      </w:r>
      <w:r w:rsidR="00836F7F" w:rsidRPr="004620D0">
        <w:t>lock-in amplifier</w:t>
      </w:r>
      <w:r w:rsidR="008D3FC4" w:rsidRPr="004620D0">
        <w:t>s</w:t>
      </w:r>
      <w:r w:rsidR="00836F7F" w:rsidRPr="004620D0">
        <w:t xml:space="preserve"> </w:t>
      </w:r>
      <w:r w:rsidRPr="004620D0">
        <w:t>SR</w:t>
      </w:r>
      <w:r w:rsidR="00836F7F" w:rsidRPr="004620D0">
        <w:t>-</w:t>
      </w:r>
      <w:r w:rsidRPr="004620D0">
        <w:t xml:space="preserve">830 and a </w:t>
      </w:r>
      <w:r w:rsidR="008D3FC4" w:rsidRPr="004620D0">
        <w:t xml:space="preserve">Keithley </w:t>
      </w:r>
      <w:r w:rsidRPr="004620D0">
        <w:t xml:space="preserve">6221 current source were used to probe the first and second harmonic </w:t>
      </w:r>
      <w:r w:rsidR="00E07155">
        <w:t xml:space="preserve">Hall </w:t>
      </w:r>
      <w:r w:rsidRPr="004620D0">
        <w:t>voltage and supply current</w:t>
      </w:r>
      <w:r w:rsidR="00E07155">
        <w:t xml:space="preserve"> with a frequency of </w:t>
      </w:r>
      <w:r w:rsidR="00E07155" w:rsidRPr="008128F3">
        <w:t>191 Hz</w:t>
      </w:r>
      <w:r w:rsidRPr="004620D0">
        <w:t xml:space="preserve">, respectively. Additionally, an Agilent HP 83620B served to supply radiofrequency current for the ST-FMR measurements, while the </w:t>
      </w:r>
      <w:proofErr w:type="spellStart"/>
      <w:r w:rsidRPr="004620D0">
        <w:t>d.c.</w:t>
      </w:r>
      <w:proofErr w:type="spellEnd"/>
      <w:r w:rsidRPr="004620D0">
        <w:t xml:space="preserve"> voltage was measured with a Keithley 2000 </w:t>
      </w:r>
      <w:proofErr w:type="spellStart"/>
      <w:r w:rsidR="00A765BF">
        <w:t>voltagemeter</w:t>
      </w:r>
      <w:proofErr w:type="spellEnd"/>
      <w:r w:rsidRPr="004620D0">
        <w:t>.</w:t>
      </w:r>
    </w:p>
    <w:p w:rsidR="004620D0" w:rsidRPr="004620D0" w:rsidRDefault="004620D0" w:rsidP="00DD7463">
      <w:pPr>
        <w:pStyle w:val="NormalWeb"/>
        <w:rPr>
          <w:b/>
          <w:bCs/>
        </w:rPr>
      </w:pPr>
      <w:r w:rsidRPr="004620D0">
        <w:rPr>
          <w:rFonts w:eastAsia="PingFang TC"/>
          <w:b/>
          <w:bCs/>
        </w:rPr>
        <w:t>Nanodiffraction</w:t>
      </w:r>
    </w:p>
    <w:p w:rsidR="004620D0" w:rsidRPr="004620D0" w:rsidRDefault="004620D0" w:rsidP="004620D0">
      <w:pPr>
        <w:jc w:val="both"/>
        <w:rPr>
          <w:rFonts w:ascii="Times New Roman" w:hAnsi="Times New Roman" w:cs="Times New Roman"/>
        </w:rPr>
      </w:pPr>
      <w:r w:rsidRPr="004620D0">
        <w:rPr>
          <w:rFonts w:ascii="Times New Roman" w:hAnsi="Times New Roman" w:cs="Times New Roman"/>
        </w:rPr>
        <w:t xml:space="preserve">The crystal structure and orientation distribution of W films were identified through synchrotron-based nano-diffraction techniques at Taiwan Photon Source (TPS) beamline 21A at National Synchrotron Radiation Research Center (NSRRC). Before the measurements, an online real-time FESEM instrument as a navigator is used to position the observed regions. </w:t>
      </w:r>
      <w:r w:rsidRPr="004620D0">
        <w:rPr>
          <w:rFonts w:ascii="Times New Roman" w:hAnsi="Times New Roman" w:cs="Times New Roman"/>
          <w:kern w:val="0"/>
        </w:rPr>
        <w:t>A spot of size 90 x 90 nm</w:t>
      </w:r>
      <w:r w:rsidRPr="004620D0">
        <w:rPr>
          <w:rFonts w:ascii="Times New Roman" w:hAnsi="Times New Roman" w:cs="Times New Roman"/>
          <w:kern w:val="0"/>
          <w:vertAlign w:val="superscript"/>
        </w:rPr>
        <w:t>2</w:t>
      </w:r>
      <w:r w:rsidRPr="004620D0">
        <w:rPr>
          <w:rFonts w:ascii="Times New Roman" w:hAnsi="Times New Roman" w:cs="Times New Roman"/>
          <w:kern w:val="0"/>
        </w:rPr>
        <w:t xml:space="preserve"> using </w:t>
      </w:r>
      <w:r w:rsidRPr="004620D0">
        <w:rPr>
          <w:rFonts w:ascii="Times New Roman" w:hAnsi="Times New Roman" w:cs="Times New Roman"/>
        </w:rPr>
        <w:t>m</w:t>
      </w:r>
      <w:r w:rsidRPr="004620D0">
        <w:rPr>
          <w:rFonts w:ascii="Times New Roman" w:hAnsi="Times New Roman" w:cs="Times New Roman"/>
          <w:kern w:val="0"/>
        </w:rPr>
        <w:t>onochromatic X-rays was focused on the same areas</w:t>
      </w:r>
      <w:r w:rsidRPr="004620D0">
        <w:rPr>
          <w:rFonts w:ascii="Times New Roman" w:hAnsi="Times New Roman" w:cs="Times New Roman"/>
        </w:rPr>
        <w:t xml:space="preserve"> as in FESEM to collect the following spatial diffraction maps of W films. To better collect the diffraction signal for different W phases, wavelengths of 1.6316 Å and 1.5215 Å were adopted to measure the composite-W and single-layer-W films, respectively. </w:t>
      </w:r>
    </w:p>
    <w:p w:rsidR="00AA0C8B" w:rsidRPr="004620D0" w:rsidRDefault="00AA0C8B" w:rsidP="00C5319B">
      <w:pPr>
        <w:pStyle w:val="NormalWeb"/>
        <w:jc w:val="center"/>
        <w:rPr>
          <w:lang w:val="en-TW"/>
        </w:rPr>
      </w:pPr>
    </w:p>
    <w:p w:rsidR="00AA0C8B" w:rsidRPr="004620D0" w:rsidRDefault="00AA0C8B" w:rsidP="00C5319B">
      <w:pPr>
        <w:pStyle w:val="NormalWeb"/>
        <w:jc w:val="center"/>
      </w:pPr>
    </w:p>
    <w:p w:rsidR="00AA0C8B" w:rsidRPr="004620D0" w:rsidRDefault="00AA0C8B" w:rsidP="00C5319B">
      <w:pPr>
        <w:pStyle w:val="NormalWeb"/>
        <w:jc w:val="center"/>
      </w:pPr>
    </w:p>
    <w:p w:rsidR="00834A2A" w:rsidRPr="004620D0" w:rsidRDefault="00C5319B" w:rsidP="00C5319B">
      <w:pPr>
        <w:pStyle w:val="NormalWeb"/>
        <w:jc w:val="center"/>
      </w:pPr>
      <w:r w:rsidRPr="004620D0">
        <w:rPr>
          <w:noProof/>
          <w:lang w:val="en-TW"/>
        </w:rPr>
        <w:lastRenderedPageBreak/>
        <w:drawing>
          <wp:inline distT="0" distB="0" distL="0" distR="0" wp14:anchorId="2630E121" wp14:editId="79655B5B">
            <wp:extent cx="4336473" cy="3274593"/>
            <wp:effectExtent l="0" t="0" r="0" b="2540"/>
            <wp:docPr id="2282329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232948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79331" cy="33069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319B" w:rsidRPr="004620D0" w:rsidRDefault="00C5319B" w:rsidP="00AE7894">
      <w:pPr>
        <w:pStyle w:val="NormalWeb"/>
        <w:jc w:val="both"/>
        <w:rPr>
          <w:b/>
          <w:bCs/>
        </w:rPr>
      </w:pPr>
      <w:r w:rsidRPr="004620D0">
        <w:rPr>
          <w:b/>
          <w:bCs/>
        </w:rPr>
        <w:t>Figure S1. Gracing incident X-ray diffraction patterns of single-layer-W and composite-W samples.</w:t>
      </w:r>
    </w:p>
    <w:p w:rsidR="00834A2A" w:rsidRPr="004620D0" w:rsidRDefault="00A521B0" w:rsidP="00AE7894">
      <w:pPr>
        <w:pStyle w:val="NormalWeb"/>
        <w:jc w:val="both"/>
      </w:pPr>
      <w:r w:rsidRPr="004620D0">
        <w:rPr>
          <w:noProof/>
          <w:lang w:val="en-TW"/>
        </w:rPr>
        <w:drawing>
          <wp:inline distT="0" distB="0" distL="0" distR="0" wp14:anchorId="59D582D4" wp14:editId="7111A512">
            <wp:extent cx="5943600" cy="3315970"/>
            <wp:effectExtent l="0" t="0" r="0" b="0"/>
            <wp:docPr id="19670886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7088698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1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21B0" w:rsidRPr="004620D0" w:rsidRDefault="00A521B0" w:rsidP="00A521B0">
      <w:pPr>
        <w:pStyle w:val="NormalWeb"/>
        <w:jc w:val="both"/>
        <w:rPr>
          <w:b/>
          <w:bCs/>
        </w:rPr>
      </w:pPr>
      <w:r w:rsidRPr="004620D0">
        <w:rPr>
          <w:b/>
          <w:bCs/>
        </w:rPr>
        <w:t>Figure S2.</w:t>
      </w:r>
      <w:r w:rsidRPr="004620D0">
        <w:rPr>
          <w:rFonts w:eastAsiaTheme="minorEastAsia"/>
          <w:b/>
          <w:bCs/>
          <w:color w:val="000000" w:themeColor="text1"/>
          <w:kern w:val="24"/>
          <w:sz w:val="36"/>
          <w:szCs w:val="36"/>
        </w:rPr>
        <w:t xml:space="preserve"> </w:t>
      </w:r>
      <w:r w:rsidRPr="004620D0">
        <w:rPr>
          <w:b/>
          <w:bCs/>
        </w:rPr>
        <w:t xml:space="preserve">Power dependence on ST-FMR spectrum. </w:t>
      </w:r>
    </w:p>
    <w:p w:rsidR="00FF2B22" w:rsidRPr="004620D0" w:rsidRDefault="00591295" w:rsidP="00A521B0">
      <w:pPr>
        <w:pStyle w:val="NormalWeb"/>
        <w:jc w:val="both"/>
        <w:rPr>
          <w:lang w:val="en-TW"/>
        </w:rPr>
      </w:pPr>
      <w:r w:rsidRPr="004620D0">
        <w:rPr>
          <w:noProof/>
          <w:lang w:val="en-TW"/>
        </w:rPr>
        <w:lastRenderedPageBreak/>
        <w:drawing>
          <wp:inline distT="0" distB="0" distL="0" distR="0" wp14:anchorId="32536A25" wp14:editId="12437E89">
            <wp:extent cx="5943600" cy="6381115"/>
            <wp:effectExtent l="0" t="0" r="0" b="0"/>
            <wp:docPr id="2289917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99179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381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2B22" w:rsidRPr="004620D0" w:rsidRDefault="00FF2B22" w:rsidP="00A521B0">
      <w:pPr>
        <w:pStyle w:val="NormalWeb"/>
        <w:jc w:val="both"/>
      </w:pPr>
      <w:r w:rsidRPr="004620D0">
        <w:rPr>
          <w:b/>
          <w:bCs/>
        </w:rPr>
        <w:t>Figure S3. Harmonic Hall measurements of SOTs in the composite-W structures.</w:t>
      </w:r>
      <w:r w:rsidRPr="004620D0">
        <w:t xml:space="preserve"> a, Typical first harmonic Hall resistance under out-of-plane external field. b, Typical angular dependence of first harmonic Hall resistance</w:t>
      </w:r>
      <w:r w:rsidR="006D1A7D" w:rsidRPr="004620D0">
        <w:t>.</w:t>
      </w:r>
      <w:r w:rsidRPr="004620D0">
        <w:t xml:space="preserve"> </w:t>
      </w:r>
      <w:r w:rsidR="006D1A7D" w:rsidRPr="004620D0">
        <w:rPr>
          <w:b/>
          <w:bCs/>
        </w:rPr>
        <w:t xml:space="preserve">c </w:t>
      </w:r>
      <w:r w:rsidR="006D1A7D" w:rsidRPr="004620D0">
        <w:t xml:space="preserve">and </w:t>
      </w:r>
      <w:r w:rsidR="006D1A7D" w:rsidRPr="004620D0">
        <w:rPr>
          <w:b/>
          <w:bCs/>
        </w:rPr>
        <w:t>d</w:t>
      </w:r>
      <w:r w:rsidR="006D1A7D" w:rsidRPr="004620D0">
        <w:t xml:space="preserve">, </w:t>
      </w:r>
      <w:proofErr w:type="gramStart"/>
      <w:r w:rsidR="006D1A7D" w:rsidRPr="004620D0">
        <w:t>The</w:t>
      </w:r>
      <w:proofErr w:type="gramEnd"/>
      <w:r w:rsidR="006D1A7D" w:rsidRPr="004620D0">
        <w:t xml:space="preserve"> second harmonic Hall resistance measured from two different device geometry shown in </w:t>
      </w:r>
      <w:r w:rsidR="006D1A7D" w:rsidRPr="004620D0">
        <w:rPr>
          <w:b/>
          <w:bCs/>
        </w:rPr>
        <w:t>e</w:t>
      </w:r>
      <w:r w:rsidR="006D1A7D" w:rsidRPr="004620D0">
        <w:t xml:space="preserve">. Device 1 has current channel perpendicular to the field annealing direction, and device 2 has the current passing parallel to the field annealing direction. </w:t>
      </w:r>
      <w:r w:rsidR="005941AA" w:rsidRPr="004620D0">
        <w:rPr>
          <w:b/>
          <w:bCs/>
        </w:rPr>
        <w:t>f</w:t>
      </w:r>
      <w:r w:rsidR="005941AA" w:rsidRPr="004620D0">
        <w:t xml:space="preserve">, </w:t>
      </w:r>
      <w:proofErr w:type="gramStart"/>
      <w:r w:rsidR="005941AA" w:rsidRPr="004620D0">
        <w:t>The</w:t>
      </w:r>
      <w:proofErr w:type="gramEnd"/>
      <w:r w:rsidR="005941AA" w:rsidRPr="004620D0">
        <w:t xml:space="preserve"> tungsten texture revealed by nano-X-ray diffraction mapping.</w:t>
      </w:r>
    </w:p>
    <w:p w:rsidR="00834A2A" w:rsidRPr="004620D0" w:rsidRDefault="00000000" w:rsidP="00AE7894">
      <w:pPr>
        <w:pStyle w:val="NormalWeb"/>
        <w:jc w:val="both"/>
        <w:rPr>
          <w:lang w:val="en-TW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iCs/>
                  <w:color w:val="000000"/>
                  <w:kern w:val="24"/>
                </w:rPr>
              </m:ctrlPr>
            </m:sSubPr>
            <m:e>
              <m:r>
                <w:rPr>
                  <w:rFonts w:ascii="Cambria Math" w:hAnsi="Cambria Math"/>
                  <w:color w:val="000000"/>
                  <w:kern w:val="24"/>
                </w:rPr>
                <m:t>R</m:t>
              </m:r>
            </m:e>
            <m:sub>
              <m:r>
                <w:rPr>
                  <w:rFonts w:ascii="Cambria Math" w:hAnsi="Cambria Math"/>
                  <w:color w:val="000000"/>
                  <w:kern w:val="24"/>
                </w:rPr>
                <m:t>H,2ω</m:t>
              </m:r>
            </m:sub>
          </m:sSub>
          <m:r>
            <w:rPr>
              <w:rFonts w:ascii="Cambria Math" w:hAnsi="Cambria Math"/>
              <w:color w:val="000000"/>
              <w:kern w:val="24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color w:val="000000"/>
                  <w:kern w:val="24"/>
                </w:rPr>
              </m:ctrlPr>
            </m:sSubPr>
            <m:e>
              <m:r>
                <w:rPr>
                  <w:rFonts w:ascii="Cambria Math" w:hAnsi="Cambria Math"/>
                  <w:color w:val="000000"/>
                  <w:kern w:val="24"/>
                </w:rPr>
                <m:t>R</m:t>
              </m:r>
            </m:e>
            <m:sub>
              <m:r>
                <w:rPr>
                  <w:rFonts w:ascii="Cambria Math" w:hAnsi="Cambria Math"/>
                  <w:color w:val="000000"/>
                  <w:kern w:val="24"/>
                </w:rPr>
                <m:t>AD,x</m:t>
              </m:r>
            </m:sub>
          </m:sSub>
          <m:r>
            <m:rPr>
              <m:sty m:val="p"/>
            </m:rPr>
            <w:rPr>
              <w:rFonts w:ascii="Cambria Math" w:hAnsi="Cambria Math"/>
              <w:color w:val="000000"/>
              <w:kern w:val="24"/>
            </w:rPr>
            <m:t>sin</m:t>
          </m:r>
          <m:r>
            <w:rPr>
              <w:rFonts w:ascii="Cambria Math" w:hAnsi="Cambria Math"/>
              <w:color w:val="000000"/>
              <w:kern w:val="24"/>
            </w:rPr>
            <m:t>φ+</m:t>
          </m:r>
          <m:sSub>
            <m:sSubPr>
              <m:ctrlPr>
                <w:rPr>
                  <w:rFonts w:ascii="Cambria Math" w:hAnsi="Cambria Math"/>
                  <w:i/>
                  <w:color w:val="000000"/>
                  <w:kern w:val="24"/>
                </w:rPr>
              </m:ctrlPr>
            </m:sSubPr>
            <m:e>
              <m:r>
                <w:rPr>
                  <w:rFonts w:ascii="Cambria Math" w:hAnsi="Cambria Math"/>
                  <w:color w:val="000000"/>
                  <w:kern w:val="24"/>
                </w:rPr>
                <m:t>R</m:t>
              </m:r>
            </m:e>
            <m:sub>
              <m:r>
                <w:rPr>
                  <w:rFonts w:ascii="Cambria Math" w:hAnsi="Cambria Math"/>
                  <w:color w:val="000000"/>
                  <w:kern w:val="24"/>
                </w:rPr>
                <m:t>AD,y</m:t>
              </m:r>
            </m:sub>
          </m:sSub>
          <m:r>
            <m:rPr>
              <m:sty m:val="p"/>
            </m:rPr>
            <w:rPr>
              <w:rFonts w:ascii="Cambria Math" w:hAnsi="Cambria Math"/>
              <w:color w:val="000000"/>
              <w:kern w:val="24"/>
            </w:rPr>
            <m:t>cos</m:t>
          </m:r>
          <m:r>
            <w:rPr>
              <w:rFonts w:ascii="Cambria Math" w:hAnsi="Cambria Math"/>
              <w:color w:val="000000"/>
              <w:kern w:val="24"/>
            </w:rPr>
            <m:t>φ+</m:t>
          </m:r>
          <m:sSub>
            <m:sSubPr>
              <m:ctrlPr>
                <w:rPr>
                  <w:rFonts w:ascii="Cambria Math" w:hAnsi="Cambria Math"/>
                  <w:i/>
                  <w:color w:val="000000"/>
                  <w:kern w:val="24"/>
                </w:rPr>
              </m:ctrlPr>
            </m:sSubPr>
            <m:e>
              <m:r>
                <w:rPr>
                  <w:rFonts w:ascii="Cambria Math" w:hAnsi="Cambria Math"/>
                  <w:color w:val="000000"/>
                  <w:kern w:val="24"/>
                </w:rPr>
                <m:t>R</m:t>
              </m:r>
            </m:e>
            <m:sub>
              <m:r>
                <w:rPr>
                  <w:rFonts w:ascii="Cambria Math" w:hAnsi="Cambria Math"/>
                  <w:color w:val="000000"/>
                  <w:kern w:val="24"/>
                </w:rPr>
                <m:t>AD,z</m:t>
              </m:r>
            </m:sub>
          </m:sSub>
          <m:r>
            <m:rPr>
              <m:sty m:val="p"/>
            </m:rPr>
            <w:rPr>
              <w:rFonts w:ascii="Cambria Math" w:hAnsi="Cambria Math"/>
              <w:color w:val="000000"/>
              <w:kern w:val="24"/>
            </w:rPr>
            <m:t>cos2</m:t>
          </m:r>
          <m:r>
            <w:rPr>
              <w:rFonts w:ascii="Cambria Math" w:hAnsi="Cambria Math"/>
              <w:color w:val="000000"/>
              <w:kern w:val="24"/>
            </w:rPr>
            <m:t>φ+</m:t>
          </m:r>
          <m:sSub>
            <m:sSubPr>
              <m:ctrlPr>
                <w:rPr>
                  <w:rFonts w:ascii="Cambria Math" w:hAnsi="Cambria Math"/>
                  <w:i/>
                  <w:color w:val="000000"/>
                  <w:kern w:val="24"/>
                </w:rPr>
              </m:ctrlPr>
            </m:sSubPr>
            <m:e>
              <m:r>
                <w:rPr>
                  <w:rFonts w:ascii="Cambria Math" w:hAnsi="Cambria Math"/>
                  <w:color w:val="000000"/>
                  <w:kern w:val="24"/>
                </w:rPr>
                <m:t>R</m:t>
              </m:r>
            </m:e>
            <m:sub>
              <m:r>
                <w:rPr>
                  <w:rFonts w:ascii="Cambria Math" w:hAnsi="Cambria Math"/>
                  <w:color w:val="000000"/>
                  <w:kern w:val="24"/>
                </w:rPr>
                <m:t>FL,x</m:t>
              </m:r>
            </m:sub>
          </m:sSub>
          <m:r>
            <m:rPr>
              <m:sty m:val="p"/>
            </m:rPr>
            <w:rPr>
              <w:rFonts w:ascii="Cambria Math" w:hAnsi="Cambria Math"/>
              <w:color w:val="000000"/>
              <w:kern w:val="24"/>
            </w:rPr>
            <m:t>cos2</m:t>
          </m:r>
          <m:r>
            <w:rPr>
              <w:rFonts w:ascii="Cambria Math" w:hAnsi="Cambria Math"/>
              <w:color w:val="000000"/>
              <w:kern w:val="24"/>
            </w:rPr>
            <m:t>φ</m:t>
          </m:r>
          <m:r>
            <m:rPr>
              <m:sty m:val="p"/>
            </m:rPr>
            <w:rPr>
              <w:rFonts w:ascii="Cambria Math" w:hAnsi="Cambria Math"/>
              <w:color w:val="000000"/>
              <w:kern w:val="24"/>
            </w:rPr>
            <m:t>sin</m:t>
          </m:r>
          <m:r>
            <w:rPr>
              <w:rFonts w:ascii="Cambria Math" w:hAnsi="Cambria Math"/>
              <w:color w:val="000000"/>
              <w:kern w:val="24"/>
            </w:rPr>
            <m:t>φ+</m:t>
          </m:r>
          <m:sSub>
            <m:sSubPr>
              <m:ctrlPr>
                <w:rPr>
                  <w:rFonts w:ascii="Cambria Math" w:hAnsi="Cambria Math"/>
                  <w:i/>
                  <w:color w:val="000000"/>
                  <w:kern w:val="24"/>
                </w:rPr>
              </m:ctrlPr>
            </m:sSubPr>
            <m:e>
              <m:r>
                <w:rPr>
                  <w:rFonts w:ascii="Cambria Math" w:hAnsi="Cambria Math"/>
                  <w:color w:val="000000"/>
                  <w:kern w:val="24"/>
                </w:rPr>
                <m:t>R</m:t>
              </m:r>
            </m:e>
            <m:sub>
              <m:r>
                <w:rPr>
                  <w:rFonts w:ascii="Cambria Math" w:hAnsi="Cambria Math"/>
                  <w:color w:val="000000"/>
                  <w:kern w:val="24"/>
                </w:rPr>
                <m:t>FL,y</m:t>
              </m:r>
            </m:sub>
          </m:sSub>
          <m:r>
            <m:rPr>
              <m:sty m:val="p"/>
            </m:rPr>
            <w:rPr>
              <w:rFonts w:ascii="Cambria Math" w:hAnsi="Cambria Math"/>
              <w:color w:val="000000"/>
              <w:kern w:val="24"/>
            </w:rPr>
            <m:t>cos2</m:t>
          </m:r>
          <m:r>
            <w:rPr>
              <w:rFonts w:ascii="Cambria Math" w:hAnsi="Cambria Math"/>
              <w:color w:val="000000"/>
              <w:kern w:val="24"/>
            </w:rPr>
            <m:t>φ</m:t>
          </m:r>
          <m:r>
            <m:rPr>
              <m:sty m:val="p"/>
            </m:rPr>
            <w:rPr>
              <w:rFonts w:ascii="Cambria Math" w:hAnsi="Cambria Math"/>
              <w:color w:val="000000"/>
              <w:kern w:val="24"/>
            </w:rPr>
            <m:t>cos</m:t>
          </m:r>
          <m:r>
            <w:rPr>
              <w:rFonts w:ascii="Cambria Math" w:hAnsi="Cambria Math"/>
              <w:color w:val="000000"/>
              <w:kern w:val="24"/>
            </w:rPr>
            <m:t>φ+</m:t>
          </m:r>
          <m:sSub>
            <m:sSubPr>
              <m:ctrlPr>
                <w:rPr>
                  <w:rFonts w:ascii="Cambria Math" w:hAnsi="Cambria Math"/>
                  <w:i/>
                  <w:color w:val="000000"/>
                  <w:kern w:val="24"/>
                </w:rPr>
              </m:ctrlPr>
            </m:sSubPr>
            <m:e>
              <m:r>
                <w:rPr>
                  <w:rFonts w:ascii="Cambria Math" w:hAnsi="Cambria Math"/>
                  <w:color w:val="000000"/>
                  <w:kern w:val="24"/>
                </w:rPr>
                <m:t>R</m:t>
              </m:r>
            </m:e>
            <m:sub>
              <m:r>
                <w:rPr>
                  <w:rFonts w:ascii="Cambria Math" w:hAnsi="Cambria Math"/>
                  <w:color w:val="000000"/>
                  <w:kern w:val="24"/>
                </w:rPr>
                <m:t>FL,z</m:t>
              </m:r>
            </m:sub>
          </m:sSub>
        </m:oMath>
      </m:oMathPara>
    </w:p>
    <w:p w:rsidR="00AE7894" w:rsidRPr="004620D0" w:rsidRDefault="00AE7894" w:rsidP="00AE7894">
      <w:pPr>
        <w:pStyle w:val="NormalWeb"/>
        <w:jc w:val="both"/>
      </w:pPr>
      <w:r w:rsidRPr="004620D0">
        <w:lastRenderedPageBreak/>
        <w:t>Fig. 3</w:t>
      </w:r>
      <w:r w:rsidR="006D1A7D" w:rsidRPr="004620D0">
        <w:t>S</w:t>
      </w:r>
      <w:r w:rsidRPr="004620D0">
        <w:t xml:space="preserve"> illustrates the two devices we study here, in device 1(2), the current is running perpendicularly (parallelly) to the </w:t>
      </w:r>
      <w:r w:rsidR="00490B0D" w:rsidRPr="004620D0">
        <w:t xml:space="preserve">magnetic field </w:t>
      </w:r>
      <w:r w:rsidRPr="004620D0">
        <w:t xml:space="preserve">annealing direction. Fig. </w:t>
      </w:r>
      <w:r w:rsidR="00490B0D" w:rsidRPr="004620D0">
        <w:t>3S</w:t>
      </w:r>
      <w:r w:rsidRPr="004620D0">
        <w:t xml:space="preserve">c and d show the </w:t>
      </w:r>
      <w:r w:rsidRPr="004620D0">
        <w:rPr>
          <w:rFonts w:ascii="Cambria Math" w:hAnsi="Cambria Math" w:cs="Cambria Math"/>
        </w:rPr>
        <w:t>∅</w:t>
      </w:r>
      <w:r w:rsidRPr="004620D0">
        <w:t xml:space="preserve"> dependence of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1ω</m:t>
            </m:r>
          </m:sub>
          <m:sup>
            <m:r>
              <w:rPr>
                <w:rFonts w:ascii="Cambria Math" w:hAnsi="Cambria Math"/>
              </w:rPr>
              <m:t>xy</m:t>
            </m:r>
          </m:sup>
        </m:sSubSup>
      </m:oMath>
      <w:r w:rsidRPr="004620D0">
        <w:t xml:space="preserve"> and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2ω</m:t>
            </m:r>
          </m:sub>
          <m:sup>
            <m:r>
              <w:rPr>
                <w:rFonts w:ascii="Cambria Math" w:hAnsi="Cambria Math"/>
              </w:rPr>
              <m:t>xy</m:t>
            </m:r>
          </m:sup>
        </m:sSubSup>
      </m:oMath>
      <w:r w:rsidRPr="004620D0">
        <w:t xml:space="preserve">of device 1 fabricated on the 6.6-nm composite W sample, respectively, under </w:t>
      </w:r>
      <w:proofErr w:type="spellStart"/>
      <w:r w:rsidRPr="004620D0">
        <w:rPr>
          <w:i/>
        </w:rPr>
        <w:t>H</w:t>
      </w:r>
      <w:r w:rsidRPr="004620D0">
        <w:rPr>
          <w:i/>
          <w:vertAlign w:val="subscript"/>
        </w:rPr>
        <w:t>ext</w:t>
      </w:r>
      <w:proofErr w:type="spellEnd"/>
      <w:r w:rsidRPr="004620D0">
        <w:t xml:space="preserve"> = 0.155 T. We can obtain the </w:t>
      </w:r>
      <w:r w:rsidRPr="004620D0">
        <w:rPr>
          <w:i/>
        </w:rPr>
        <w:t>R</w:t>
      </w:r>
      <w:r w:rsidRPr="004620D0">
        <w:rPr>
          <w:i/>
          <w:vertAlign w:val="subscript"/>
        </w:rPr>
        <w:t>P</w:t>
      </w:r>
      <w:r w:rsidRPr="004620D0">
        <w:t xml:space="preserve"> of device 1 is 237 </w:t>
      </w:r>
      <w:proofErr w:type="spellStart"/>
      <w:r w:rsidRPr="004620D0">
        <w:t>mΩ</w:t>
      </w:r>
      <w:proofErr w:type="spellEnd"/>
      <w:r w:rsidRPr="004620D0">
        <w:t xml:space="preserve"> by the fitting result shown in Fig. 3c. The representative measured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2ω</m:t>
            </m:r>
          </m:sub>
          <m:sup>
            <m:r>
              <w:rPr>
                <w:rFonts w:ascii="Cambria Math" w:hAnsi="Cambria Math"/>
              </w:rPr>
              <m:t>xy</m:t>
            </m:r>
          </m:sup>
        </m:sSubSup>
      </m:oMath>
      <w:r w:rsidRPr="004620D0">
        <w:t xml:space="preserve"> (open circles) is plotted in Fig. 3d and fitted with the corresponding equation above (dash lines). We can learn that the data is well fitted with mainly </w:t>
      </w:r>
      <m:oMath>
        <m:sSubSup>
          <m:sSubSupPr>
            <m:ctrlPr>
              <w:rPr>
                <w:rFonts w:ascii="Cambria Math" w:hAnsi="Cambria Math"/>
                <w:i/>
                <w:iCs/>
              </w:rPr>
            </m:ctrlPr>
          </m:sSubSupPr>
          <m:e>
            <m:r>
              <w:rPr>
                <w:rFonts w:ascii="Cambria Math" w:hAnsi="Cambria Math"/>
              </w:rPr>
              <m:t>H</m:t>
            </m:r>
          </m:e>
          <m:sub>
            <m:r>
              <w:rPr>
                <w:rFonts w:ascii="Cambria Math" w:hAnsi="Cambria Math"/>
              </w:rPr>
              <m:t>DL</m:t>
            </m:r>
          </m:sub>
          <m:sup>
            <m:r>
              <w:rPr>
                <w:rFonts w:ascii="Cambria Math" w:hAnsi="Cambria Math"/>
              </w:rPr>
              <m:t>y</m:t>
            </m:r>
          </m:sup>
        </m:sSubSup>
      </m:oMath>
      <w:r w:rsidRPr="004620D0">
        <w:rPr>
          <w:iCs/>
        </w:rPr>
        <w:t xml:space="preserve">term, which has </w:t>
      </w:r>
      <m:oMath>
        <m:func>
          <m:funcPr>
            <m:ctrlPr>
              <w:rPr>
                <w:rFonts w:ascii="Cambria Math" w:hAnsi="Cambria Math"/>
                <w:i/>
                <w:iCs/>
              </w:rPr>
            </m:ctrlPr>
          </m:funcPr>
          <m:fName>
            <m:r>
              <w:rPr>
                <w:rFonts w:ascii="Cambria Math" w:hAnsi="Cambria Math"/>
              </w:rPr>
              <m:t>cos</m:t>
            </m:r>
          </m:fName>
          <m:e>
            <m:r>
              <w:rPr>
                <w:rFonts w:ascii="Cambria Math" w:hAnsi="Cambria Math"/>
              </w:rPr>
              <m:t>∅</m:t>
            </m:r>
          </m:e>
        </m:func>
      </m:oMath>
      <w:r w:rsidRPr="004620D0">
        <w:rPr>
          <w:iCs/>
        </w:rPr>
        <w:t xml:space="preserve"> dependence, and partially with </w:t>
      </w:r>
      <m:oMath>
        <m:sSubSup>
          <m:sSubSupPr>
            <m:ctrlPr>
              <w:rPr>
                <w:rFonts w:ascii="Cambria Math" w:hAnsi="Cambria Math"/>
                <w:i/>
                <w:iCs/>
              </w:rPr>
            </m:ctrlPr>
          </m:sSubSupPr>
          <m:e>
            <m:r>
              <w:rPr>
                <w:rFonts w:ascii="Cambria Math" w:hAnsi="Cambria Math"/>
              </w:rPr>
              <m:t>H</m:t>
            </m:r>
          </m:e>
          <m:sub>
            <m:r>
              <w:rPr>
                <w:rFonts w:ascii="Cambria Math" w:hAnsi="Cambria Math"/>
              </w:rPr>
              <m:t>DL</m:t>
            </m:r>
          </m:sub>
          <m:sup>
            <m:r>
              <w:rPr>
                <w:rFonts w:ascii="Cambria Math" w:hAnsi="Cambria Math"/>
              </w:rPr>
              <m:t>x</m:t>
            </m:r>
          </m:sup>
        </m:sSubSup>
      </m:oMath>
      <w:r w:rsidRPr="004620D0">
        <w:rPr>
          <w:iCs/>
        </w:rPr>
        <w:t xml:space="preserve">, </w:t>
      </w:r>
      <m:oMath>
        <m:sSubSup>
          <m:sSubSupPr>
            <m:ctrlPr>
              <w:rPr>
                <w:rFonts w:ascii="Cambria Math" w:hAnsi="Cambria Math"/>
                <w:i/>
                <w:iCs/>
              </w:rPr>
            </m:ctrlPr>
          </m:sSubSupPr>
          <m:e>
            <m:r>
              <w:rPr>
                <w:rFonts w:ascii="Cambria Math" w:hAnsi="Cambria Math"/>
              </w:rPr>
              <m:t>H</m:t>
            </m:r>
          </m:e>
          <m:sub>
            <m:r>
              <w:rPr>
                <w:rFonts w:ascii="Cambria Math" w:hAnsi="Cambria Math"/>
              </w:rPr>
              <m:t>DL</m:t>
            </m:r>
          </m:sub>
          <m:sup>
            <m:r>
              <w:rPr>
                <w:rFonts w:ascii="Cambria Math" w:hAnsi="Cambria Math"/>
              </w:rPr>
              <m:t>z</m:t>
            </m:r>
          </m:sup>
        </m:sSubSup>
      </m:oMath>
      <w:r w:rsidRPr="004620D0">
        <w:rPr>
          <w:iCs/>
        </w:rPr>
        <w:t xml:space="preserve">, and </w:t>
      </w:r>
      <m:oMath>
        <m:sSubSup>
          <m:sSubSupPr>
            <m:ctrlPr>
              <w:rPr>
                <w:rFonts w:ascii="Cambria Math" w:hAnsi="Cambria Math"/>
                <w:i/>
                <w:iCs/>
              </w:rPr>
            </m:ctrlPr>
          </m:sSubSupPr>
          <m:e>
            <m:r>
              <w:rPr>
                <w:rFonts w:ascii="Cambria Math" w:hAnsi="Cambria Math"/>
              </w:rPr>
              <m:t>H</m:t>
            </m:r>
          </m:e>
          <m:sub>
            <m:r>
              <w:rPr>
                <w:rFonts w:ascii="Cambria Math" w:hAnsi="Cambria Math"/>
              </w:rPr>
              <m:t>FL</m:t>
            </m:r>
          </m:sub>
          <m:sup>
            <m:r>
              <w:rPr>
                <w:rFonts w:ascii="Cambria Math" w:hAnsi="Cambria Math"/>
              </w:rPr>
              <m:t>y</m:t>
            </m:r>
          </m:sup>
        </m:sSubSup>
      </m:oMath>
      <w:r w:rsidRPr="004620D0">
        <w:rPr>
          <w:iCs/>
        </w:rPr>
        <w:t xml:space="preserve">. To quantitively extract the magnitude of these terms, </w:t>
      </w:r>
      <w:r w:rsidRPr="004620D0">
        <w:t xml:space="preserve">we conducted </w:t>
      </w:r>
      <w:proofErr w:type="spellStart"/>
      <w:r w:rsidRPr="004620D0">
        <w:rPr>
          <w:i/>
        </w:rPr>
        <w:t>H</w:t>
      </w:r>
      <w:r w:rsidRPr="004620D0">
        <w:rPr>
          <w:i/>
          <w:vertAlign w:val="subscript"/>
        </w:rPr>
        <w:t>ext</w:t>
      </w:r>
      <w:proofErr w:type="spellEnd"/>
      <w:r w:rsidRPr="004620D0">
        <w:t xml:space="preserve"> dependence measurements ranging from 277 </w:t>
      </w:r>
      <w:proofErr w:type="spellStart"/>
      <w:r w:rsidRPr="004620D0">
        <w:t>Oe</w:t>
      </w:r>
      <w:proofErr w:type="spellEnd"/>
      <w:r w:rsidRPr="004620D0">
        <w:t xml:space="preserve"> to 2100 </w:t>
      </w:r>
      <w:proofErr w:type="spellStart"/>
      <w:r w:rsidRPr="004620D0">
        <w:t>Oe</w:t>
      </w:r>
      <w:proofErr w:type="spellEnd"/>
      <w:r w:rsidRPr="004620D0">
        <w:t xml:space="preserve"> (preventing the non-linear response at the small field). Fig. </w:t>
      </w:r>
      <w:r w:rsidR="007A35F9" w:rsidRPr="004620D0">
        <w:t>S</w:t>
      </w:r>
      <w:r w:rsidRPr="004620D0">
        <w:t>3</w:t>
      </w:r>
      <w:r w:rsidR="007A35F9" w:rsidRPr="004620D0">
        <w:t>d</w:t>
      </w:r>
      <w:r w:rsidRPr="004620D0">
        <w:t xml:space="preserve"> shows the overall fitting results that clearly exhibit asymmetric behavior (non-</w:t>
      </w:r>
      <m:oMath>
        <m:func>
          <m:funcPr>
            <m:ctrlPr>
              <w:rPr>
                <w:rFonts w:ascii="Cambria Math" w:hAnsi="Cambria Math"/>
                <w:i/>
                <w:iCs/>
              </w:rPr>
            </m:ctrlPr>
          </m:funcPr>
          <m:fName>
            <m:r>
              <w:rPr>
                <w:rFonts w:ascii="Cambria Math" w:hAnsi="Cambria Math"/>
              </w:rPr>
              <m:t>cos</m:t>
            </m:r>
          </m:fName>
          <m:e>
            <m:r>
              <w:rPr>
                <w:rFonts w:ascii="Cambria Math" w:hAnsi="Cambria Math"/>
              </w:rPr>
              <m:t>∅</m:t>
            </m:r>
          </m:e>
        </m:func>
      </m:oMath>
      <w:r w:rsidRPr="004620D0">
        <w:rPr>
          <w:iCs/>
        </w:rPr>
        <w:t xml:space="preserve"> dependence</w:t>
      </w:r>
      <w:r w:rsidRPr="004620D0">
        <w:t xml:space="preserve">). This implies the device 1 in our sample can generate a non-convectional spin polarization, which can trigger field-free switching of Type-X(Z) SOT-MRAM. On the other hand, we carried out the same measurements on device 2, in which we have </w:t>
      </w:r>
      <w:r w:rsidRPr="004620D0">
        <w:rPr>
          <w:i/>
        </w:rPr>
        <w:t>R</w:t>
      </w:r>
      <w:r w:rsidRPr="004620D0">
        <w:rPr>
          <w:i/>
          <w:vertAlign w:val="subscript"/>
        </w:rPr>
        <w:t>P</w:t>
      </w:r>
      <w:r w:rsidRPr="004620D0">
        <w:t xml:space="preserve"> = 244 </w:t>
      </w:r>
      <w:proofErr w:type="spellStart"/>
      <w:r w:rsidRPr="004620D0">
        <w:t>mΩ</w:t>
      </w:r>
      <w:proofErr w:type="spellEnd"/>
      <w:r w:rsidRPr="004620D0">
        <w:t xml:space="preserve">, and symmetric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2ω</m:t>
            </m:r>
          </m:sub>
          <m:sup>
            <m:r>
              <w:rPr>
                <w:rFonts w:ascii="Cambria Math" w:hAnsi="Cambria Math"/>
              </w:rPr>
              <m:t>xy</m:t>
            </m:r>
          </m:sup>
        </m:sSubSup>
        <m:r>
          <w:rPr>
            <w:rFonts w:ascii="Cambria Math" w:hAnsi="Cambria Math"/>
          </w:rPr>
          <m:t xml:space="preserve"> </m:t>
        </m:r>
      </m:oMath>
      <w:r w:rsidRPr="004620D0">
        <w:t>behavior (</w:t>
      </w:r>
      <m:oMath>
        <m:func>
          <m:funcPr>
            <m:ctrlPr>
              <w:rPr>
                <w:rFonts w:ascii="Cambria Math" w:hAnsi="Cambria Math"/>
                <w:i/>
                <w:iCs/>
              </w:rPr>
            </m:ctrlPr>
          </m:funcPr>
          <m:fName>
            <m:r>
              <w:rPr>
                <w:rFonts w:ascii="Cambria Math" w:hAnsi="Cambria Math"/>
              </w:rPr>
              <m:t>cos</m:t>
            </m:r>
          </m:fName>
          <m:e>
            <m:r>
              <w:rPr>
                <w:rFonts w:ascii="Cambria Math" w:hAnsi="Cambria Math"/>
              </w:rPr>
              <m:t>∅</m:t>
            </m:r>
          </m:e>
        </m:func>
      </m:oMath>
      <w:r w:rsidRPr="004620D0">
        <w:rPr>
          <w:iCs/>
        </w:rPr>
        <w:t xml:space="preserve"> dependence</w:t>
      </w:r>
      <w:r w:rsidRPr="004620D0">
        <w:t xml:space="preserve">) as shown in Fig. </w:t>
      </w:r>
      <w:r w:rsidR="007A35F9" w:rsidRPr="004620D0">
        <w:t>S</w:t>
      </w:r>
      <w:r w:rsidRPr="004620D0">
        <w:t xml:space="preserve">3 </w:t>
      </w:r>
      <w:r w:rsidR="007A35F9" w:rsidRPr="004620D0">
        <w:t>d</w:t>
      </w:r>
      <w:r w:rsidRPr="004620D0">
        <w:t xml:space="preserve">. From the field dependence data, we can extract all the fitted terms and calculate the damping(field)-like torque efficiency originated from three components by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ξ</m:t>
            </m:r>
          </m:e>
          <m:sub>
            <m:r>
              <w:rPr>
                <w:rFonts w:ascii="Cambria Math" w:hAnsi="Cambria Math"/>
              </w:rPr>
              <m:t>DL</m:t>
            </m:r>
          </m:sub>
          <m:sup>
            <m:r>
              <w:rPr>
                <w:rFonts w:ascii="Cambria Math" w:hAnsi="Cambria Math"/>
              </w:rPr>
              <m:t>i</m:t>
            </m:r>
          </m:sup>
        </m:sSubSup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2e</m:t>
            </m:r>
          </m:num>
          <m:den>
            <m:r>
              <w:rPr>
                <w:rFonts w:ascii="Cambria Math" w:hAnsi="Cambria Math"/>
              </w:rPr>
              <m:t>ℏ</m:t>
            </m:r>
          </m:den>
        </m:f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H</m:t>
                </m:r>
              </m:e>
              <m:sub>
                <m:r>
                  <w:rPr>
                    <w:rFonts w:ascii="Cambria Math" w:hAnsi="Cambria Math"/>
                  </w:rPr>
                  <m:t>DL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M</m:t>
                </m:r>
              </m:e>
              <m:sub>
                <m:r>
                  <w:rPr>
                    <w:rFonts w:ascii="Cambria Math" w:hAnsi="Cambria Math"/>
                  </w:rPr>
                  <m:t>S</m:t>
                </m:r>
              </m:sub>
            </m:sSub>
            <m:r>
              <w:rPr>
                <w:rFonts w:ascii="Cambria Math" w:hAnsi="Cambria Math"/>
              </w:rPr>
              <m:t>t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j</m:t>
                </m:r>
              </m:e>
              <m:sub>
                <m:r>
                  <w:rPr>
                    <w:rFonts w:ascii="Cambria Math" w:hAnsi="Cambria Math"/>
                  </w:rPr>
                  <m:t>W-Co</m:t>
                </m:r>
              </m:sub>
            </m:sSub>
          </m:den>
        </m:f>
      </m:oMath>
      <w:r w:rsidRPr="004620D0">
        <w:t xml:space="preserve">  and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ξ</m:t>
            </m:r>
          </m:e>
          <m:sub>
            <m:r>
              <w:rPr>
                <w:rFonts w:ascii="Cambria Math" w:hAnsi="Cambria Math"/>
              </w:rPr>
              <m:t>FL</m:t>
            </m:r>
          </m:sub>
          <m:sup>
            <m:r>
              <w:rPr>
                <w:rFonts w:ascii="Cambria Math" w:hAnsi="Cambria Math"/>
              </w:rPr>
              <m:t>i</m:t>
            </m:r>
          </m:sup>
        </m:sSubSup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2e</m:t>
            </m:r>
          </m:num>
          <m:den>
            <m:r>
              <w:rPr>
                <w:rFonts w:ascii="Cambria Math" w:hAnsi="Cambria Math"/>
              </w:rPr>
              <m:t>ℏ</m:t>
            </m:r>
          </m:den>
        </m:f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H</m:t>
                </m:r>
              </m:e>
              <m:sub>
                <m:r>
                  <w:rPr>
                    <w:rFonts w:ascii="Cambria Math" w:hAnsi="Cambria Math"/>
                  </w:rPr>
                  <m:t>FL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M</m:t>
                </m:r>
              </m:e>
              <m:sub>
                <m:r>
                  <w:rPr>
                    <w:rFonts w:ascii="Cambria Math" w:hAnsi="Cambria Math"/>
                  </w:rPr>
                  <m:t>S</m:t>
                </m:r>
              </m:sub>
            </m:sSub>
            <m:r>
              <w:rPr>
                <w:rFonts w:ascii="Cambria Math" w:hAnsi="Cambria Math"/>
              </w:rPr>
              <m:t>t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j</m:t>
                </m:r>
              </m:e>
              <m:sub>
                <m:r>
                  <w:rPr>
                    <w:rFonts w:ascii="Cambria Math" w:hAnsi="Cambria Math"/>
                  </w:rPr>
                  <m:t>W-Co</m:t>
                </m:r>
              </m:sub>
            </m:sSub>
          </m:den>
        </m:f>
      </m:oMath>
      <w:r w:rsidRPr="004620D0">
        <w:t xml:space="preserve"> summarized in table </w:t>
      </w:r>
      <w:r w:rsidR="007A35F9" w:rsidRPr="004620D0">
        <w:t>S</w:t>
      </w:r>
      <w:r w:rsidRPr="004620D0">
        <w:t xml:space="preserve">1, where </w:t>
      </w:r>
      <m:oMath>
        <m:r>
          <w:rPr>
            <w:rFonts w:ascii="Cambria Math" w:hAnsi="Cambria Math"/>
          </w:rPr>
          <m:t>i</m:t>
        </m:r>
      </m:oMath>
      <w:r w:rsidRPr="004620D0">
        <w:t xml:space="preserve"> = </w:t>
      </w:r>
      <w:r w:rsidRPr="004620D0">
        <w:rPr>
          <w:i/>
        </w:rPr>
        <w:t>x</w:t>
      </w:r>
      <w:r w:rsidRPr="004620D0">
        <w:t>,</w:t>
      </w:r>
      <w:r w:rsidRPr="004620D0">
        <w:rPr>
          <w:i/>
        </w:rPr>
        <w:t xml:space="preserve"> y</w:t>
      </w:r>
      <w:r w:rsidRPr="004620D0">
        <w:t xml:space="preserve">, or </w:t>
      </w:r>
      <w:r w:rsidRPr="004620D0">
        <w:rPr>
          <w:i/>
        </w:rPr>
        <w:t>z</w:t>
      </w:r>
      <w:r w:rsidRPr="004620D0">
        <w:t xml:space="preserve">, and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j</m:t>
            </m:r>
          </m:e>
          <m:sub>
            <m:r>
              <w:rPr>
                <w:rFonts w:ascii="Cambria Math" w:hAnsi="Cambria Math"/>
              </w:rPr>
              <m:t>W-Co</m:t>
            </m:r>
          </m:sub>
        </m:sSub>
      </m:oMath>
      <w:r w:rsidRPr="004620D0">
        <w:t xml:space="preserve"> is the current density running through the W-Co layer.</w:t>
      </w:r>
    </w:p>
    <w:p w:rsidR="007A35F9" w:rsidRPr="004620D0" w:rsidRDefault="007A35F9" w:rsidP="00AE7894">
      <w:pPr>
        <w:pStyle w:val="NormalWeb"/>
        <w:jc w:val="both"/>
        <w:rPr>
          <w:b/>
          <w:bCs/>
        </w:rPr>
      </w:pPr>
      <w:r w:rsidRPr="004620D0">
        <w:rPr>
          <w:b/>
          <w:bCs/>
        </w:rPr>
        <w:t xml:space="preserve">Table S1. </w:t>
      </w:r>
      <w:r w:rsidR="00591295" w:rsidRPr="004620D0">
        <w:rPr>
          <w:b/>
          <w:bCs/>
        </w:rPr>
        <w:t>Summary table for all the terms extracted from 2</w:t>
      </w:r>
      <w:r w:rsidR="00591295" w:rsidRPr="004620D0">
        <w:rPr>
          <w:b/>
          <w:bCs/>
          <w:vertAlign w:val="superscript"/>
        </w:rPr>
        <w:t>nd</w:t>
      </w:r>
      <w:r w:rsidR="00591295" w:rsidRPr="004620D0">
        <w:rPr>
          <w:b/>
          <w:bCs/>
        </w:rPr>
        <w:t xml:space="preserve"> harmonic Hall resistance measurements.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07"/>
        <w:gridCol w:w="1028"/>
        <w:gridCol w:w="1054"/>
        <w:gridCol w:w="1095"/>
        <w:gridCol w:w="1026"/>
        <w:gridCol w:w="1029"/>
        <w:gridCol w:w="1029"/>
        <w:gridCol w:w="1026"/>
        <w:gridCol w:w="956"/>
      </w:tblGrid>
      <w:tr w:rsidR="000B5EC2" w:rsidRPr="004620D0" w:rsidTr="0009214F">
        <w:tc>
          <w:tcPr>
            <w:tcW w:w="1107" w:type="dxa"/>
            <w:tcBorders>
              <w:bottom w:val="single" w:sz="4" w:space="0" w:color="auto"/>
            </w:tcBorders>
          </w:tcPr>
          <w:p w:rsidR="000B5EC2" w:rsidRPr="004620D0" w:rsidRDefault="000B5EC2" w:rsidP="0009214F">
            <w:pPr>
              <w:pStyle w:val="NormalWeb"/>
              <w:jc w:val="both"/>
            </w:pPr>
          </w:p>
        </w:tc>
        <w:tc>
          <w:tcPr>
            <w:tcW w:w="1028" w:type="dxa"/>
            <w:tcBorders>
              <w:bottom w:val="single" w:sz="4" w:space="0" w:color="auto"/>
            </w:tcBorders>
          </w:tcPr>
          <w:p w:rsidR="000B5EC2" w:rsidRPr="004620D0" w:rsidRDefault="00000000" w:rsidP="0009214F">
            <w:pPr>
              <w:pStyle w:val="NormalWeb"/>
              <w:jc w:val="both"/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ξ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DL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y</m:t>
                    </m:r>
                  </m:sup>
                </m:sSubSup>
              </m:oMath>
            </m:oMathPara>
          </w:p>
        </w:tc>
        <w:tc>
          <w:tcPr>
            <w:tcW w:w="1054" w:type="dxa"/>
            <w:tcBorders>
              <w:bottom w:val="single" w:sz="4" w:space="0" w:color="auto"/>
            </w:tcBorders>
          </w:tcPr>
          <w:p w:rsidR="000B5EC2" w:rsidRPr="004620D0" w:rsidRDefault="00000000" w:rsidP="0009214F">
            <w:pPr>
              <w:pStyle w:val="NormalWeb"/>
              <w:jc w:val="both"/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H</m:t>
                  </m:r>
                </m:e>
                <m:sub>
                  <m:r>
                    <w:rPr>
                      <w:rFonts w:ascii="Cambria Math" w:hAnsi="Cambria Math"/>
                    </w:rPr>
                    <m:t>k</m:t>
                  </m:r>
                </m:sub>
              </m:sSub>
            </m:oMath>
            <w:r w:rsidR="000B5EC2" w:rsidRPr="004620D0">
              <w:rPr>
                <w:iCs/>
              </w:rPr>
              <w:t xml:space="preserve"> (T)</w:t>
            </w:r>
          </w:p>
        </w:tc>
        <w:tc>
          <w:tcPr>
            <w:tcW w:w="1095" w:type="dxa"/>
            <w:tcBorders>
              <w:bottom w:val="single" w:sz="4" w:space="0" w:color="auto"/>
            </w:tcBorders>
          </w:tcPr>
          <w:p w:rsidR="000B5EC2" w:rsidRPr="004620D0" w:rsidRDefault="00000000" w:rsidP="0009214F">
            <w:pPr>
              <w:pStyle w:val="NormalWeb"/>
              <w:jc w:val="both"/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I</m:t>
                  </m:r>
                </m:e>
                <m:sub>
                  <m:r>
                    <w:rPr>
                      <w:rFonts w:ascii="Cambria Math" w:hAnsi="Cambria Math"/>
                    </w:rPr>
                    <m:t>0</m:t>
                  </m:r>
                </m:sub>
              </m:sSub>
              <m:r>
                <w:rPr>
                  <w:rFonts w:ascii="Cambria Math" w:hAnsi="Cambria Math"/>
                </w:rPr>
                <m:t>α∇T</m:t>
              </m:r>
            </m:oMath>
            <w:r w:rsidR="000B5EC2" w:rsidRPr="004620D0">
              <w:rPr>
                <w:iCs/>
              </w:rPr>
              <w:t xml:space="preserve"> (Oe)</w:t>
            </w:r>
          </w:p>
        </w:tc>
        <w:tc>
          <w:tcPr>
            <w:tcW w:w="1026" w:type="dxa"/>
            <w:tcBorders>
              <w:bottom w:val="single" w:sz="4" w:space="0" w:color="auto"/>
            </w:tcBorders>
          </w:tcPr>
          <w:p w:rsidR="000B5EC2" w:rsidRPr="004620D0" w:rsidRDefault="00000000" w:rsidP="0009214F">
            <w:pPr>
              <w:pStyle w:val="NormalWeb"/>
              <w:jc w:val="both"/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ξ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FL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y</m:t>
                    </m:r>
                  </m:sup>
                </m:sSubSup>
              </m:oMath>
            </m:oMathPara>
          </w:p>
        </w:tc>
        <w:tc>
          <w:tcPr>
            <w:tcW w:w="1029" w:type="dxa"/>
            <w:tcBorders>
              <w:bottom w:val="single" w:sz="4" w:space="0" w:color="auto"/>
            </w:tcBorders>
          </w:tcPr>
          <w:p w:rsidR="000B5EC2" w:rsidRPr="004620D0" w:rsidRDefault="00000000" w:rsidP="0009214F">
            <w:pPr>
              <w:pStyle w:val="NormalWeb"/>
              <w:jc w:val="both"/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ξ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DL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x</m:t>
                    </m:r>
                  </m:sup>
                </m:sSubSup>
              </m:oMath>
            </m:oMathPara>
          </w:p>
        </w:tc>
        <w:tc>
          <w:tcPr>
            <w:tcW w:w="1029" w:type="dxa"/>
            <w:tcBorders>
              <w:bottom w:val="single" w:sz="4" w:space="0" w:color="auto"/>
            </w:tcBorders>
          </w:tcPr>
          <w:p w:rsidR="000B5EC2" w:rsidRPr="004620D0" w:rsidRDefault="00000000" w:rsidP="0009214F">
            <w:pPr>
              <w:pStyle w:val="NormalWeb"/>
              <w:jc w:val="both"/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ξ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DL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z</m:t>
                    </m:r>
                  </m:sup>
                </m:sSubSup>
              </m:oMath>
            </m:oMathPara>
          </w:p>
        </w:tc>
        <w:tc>
          <w:tcPr>
            <w:tcW w:w="1026" w:type="dxa"/>
            <w:tcBorders>
              <w:bottom w:val="single" w:sz="4" w:space="0" w:color="auto"/>
            </w:tcBorders>
          </w:tcPr>
          <w:p w:rsidR="000B5EC2" w:rsidRPr="004620D0" w:rsidRDefault="00000000" w:rsidP="0009214F">
            <w:pPr>
              <w:pStyle w:val="NormalWeb"/>
              <w:jc w:val="both"/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ξ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FL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x</m:t>
                    </m:r>
                  </m:sup>
                </m:sSubSup>
              </m:oMath>
            </m:oMathPara>
          </w:p>
        </w:tc>
        <w:tc>
          <w:tcPr>
            <w:tcW w:w="956" w:type="dxa"/>
            <w:tcBorders>
              <w:bottom w:val="single" w:sz="4" w:space="0" w:color="auto"/>
            </w:tcBorders>
          </w:tcPr>
          <w:p w:rsidR="000B5EC2" w:rsidRPr="004620D0" w:rsidRDefault="00000000" w:rsidP="0009214F">
            <w:pPr>
              <w:pStyle w:val="NormalWeb"/>
              <w:jc w:val="both"/>
              <w:rPr>
                <w:rFonts w:eastAsia="PMingLiU"/>
                <w:iCs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θ</m:t>
                  </m:r>
                </m:e>
                <m:sub>
                  <m:r>
                    <w:rPr>
                      <w:rFonts w:ascii="Cambria Math" w:hAnsi="Cambria Math"/>
                    </w:rPr>
                    <m:t>SH</m:t>
                  </m:r>
                </m:sub>
              </m:sSub>
            </m:oMath>
            <w:r w:rsidR="000B5EC2" w:rsidRPr="004620D0">
              <w:rPr>
                <w:rFonts w:eastAsia="PMingLiU"/>
              </w:rPr>
              <w:t xml:space="preserve"> </w:t>
            </w:r>
            <w:r w:rsidR="000B5EC2" w:rsidRPr="004620D0">
              <w:rPr>
                <w:rFonts w:eastAsia="PMingLiU"/>
                <w:sz w:val="20"/>
              </w:rPr>
              <w:t>by ST-FMR</w:t>
            </w:r>
          </w:p>
        </w:tc>
      </w:tr>
      <w:tr w:rsidR="000B5EC2" w:rsidRPr="004620D0" w:rsidTr="0009214F">
        <w:trPr>
          <w:trHeight w:val="510"/>
        </w:trPr>
        <w:tc>
          <w:tcPr>
            <w:tcW w:w="1107" w:type="dxa"/>
            <w:tcBorders>
              <w:top w:val="single" w:sz="4" w:space="0" w:color="auto"/>
            </w:tcBorders>
          </w:tcPr>
          <w:p w:rsidR="000B5EC2" w:rsidRPr="004620D0" w:rsidRDefault="000B5EC2" w:rsidP="0009214F">
            <w:pPr>
              <w:pStyle w:val="NormalWeb"/>
              <w:jc w:val="both"/>
            </w:pPr>
            <w:r w:rsidRPr="004620D0">
              <w:t>Device 1</w:t>
            </w:r>
          </w:p>
        </w:tc>
        <w:tc>
          <w:tcPr>
            <w:tcW w:w="1028" w:type="dxa"/>
            <w:tcBorders>
              <w:top w:val="single" w:sz="4" w:space="0" w:color="auto"/>
            </w:tcBorders>
          </w:tcPr>
          <w:p w:rsidR="000B5EC2" w:rsidRPr="004620D0" w:rsidRDefault="000B5EC2" w:rsidP="0009214F">
            <w:pPr>
              <w:pStyle w:val="NormalWeb"/>
              <w:jc w:val="both"/>
            </w:pPr>
            <w:r w:rsidRPr="004620D0">
              <w:t>0.65</w:t>
            </w:r>
          </w:p>
        </w:tc>
        <w:tc>
          <w:tcPr>
            <w:tcW w:w="1054" w:type="dxa"/>
            <w:tcBorders>
              <w:top w:val="single" w:sz="4" w:space="0" w:color="auto"/>
            </w:tcBorders>
          </w:tcPr>
          <w:p w:rsidR="000B5EC2" w:rsidRPr="004620D0" w:rsidRDefault="000B5EC2" w:rsidP="0009214F">
            <w:pPr>
              <w:pStyle w:val="NormalWeb"/>
              <w:jc w:val="both"/>
            </w:pPr>
            <w:r w:rsidRPr="004620D0">
              <w:t>1.1</w:t>
            </w:r>
          </w:p>
        </w:tc>
        <w:tc>
          <w:tcPr>
            <w:tcW w:w="1095" w:type="dxa"/>
            <w:tcBorders>
              <w:top w:val="single" w:sz="4" w:space="0" w:color="auto"/>
            </w:tcBorders>
          </w:tcPr>
          <w:p w:rsidR="000B5EC2" w:rsidRPr="004620D0" w:rsidRDefault="000B5EC2" w:rsidP="0009214F">
            <w:pPr>
              <w:pStyle w:val="NormalWeb"/>
              <w:jc w:val="both"/>
            </w:pPr>
            <w:r w:rsidRPr="004620D0">
              <w:t>1</w:t>
            </w:r>
          </w:p>
        </w:tc>
        <w:tc>
          <w:tcPr>
            <w:tcW w:w="1026" w:type="dxa"/>
            <w:tcBorders>
              <w:top w:val="single" w:sz="4" w:space="0" w:color="auto"/>
            </w:tcBorders>
          </w:tcPr>
          <w:p w:rsidR="000B5EC2" w:rsidRPr="004620D0" w:rsidRDefault="000B5EC2" w:rsidP="0009214F">
            <w:pPr>
              <w:pStyle w:val="NormalWeb"/>
              <w:jc w:val="both"/>
            </w:pPr>
            <w:r w:rsidRPr="004620D0">
              <w:t>~0</w:t>
            </w:r>
          </w:p>
        </w:tc>
        <w:tc>
          <w:tcPr>
            <w:tcW w:w="1029" w:type="dxa"/>
            <w:tcBorders>
              <w:top w:val="single" w:sz="4" w:space="0" w:color="auto"/>
            </w:tcBorders>
          </w:tcPr>
          <w:p w:rsidR="000B5EC2" w:rsidRPr="004620D0" w:rsidRDefault="000B5EC2" w:rsidP="0009214F">
            <w:pPr>
              <w:pStyle w:val="NormalWeb"/>
              <w:jc w:val="both"/>
            </w:pPr>
            <w:r w:rsidRPr="004620D0">
              <w:t>0.006</w:t>
            </w:r>
          </w:p>
        </w:tc>
        <w:tc>
          <w:tcPr>
            <w:tcW w:w="1029" w:type="dxa"/>
            <w:tcBorders>
              <w:top w:val="single" w:sz="4" w:space="0" w:color="auto"/>
            </w:tcBorders>
          </w:tcPr>
          <w:p w:rsidR="000B5EC2" w:rsidRPr="004620D0" w:rsidRDefault="000B5EC2" w:rsidP="0009214F">
            <w:pPr>
              <w:pStyle w:val="NormalWeb"/>
              <w:jc w:val="both"/>
            </w:pPr>
            <w:r w:rsidRPr="004620D0">
              <w:t>~0</w:t>
            </w:r>
          </w:p>
        </w:tc>
        <w:tc>
          <w:tcPr>
            <w:tcW w:w="1026" w:type="dxa"/>
            <w:tcBorders>
              <w:top w:val="single" w:sz="4" w:space="0" w:color="auto"/>
            </w:tcBorders>
          </w:tcPr>
          <w:p w:rsidR="000B5EC2" w:rsidRPr="004620D0" w:rsidRDefault="000B5EC2" w:rsidP="0009214F">
            <w:pPr>
              <w:pStyle w:val="NormalWeb"/>
              <w:jc w:val="both"/>
            </w:pPr>
            <w:r w:rsidRPr="004620D0">
              <w:t>~0</w:t>
            </w:r>
          </w:p>
        </w:tc>
        <w:tc>
          <w:tcPr>
            <w:tcW w:w="956" w:type="dxa"/>
            <w:tcBorders>
              <w:top w:val="single" w:sz="4" w:space="0" w:color="auto"/>
            </w:tcBorders>
          </w:tcPr>
          <w:p w:rsidR="000B5EC2" w:rsidRPr="004620D0" w:rsidRDefault="000B5EC2" w:rsidP="0009214F">
            <w:pPr>
              <w:pStyle w:val="NormalWeb"/>
              <w:jc w:val="both"/>
            </w:pPr>
            <w:r w:rsidRPr="004620D0">
              <w:t>0.52</w:t>
            </w:r>
          </w:p>
        </w:tc>
      </w:tr>
      <w:tr w:rsidR="000B5EC2" w:rsidRPr="004620D0" w:rsidTr="0009214F">
        <w:trPr>
          <w:trHeight w:val="510"/>
        </w:trPr>
        <w:tc>
          <w:tcPr>
            <w:tcW w:w="1107" w:type="dxa"/>
          </w:tcPr>
          <w:p w:rsidR="000B5EC2" w:rsidRPr="004620D0" w:rsidRDefault="000B5EC2" w:rsidP="0009214F">
            <w:pPr>
              <w:pStyle w:val="NormalWeb"/>
              <w:jc w:val="both"/>
            </w:pPr>
            <w:r w:rsidRPr="004620D0">
              <w:t>Device 2</w:t>
            </w:r>
          </w:p>
        </w:tc>
        <w:tc>
          <w:tcPr>
            <w:tcW w:w="1028" w:type="dxa"/>
          </w:tcPr>
          <w:p w:rsidR="000B5EC2" w:rsidRPr="004620D0" w:rsidRDefault="000B5EC2" w:rsidP="0009214F">
            <w:pPr>
              <w:pStyle w:val="NormalWeb"/>
              <w:jc w:val="both"/>
            </w:pPr>
            <w:r w:rsidRPr="004620D0">
              <w:t>0.51</w:t>
            </w:r>
          </w:p>
        </w:tc>
        <w:tc>
          <w:tcPr>
            <w:tcW w:w="1054" w:type="dxa"/>
          </w:tcPr>
          <w:p w:rsidR="000B5EC2" w:rsidRPr="004620D0" w:rsidRDefault="000B5EC2" w:rsidP="0009214F">
            <w:pPr>
              <w:pStyle w:val="NormalWeb"/>
              <w:jc w:val="both"/>
            </w:pPr>
            <w:r w:rsidRPr="004620D0">
              <w:t>1.1</w:t>
            </w:r>
          </w:p>
        </w:tc>
        <w:tc>
          <w:tcPr>
            <w:tcW w:w="1095" w:type="dxa"/>
          </w:tcPr>
          <w:p w:rsidR="000B5EC2" w:rsidRPr="004620D0" w:rsidRDefault="000B5EC2" w:rsidP="0009214F">
            <w:pPr>
              <w:pStyle w:val="NormalWeb"/>
              <w:jc w:val="both"/>
            </w:pPr>
            <w:r w:rsidRPr="004620D0">
              <w:t>1</w:t>
            </w:r>
          </w:p>
        </w:tc>
        <w:tc>
          <w:tcPr>
            <w:tcW w:w="1026" w:type="dxa"/>
          </w:tcPr>
          <w:p w:rsidR="000B5EC2" w:rsidRPr="004620D0" w:rsidRDefault="000B5EC2" w:rsidP="0009214F">
            <w:pPr>
              <w:pStyle w:val="NormalWeb"/>
              <w:jc w:val="both"/>
            </w:pPr>
            <w:r w:rsidRPr="004620D0">
              <w:t>~0</w:t>
            </w:r>
          </w:p>
        </w:tc>
        <w:tc>
          <w:tcPr>
            <w:tcW w:w="1029" w:type="dxa"/>
          </w:tcPr>
          <w:p w:rsidR="000B5EC2" w:rsidRPr="004620D0" w:rsidRDefault="000B5EC2" w:rsidP="0009214F">
            <w:pPr>
              <w:pStyle w:val="NormalWeb"/>
              <w:jc w:val="both"/>
            </w:pPr>
            <w:r w:rsidRPr="004620D0">
              <w:t>~0</w:t>
            </w:r>
          </w:p>
        </w:tc>
        <w:tc>
          <w:tcPr>
            <w:tcW w:w="1029" w:type="dxa"/>
          </w:tcPr>
          <w:p w:rsidR="000B5EC2" w:rsidRPr="004620D0" w:rsidRDefault="000B5EC2" w:rsidP="0009214F">
            <w:pPr>
              <w:pStyle w:val="NormalWeb"/>
              <w:jc w:val="both"/>
            </w:pPr>
            <w:r w:rsidRPr="004620D0">
              <w:t>~0</w:t>
            </w:r>
          </w:p>
        </w:tc>
        <w:tc>
          <w:tcPr>
            <w:tcW w:w="1026" w:type="dxa"/>
          </w:tcPr>
          <w:p w:rsidR="000B5EC2" w:rsidRPr="004620D0" w:rsidRDefault="000B5EC2" w:rsidP="0009214F">
            <w:pPr>
              <w:pStyle w:val="NormalWeb"/>
              <w:jc w:val="both"/>
            </w:pPr>
            <w:r w:rsidRPr="004620D0">
              <w:t>~0</w:t>
            </w:r>
          </w:p>
        </w:tc>
        <w:tc>
          <w:tcPr>
            <w:tcW w:w="956" w:type="dxa"/>
          </w:tcPr>
          <w:p w:rsidR="000B5EC2" w:rsidRPr="004620D0" w:rsidRDefault="000B5EC2" w:rsidP="0009214F">
            <w:pPr>
              <w:pStyle w:val="NormalWeb"/>
              <w:jc w:val="both"/>
            </w:pPr>
            <w:r w:rsidRPr="004620D0">
              <w:t>0.52</w:t>
            </w:r>
          </w:p>
        </w:tc>
      </w:tr>
    </w:tbl>
    <w:p w:rsidR="0076228F" w:rsidRPr="004620D0" w:rsidRDefault="0076228F" w:rsidP="00855FEF">
      <w:pPr>
        <w:pStyle w:val="NormalWeb"/>
        <w:jc w:val="both"/>
        <w:rPr>
          <w:b/>
        </w:rPr>
      </w:pPr>
      <w:r w:rsidRPr="004620D0">
        <w:rPr>
          <w:b/>
          <w:noProof/>
        </w:rPr>
        <w:drawing>
          <wp:inline distT="0" distB="0" distL="0" distR="0" wp14:anchorId="0E47B860" wp14:editId="710FB013">
            <wp:extent cx="5943600" cy="2093595"/>
            <wp:effectExtent l="0" t="0" r="0" b="1905"/>
            <wp:docPr id="77131786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1317865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93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38A3" w:rsidRPr="004620D0" w:rsidRDefault="007338A3" w:rsidP="00855FEF">
      <w:pPr>
        <w:pStyle w:val="NormalWeb"/>
        <w:jc w:val="both"/>
        <w:rPr>
          <w:b/>
        </w:rPr>
      </w:pPr>
      <w:r w:rsidRPr="004620D0">
        <w:rPr>
          <w:b/>
        </w:rPr>
        <w:t xml:space="preserve">Figure 4S. </w:t>
      </w:r>
      <w:r w:rsidR="002956A6" w:rsidRPr="004620D0">
        <w:rPr>
          <w:b/>
        </w:rPr>
        <w:t xml:space="preserve">Micromagnetic simulations for unconventional SOT switching. </w:t>
      </w:r>
    </w:p>
    <w:p w:rsidR="00855FEF" w:rsidRPr="004620D0" w:rsidRDefault="00855FEF" w:rsidP="00855FEF">
      <w:pPr>
        <w:pStyle w:val="NormalWeb"/>
        <w:jc w:val="both"/>
        <w:rPr>
          <w:b/>
        </w:rPr>
      </w:pPr>
      <w:r w:rsidRPr="004620D0">
        <w:rPr>
          <w:b/>
        </w:rPr>
        <w:t>Field-free spin–orbit torque switching</w:t>
      </w:r>
    </w:p>
    <w:p w:rsidR="00855FEF" w:rsidRPr="004620D0" w:rsidRDefault="00855FEF" w:rsidP="00855FEF">
      <w:pPr>
        <w:pStyle w:val="NormalWeb"/>
        <w:jc w:val="both"/>
      </w:pPr>
      <w:r w:rsidRPr="004620D0">
        <w:lastRenderedPageBreak/>
        <w:t xml:space="preserve">To explore the possibility of using </w:t>
      </w:r>
      <m:oMath>
        <m:sSubSup>
          <m:sSubSupPr>
            <m:ctrlPr>
              <w:rPr>
                <w:rFonts w:ascii="Cambria Math" w:hAnsi="Cambria Math"/>
                <w:i/>
                <w:iCs/>
              </w:rPr>
            </m:ctrlPr>
          </m:sSubSupPr>
          <m:e>
            <m:r>
              <w:rPr>
                <w:rFonts w:ascii="Cambria Math" w:hAnsi="Cambria Math"/>
              </w:rPr>
              <m:t>ξ</m:t>
            </m:r>
          </m:e>
          <m:sub>
            <m:r>
              <w:rPr>
                <w:rFonts w:ascii="Cambria Math" w:hAnsi="Cambria Math"/>
              </w:rPr>
              <m:t>DL</m:t>
            </m:r>
          </m:sub>
          <m:sup>
            <m:r>
              <w:rPr>
                <w:rFonts w:ascii="Cambria Math" w:hAnsi="Cambria Math"/>
              </w:rPr>
              <m:t>x</m:t>
            </m:r>
          </m:sup>
        </m:sSubSup>
      </m:oMath>
      <w:r w:rsidRPr="004620D0">
        <w:rPr>
          <w:iCs/>
        </w:rPr>
        <w:t>to achieve field-free Type-X SOT switching, we firstly model our system by micromagnetic simulation in oommf (Object-Oriented MicroMagnetic Framework) software for switching study</w:t>
      </w:r>
      <w:r w:rsidR="002956A6" w:rsidRPr="004620D0">
        <w:rPr>
          <w:rStyle w:val="FootnoteReference"/>
          <w:iCs/>
        </w:rPr>
        <w:footnoteReference w:id="1"/>
      </w:r>
      <w:r w:rsidRPr="004620D0">
        <w:rPr>
          <w:iCs/>
        </w:rPr>
        <w:t xml:space="preserve">. In our model, we set a free-layer in </w:t>
      </w:r>
      <w:r w:rsidR="00EB5152" w:rsidRPr="004620D0">
        <w:rPr>
          <w:iCs/>
        </w:rPr>
        <w:t>three different sizes –</w:t>
      </w:r>
      <w:r w:rsidRPr="004620D0">
        <w:rPr>
          <w:iCs/>
        </w:rPr>
        <w:t xml:space="preserve"> </w:t>
      </w:r>
      <w:r w:rsidR="00EB5152" w:rsidRPr="004620D0">
        <w:rPr>
          <w:iCs/>
        </w:rPr>
        <w:t xml:space="preserve">from </w:t>
      </w:r>
      <w:r w:rsidRPr="004620D0">
        <w:rPr>
          <w:iCs/>
        </w:rPr>
        <w:t>30</w:t>
      </w:r>
      <w:r w:rsidR="00EB5152" w:rsidRPr="004620D0">
        <w:rPr>
          <w:iCs/>
        </w:rPr>
        <w:t>-10</w:t>
      </w:r>
      <w:r w:rsidRPr="004620D0">
        <w:rPr>
          <w:iCs/>
        </w:rPr>
        <w:t xml:space="preserve"> nm by 90</w:t>
      </w:r>
      <w:r w:rsidR="00EB5152" w:rsidRPr="004620D0">
        <w:rPr>
          <w:iCs/>
        </w:rPr>
        <w:t>-30</w:t>
      </w:r>
      <w:r w:rsidRPr="004620D0">
        <w:rPr>
          <w:iCs/>
        </w:rPr>
        <w:t xml:space="preserve"> nm by 1 nm elliptical disk with in-plane anisotropy along x-direction (</w:t>
      </w:r>
      <w:r w:rsidR="00EB5152" w:rsidRPr="004620D0">
        <w:rPr>
          <w:iCs/>
        </w:rPr>
        <w:t>as shown in Fig. 4S</w:t>
      </w:r>
      <w:r w:rsidRPr="004620D0">
        <w:rPr>
          <w:iCs/>
        </w:rPr>
        <w:t>) with spin polarization vector [</w:t>
      </w:r>
      <w:r w:rsidR="00EB5152" w:rsidRPr="004620D0">
        <w:rPr>
          <w:iCs/>
        </w:rPr>
        <w:t>-x,1-x,0</w:t>
      </w:r>
      <w:r w:rsidRPr="004620D0">
        <w:rPr>
          <w:iCs/>
        </w:rPr>
        <w:t>]</w:t>
      </w:r>
      <w:r w:rsidR="00EB5152" w:rsidRPr="004620D0">
        <w:rPr>
          <w:iCs/>
        </w:rPr>
        <w:t>, where 1 represents 100% conventional spin polarization</w:t>
      </w:r>
      <w:r w:rsidRPr="004620D0">
        <w:rPr>
          <w:iCs/>
        </w:rPr>
        <w:t>.</w:t>
      </w:r>
      <w:r w:rsidR="00EB5152" w:rsidRPr="004620D0">
        <w:rPr>
          <w:iCs/>
        </w:rPr>
        <w:t xml:space="preserve"> From the simulations shown in Fig. 4S, we can find that 1% of x-component is sufficient to realize the type-x field-free switching at the high current density region.</w:t>
      </w:r>
      <w:r w:rsidR="00EB574C" w:rsidRPr="004620D0">
        <w:rPr>
          <w:iCs/>
        </w:rPr>
        <w:t xml:space="preserve"> We have also demonstrated the type-x field-free switching in the array level devices in our previous publication</w:t>
      </w:r>
      <w:r w:rsidR="00EB574C" w:rsidRPr="004620D0">
        <w:rPr>
          <w:rStyle w:val="FootnoteReference"/>
          <w:iCs/>
        </w:rPr>
        <w:footnoteReference w:id="2"/>
      </w:r>
      <w:r w:rsidR="00EB574C" w:rsidRPr="004620D0">
        <w:rPr>
          <w:iCs/>
        </w:rPr>
        <w:t xml:space="preserve">. </w:t>
      </w:r>
      <w:r w:rsidRPr="004620D0">
        <w:t xml:space="preserve">The simulations and nano-sized device results confirm that the </w:t>
      </w:r>
      <w:r w:rsidRPr="004620D0">
        <w:rPr>
          <w:iCs/>
        </w:rPr>
        <w:t>composite</w:t>
      </w:r>
      <w:r w:rsidR="00EB574C" w:rsidRPr="004620D0">
        <w:rPr>
          <w:iCs/>
        </w:rPr>
        <w:t>-</w:t>
      </w:r>
      <w:r w:rsidRPr="004620D0">
        <w:rPr>
          <w:iCs/>
        </w:rPr>
        <w:t xml:space="preserve">W layer </w:t>
      </w:r>
      <w:r w:rsidRPr="004620D0">
        <w:t xml:space="preserve">supplies not only conventional spin-orbit torque resulting from spin Hall effect but also </w:t>
      </w:r>
      <w:r w:rsidR="00815783" w:rsidRPr="004620D0">
        <w:t>a</w:t>
      </w:r>
      <w:r w:rsidRPr="004620D0">
        <w:t xml:space="preserve"> damping-like torque induced by spin polarization along x-direction, enabling the field-free </w:t>
      </w:r>
      <w:r w:rsidRPr="004620D0">
        <w:rPr>
          <w:iCs/>
        </w:rPr>
        <w:t>Type-X SOT switching</w:t>
      </w:r>
      <w:r w:rsidRPr="004620D0">
        <w:t>.</w:t>
      </w:r>
    </w:p>
    <w:p w:rsidR="00AA0C8B" w:rsidRPr="004620D0" w:rsidRDefault="00AA0C8B" w:rsidP="00855FEF">
      <w:pPr>
        <w:pStyle w:val="NormalWeb"/>
        <w:jc w:val="both"/>
        <w:rPr>
          <w:iCs/>
          <w:lang w:val="en-TW"/>
        </w:rPr>
      </w:pPr>
    </w:p>
    <w:p w:rsidR="00AE7894" w:rsidRPr="004620D0" w:rsidRDefault="00AE7894">
      <w:pPr>
        <w:rPr>
          <w:rFonts w:ascii="Times New Roman" w:hAnsi="Times New Roman" w:cs="Times New Roman"/>
        </w:rPr>
      </w:pPr>
    </w:p>
    <w:sectPr w:rsidR="00AE7894" w:rsidRPr="004620D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E72015" w:rsidRDefault="00E72015" w:rsidP="002956A6">
      <w:r>
        <w:separator/>
      </w:r>
    </w:p>
  </w:endnote>
  <w:endnote w:type="continuationSeparator" w:id="0">
    <w:p w:rsidR="00E72015" w:rsidRDefault="00E72015" w:rsidP="002956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PingFang TC">
    <w:panose1 w:val="020B0400000000000000"/>
    <w:charset w:val="88"/>
    <w:family w:val="swiss"/>
    <w:pitch w:val="variable"/>
    <w:sig w:usb0="A00002FF" w:usb1="7ACFFDFB" w:usb2="00000017" w:usb3="00000000" w:csb0="001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E72015" w:rsidRDefault="00E72015" w:rsidP="002956A6">
      <w:r>
        <w:separator/>
      </w:r>
    </w:p>
  </w:footnote>
  <w:footnote w:type="continuationSeparator" w:id="0">
    <w:p w:rsidR="00E72015" w:rsidRDefault="00E72015" w:rsidP="002956A6">
      <w:r>
        <w:continuationSeparator/>
      </w:r>
    </w:p>
  </w:footnote>
  <w:footnote w:id="1">
    <w:p w:rsidR="002956A6" w:rsidRPr="002956A6" w:rsidRDefault="002956A6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 w:rsidRPr="002956A6">
        <w:t>Donahue, Michael Joseph, and Donald G. Porter. "OOMMF user's guide, version 1.0." (1999).</w:t>
      </w:r>
    </w:p>
  </w:footnote>
  <w:footnote w:id="2">
    <w:p w:rsidR="00EB574C" w:rsidRDefault="00EB574C" w:rsidP="00EB574C">
      <w:pPr>
        <w:pStyle w:val="EndnoteText"/>
      </w:pPr>
      <w:r>
        <w:rPr>
          <w:rStyle w:val="FootnoteReference"/>
        </w:rPr>
        <w:footnoteRef/>
      </w:r>
      <w:r>
        <w:t xml:space="preserve"> </w:t>
      </w:r>
      <w:r w:rsidRPr="00923A32">
        <w:t>Song, M. Y., et al. "High speed (1ns) and low voltage (1.5 V) demonstration of 8Kb SOT-MRAM array." 2022 IEEE Symposium on VLSI Technology and Circuits (VLSI Technology and Circuits). IEEE, 2022.</w:t>
      </w:r>
    </w:p>
    <w:p w:rsidR="00EB574C" w:rsidRPr="00EB5152" w:rsidRDefault="00EB574C" w:rsidP="00EB574C">
      <w:pPr>
        <w:pStyle w:val="FootnoteText"/>
        <w:rPr>
          <w:lang w:val="en-US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A124BF8"/>
    <w:multiLevelType w:val="hybridMultilevel"/>
    <w:tmpl w:val="F6244C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082715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4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894"/>
    <w:rsid w:val="000436CD"/>
    <w:rsid w:val="000B5EC2"/>
    <w:rsid w:val="000C13C4"/>
    <w:rsid w:val="002956A6"/>
    <w:rsid w:val="002B2F89"/>
    <w:rsid w:val="003209AA"/>
    <w:rsid w:val="004620D0"/>
    <w:rsid w:val="00490B0D"/>
    <w:rsid w:val="005062F8"/>
    <w:rsid w:val="00532C4D"/>
    <w:rsid w:val="00591295"/>
    <w:rsid w:val="005941AA"/>
    <w:rsid w:val="00597A84"/>
    <w:rsid w:val="005B0C6F"/>
    <w:rsid w:val="00623FCE"/>
    <w:rsid w:val="006D1A7D"/>
    <w:rsid w:val="007338A3"/>
    <w:rsid w:val="0076228F"/>
    <w:rsid w:val="00784B92"/>
    <w:rsid w:val="007A35F9"/>
    <w:rsid w:val="00815783"/>
    <w:rsid w:val="00834A2A"/>
    <w:rsid w:val="00836F7F"/>
    <w:rsid w:val="008555D5"/>
    <w:rsid w:val="00855FEF"/>
    <w:rsid w:val="008D09CF"/>
    <w:rsid w:val="008D3FC4"/>
    <w:rsid w:val="008E0DC7"/>
    <w:rsid w:val="009B6FAE"/>
    <w:rsid w:val="00A26570"/>
    <w:rsid w:val="00A521B0"/>
    <w:rsid w:val="00A64365"/>
    <w:rsid w:val="00A765BF"/>
    <w:rsid w:val="00A92B4A"/>
    <w:rsid w:val="00AA0C8B"/>
    <w:rsid w:val="00AE7894"/>
    <w:rsid w:val="00C5319B"/>
    <w:rsid w:val="00DD7463"/>
    <w:rsid w:val="00E07155"/>
    <w:rsid w:val="00E72015"/>
    <w:rsid w:val="00EB5152"/>
    <w:rsid w:val="00EB574C"/>
    <w:rsid w:val="00FF2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W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AE6DEB"/>
  <w15:chartTrackingRefBased/>
  <w15:docId w15:val="{AC41C578-0D87-0F49-A38C-26A1BCF52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TW" w:eastAsia="zh-TW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AA0C8B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E7894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table" w:styleId="TableGrid">
    <w:name w:val="Table Grid"/>
    <w:basedOn w:val="TableNormal"/>
    <w:uiPriority w:val="39"/>
    <w:rsid w:val="000B5EC2"/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34A2A"/>
    <w:pPr>
      <w:ind w:left="720"/>
      <w:contextualSpacing/>
    </w:pPr>
    <w:rPr>
      <w:kern w:val="0"/>
      <w:lang w:val="en-US"/>
      <w14:ligatures w14:val="non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956A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956A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2956A6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EB5152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EB5152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EB5152"/>
    <w:rPr>
      <w:vertAlign w:val="superscript"/>
    </w:rPr>
  </w:style>
  <w:style w:type="character" w:customStyle="1" w:styleId="Heading2Char">
    <w:name w:val="Heading 2 Char"/>
    <w:basedOn w:val="DefaultParagraphFont"/>
    <w:link w:val="Heading2"/>
    <w:uiPriority w:val="9"/>
    <w:rsid w:val="00AA0C8B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5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6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6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2E38CB4-0EA4-974C-8C30-412BD9A19B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6</Pages>
  <Words>1179</Words>
  <Characters>6900</Characters>
  <Application>Microsoft Office Word</Application>
  <DocSecurity>0</DocSecurity>
  <Lines>125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33</cp:revision>
  <dcterms:created xsi:type="dcterms:W3CDTF">2023-11-23T07:07:00Z</dcterms:created>
  <dcterms:modified xsi:type="dcterms:W3CDTF">2024-05-08T06:46:00Z</dcterms:modified>
</cp:coreProperties>
</file>