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b/>
          <w:bCs/>
          <w:color w:val="000000"/>
          <w:sz w:val="28"/>
          <w:szCs w:val="28"/>
        </w:rPr>
      </w:pPr>
      <w:r>
        <w:rPr>
          <w:rFonts w:hint="eastAsia" w:ascii="Times New Roman" w:hAnsi="Times New Roman" w:eastAsia="DengXian"/>
          <w:b/>
          <w:bCs/>
          <w:color w:val="000000"/>
          <w:sz w:val="28"/>
          <w:szCs w:val="28"/>
          <w:lang w:eastAsia="zh-C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341630</wp:posOffset>
            </wp:positionH>
            <wp:positionV relativeFrom="paragraph">
              <wp:posOffset>252730</wp:posOffset>
            </wp:positionV>
            <wp:extent cx="4969510" cy="8261985"/>
            <wp:effectExtent l="0" t="0" r="8890" b="18415"/>
            <wp:wrapNone/>
            <wp:docPr id="1" name="图片 1" descr="SFigur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Figure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69510" cy="8261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bCs/>
          <w:color w:val="000000"/>
          <w:sz w:val="28"/>
          <w:szCs w:val="28"/>
        </w:rPr>
        <w:t>Supplementary Figures S1-S6</w:t>
      </w: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b/>
          <w:bCs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b/>
          <w:bCs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b/>
          <w:bCs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b/>
          <w:bCs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b/>
          <w:bCs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b/>
          <w:bCs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hint="eastAsia" w:ascii="Times New Roman" w:hAnsi="Times New Roman" w:eastAsia="DengXian"/>
          <w:b/>
          <w:bCs/>
          <w:color w:val="000000"/>
          <w:sz w:val="28"/>
          <w:szCs w:val="28"/>
          <w:lang w:eastAsia="zh-CN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b/>
          <w:bCs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b/>
          <w:bCs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b/>
          <w:bCs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b/>
          <w:bCs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b/>
          <w:bCs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b/>
          <w:bCs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b/>
          <w:bCs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b/>
          <w:bCs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b/>
          <w:bCs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b/>
          <w:bCs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b/>
          <w:bCs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b/>
          <w:bCs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b/>
          <w:bCs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b/>
          <w:bCs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b/>
          <w:bCs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b/>
          <w:bCs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b/>
          <w:bCs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b/>
          <w:bCs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b/>
          <w:bCs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b/>
          <w:bCs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b/>
          <w:bCs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b/>
          <w:bCs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b/>
          <w:bCs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b/>
          <w:bCs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b/>
          <w:bCs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t>Supplementary Figure S1. IDH1 mutation increases TMZ sensitivity and TMZ-induced DNA damage in glioma cells</w:t>
      </w: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color w:val="000000"/>
          <w:sz w:val="28"/>
          <w:szCs w:val="28"/>
        </w:rPr>
      </w:pPr>
      <w:r>
        <w:rPr>
          <w:rFonts w:hint="eastAsia" w:ascii="Times New Roman" w:hAnsi="Times New Roman"/>
          <w:b/>
          <w:bCs/>
          <w:color w:val="000000"/>
          <w:sz w:val="28"/>
          <w:szCs w:val="28"/>
        </w:rPr>
        <w:t>A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 xml:space="preserve"> </w:t>
      </w:r>
      <w:r>
        <w:rPr>
          <w:rFonts w:hint="eastAsia" w:ascii="Times New Roman" w:hAnsi="Times New Roman"/>
          <w:b w:val="0"/>
          <w:bCs w:val="0"/>
          <w:color w:val="000000"/>
          <w:sz w:val="28"/>
          <w:szCs w:val="28"/>
          <w:lang w:val="en-US" w:eastAsia="zh-CN"/>
        </w:rPr>
        <w:t>The s</w:t>
      </w:r>
      <w:r>
        <w:rPr>
          <w:rFonts w:hint="eastAsia" w:ascii="Times New Roman" w:hAnsi="Times New Roman"/>
          <w:b w:val="0"/>
          <w:bCs w:val="0"/>
          <w:color w:val="000000"/>
          <w:sz w:val="28"/>
          <w:szCs w:val="28"/>
        </w:rPr>
        <w:t xml:space="preserve">urvival </w:t>
      </w:r>
      <w:r>
        <w:rPr>
          <w:rFonts w:hint="eastAsia" w:ascii="Times New Roman" w:hAnsi="Times New Roman"/>
          <w:b w:val="0"/>
          <w:bCs w:val="0"/>
          <w:color w:val="000000"/>
          <w:sz w:val="28"/>
          <w:szCs w:val="28"/>
          <w:lang w:val="en-US" w:eastAsia="zh-CN"/>
        </w:rPr>
        <w:t>a</w:t>
      </w:r>
      <w:r>
        <w:rPr>
          <w:rFonts w:hint="eastAsia" w:ascii="Times New Roman" w:hAnsi="Times New Roman"/>
          <w:b w:val="0"/>
          <w:bCs w:val="0"/>
          <w:color w:val="000000"/>
          <w:sz w:val="28"/>
          <w:szCs w:val="28"/>
        </w:rPr>
        <w:t>nalysis</w:t>
      </w:r>
      <w:r>
        <w:rPr>
          <w:rFonts w:hint="eastAsia" w:ascii="Times New Roman" w:hAnsi="Times New Roman"/>
          <w:b w:val="0"/>
          <w:bCs w:val="0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/>
          <w:b w:val="0"/>
          <w:bCs w:val="0"/>
          <w:color w:val="000000"/>
          <w:sz w:val="28"/>
          <w:szCs w:val="28"/>
          <w:lang w:val="en-US" w:eastAsia="zh-CN"/>
        </w:rPr>
        <w:t xml:space="preserve">of </w:t>
      </w:r>
      <w:r>
        <w:rPr>
          <w:rFonts w:hint="eastAsia" w:ascii="Times New Roman" w:hAnsi="Times New Roman"/>
          <w:b w:val="0"/>
          <w:bCs w:val="0"/>
          <w:color w:val="000000"/>
          <w:sz w:val="28"/>
          <w:szCs w:val="28"/>
        </w:rPr>
        <w:t>IDH1 mutant and wild-type glioma patients based on TCGA and CGGA databases</w:t>
      </w:r>
      <w:r>
        <w:rPr>
          <w:rFonts w:hint="eastAsia" w:ascii="Times New Roman" w:hAnsi="Times New Roman"/>
          <w:b w:val="0"/>
          <w:bCs w:val="0"/>
          <w:color w:val="000000"/>
          <w:sz w:val="28"/>
          <w:szCs w:val="28"/>
          <w:lang w:val="en-US" w:eastAsia="zh-CN"/>
        </w:rPr>
        <w:t xml:space="preserve">, with the hazard ratio (HR) and p values displayed. </w:t>
      </w:r>
      <w:r>
        <w:rPr>
          <w:rFonts w:hint="default" w:ascii="Times New Roman Bold" w:hAnsi="Times New Roman Bold" w:cs="Times New Roman Bold"/>
          <w:b/>
          <w:bCs/>
          <w:color w:val="000000"/>
          <w:sz w:val="28"/>
          <w:szCs w:val="28"/>
          <w:lang w:val="en-US" w:eastAsia="zh-CN"/>
        </w:rPr>
        <w:t>B</w:t>
      </w:r>
      <w:r>
        <w:rPr>
          <w:rFonts w:hint="eastAsia" w:ascii="Times New Roman Bold" w:hAnsi="Times New Roman Bold" w:cs="Times New Roman Bold"/>
          <w:b/>
          <w:bCs/>
          <w:color w:val="000000"/>
          <w:sz w:val="28"/>
          <w:szCs w:val="28"/>
          <w:lang w:val="en-US" w:eastAsia="zh-CN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>IDH1 mutant cells expressing IDH1-R132H</w:t>
      </w:r>
      <w:r>
        <w:rPr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 xml:space="preserve">mutants in U251 and U87 cell lines. IDH1-R132H expression was confirmed by western blot. </w:t>
      </w:r>
      <w:r>
        <w:rPr>
          <w:rFonts w:hint="eastAsia" w:ascii="Times New Roman" w:hAnsi="Times New Roman"/>
          <w:b/>
          <w:bCs/>
          <w:color w:val="000000"/>
          <w:sz w:val="28"/>
          <w:szCs w:val="28"/>
          <w:lang w:val="en-US" w:eastAsia="zh-CN"/>
        </w:rPr>
        <w:t>C</w:t>
      </w:r>
      <w:r>
        <w:rPr>
          <w:rFonts w:ascii="Times New Roman" w:hAnsi="Times New Roman"/>
          <w:color w:val="000000"/>
          <w:sz w:val="28"/>
          <w:szCs w:val="28"/>
        </w:rPr>
        <w:t xml:space="preserve"> IC50 value of 48 h TMZ treatment on empty vector control, IDH1-WT and IDH1-mutant U87 cells</w:t>
      </w:r>
      <w:r>
        <w:rPr>
          <w:rFonts w:ascii="Times New Roman" w:hAnsi="Times New Roman" w:cs="Times New Roman"/>
          <w:sz w:val="28"/>
          <w:szCs w:val="28"/>
        </w:rPr>
        <w:t xml:space="preserve"> (n=3)</w:t>
      </w:r>
      <w:r>
        <w:rPr>
          <w:rFonts w:ascii="Times New Roman" w:hAnsi="Times New Roman"/>
          <w:color w:val="000000"/>
          <w:sz w:val="28"/>
          <w:szCs w:val="28"/>
        </w:rPr>
        <w:t xml:space="preserve">. </w:t>
      </w:r>
      <w:r>
        <w:rPr>
          <w:rFonts w:hint="eastAsia" w:ascii="Times New Roman" w:hAnsi="Times New Roman"/>
          <w:b/>
          <w:bCs/>
          <w:color w:val="000000"/>
          <w:sz w:val="28"/>
          <w:szCs w:val="28"/>
          <w:lang w:val="en-US" w:eastAsia="zh-CN"/>
        </w:rPr>
        <w:t>D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>Flow cytometry analysis of the cell cycle in U87 cells treated with indicated concentrations of TMZ for 48 h</w:t>
      </w:r>
      <w:r>
        <w:rPr>
          <w:rFonts w:ascii="Times New Roman" w:hAnsi="Times New Roman" w:cs="Times New Roman"/>
          <w:sz w:val="28"/>
          <w:szCs w:val="28"/>
        </w:rPr>
        <w:t xml:space="preserve"> (n=3)</w:t>
      </w:r>
      <w:r>
        <w:rPr>
          <w:rFonts w:ascii="Times New Roman" w:hAnsi="Times New Roman"/>
          <w:color w:val="000000"/>
          <w:sz w:val="28"/>
          <w:szCs w:val="28"/>
        </w:rPr>
        <w:t>.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 xml:space="preserve"> </w:t>
      </w:r>
      <w:r>
        <w:rPr>
          <w:rFonts w:hint="eastAsia" w:ascii="Times New Roman" w:hAnsi="Times New Roman"/>
          <w:b/>
          <w:bCs/>
          <w:color w:val="000000"/>
          <w:sz w:val="28"/>
          <w:szCs w:val="28"/>
          <w:lang w:val="en-US" w:eastAsia="zh-CN"/>
        </w:rPr>
        <w:t>E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>Annexin-V apoptosis assay of control, IDH1-WT and IDH1-mutant U87 cells with TMZ or DMSO treatment</w:t>
      </w:r>
      <w:r>
        <w:rPr>
          <w:rFonts w:ascii="Times New Roman" w:hAnsi="Times New Roman" w:cs="Times New Roman"/>
          <w:sz w:val="28"/>
          <w:szCs w:val="28"/>
        </w:rPr>
        <w:t xml:space="preserve"> (n=3)</w:t>
      </w:r>
      <w:r>
        <w:rPr>
          <w:rFonts w:ascii="Times New Roman" w:hAnsi="Times New Roman"/>
          <w:color w:val="000000"/>
          <w:sz w:val="28"/>
          <w:szCs w:val="28"/>
        </w:rPr>
        <w:t xml:space="preserve">. </w:t>
      </w:r>
      <w:r>
        <w:rPr>
          <w:rFonts w:hint="eastAsia" w:ascii="Times New Roman" w:hAnsi="Times New Roman"/>
          <w:b/>
          <w:bCs/>
          <w:color w:val="000000"/>
          <w:sz w:val="28"/>
          <w:szCs w:val="28"/>
          <w:lang w:val="en-US" w:eastAsia="zh-CN"/>
        </w:rPr>
        <w:t>F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 xml:space="preserve">The protein levels of γ-H2AX in U251 and U87 glioma cells </w:t>
      </w:r>
      <w:bookmarkStart w:id="0" w:name="OLE_LINK774"/>
      <w:r>
        <w:rPr>
          <w:rFonts w:ascii="Times New Roman" w:hAnsi="Times New Roman"/>
          <w:color w:val="000000"/>
          <w:sz w:val="28"/>
          <w:szCs w:val="28"/>
        </w:rPr>
        <w:t>with expressing</w:t>
      </w:r>
      <w:bookmarkEnd w:id="0"/>
      <w:r>
        <w:rPr>
          <w:rFonts w:ascii="Times New Roman" w:hAnsi="Times New Roman"/>
          <w:color w:val="000000"/>
          <w:sz w:val="28"/>
          <w:szCs w:val="28"/>
        </w:rPr>
        <w:t xml:space="preserve"> IDH1-WT, IDH1-MUT and control at different time points.</w:t>
      </w: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/>
          <w:b/>
          <w:bCs/>
          <w:color w:val="000000"/>
          <w:sz w:val="28"/>
          <w:szCs w:val="28"/>
          <w:lang w:val="en-US" w:eastAsia="zh-CN"/>
        </w:rPr>
        <w:t>G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>Immunofluorescence staining of γ-H2AX in U87 cells after TMZ treatment for 48 h</w:t>
      </w:r>
      <w:r>
        <w:rPr>
          <w:rFonts w:ascii="Times New Roman" w:hAnsi="Times New Roman" w:cs="Times New Roman"/>
          <w:sz w:val="28"/>
          <w:szCs w:val="28"/>
        </w:rPr>
        <w:t xml:space="preserve"> (n=3)</w:t>
      </w:r>
      <w:r>
        <w:rPr>
          <w:rFonts w:ascii="Times New Roman" w:hAnsi="Times New Roman"/>
          <w:color w:val="000000"/>
          <w:sz w:val="28"/>
          <w:szCs w:val="28"/>
        </w:rPr>
        <w:t xml:space="preserve">. Scale bar, 100 μm. </w:t>
      </w:r>
      <w:r>
        <w:rPr>
          <w:rFonts w:hint="eastAsia" w:ascii="Times New Roman" w:hAnsi="Times New Roman"/>
          <w:b/>
          <w:bCs/>
          <w:color w:val="000000"/>
          <w:sz w:val="28"/>
          <w:szCs w:val="28"/>
          <w:lang w:val="en-US" w:eastAsia="zh-CN"/>
        </w:rPr>
        <w:t>H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>Statistical analysis of apoptotic U87 cells with expressing control, IDH1-WT and IDH1-mutant cells with TMZ or DMSO treatment for 48 h</w:t>
      </w:r>
      <w:r>
        <w:rPr>
          <w:rFonts w:ascii="Times New Roman" w:hAnsi="Times New Roman" w:cs="Times New Roman"/>
          <w:sz w:val="28"/>
          <w:szCs w:val="28"/>
        </w:rPr>
        <w:t xml:space="preserve"> (n=3)</w:t>
      </w:r>
      <w:r>
        <w:rPr>
          <w:rFonts w:ascii="Times New Roman" w:hAnsi="Times New Roman"/>
          <w:color w:val="000000"/>
          <w:sz w:val="28"/>
          <w:szCs w:val="28"/>
        </w:rPr>
        <w:t xml:space="preserve">. </w:t>
      </w:r>
      <w:r>
        <w:rPr>
          <w:rFonts w:hint="eastAsia" w:ascii="Times New Roman" w:hAnsi="Times New Roman"/>
          <w:b/>
          <w:bCs/>
          <w:color w:val="000000"/>
          <w:sz w:val="28"/>
          <w:szCs w:val="28"/>
          <w:lang w:val="en-US" w:eastAsia="zh-CN"/>
        </w:rPr>
        <w:t>I-J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 xml:space="preserve">Statistical analysis of IF </w:t>
      </w: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 xml:space="preserve">assay </w:t>
      </w:r>
      <w:r>
        <w:rPr>
          <w:rFonts w:ascii="Times New Roman" w:hAnsi="Times New Roman"/>
          <w:color w:val="000000"/>
          <w:sz w:val="28"/>
          <w:szCs w:val="28"/>
        </w:rPr>
        <w:t>in U251 and U87 cells with expressing control, IDH1-WT and IDH1-mutant cells with TMZ or DMSO treatment for 48 h</w:t>
      </w:r>
      <w:r>
        <w:rPr>
          <w:rFonts w:ascii="Times New Roman" w:hAnsi="Times New Roman" w:cs="Times New Roman"/>
          <w:sz w:val="28"/>
          <w:szCs w:val="28"/>
        </w:rPr>
        <w:t xml:space="preserve"> (n=3)</w:t>
      </w:r>
      <w:r>
        <w:rPr>
          <w:rFonts w:ascii="Times New Roman" w:hAnsi="Times New Roman"/>
          <w:color w:val="000000"/>
          <w:sz w:val="28"/>
          <w:szCs w:val="28"/>
        </w:rPr>
        <w:t>.</w:t>
      </w: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/>
          <w:color w:val="000000"/>
          <w:sz w:val="28"/>
          <w:szCs w:val="28"/>
        </w:rPr>
        <w:t>*</w:t>
      </w:r>
      <w:r>
        <w:rPr>
          <w:rFonts w:hint="default" w:ascii="Times New Roman Italic" w:hAnsi="Times New Roman Italic" w:cs="Times New Roman Italic"/>
          <w:i/>
          <w:iCs/>
          <w:color w:val="000000"/>
          <w:sz w:val="28"/>
          <w:szCs w:val="28"/>
        </w:rPr>
        <w:t>p</w:t>
      </w:r>
      <w:r>
        <w:rPr>
          <w:rFonts w:hint="eastAsia" w:ascii="Times New Roman" w:hAnsi="Times New Roman"/>
          <w:color w:val="000000"/>
          <w:sz w:val="28"/>
          <w:szCs w:val="28"/>
        </w:rPr>
        <w:t xml:space="preserve"> &lt; 0.05, **</w:t>
      </w:r>
      <w:r>
        <w:rPr>
          <w:rFonts w:hint="default" w:ascii="Times New Roman Italic" w:hAnsi="Times New Roman Italic" w:cs="Times New Roman Italic"/>
          <w:i/>
          <w:iCs/>
          <w:color w:val="000000"/>
          <w:sz w:val="28"/>
          <w:szCs w:val="28"/>
        </w:rPr>
        <w:t>p</w:t>
      </w:r>
      <w:r>
        <w:rPr>
          <w:rFonts w:hint="eastAsia" w:ascii="Times New Roman" w:hAnsi="Times New Roman"/>
          <w:color w:val="000000"/>
          <w:sz w:val="28"/>
          <w:szCs w:val="28"/>
        </w:rPr>
        <w:t xml:space="preserve"> &lt; 0.01, ***</w:t>
      </w:r>
      <w:r>
        <w:rPr>
          <w:rFonts w:hint="default" w:ascii="Times New Roman Italic" w:hAnsi="Times New Roman Italic" w:cs="Times New Roman Italic"/>
          <w:i/>
          <w:iCs/>
          <w:color w:val="000000"/>
          <w:sz w:val="28"/>
          <w:szCs w:val="28"/>
        </w:rPr>
        <w:t>p</w:t>
      </w:r>
      <w:r>
        <w:rPr>
          <w:rFonts w:hint="eastAsia" w:ascii="Times New Roman" w:hAnsi="Times New Roman"/>
          <w:color w:val="000000"/>
          <w:sz w:val="28"/>
          <w:szCs w:val="28"/>
        </w:rPr>
        <w:t xml:space="preserve"> &lt; 0.001.</w:t>
      </w:r>
      <w:bookmarkStart w:id="10" w:name="_GoBack"/>
    </w:p>
    <w:bookmarkEnd w:id="10"/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b/>
          <w:bCs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b/>
          <w:bCs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b/>
          <w:bCs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b/>
          <w:bCs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b/>
          <w:bCs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b/>
          <w:bCs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b/>
          <w:bCs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b/>
          <w:bCs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b/>
          <w:bCs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b/>
          <w:bCs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b/>
          <w:bCs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b/>
          <w:bCs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b/>
          <w:bCs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b/>
          <w:bCs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b/>
          <w:bCs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b/>
          <w:bCs/>
          <w:color w:val="000000"/>
          <w:sz w:val="28"/>
          <w:szCs w:val="28"/>
        </w:rPr>
      </w:pPr>
      <w:r>
        <w:rPr>
          <w:rFonts w:hint="eastAsia" w:ascii="Times New Roman" w:hAnsi="Times New Roman" w:eastAsia="DengXian"/>
          <w:b/>
          <w:bCs/>
          <w:color w:val="000000"/>
          <w:sz w:val="28"/>
          <w:szCs w:val="28"/>
          <w:lang w:eastAsia="zh-CN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556895</wp:posOffset>
            </wp:positionH>
            <wp:positionV relativeFrom="paragraph">
              <wp:posOffset>39370</wp:posOffset>
            </wp:positionV>
            <wp:extent cx="4714240" cy="8531860"/>
            <wp:effectExtent l="0" t="0" r="10160" b="2540"/>
            <wp:wrapNone/>
            <wp:docPr id="2" name="图片 2" descr="SFigur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SFigure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14240" cy="85318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b/>
          <w:bCs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b/>
          <w:bCs/>
          <w:color w:val="000000"/>
          <w:sz w:val="28"/>
          <w:szCs w:val="28"/>
        </w:rPr>
      </w:pPr>
    </w:p>
    <w:p>
      <w:pPr>
        <w:rPr>
          <w:rFonts w:hint="eastAsia" w:ascii="Times New Roman" w:hAnsi="Times New Roman" w:eastAsia="DengXian"/>
          <w:b/>
          <w:bCs/>
          <w:color w:val="000000"/>
          <w:sz w:val="28"/>
          <w:szCs w:val="28"/>
          <w:lang w:eastAsia="zh-CN"/>
        </w:rPr>
      </w:pPr>
      <w:r>
        <w:rPr>
          <w:rFonts w:hint="eastAsia" w:ascii="Times New Roman" w:hAnsi="Times New Roman"/>
          <w:b/>
          <w:bCs/>
          <w:color w:val="000000"/>
          <w:sz w:val="28"/>
          <w:szCs w:val="28"/>
        </w:rPr>
        <w:br w:type="page"/>
      </w: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b/>
          <w:bCs/>
          <w:color w:val="000000"/>
          <w:sz w:val="28"/>
          <w:szCs w:val="28"/>
        </w:rPr>
      </w:pPr>
      <w:bookmarkStart w:id="1" w:name="OLE_LINK779"/>
      <w:r>
        <w:rPr>
          <w:rFonts w:ascii="Times New Roman" w:hAnsi="Times New Roman"/>
          <w:b/>
          <w:bCs/>
          <w:color w:val="000000"/>
          <w:sz w:val="28"/>
          <w:szCs w:val="28"/>
        </w:rPr>
        <w:t>Supplementary Figure S2.</w:t>
      </w:r>
      <w:bookmarkEnd w:id="1"/>
      <w:r>
        <w:rPr>
          <w:rFonts w:ascii="Times New Roman" w:hAnsi="Times New Roman"/>
          <w:b/>
          <w:bCs/>
          <w:color w:val="000000"/>
          <w:sz w:val="28"/>
          <w:szCs w:val="28"/>
        </w:rPr>
        <w:t xml:space="preserve"> </w:t>
      </w:r>
      <w:bookmarkStart w:id="2" w:name="OLE_LINK777"/>
      <w:bookmarkStart w:id="3" w:name="OLE_LINK778"/>
      <w:r>
        <w:rPr>
          <w:rFonts w:hint="eastAsia" w:ascii="Times New Roman" w:hAnsi="Times New Roman"/>
          <w:b/>
          <w:bCs/>
          <w:color w:val="000000"/>
          <w:sz w:val="28"/>
          <w:szCs w:val="28"/>
          <w:lang w:val="en-US" w:eastAsia="zh-CN"/>
        </w:rPr>
        <w:t>The e</w:t>
      </w:r>
      <w:r>
        <w:rPr>
          <w:rFonts w:hint="eastAsia" w:ascii="Times New Roman" w:hAnsi="Times New Roman"/>
          <w:b/>
          <w:bCs/>
          <w:color w:val="000000"/>
          <w:sz w:val="28"/>
          <w:szCs w:val="28"/>
        </w:rPr>
        <w:t>xpression and survival analysis of RPA1 in normal brain tissue and glioma tissue</w:t>
      </w:r>
    </w:p>
    <w:p>
      <w:pPr>
        <w:widowControl/>
        <w:adjustRightInd w:val="0"/>
        <w:snapToGrid w:val="0"/>
        <w:spacing w:line="400" w:lineRule="exact"/>
        <w:rPr>
          <w:rFonts w:hint="default" w:ascii="Times New Roman" w:hAnsi="Times New Roman"/>
          <w:b/>
          <w:bCs/>
          <w:color w:val="000000"/>
          <w:sz w:val="28"/>
          <w:szCs w:val="28"/>
          <w:lang w:val="en-US"/>
        </w:rPr>
      </w:pPr>
      <w:r>
        <w:rPr>
          <w:rFonts w:hint="eastAsia" w:ascii="Times New Roman" w:hAnsi="Times New Roman"/>
          <w:b/>
          <w:bCs/>
          <w:color w:val="000000"/>
          <w:sz w:val="28"/>
          <w:szCs w:val="28"/>
          <w:lang w:val="en-US" w:eastAsia="zh-CN"/>
        </w:rPr>
        <w:t>A</w:t>
      </w:r>
      <w:r>
        <w:rPr>
          <w:rFonts w:hint="eastAsia" w:ascii="Times New Roman" w:hAnsi="Times New Roman"/>
          <w:b w:val="0"/>
          <w:bCs w:val="0"/>
          <w:color w:val="000000"/>
          <w:sz w:val="28"/>
          <w:szCs w:val="28"/>
          <w:lang w:val="en-US" w:eastAsia="zh-CN"/>
        </w:rPr>
        <w:t xml:space="preserve"> Three </w:t>
      </w:r>
      <w:r>
        <w:rPr>
          <w:rFonts w:hint="eastAsia" w:ascii="Times New Roman" w:hAnsi="Times New Roman"/>
          <w:b w:val="0"/>
          <w:bCs w:val="0"/>
          <w:color w:val="000000"/>
          <w:sz w:val="28"/>
          <w:szCs w:val="28"/>
        </w:rPr>
        <w:t>DNA damage repair-related proteins screened from</w:t>
      </w:r>
      <w:r>
        <w:rPr>
          <w:rFonts w:hint="eastAsia" w:ascii="Times New Roman" w:hAnsi="Times New Roman"/>
          <w:b w:val="0"/>
          <w:bCs w:val="0"/>
          <w:color w:val="000000"/>
          <w:sz w:val="28"/>
          <w:szCs w:val="28"/>
          <w:lang w:val="en-US" w:eastAsia="zh-CN"/>
        </w:rPr>
        <w:t xml:space="preserve"> IP-MS</w:t>
      </w:r>
      <w:r>
        <w:rPr>
          <w:rFonts w:hint="eastAsia" w:ascii="Times New Roman" w:hAnsi="Times New Roman"/>
          <w:b w:val="0"/>
          <w:bCs w:val="0"/>
          <w:color w:val="000000"/>
          <w:sz w:val="28"/>
          <w:szCs w:val="28"/>
        </w:rPr>
        <w:t>-identified proteins.</w:t>
      </w:r>
      <w:r>
        <w:rPr>
          <w:rFonts w:hint="eastAsia" w:ascii="Times New Roman" w:hAnsi="Times New Roman"/>
          <w:b w:val="0"/>
          <w:bCs w:val="0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/>
          <w:b/>
          <w:bCs/>
          <w:color w:val="000000"/>
          <w:sz w:val="28"/>
          <w:szCs w:val="28"/>
          <w:lang w:val="en-US" w:eastAsia="zh-CN"/>
        </w:rPr>
        <w:t>B</w:t>
      </w:r>
      <w:r>
        <w:rPr>
          <w:rFonts w:hint="eastAsia" w:ascii="Times New Roman" w:hAnsi="Times New Roman"/>
          <w:b w:val="0"/>
          <w:bCs w:val="0"/>
          <w:color w:val="000000"/>
          <w:sz w:val="28"/>
          <w:szCs w:val="28"/>
          <w:lang w:val="en-US" w:eastAsia="zh-CN"/>
        </w:rPr>
        <w:t xml:space="preserve"> The mRNA expression levels of RPA1 in normal brain tissue, LGG, and GBM. </w:t>
      </w:r>
      <w:r>
        <w:rPr>
          <w:rFonts w:hint="default" w:ascii="Times New Roman Bold" w:hAnsi="Times New Roman Bold" w:cs="Times New Roman Bold"/>
          <w:b/>
          <w:bCs/>
          <w:color w:val="000000"/>
          <w:sz w:val="28"/>
          <w:szCs w:val="28"/>
          <w:lang w:val="en-US" w:eastAsia="zh-CN"/>
        </w:rPr>
        <w:t>C</w:t>
      </w:r>
      <w:r>
        <w:rPr>
          <w:rFonts w:hint="eastAsia" w:ascii="Times New Roman" w:hAnsi="Times New Roman"/>
          <w:b w:val="0"/>
          <w:bCs w:val="0"/>
          <w:color w:val="000000"/>
          <w:sz w:val="28"/>
          <w:szCs w:val="28"/>
          <w:lang w:val="en-US" w:eastAsia="zh-CN"/>
        </w:rPr>
        <w:t xml:space="preserve"> The protein levels of RPA1 in normal brain tissue, LGG, and GBM from HPA database. </w:t>
      </w:r>
      <w:r>
        <w:rPr>
          <w:rFonts w:hint="default" w:ascii="Times New Roman Bold" w:hAnsi="Times New Roman Bold" w:cs="Times New Roman Bold"/>
          <w:b/>
          <w:bCs/>
          <w:color w:val="000000"/>
          <w:sz w:val="28"/>
          <w:szCs w:val="28"/>
          <w:lang w:val="en-US" w:eastAsia="zh-CN"/>
        </w:rPr>
        <w:t>D</w:t>
      </w:r>
      <w:r>
        <w:rPr>
          <w:rFonts w:hint="eastAsia" w:ascii="Times New Roman" w:hAnsi="Times New Roman"/>
          <w:b w:val="0"/>
          <w:bCs w:val="0"/>
          <w:color w:val="000000"/>
          <w:sz w:val="28"/>
          <w:szCs w:val="28"/>
          <w:lang w:val="en-US" w:eastAsia="zh-CN"/>
        </w:rPr>
        <w:t xml:space="preserve"> The survival analysis of RPA1 high-expression and low-expression groups in IDH1 wild-type and mutant glioma patients based on the TCGA and CGGA databases. </w:t>
      </w:r>
      <w:r>
        <w:rPr>
          <w:rFonts w:hint="default" w:ascii="Times New Roman Bold" w:hAnsi="Times New Roman Bold" w:cs="Times New Roman Bold"/>
          <w:b/>
          <w:bCs/>
          <w:color w:val="000000"/>
          <w:sz w:val="28"/>
          <w:szCs w:val="28"/>
          <w:lang w:val="en-US" w:eastAsia="zh-CN"/>
        </w:rPr>
        <w:t>E</w:t>
      </w: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>The Pearson correlation analysis</w:t>
      </w: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 xml:space="preserve"> of </w:t>
      </w:r>
      <w:r>
        <w:rPr>
          <w:rFonts w:ascii="Times New Roman" w:hAnsi="Times New Roman"/>
          <w:color w:val="000000"/>
          <w:sz w:val="28"/>
          <w:szCs w:val="28"/>
        </w:rPr>
        <w:t>mutant IDH1</w:t>
      </w: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 xml:space="preserve"> and </w:t>
      </w:r>
      <w:r>
        <w:rPr>
          <w:rFonts w:ascii="Times New Roman" w:hAnsi="Times New Roman"/>
          <w:color w:val="000000"/>
          <w:sz w:val="28"/>
          <w:szCs w:val="28"/>
        </w:rPr>
        <w:t>RPA1</w:t>
      </w: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 xml:space="preserve"> in </w:t>
      </w:r>
      <w:r>
        <w:rPr>
          <w:rFonts w:ascii="Times New Roman" w:hAnsi="Times New Roman"/>
          <w:color w:val="000000"/>
          <w:sz w:val="28"/>
          <w:szCs w:val="28"/>
        </w:rPr>
        <w:t>TCGA and CGGA (CGGA301, CGGA325, and CGGA693) datasets.</w:t>
      </w:r>
      <w:bookmarkEnd w:id="2"/>
      <w:bookmarkEnd w:id="3"/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Times New Roman Bold" w:hAnsi="Times New Roman Bold" w:cs="Times New Roman Bold"/>
          <w:b/>
          <w:bCs/>
          <w:color w:val="000000"/>
          <w:sz w:val="28"/>
          <w:szCs w:val="28"/>
          <w:lang w:val="en-US" w:eastAsia="zh-CN"/>
        </w:rPr>
        <w:t>F</w:t>
      </w: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 xml:space="preserve"> The GDSC database analyzed the relationship between RPA1 expression and TMZ sensitivity in IDH1 wild-type and mutant gliomas, with p values displayed.</w:t>
      </w: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b/>
          <w:bCs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b/>
          <w:bCs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b/>
          <w:bCs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b/>
          <w:bCs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b/>
          <w:bCs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b/>
          <w:bCs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b/>
          <w:bCs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b/>
          <w:bCs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b/>
          <w:bCs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b/>
          <w:bCs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b/>
          <w:bCs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b/>
          <w:bCs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b/>
          <w:bCs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b/>
          <w:bCs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b/>
          <w:bCs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b/>
          <w:bCs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b/>
          <w:bCs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b/>
          <w:bCs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b/>
          <w:bCs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b/>
          <w:bCs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b/>
          <w:bCs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76835</wp:posOffset>
            </wp:positionH>
            <wp:positionV relativeFrom="paragraph">
              <wp:posOffset>96520</wp:posOffset>
            </wp:positionV>
            <wp:extent cx="5652135" cy="6684010"/>
            <wp:effectExtent l="0" t="0" r="12065" b="21590"/>
            <wp:wrapNone/>
            <wp:docPr id="136309406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3094060" name="图片 3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52135" cy="66840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b/>
          <w:bCs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b/>
          <w:bCs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b/>
          <w:bCs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b/>
          <w:bCs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b/>
          <w:bCs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hint="eastAsia" w:ascii="Times New Roman" w:hAnsi="Times New Roman"/>
          <w:b/>
          <w:bCs/>
          <w:color w:val="000000"/>
          <w:sz w:val="28"/>
          <w:szCs w:val="28"/>
        </w:rPr>
      </w:pPr>
    </w:p>
    <w:p>
      <w:pPr>
        <w:rPr>
          <w:rFonts w:ascii="Times New Roman" w:hAnsi="Times New Roman"/>
          <w:b/>
          <w:bCs/>
          <w:color w:val="000000"/>
          <w:sz w:val="28"/>
          <w:szCs w:val="28"/>
        </w:rPr>
      </w:pPr>
      <w:bookmarkStart w:id="4" w:name="OLE_LINK783"/>
      <w:r>
        <w:rPr>
          <w:rFonts w:ascii="Times New Roman" w:hAnsi="Times New Roman"/>
          <w:b/>
          <w:bCs/>
          <w:color w:val="000000"/>
          <w:sz w:val="28"/>
          <w:szCs w:val="28"/>
        </w:rPr>
        <w:br w:type="page"/>
      </w: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t>Supplementary Figure S3.</w:t>
      </w:r>
      <w:r>
        <w:rPr>
          <w:rFonts w:hint="eastAsia" w:ascii="Times New Roman" w:hAnsi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>RPA1 overexpression reverses TMZ induces cell toxicity and DNA damage</w:t>
      </w:r>
    </w:p>
    <w:bookmarkEnd w:id="4"/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t xml:space="preserve">A </w:t>
      </w:r>
      <w:bookmarkStart w:id="5" w:name="OLE_LINK780"/>
      <w:r>
        <w:rPr>
          <w:rFonts w:ascii="Times New Roman" w:hAnsi="Times New Roman"/>
          <w:color w:val="000000"/>
          <w:sz w:val="28"/>
          <w:szCs w:val="28"/>
        </w:rPr>
        <w:t>MTT assay shows that overexpression of RPA1 could reserve the inhibitory effect of TMZ treatment for 48 h in U87 cells</w:t>
      </w:r>
      <w:r>
        <w:rPr>
          <w:rFonts w:ascii="Times New Roman" w:hAnsi="Times New Roman" w:cs="Times New Roman"/>
          <w:sz w:val="28"/>
          <w:szCs w:val="28"/>
        </w:rPr>
        <w:t xml:space="preserve"> (n=3)</w:t>
      </w:r>
      <w:r>
        <w:rPr>
          <w:rFonts w:ascii="Times New Roman" w:hAnsi="Times New Roman"/>
          <w:color w:val="000000"/>
          <w:sz w:val="28"/>
          <w:szCs w:val="28"/>
        </w:rPr>
        <w:t xml:space="preserve">. 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>B</w:t>
      </w:r>
      <w:r>
        <w:rPr>
          <w:rFonts w:ascii="Times New Roman" w:hAnsi="Times New Roman"/>
          <w:color w:val="000000"/>
          <w:sz w:val="28"/>
          <w:szCs w:val="28"/>
        </w:rPr>
        <w:t xml:space="preserve"> Cell apoptosis analysis of U87 cells transfected with overexpressed RPA1 or NC for 48 h, followed by treatment with or without TMZ for 48 h</w:t>
      </w:r>
      <w:r>
        <w:rPr>
          <w:rFonts w:ascii="Times New Roman" w:hAnsi="Times New Roman" w:cs="Times New Roman"/>
          <w:sz w:val="28"/>
          <w:szCs w:val="28"/>
        </w:rPr>
        <w:t xml:space="preserve"> (n=3)</w:t>
      </w:r>
      <w:r>
        <w:rPr>
          <w:rFonts w:ascii="Times New Roman" w:hAnsi="Times New Roman"/>
          <w:color w:val="000000"/>
          <w:sz w:val="28"/>
          <w:szCs w:val="28"/>
        </w:rPr>
        <w:t xml:space="preserve">. 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>C</w:t>
      </w:r>
      <w:r>
        <w:rPr>
          <w:rFonts w:ascii="Times New Roman" w:hAnsi="Times New Roman"/>
          <w:color w:val="000000"/>
          <w:sz w:val="28"/>
          <w:szCs w:val="28"/>
        </w:rPr>
        <w:t xml:space="preserve"> IF images of γ-H2AX in DMSO or TMZ-treated U87 cells with RPA1 overexpressing</w:t>
      </w:r>
      <w:r>
        <w:rPr>
          <w:rFonts w:ascii="Times New Roman" w:hAnsi="Times New Roman" w:cs="Times New Roman"/>
          <w:sz w:val="28"/>
          <w:szCs w:val="28"/>
        </w:rPr>
        <w:t xml:space="preserve"> (n=3)</w:t>
      </w:r>
      <w:r>
        <w:rPr>
          <w:rFonts w:ascii="Times New Roman" w:hAnsi="Times New Roman"/>
          <w:color w:val="000000"/>
          <w:sz w:val="28"/>
          <w:szCs w:val="28"/>
        </w:rPr>
        <w:t>. Scale bar, 100 µm.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 xml:space="preserve"> D</w:t>
      </w:r>
      <w:r>
        <w:rPr>
          <w:rFonts w:ascii="Times New Roman" w:hAnsi="Times New Roman"/>
          <w:color w:val="000000"/>
          <w:sz w:val="28"/>
          <w:szCs w:val="28"/>
        </w:rPr>
        <w:t xml:space="preserve"> Apoptosis-related, γ-H2AX and the downstream pathway ATR/CHK1 were evaluated by western blot </w:t>
      </w:r>
      <w:r>
        <w:rPr>
          <w:rFonts w:hint="eastAsia" w:ascii="Times New Roman" w:hAnsi="Times New Roman"/>
          <w:color w:val="000000"/>
          <w:sz w:val="28"/>
          <w:szCs w:val="28"/>
        </w:rPr>
        <w:t>in</w:t>
      </w:r>
      <w:r>
        <w:rPr>
          <w:rFonts w:ascii="Times New Roman" w:hAnsi="Times New Roman"/>
          <w:color w:val="000000"/>
          <w:sz w:val="28"/>
          <w:szCs w:val="28"/>
        </w:rPr>
        <w:t xml:space="preserve"> U87 glioma </w:t>
      </w:r>
      <w:r>
        <w:rPr>
          <w:rFonts w:hint="eastAsia" w:ascii="Times New Roman" w:hAnsi="Times New Roman"/>
          <w:color w:val="000000"/>
          <w:sz w:val="28"/>
          <w:szCs w:val="28"/>
        </w:rPr>
        <w:t>cell</w:t>
      </w:r>
      <w:r>
        <w:rPr>
          <w:rFonts w:ascii="Times New Roman" w:hAnsi="Times New Roman"/>
          <w:color w:val="000000"/>
          <w:sz w:val="28"/>
          <w:szCs w:val="28"/>
        </w:rPr>
        <w:t xml:space="preserve">s. 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>E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bookmarkStart w:id="6" w:name="OLE_LINK781"/>
      <w:bookmarkStart w:id="7" w:name="OLE_LINK782"/>
      <w:r>
        <w:rPr>
          <w:rFonts w:ascii="Times New Roman" w:hAnsi="Times New Roman"/>
          <w:color w:val="000000"/>
          <w:sz w:val="28"/>
          <w:szCs w:val="28"/>
        </w:rPr>
        <w:t>Colony formation assay of TMZ treated U87 cells transfected with overexpressed RPA1 or NC for 48 h</w:t>
      </w:r>
      <w:r>
        <w:rPr>
          <w:rFonts w:ascii="Times New Roman" w:hAnsi="Times New Roman" w:cs="Times New Roman"/>
          <w:sz w:val="28"/>
          <w:szCs w:val="28"/>
        </w:rPr>
        <w:t xml:space="preserve"> (n=3)</w:t>
      </w:r>
      <w:r>
        <w:rPr>
          <w:rFonts w:ascii="Times New Roman" w:hAnsi="Times New Roman"/>
          <w:color w:val="000000"/>
          <w:sz w:val="28"/>
          <w:szCs w:val="28"/>
        </w:rPr>
        <w:t xml:space="preserve">. </w:t>
      </w:r>
      <w:bookmarkEnd w:id="5"/>
      <w:bookmarkEnd w:id="6"/>
      <w:bookmarkEnd w:id="7"/>
      <w:r>
        <w:rPr>
          <w:rFonts w:hint="eastAsia" w:ascii="Times New Roman" w:hAnsi="Times New Roman"/>
          <w:color w:val="000000"/>
          <w:sz w:val="28"/>
          <w:szCs w:val="28"/>
        </w:rPr>
        <w:t>*</w:t>
      </w:r>
      <w:r>
        <w:rPr>
          <w:rFonts w:hint="default" w:ascii="Times New Roman Italic" w:hAnsi="Times New Roman Italic" w:cs="Times New Roman Italic"/>
          <w:i/>
          <w:iCs/>
          <w:color w:val="000000"/>
          <w:sz w:val="28"/>
          <w:szCs w:val="28"/>
        </w:rPr>
        <w:t>p</w:t>
      </w:r>
      <w:r>
        <w:rPr>
          <w:rFonts w:hint="eastAsia" w:ascii="Times New Roman" w:hAnsi="Times New Roman"/>
          <w:color w:val="000000"/>
          <w:sz w:val="28"/>
          <w:szCs w:val="28"/>
        </w:rPr>
        <w:t xml:space="preserve"> &lt; 0.05, **</w:t>
      </w:r>
      <w:r>
        <w:rPr>
          <w:rFonts w:hint="default" w:ascii="Times New Roman Italic" w:hAnsi="Times New Roman Italic" w:cs="Times New Roman Italic"/>
          <w:i/>
          <w:iCs/>
          <w:color w:val="000000"/>
          <w:sz w:val="28"/>
          <w:szCs w:val="28"/>
        </w:rPr>
        <w:t>p</w:t>
      </w:r>
      <w:r>
        <w:rPr>
          <w:rFonts w:hint="eastAsia" w:ascii="Times New Roman" w:hAnsi="Times New Roman"/>
          <w:color w:val="000000"/>
          <w:sz w:val="28"/>
          <w:szCs w:val="28"/>
        </w:rPr>
        <w:t xml:space="preserve"> &lt; 0.01, ***</w:t>
      </w:r>
      <w:r>
        <w:rPr>
          <w:rFonts w:hint="default" w:ascii="Times New Roman Italic" w:hAnsi="Times New Roman Italic" w:cs="Times New Roman Italic"/>
          <w:i/>
          <w:iCs/>
          <w:color w:val="000000"/>
          <w:sz w:val="28"/>
          <w:szCs w:val="28"/>
        </w:rPr>
        <w:t>p</w:t>
      </w:r>
      <w:r>
        <w:rPr>
          <w:rFonts w:hint="eastAsia" w:ascii="Times New Roman" w:hAnsi="Times New Roman"/>
          <w:color w:val="000000"/>
          <w:sz w:val="28"/>
          <w:szCs w:val="28"/>
        </w:rPr>
        <w:t xml:space="preserve"> &lt; 0.001.</w:t>
      </w: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b/>
          <w:bCs/>
          <w:color w:val="000000"/>
          <w:sz w:val="28"/>
          <w:szCs w:val="28"/>
        </w:rPr>
      </w:pPr>
    </w:p>
    <w:p>
      <w:pPr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br w:type="page"/>
      </w: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color w:val="000000"/>
          <w:sz w:val="28"/>
          <w:szCs w:val="28"/>
        </w:rPr>
      </w:pPr>
      <w:r>
        <w:rPr>
          <w:rFonts w:hint="eastAsia" w:ascii="Times New Roman" w:hAnsi="Times New Roman" w:eastAsia="DengXian"/>
          <w:color w:val="000000"/>
          <w:sz w:val="28"/>
          <w:szCs w:val="28"/>
          <w:lang w:eastAsia="zh-CN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128905</wp:posOffset>
            </wp:positionH>
            <wp:positionV relativeFrom="paragraph">
              <wp:posOffset>56515</wp:posOffset>
            </wp:positionV>
            <wp:extent cx="5489575" cy="8530590"/>
            <wp:effectExtent l="0" t="0" r="22225" b="3810"/>
            <wp:wrapNone/>
            <wp:docPr id="4" name="图片 4" descr="SFigure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SFigure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89575" cy="8530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hint="eastAsia" w:ascii="Times New Roman" w:hAnsi="Times New Roman" w:eastAsia="DengXian"/>
          <w:color w:val="000000"/>
          <w:sz w:val="28"/>
          <w:szCs w:val="28"/>
          <w:lang w:eastAsia="zh-CN"/>
        </w:rPr>
      </w:pPr>
      <w:r>
        <w:rPr>
          <w:rFonts w:hint="eastAsia" w:ascii="Times New Roman" w:hAnsi="Times New Roman" w:eastAsia="DengXian"/>
          <w:color w:val="000000"/>
          <w:sz w:val="28"/>
          <w:szCs w:val="28"/>
          <w:lang w:eastAsia="zh-CN"/>
        </w:rPr>
        <w:drawing>
          <wp:inline distT="0" distB="0" distL="114300" distR="114300">
            <wp:extent cx="5489575" cy="8530590"/>
            <wp:effectExtent l="0" t="0" r="22225" b="3810"/>
            <wp:docPr id="3" name="图片 3" descr="SFigure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SFigure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89575" cy="8530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hint="eastAsia" w:ascii="Times New Roman" w:hAnsi="Times New Roman" w:eastAsia="DengXian"/>
          <w:color w:val="000000"/>
          <w:sz w:val="28"/>
          <w:szCs w:val="28"/>
          <w:lang w:val="en-US" w:eastAsia="zh-CN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t>Supplementary Figure S4.</w:t>
      </w:r>
      <w:r>
        <w:rPr>
          <w:rFonts w:hint="eastAsia" w:ascii="Times New Roman" w:hAnsi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>RPA1 inhibitor HAMNO synergistically enhances TMZ cytotoxic effects in vitro</w:t>
      </w: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t>A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>IC50 value of 48 h TMZ treatment on U87 cells with pre-treatment with HAMNO</w:t>
      </w:r>
      <w:r>
        <w:rPr>
          <w:rFonts w:ascii="Times New Roman" w:hAnsi="Times New Roman" w:cs="Times New Roman"/>
          <w:sz w:val="28"/>
          <w:szCs w:val="28"/>
        </w:rPr>
        <w:t xml:space="preserve"> (n=3)</w:t>
      </w:r>
      <w:r>
        <w:rPr>
          <w:rFonts w:ascii="Times New Roman" w:hAnsi="Times New Roman"/>
          <w:color w:val="000000"/>
          <w:sz w:val="28"/>
          <w:szCs w:val="28"/>
        </w:rPr>
        <w:t xml:space="preserve">. 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>B</w:t>
      </w:r>
      <w:r>
        <w:rPr>
          <w:rFonts w:ascii="Times New Roman" w:hAnsi="Times New Roman"/>
          <w:color w:val="000000"/>
          <w:sz w:val="28"/>
          <w:szCs w:val="28"/>
        </w:rPr>
        <w:t xml:space="preserve"> Apoptosis assay of U87 cells after 48 h TMZ treatment with combination of HAMNO</w:t>
      </w:r>
      <w:r>
        <w:rPr>
          <w:rFonts w:ascii="Times New Roman" w:hAnsi="Times New Roman" w:cs="Times New Roman"/>
          <w:sz w:val="28"/>
          <w:szCs w:val="28"/>
        </w:rPr>
        <w:t xml:space="preserve"> (n=3)</w:t>
      </w:r>
      <w:r>
        <w:rPr>
          <w:rFonts w:ascii="Times New Roman" w:hAnsi="Times New Roman"/>
          <w:color w:val="000000"/>
          <w:sz w:val="28"/>
          <w:szCs w:val="28"/>
        </w:rPr>
        <w:t xml:space="preserve">. 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>C</w:t>
      </w:r>
      <w:r>
        <w:rPr>
          <w:rFonts w:ascii="Times New Roman" w:hAnsi="Times New Roman"/>
          <w:color w:val="000000"/>
          <w:sz w:val="28"/>
          <w:szCs w:val="28"/>
        </w:rPr>
        <w:t xml:space="preserve"> Colony formation assay of U87 cells with TMZ and HAMNO treated for 48h. 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>D</w:t>
      </w:r>
      <w:r>
        <w:rPr>
          <w:rFonts w:ascii="Times New Roman" w:hAnsi="Times New Roman"/>
          <w:color w:val="000000"/>
          <w:sz w:val="28"/>
          <w:szCs w:val="28"/>
        </w:rPr>
        <w:t xml:space="preserve"> IF images of γ-H2AX in U87 cells after 48 h TMZ treatment with combination of HAMNO</w:t>
      </w:r>
      <w:r>
        <w:rPr>
          <w:rFonts w:ascii="Times New Roman" w:hAnsi="Times New Roman" w:cs="Times New Roman"/>
          <w:sz w:val="28"/>
          <w:szCs w:val="28"/>
        </w:rPr>
        <w:t xml:space="preserve"> (n=3)</w:t>
      </w:r>
      <w:r>
        <w:rPr>
          <w:rFonts w:ascii="Times New Roman" w:hAnsi="Times New Roman"/>
          <w:color w:val="000000"/>
          <w:sz w:val="28"/>
          <w:szCs w:val="28"/>
        </w:rPr>
        <w:t>. Scale bar, 100 µm.</w:t>
      </w:r>
      <w:r>
        <w:rPr>
          <w:rFonts w:hint="eastAsia"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>E</w:t>
      </w:r>
      <w:r>
        <w:rPr>
          <w:rFonts w:ascii="Times New Roman" w:hAnsi="Times New Roman"/>
          <w:color w:val="000000"/>
          <w:sz w:val="28"/>
          <w:szCs w:val="28"/>
        </w:rPr>
        <w:t xml:space="preserve"> Western blot assay of apoptosis-related proteins, γ-H2AX and ATR/CHK1 in U87 cells with TMZ and HAMNO treated for 48h.</w:t>
      </w: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/>
          <w:b/>
          <w:bCs/>
          <w:color w:val="000000"/>
          <w:sz w:val="28"/>
          <w:szCs w:val="28"/>
          <w:lang w:val="en-US" w:eastAsia="zh-CN"/>
        </w:rPr>
        <w:t xml:space="preserve">F </w:t>
      </w:r>
      <w:r>
        <w:rPr>
          <w:rFonts w:hint="eastAsia" w:ascii="Times New Roman" w:hAnsi="Times New Roman"/>
          <w:b w:val="0"/>
          <w:bCs w:val="0"/>
          <w:color w:val="000000"/>
          <w:sz w:val="28"/>
          <w:szCs w:val="28"/>
          <w:lang w:val="en-US" w:eastAsia="zh-CN"/>
        </w:rPr>
        <w:t xml:space="preserve">Statistical analysis of </w:t>
      </w:r>
      <w:r>
        <w:rPr>
          <w:rFonts w:ascii="Times New Roman" w:hAnsi="Times New Roman"/>
          <w:color w:val="000000"/>
          <w:sz w:val="28"/>
          <w:szCs w:val="28"/>
        </w:rPr>
        <w:t>γ-H2AX</w:t>
      </w: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 xml:space="preserve"> foci</w:t>
      </w:r>
      <w:r>
        <w:rPr>
          <w:rFonts w:hint="eastAsia" w:ascii="Times New Roman" w:hAnsi="Times New Roman"/>
          <w:b w:val="0"/>
          <w:bCs w:val="0"/>
          <w:color w:val="000000"/>
          <w:sz w:val="28"/>
          <w:szCs w:val="28"/>
          <w:lang w:val="en-US" w:eastAsia="zh-CN"/>
        </w:rPr>
        <w:t xml:space="preserve"> of U251 cells </w:t>
      </w:r>
      <w:r>
        <w:rPr>
          <w:rFonts w:ascii="Times New Roman" w:hAnsi="Times New Roman"/>
          <w:color w:val="000000"/>
          <w:sz w:val="28"/>
          <w:szCs w:val="28"/>
        </w:rPr>
        <w:t>after 48 h TMZ treatment with combination of HAMNO</w:t>
      </w:r>
      <w:r>
        <w:rPr>
          <w:rFonts w:ascii="Times New Roman" w:hAnsi="Times New Roman" w:cs="Times New Roman"/>
          <w:sz w:val="28"/>
          <w:szCs w:val="28"/>
        </w:rPr>
        <w:t xml:space="preserve"> (n=3)</w:t>
      </w:r>
      <w:r>
        <w:rPr>
          <w:rFonts w:ascii="Times New Roman" w:hAnsi="Times New Roman"/>
          <w:color w:val="000000"/>
          <w:sz w:val="28"/>
          <w:szCs w:val="28"/>
        </w:rPr>
        <w:t xml:space="preserve">. </w:t>
      </w:r>
      <w:r>
        <w:rPr>
          <w:rFonts w:hint="default" w:ascii="Times New Roman Bold" w:hAnsi="Times New Roman Bold" w:cs="Times New Roman Bold"/>
          <w:b/>
          <w:bCs/>
          <w:color w:val="000000"/>
          <w:sz w:val="28"/>
          <w:szCs w:val="28"/>
          <w:lang w:val="en-US" w:eastAsia="zh-CN"/>
        </w:rPr>
        <w:t>G</w:t>
      </w: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/>
          <w:b w:val="0"/>
          <w:bCs w:val="0"/>
          <w:color w:val="000000"/>
          <w:sz w:val="28"/>
          <w:szCs w:val="28"/>
          <w:lang w:val="en-US" w:eastAsia="zh-CN"/>
        </w:rPr>
        <w:t xml:space="preserve">Statistical analysis of </w:t>
      </w: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 xml:space="preserve">Ki67 and </w:t>
      </w:r>
      <w:r>
        <w:rPr>
          <w:rFonts w:ascii="Times New Roman" w:hAnsi="Times New Roman"/>
          <w:color w:val="000000"/>
          <w:sz w:val="28"/>
          <w:szCs w:val="28"/>
        </w:rPr>
        <w:t>γ-H2AX</w:t>
      </w: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 xml:space="preserve"> staining degree in the excised tumors from indicated groups (Control/TMZ/HAMNO/TMZ + HAMNO)</w:t>
      </w:r>
      <w:r>
        <w:rPr>
          <w:rFonts w:ascii="Times New Roman" w:hAnsi="Times New Roman"/>
          <w:color w:val="000000"/>
          <w:sz w:val="28"/>
          <w:szCs w:val="28"/>
        </w:rPr>
        <w:t>.</w:t>
      </w: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/>
          <w:color w:val="000000"/>
          <w:sz w:val="28"/>
          <w:szCs w:val="28"/>
        </w:rPr>
        <w:t>**</w:t>
      </w:r>
      <w:r>
        <w:rPr>
          <w:rFonts w:hint="default" w:ascii="Times New Roman Italic" w:hAnsi="Times New Roman Italic" w:cs="Times New Roman Italic"/>
          <w:i/>
          <w:iCs/>
          <w:color w:val="000000"/>
          <w:sz w:val="28"/>
          <w:szCs w:val="28"/>
        </w:rPr>
        <w:t>p</w:t>
      </w:r>
      <w:r>
        <w:rPr>
          <w:rFonts w:hint="eastAsia" w:ascii="Times New Roman" w:hAnsi="Times New Roman"/>
          <w:color w:val="000000"/>
          <w:sz w:val="28"/>
          <w:szCs w:val="28"/>
        </w:rPr>
        <w:t xml:space="preserve"> &lt; 0.01, ***</w:t>
      </w:r>
      <w:r>
        <w:rPr>
          <w:rFonts w:hint="default" w:ascii="Times New Roman Italic" w:hAnsi="Times New Roman Italic" w:cs="Times New Roman Italic"/>
          <w:i/>
          <w:iCs/>
          <w:color w:val="000000"/>
          <w:sz w:val="28"/>
          <w:szCs w:val="28"/>
        </w:rPr>
        <w:t>p</w:t>
      </w:r>
      <w:r>
        <w:rPr>
          <w:rFonts w:hint="eastAsia" w:ascii="Times New Roman" w:hAnsi="Times New Roman"/>
          <w:color w:val="000000"/>
          <w:sz w:val="28"/>
          <w:szCs w:val="28"/>
        </w:rPr>
        <w:t xml:space="preserve"> &lt; 0.001.</w:t>
      </w: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color w:val="000000"/>
          <w:sz w:val="30"/>
          <w:szCs w:val="30"/>
        </w:rPr>
      </w:pPr>
    </w:p>
    <w:p>
      <w:pPr>
        <w:rPr>
          <w:rFonts w:ascii="Times New Roman" w:hAnsi="Times New Roman"/>
          <w:color w:val="000000"/>
          <w:sz w:val="28"/>
          <w:szCs w:val="28"/>
        </w:rPr>
      </w:pPr>
    </w:p>
    <w:p>
      <w:pPr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br w:type="page"/>
      </w: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17780</wp:posOffset>
            </wp:positionH>
            <wp:positionV relativeFrom="paragraph">
              <wp:posOffset>42545</wp:posOffset>
            </wp:positionV>
            <wp:extent cx="5756275" cy="4662170"/>
            <wp:effectExtent l="0" t="0" r="0" b="0"/>
            <wp:wrapNone/>
            <wp:docPr id="19516736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167361" name="图片 5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400" cy="4662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t>Supplementary Figure S5.</w:t>
      </w:r>
      <w:r>
        <w:rPr>
          <w:rFonts w:hint="eastAsia" w:ascii="Times New Roman" w:hAnsi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>mIDH1 impairs RPA1-mediated DNA damage repair effect in TMZ treated glioma cells</w:t>
      </w: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t>A</w:t>
      </w:r>
      <w:r>
        <w:rPr>
          <w:rFonts w:ascii="Times New Roman" w:hAnsi="Times New Roman"/>
          <w:color w:val="000000"/>
          <w:sz w:val="28"/>
          <w:szCs w:val="28"/>
        </w:rPr>
        <w:t xml:space="preserve"> Apoptosis assay in control, IDH1-WT, IDH1-MUT U87 cells with RPA1 expression after 48 h TMZ treatment</w:t>
      </w: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 xml:space="preserve"> (n=3).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>B</w:t>
      </w:r>
      <w:r>
        <w:rPr>
          <w:rFonts w:ascii="Times New Roman" w:hAnsi="Times New Roman"/>
          <w:color w:val="000000"/>
          <w:sz w:val="28"/>
          <w:szCs w:val="28"/>
        </w:rPr>
        <w:t xml:space="preserve"> Western blot assay of apoptosis-related proteins and γ-H2AX in control, IDH1-WT, IDH1-MUT U87 cells with RPA1 overexpressing after TMZ-treated for 48h. 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>C</w:t>
      </w:r>
      <w:r>
        <w:rPr>
          <w:rFonts w:ascii="Times New Roman" w:hAnsi="Times New Roman"/>
          <w:color w:val="000000"/>
          <w:sz w:val="28"/>
          <w:szCs w:val="28"/>
        </w:rPr>
        <w:t xml:space="preserve"> IF images of γ-H2AX in control, IDH1-WT, IDH1-MUT U87 cells with RPA1 overexpressing after TMZ-treated for 48h</w:t>
      </w: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 xml:space="preserve"> (n=3)</w:t>
      </w:r>
      <w:r>
        <w:rPr>
          <w:rFonts w:ascii="Times New Roman" w:hAnsi="Times New Roman"/>
          <w:color w:val="000000"/>
          <w:sz w:val="28"/>
          <w:szCs w:val="28"/>
        </w:rPr>
        <w:t>. Scale bar, 5 µm.</w:t>
      </w: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/>
          <w:color w:val="000000"/>
          <w:sz w:val="28"/>
          <w:szCs w:val="28"/>
        </w:rPr>
        <w:t>**</w:t>
      </w:r>
      <w:r>
        <w:rPr>
          <w:rFonts w:hint="default" w:ascii="Times New Roman Italic" w:hAnsi="Times New Roman Italic" w:cs="Times New Roman Italic"/>
          <w:i/>
          <w:iCs/>
          <w:color w:val="000000"/>
          <w:sz w:val="28"/>
          <w:szCs w:val="28"/>
        </w:rPr>
        <w:t>p</w:t>
      </w:r>
      <w:r>
        <w:rPr>
          <w:rFonts w:hint="eastAsia" w:ascii="Times New Roman" w:hAnsi="Times New Roman"/>
          <w:color w:val="000000"/>
          <w:sz w:val="28"/>
          <w:szCs w:val="28"/>
        </w:rPr>
        <w:t xml:space="preserve"> &lt; 0.01, ***</w:t>
      </w:r>
      <w:r>
        <w:rPr>
          <w:rFonts w:hint="default" w:ascii="Times New Roman Italic" w:hAnsi="Times New Roman Italic" w:cs="Times New Roman Italic"/>
          <w:i/>
          <w:iCs/>
          <w:color w:val="000000"/>
          <w:sz w:val="28"/>
          <w:szCs w:val="28"/>
        </w:rPr>
        <w:t>p</w:t>
      </w:r>
      <w:r>
        <w:rPr>
          <w:rFonts w:hint="eastAsia" w:ascii="Times New Roman" w:hAnsi="Times New Roman"/>
          <w:color w:val="000000"/>
          <w:sz w:val="28"/>
          <w:szCs w:val="28"/>
        </w:rPr>
        <w:t xml:space="preserve"> &lt; 0.001.</w:t>
      </w: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color w:val="000000"/>
          <w:sz w:val="28"/>
          <w:szCs w:val="28"/>
        </w:rPr>
      </w:pPr>
    </w:p>
    <w:p>
      <w:pPr>
        <w:rPr>
          <w:rFonts w:ascii="Times New Roman" w:hAnsi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br w:type="page"/>
      </w: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b/>
          <w:bCs/>
          <w:color w:val="000000"/>
          <w:sz w:val="28"/>
          <w:szCs w:val="28"/>
        </w:rPr>
      </w:pPr>
      <w:r>
        <w:rPr>
          <w:rFonts w:hint="eastAsia" w:ascii="Times New Roman" w:hAnsi="Times New Roman" w:eastAsia="DengXian"/>
          <w:b/>
          <w:bCs/>
          <w:color w:val="000000"/>
          <w:sz w:val="28"/>
          <w:szCs w:val="28"/>
          <w:lang w:eastAsia="zh-CN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-13970</wp:posOffset>
            </wp:positionH>
            <wp:positionV relativeFrom="paragraph">
              <wp:posOffset>81280</wp:posOffset>
            </wp:positionV>
            <wp:extent cx="5753735" cy="4851400"/>
            <wp:effectExtent l="0" t="0" r="12065" b="0"/>
            <wp:wrapNone/>
            <wp:docPr id="5" name="图片 5" descr="SFigure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SFigure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53735" cy="4851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b/>
          <w:bCs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b/>
          <w:bCs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b/>
          <w:bCs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b/>
          <w:bCs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b/>
          <w:bCs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b/>
          <w:bCs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b/>
          <w:bCs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hint="eastAsia" w:ascii="Times New Roman" w:hAnsi="Times New Roman" w:eastAsia="DengXian"/>
          <w:b/>
          <w:bCs/>
          <w:color w:val="000000"/>
          <w:sz w:val="28"/>
          <w:szCs w:val="28"/>
          <w:lang w:eastAsia="zh-CN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b/>
          <w:bCs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b/>
          <w:bCs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b/>
          <w:bCs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b/>
          <w:bCs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b/>
          <w:bCs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b/>
          <w:bCs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b/>
          <w:bCs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b/>
          <w:bCs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b/>
          <w:bCs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b/>
          <w:bCs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b/>
          <w:bCs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hint="eastAsia" w:ascii="Times New Roman" w:hAnsi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t xml:space="preserve">Supplementary Figure S6. </w:t>
      </w:r>
      <w:r>
        <w:rPr>
          <w:rFonts w:hint="default" w:ascii="Times New Roman Bold" w:hAnsi="Times New Roman Bold" w:cs="Times New Roman Bold"/>
          <w:b/>
          <w:bCs/>
          <w:color w:val="000000"/>
          <w:sz w:val="28"/>
          <w:szCs w:val="28"/>
        </w:rPr>
        <w:t xml:space="preserve">RPA1 DBD-A domain is required for RPA1-mediated DNA damage repair </w:t>
      </w: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t>A</w:t>
      </w:r>
      <w:r>
        <w:rPr>
          <w:rFonts w:ascii="Times New Roman" w:hAnsi="Times New Roman"/>
          <w:color w:val="000000"/>
          <w:sz w:val="28"/>
          <w:szCs w:val="28"/>
        </w:rPr>
        <w:t xml:space="preserve"> Apoptosis assay of U87 cells with expressing </w:t>
      </w:r>
      <w:bookmarkStart w:id="8" w:name="OLE_LINK784"/>
      <w:r>
        <w:rPr>
          <w:rFonts w:ascii="Times New Roman" w:hAnsi="Times New Roman"/>
          <w:color w:val="000000"/>
          <w:sz w:val="28"/>
          <w:szCs w:val="28"/>
        </w:rPr>
        <w:t>RPA1 DBD-A domain</w:t>
      </w:r>
      <w:bookmarkEnd w:id="8"/>
      <w:r>
        <w:rPr>
          <w:rFonts w:ascii="Times New Roman" w:hAnsi="Times New Roman"/>
          <w:color w:val="000000"/>
          <w:sz w:val="28"/>
          <w:szCs w:val="28"/>
        </w:rPr>
        <w:t xml:space="preserve"> depletion and RPA1 full length after 48 h TMZ or DMSO treatment</w:t>
      </w: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 xml:space="preserve"> (n=3)</w:t>
      </w:r>
      <w:r>
        <w:rPr>
          <w:rFonts w:ascii="Times New Roman" w:hAnsi="Times New Roman"/>
          <w:color w:val="000000"/>
          <w:sz w:val="28"/>
          <w:szCs w:val="28"/>
        </w:rPr>
        <w:t xml:space="preserve">. 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>B</w:t>
      </w:r>
      <w:r>
        <w:rPr>
          <w:rFonts w:ascii="Times New Roman" w:hAnsi="Times New Roman"/>
          <w:color w:val="000000"/>
          <w:sz w:val="28"/>
          <w:szCs w:val="28"/>
        </w:rPr>
        <w:t xml:space="preserve"> IF images of U87 cells with expressing RPA1 DBD-A domain depletion and RPA1 full length after 48 h TMZ or DMSO treatment</w:t>
      </w: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 xml:space="preserve"> (n=3)</w:t>
      </w:r>
      <w:r>
        <w:rPr>
          <w:rFonts w:ascii="Times New Roman" w:hAnsi="Times New Roman"/>
          <w:color w:val="000000"/>
          <w:sz w:val="28"/>
          <w:szCs w:val="28"/>
        </w:rPr>
        <w:t xml:space="preserve">. 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 xml:space="preserve">C </w:t>
      </w:r>
      <w:r>
        <w:rPr>
          <w:rFonts w:ascii="Times New Roman" w:hAnsi="Times New Roman"/>
          <w:color w:val="000000"/>
          <w:sz w:val="28"/>
          <w:szCs w:val="28"/>
        </w:rPr>
        <w:t>Western bl</w:t>
      </w:r>
      <w:bookmarkStart w:id="9" w:name="OLE_LINK785"/>
      <w:r>
        <w:rPr>
          <w:rFonts w:ascii="Times New Roman" w:hAnsi="Times New Roman"/>
          <w:color w:val="000000"/>
          <w:sz w:val="28"/>
          <w:szCs w:val="28"/>
        </w:rPr>
        <w:t>ot</w:t>
      </w:r>
      <w:bookmarkEnd w:id="9"/>
      <w:r>
        <w:rPr>
          <w:rFonts w:ascii="Times New Roman" w:hAnsi="Times New Roman"/>
          <w:color w:val="000000"/>
          <w:sz w:val="28"/>
          <w:szCs w:val="28"/>
        </w:rPr>
        <w:t xml:space="preserve"> assay of apoptosis-related proteins</w:t>
      </w: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 xml:space="preserve">, </w:t>
      </w:r>
      <w:r>
        <w:rPr>
          <w:rFonts w:ascii="Times New Roman" w:hAnsi="Times New Roman"/>
          <w:color w:val="000000"/>
          <w:sz w:val="28"/>
          <w:szCs w:val="28"/>
        </w:rPr>
        <w:t xml:space="preserve">γ-H2AX </w:t>
      </w: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>and ATR/CHK1 phosphorylation</w:t>
      </w:r>
      <w:r>
        <w:rPr>
          <w:rFonts w:hint="eastAsia" w:ascii="Times New Roman" w:hAnsi="Times New Roman"/>
          <w:color w:val="000000"/>
          <w:sz w:val="28"/>
          <w:szCs w:val="28"/>
        </w:rPr>
        <w:t>in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 xml:space="preserve">level in </w:t>
      </w:r>
      <w:r>
        <w:rPr>
          <w:rFonts w:ascii="Times New Roman" w:hAnsi="Times New Roman"/>
          <w:color w:val="000000"/>
          <w:sz w:val="28"/>
          <w:szCs w:val="28"/>
        </w:rPr>
        <w:t>U87 cells with expressing RPA1 DBD-A domain depletion and RPA1 full length after 48 h TMZ treatment.</w:t>
      </w: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/>
          <w:color w:val="000000"/>
          <w:sz w:val="28"/>
          <w:szCs w:val="28"/>
        </w:rPr>
        <w:t>**</w:t>
      </w:r>
      <w:r>
        <w:rPr>
          <w:rFonts w:hint="default" w:ascii="Times New Roman Italic" w:hAnsi="Times New Roman Italic" w:cs="Times New Roman Italic"/>
          <w:i/>
          <w:iCs/>
          <w:color w:val="000000"/>
          <w:sz w:val="28"/>
          <w:szCs w:val="28"/>
        </w:rPr>
        <w:t>p</w:t>
      </w:r>
      <w:r>
        <w:rPr>
          <w:rFonts w:hint="eastAsia" w:ascii="Times New Roman" w:hAnsi="Times New Roman"/>
          <w:color w:val="000000"/>
          <w:sz w:val="28"/>
          <w:szCs w:val="28"/>
        </w:rPr>
        <w:t xml:space="preserve"> &lt; 0.01, ***</w:t>
      </w:r>
      <w:r>
        <w:rPr>
          <w:rFonts w:hint="default" w:ascii="Times New Roman Italic" w:hAnsi="Times New Roman Italic" w:cs="Times New Roman Italic"/>
          <w:i/>
          <w:iCs/>
          <w:color w:val="000000"/>
          <w:sz w:val="28"/>
          <w:szCs w:val="28"/>
        </w:rPr>
        <w:t>p</w:t>
      </w:r>
      <w:r>
        <w:rPr>
          <w:rFonts w:hint="eastAsia" w:ascii="Times New Roman" w:hAnsi="Times New Roman"/>
          <w:color w:val="000000"/>
          <w:sz w:val="28"/>
          <w:szCs w:val="28"/>
        </w:rPr>
        <w:t xml:space="preserve"> &lt; 0.001.</w:t>
      </w:r>
    </w:p>
    <w:p>
      <w:pPr>
        <w:widowControl/>
        <w:adjustRightInd w:val="0"/>
        <w:snapToGrid w:val="0"/>
        <w:spacing w:line="400" w:lineRule="exact"/>
        <w:rPr>
          <w:rFonts w:ascii="Times New Roman" w:hAnsi="Times New Roman"/>
          <w:color w:val="000000"/>
          <w:sz w:val="28"/>
          <w:szCs w:val="28"/>
        </w:rPr>
      </w:pPr>
    </w:p>
    <w:p>
      <w:pPr>
        <w:widowControl/>
        <w:adjustRightInd w:val="0"/>
        <w:snapToGrid w:val="0"/>
        <w:spacing w:line="400" w:lineRule="exact"/>
        <w:rPr>
          <w:rFonts w:hint="eastAsia"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</w:t>
      </w:r>
    </w:p>
    <w:sectPr>
      <w:pgSz w:w="11900" w:h="16840"/>
      <w:pgMar w:top="1701" w:right="1418" w:bottom="1701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ngXian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Times New Roman Bold">
    <w:panose1 w:val="02020603050405020304"/>
    <w:charset w:val="00"/>
    <w:family w:val="auto"/>
    <w:pitch w:val="default"/>
    <w:sig w:usb0="E0002AEF" w:usb1="C0007841" w:usb2="00000009" w:usb3="00000000" w:csb0="400001FF" w:csb1="FFFF0000"/>
  </w:font>
  <w:font w:name="Times New Roman Italic">
    <w:panose1 w:val="02020603050405020304"/>
    <w:charset w:val="00"/>
    <w:family w:val="auto"/>
    <w:pitch w:val="default"/>
    <w:sig w:usb0="E0002AEF" w:usb1="C0007841" w:usb2="00000009" w:usb3="00000000" w:csb0="400001FF" w:csb1="FFFF0000"/>
  </w:font>
  <w:font w:name="DengXian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儷宋 Pro">
    <w:panose1 w:val="02020300000000000000"/>
    <w:charset w:val="88"/>
    <w:family w:val="auto"/>
    <w:pitch w:val="default"/>
    <w:sig w:usb0="80000001" w:usb1="28091800" w:usb2="00000016" w:usb3="00000000" w:csb0="001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2076"/>
    <w:rsid w:val="00005A37"/>
    <w:rsid w:val="00066DCE"/>
    <w:rsid w:val="00087D46"/>
    <w:rsid w:val="000B05D7"/>
    <w:rsid w:val="00117BA6"/>
    <w:rsid w:val="001421F6"/>
    <w:rsid w:val="001732D4"/>
    <w:rsid w:val="001A7400"/>
    <w:rsid w:val="002203AF"/>
    <w:rsid w:val="002A285B"/>
    <w:rsid w:val="002B51DC"/>
    <w:rsid w:val="00361A24"/>
    <w:rsid w:val="00434E9D"/>
    <w:rsid w:val="00452E72"/>
    <w:rsid w:val="004E7E4E"/>
    <w:rsid w:val="005B03D6"/>
    <w:rsid w:val="005E06BC"/>
    <w:rsid w:val="005E1964"/>
    <w:rsid w:val="006115F4"/>
    <w:rsid w:val="00661D33"/>
    <w:rsid w:val="00681AA5"/>
    <w:rsid w:val="00694024"/>
    <w:rsid w:val="006B606E"/>
    <w:rsid w:val="00711035"/>
    <w:rsid w:val="00742076"/>
    <w:rsid w:val="00750A84"/>
    <w:rsid w:val="007908A8"/>
    <w:rsid w:val="00797B54"/>
    <w:rsid w:val="007F35B3"/>
    <w:rsid w:val="00876537"/>
    <w:rsid w:val="00887459"/>
    <w:rsid w:val="00894662"/>
    <w:rsid w:val="008E2B3B"/>
    <w:rsid w:val="008F65C2"/>
    <w:rsid w:val="0094072F"/>
    <w:rsid w:val="00992CE8"/>
    <w:rsid w:val="009C0DFA"/>
    <w:rsid w:val="009E50A5"/>
    <w:rsid w:val="00AC26D2"/>
    <w:rsid w:val="00B739F3"/>
    <w:rsid w:val="00BA287D"/>
    <w:rsid w:val="00BE1BE6"/>
    <w:rsid w:val="00C053A3"/>
    <w:rsid w:val="00C12312"/>
    <w:rsid w:val="00C24BDE"/>
    <w:rsid w:val="00C62CC1"/>
    <w:rsid w:val="00C83A3F"/>
    <w:rsid w:val="00CD416C"/>
    <w:rsid w:val="00D15474"/>
    <w:rsid w:val="00D35656"/>
    <w:rsid w:val="00D5395A"/>
    <w:rsid w:val="00DA0D5F"/>
    <w:rsid w:val="00E11644"/>
    <w:rsid w:val="00E2418F"/>
    <w:rsid w:val="00E7421A"/>
    <w:rsid w:val="00E85BAD"/>
    <w:rsid w:val="00F139B1"/>
    <w:rsid w:val="00F46FEE"/>
    <w:rsid w:val="00FA6862"/>
    <w:rsid w:val="00FC206C"/>
    <w:rsid w:val="00FC79A1"/>
    <w:rsid w:val="00FD3F28"/>
    <w:rsid w:val="1F6EB441"/>
    <w:rsid w:val="2023AD5A"/>
    <w:rsid w:val="27AE17D7"/>
    <w:rsid w:val="2FBF9E0C"/>
    <w:rsid w:val="36B1ED25"/>
    <w:rsid w:val="37DF46F7"/>
    <w:rsid w:val="43BAB4CE"/>
    <w:rsid w:val="4D7F951A"/>
    <w:rsid w:val="4EB7EAE4"/>
    <w:rsid w:val="4FBBFF6D"/>
    <w:rsid w:val="59D030D9"/>
    <w:rsid w:val="5DF44483"/>
    <w:rsid w:val="5DFB851C"/>
    <w:rsid w:val="5F3FD25B"/>
    <w:rsid w:val="5FD3F5E0"/>
    <w:rsid w:val="5FF99C40"/>
    <w:rsid w:val="6CE7B347"/>
    <w:rsid w:val="6DFD6007"/>
    <w:rsid w:val="6F8B3368"/>
    <w:rsid w:val="726F484E"/>
    <w:rsid w:val="73F95C72"/>
    <w:rsid w:val="75FF30DD"/>
    <w:rsid w:val="77FE19CB"/>
    <w:rsid w:val="7A2B5EF6"/>
    <w:rsid w:val="7B779D39"/>
    <w:rsid w:val="7EFF15F0"/>
    <w:rsid w:val="9B0FCFBD"/>
    <w:rsid w:val="9F6689BC"/>
    <w:rsid w:val="9F9F1AAA"/>
    <w:rsid w:val="A3BE3493"/>
    <w:rsid w:val="AF637CF4"/>
    <w:rsid w:val="B56FFDA2"/>
    <w:rsid w:val="BCF925D4"/>
    <w:rsid w:val="BEF77029"/>
    <w:rsid w:val="BFAB5FCD"/>
    <w:rsid w:val="C37ED73B"/>
    <w:rsid w:val="C57FE452"/>
    <w:rsid w:val="C6FF1323"/>
    <w:rsid w:val="E6E25C41"/>
    <w:rsid w:val="E7F8F7B1"/>
    <w:rsid w:val="E7FF690C"/>
    <w:rsid w:val="EB7F8483"/>
    <w:rsid w:val="EEFCF803"/>
    <w:rsid w:val="F59DBEBA"/>
    <w:rsid w:val="F6E3149A"/>
    <w:rsid w:val="F6FFB6F4"/>
    <w:rsid w:val="F78F36BE"/>
    <w:rsid w:val="F7FB083C"/>
    <w:rsid w:val="F7FEDBB2"/>
    <w:rsid w:val="FF3FA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DengXian" w:hAnsi="DengXian" w:eastAsia="DengXian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552</Words>
  <Characters>3150</Characters>
  <Lines>1</Lines>
  <Paragraphs>1</Paragraphs>
  <TotalTime>10</TotalTime>
  <ScaleCrop>false</ScaleCrop>
  <LinksUpToDate>false</LinksUpToDate>
  <CharactersWithSpaces>3695</CharactersWithSpaces>
  <Application>WPS Office_6.2.2.8394_F1E327BC-269C-435d-A152-05C5408002CA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2024-02-08T09:11:00Z</dcterms:created>
  <dc:creator>Microsoft Office User</dc:creator>
  <cp:lastModifiedBy>以梦为马。</cp:lastModifiedBy>
  <dcterms:modified xsi:type="dcterms:W3CDTF">2024-04-12T11:36:45Z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2052-6.2.2.8394</vt:lpwstr>
  </property>
  <property fmtid="{D5CDD505-2E9C-101B-9397-08002B2CF9AE}" pid="3" name="ICV">
    <vt:lpwstr>562FCC1CF75749B23BA01866E1E659DD_42</vt:lpwstr>
  </property>
</Properties>
</file>