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3FFEF3" w14:textId="77777777" w:rsidR="00ED3496" w:rsidRDefault="00ED3496" w:rsidP="0019410F">
      <w:pPr>
        <w:spacing w:line="360" w:lineRule="auto"/>
        <w:rPr>
          <w:rFonts w:cstheme="minorHAnsi"/>
          <w:sz w:val="18"/>
          <w:szCs w:val="18"/>
        </w:rPr>
      </w:pPr>
    </w:p>
    <w:p w14:paraId="528BB4BC" w14:textId="0526B80D" w:rsidR="004F6E48" w:rsidRPr="00EC1B74" w:rsidRDefault="004F6E48" w:rsidP="0019410F">
      <w:pPr>
        <w:shd w:val="clear" w:color="auto" w:fill="FFFFFF"/>
        <w:spacing w:line="360" w:lineRule="auto"/>
        <w:rPr>
          <w:b/>
          <w:sz w:val="32"/>
          <w:szCs w:val="32"/>
          <w:u w:val="single"/>
        </w:rPr>
      </w:pPr>
      <w:r w:rsidRPr="00EC1B74">
        <w:rPr>
          <w:b/>
          <w:sz w:val="32"/>
          <w:szCs w:val="32"/>
          <w:u w:val="single"/>
        </w:rPr>
        <w:t>TEST METHODOLOGY</w:t>
      </w:r>
    </w:p>
    <w:p w14:paraId="396F749C" w14:textId="4B6EA541" w:rsidR="008C2F1D" w:rsidRPr="004162F6" w:rsidRDefault="008C2F1D" w:rsidP="0019410F">
      <w:pPr>
        <w:shd w:val="clear" w:color="auto" w:fill="FFFFFF"/>
        <w:spacing w:line="360" w:lineRule="auto"/>
        <w:rPr>
          <w:b/>
          <w:sz w:val="28"/>
          <w:szCs w:val="28"/>
          <w:lang w:eastAsia="en-IN"/>
        </w:rPr>
      </w:pPr>
      <w:r w:rsidRPr="004162F6">
        <w:rPr>
          <w:b/>
          <w:sz w:val="28"/>
          <w:szCs w:val="28"/>
          <w:lang w:eastAsia="en-IN"/>
        </w:rPr>
        <w:t>NEXT GENERATION SEQUENCING</w:t>
      </w:r>
      <w:r w:rsidR="00E44E21" w:rsidRPr="004162F6">
        <w:rPr>
          <w:b/>
          <w:sz w:val="28"/>
          <w:szCs w:val="28"/>
          <w:lang w:eastAsia="en-IN"/>
        </w:rPr>
        <w:t xml:space="preserve"> (NGS)</w:t>
      </w:r>
      <w:r w:rsidRPr="004162F6">
        <w:rPr>
          <w:b/>
          <w:sz w:val="28"/>
          <w:szCs w:val="28"/>
          <w:lang w:eastAsia="en-IN"/>
        </w:rPr>
        <w:t>:</w:t>
      </w:r>
    </w:p>
    <w:p w14:paraId="4F5A936C" w14:textId="77777777" w:rsidR="004F6E48" w:rsidRPr="004162F6" w:rsidRDefault="004F6E48" w:rsidP="004162F6">
      <w:pPr>
        <w:shd w:val="clear" w:color="auto" w:fill="FFFFFF"/>
        <w:spacing w:line="480" w:lineRule="auto"/>
        <w:rPr>
          <w:b/>
          <w:lang w:eastAsia="en-IN"/>
        </w:rPr>
      </w:pPr>
      <w:r w:rsidRPr="004162F6">
        <w:rPr>
          <w:b/>
          <w:lang w:eastAsia="en-IN"/>
        </w:rPr>
        <w:t>DNA isolation, Exome library preparation and sequencing:</w:t>
      </w:r>
    </w:p>
    <w:p w14:paraId="60D66A3A" w14:textId="125C5958" w:rsidR="004F6E48" w:rsidRPr="004162F6" w:rsidRDefault="004F6E48" w:rsidP="004162F6">
      <w:pPr>
        <w:shd w:val="clear" w:color="auto" w:fill="FFFFFF"/>
        <w:spacing w:line="480" w:lineRule="auto"/>
        <w:jc w:val="both"/>
        <w:rPr>
          <w:color w:val="000000"/>
          <w:lang w:eastAsia="en-IN"/>
        </w:rPr>
      </w:pPr>
      <w:r w:rsidRPr="004162F6">
        <w:rPr>
          <w:lang w:eastAsia="en-IN"/>
        </w:rPr>
        <w:t xml:space="preserve">Genomic DNA isolated from whole blood using </w:t>
      </w:r>
      <w:proofErr w:type="spellStart"/>
      <w:r w:rsidRPr="004162F6">
        <w:rPr>
          <w:lang w:eastAsia="en-IN"/>
        </w:rPr>
        <w:t>QIAamp</w:t>
      </w:r>
      <w:proofErr w:type="spellEnd"/>
      <w:r w:rsidRPr="004162F6">
        <w:rPr>
          <w:lang w:eastAsia="en-IN"/>
        </w:rPr>
        <w:t xml:space="preserve"> DNA Blood Mini Kit (Qiagen, Germany) is quantified using Qubit fluorometer (</w:t>
      </w:r>
      <w:proofErr w:type="spellStart"/>
      <w:r w:rsidRPr="004162F6">
        <w:rPr>
          <w:lang w:eastAsia="en-IN"/>
        </w:rPr>
        <w:t>Thermo</w:t>
      </w:r>
      <w:proofErr w:type="spellEnd"/>
      <w:r w:rsidRPr="004162F6">
        <w:rPr>
          <w:lang w:eastAsia="en-IN"/>
        </w:rPr>
        <w:t xml:space="preserve"> Fisher Scientific, USA). For library preparation, 200ng of the Qubit qu</w:t>
      </w:r>
      <w:r w:rsidR="00A65556">
        <w:rPr>
          <w:lang w:eastAsia="en-IN"/>
        </w:rPr>
        <w:t>antified DNA is fragmented to ~2</w:t>
      </w:r>
      <w:r w:rsidRPr="004162F6">
        <w:rPr>
          <w:lang w:eastAsia="en-IN"/>
        </w:rPr>
        <w:t>50bp inserts. The library is hybridised and enriched using whole exome probes. The fragments are end-repaired, 3′ adenylated and ligated with the indexed adapters. The adapter-ligated fragments are then amplified with adapter-specific primers followed by size selection and purification to generate gDNA library. The generated library is assessed for fragment size distribution using Tape Station (Agilent, USA) and quantified using Qubit (</w:t>
      </w:r>
      <w:proofErr w:type="spellStart"/>
      <w:r w:rsidRPr="004162F6">
        <w:rPr>
          <w:lang w:eastAsia="en-IN"/>
        </w:rPr>
        <w:t>Thermo</w:t>
      </w:r>
      <w:proofErr w:type="spellEnd"/>
      <w:r w:rsidRPr="004162F6">
        <w:rPr>
          <w:lang w:eastAsia="en-IN"/>
        </w:rPr>
        <w:t xml:space="preserve"> Fisher </w:t>
      </w:r>
      <w:proofErr w:type="spellStart"/>
      <w:r w:rsidRPr="004162F6">
        <w:rPr>
          <w:lang w:eastAsia="en-IN"/>
        </w:rPr>
        <w:t>Scientifc</w:t>
      </w:r>
      <w:proofErr w:type="spellEnd"/>
      <w:r w:rsidRPr="004162F6">
        <w:rPr>
          <w:lang w:eastAsia="en-IN"/>
        </w:rPr>
        <w:t xml:space="preserve">, USA). The library is </w:t>
      </w:r>
      <w:r w:rsidRPr="004162F6">
        <w:rPr>
          <w:color w:val="000000"/>
          <w:lang w:eastAsia="en-IN"/>
        </w:rPr>
        <w:t xml:space="preserve">sequenced as 2 × 150 bp paired‐end reads on an Illumina </w:t>
      </w:r>
      <w:proofErr w:type="spellStart"/>
      <w:r w:rsidRPr="004162F6">
        <w:rPr>
          <w:color w:val="000000"/>
          <w:lang w:eastAsia="en-IN"/>
        </w:rPr>
        <w:t>HiseqX</w:t>
      </w:r>
      <w:proofErr w:type="spellEnd"/>
      <w:r w:rsidRPr="004162F6">
        <w:rPr>
          <w:color w:val="000000"/>
          <w:lang w:eastAsia="en-IN"/>
        </w:rPr>
        <w:t xml:space="preserve"> / </w:t>
      </w:r>
      <w:proofErr w:type="spellStart"/>
      <w:r w:rsidRPr="004162F6">
        <w:rPr>
          <w:color w:val="000000"/>
          <w:lang w:eastAsia="en-IN"/>
        </w:rPr>
        <w:t>Novaseq</w:t>
      </w:r>
      <w:proofErr w:type="spellEnd"/>
      <w:r w:rsidRPr="004162F6">
        <w:rPr>
          <w:color w:val="000000"/>
          <w:lang w:eastAsia="en-IN"/>
        </w:rPr>
        <w:t xml:space="preserve"> (Illumina, CA) machine according to the manufacturer's protocol to an average sequencing depth of ≥80-100x. </w:t>
      </w:r>
    </w:p>
    <w:p w14:paraId="1CB624AA" w14:textId="77777777" w:rsidR="004F6E48" w:rsidRPr="004162F6" w:rsidRDefault="004F6E48" w:rsidP="004162F6">
      <w:pPr>
        <w:shd w:val="clear" w:color="auto" w:fill="FFFFFF"/>
        <w:spacing w:line="480" w:lineRule="auto"/>
        <w:jc w:val="both"/>
        <w:rPr>
          <w:b/>
        </w:rPr>
      </w:pPr>
      <w:r w:rsidRPr="004162F6">
        <w:rPr>
          <w:b/>
        </w:rPr>
        <w:t xml:space="preserve">Data processing, variant calling and annotation: </w:t>
      </w:r>
    </w:p>
    <w:p w14:paraId="52176099" w14:textId="008ADCDC" w:rsidR="001A5883" w:rsidRPr="004162F6" w:rsidRDefault="004F6E48" w:rsidP="004162F6">
      <w:pPr>
        <w:spacing w:line="480" w:lineRule="auto"/>
        <w:jc w:val="both"/>
        <w:rPr>
          <w:color w:val="2E2E2E"/>
        </w:rPr>
      </w:pPr>
      <w:r w:rsidRPr="004162F6">
        <w:t xml:space="preserve">Following quality check and adapter trimming using </w:t>
      </w:r>
      <w:proofErr w:type="spellStart"/>
      <w:r w:rsidRPr="004162F6">
        <w:t>fastq</w:t>
      </w:r>
      <w:proofErr w:type="spellEnd"/>
      <w:r w:rsidRPr="004162F6">
        <w:t>-mcf (version 1.04.676), the sequencing reads obtained are aligned to huma</w:t>
      </w:r>
      <w:r w:rsidR="00D127FA" w:rsidRPr="004162F6">
        <w:t>n reference genome (GRCh38.p13) using BWA</w:t>
      </w:r>
      <w:r w:rsidR="004162F6">
        <w:t>.</w:t>
      </w:r>
      <w:r w:rsidR="004162F6">
        <w:rPr>
          <w:vertAlign w:val="superscript"/>
        </w:rPr>
        <w:t>1</w:t>
      </w:r>
      <w:r w:rsidRPr="004162F6">
        <w:t xml:space="preserve"> The aligned reads are sorted, and duplicate reads removed. Single nucleotide variants (SNVs) and small Indels</w:t>
      </w:r>
      <w:r w:rsidRPr="004162F6">
        <w:rPr>
          <w:color w:val="000000"/>
          <w:lang w:eastAsia="en-IN"/>
        </w:rPr>
        <w:t xml:space="preserve"> variants are called using GATK best practices pipeline </w:t>
      </w:r>
      <w:r w:rsidRPr="004162F6">
        <w:t xml:space="preserve">using </w:t>
      </w:r>
      <w:proofErr w:type="spellStart"/>
      <w:r w:rsidRPr="004162F6">
        <w:t>Sentieon</w:t>
      </w:r>
      <w:proofErr w:type="spellEnd"/>
      <w:r w:rsidRPr="004162F6">
        <w:t xml:space="preserve"> (v201808.07).</w:t>
      </w:r>
      <w:r w:rsidR="004162F6">
        <w:rPr>
          <w:vertAlign w:val="superscript"/>
        </w:rPr>
        <w:t>2</w:t>
      </w:r>
      <w:r w:rsidRPr="004162F6">
        <w:t xml:space="preserve"> Gene annotation of the variants is performed using VEP program against the </w:t>
      </w:r>
      <w:proofErr w:type="spellStart"/>
      <w:r w:rsidRPr="004162F6">
        <w:t>Ensembl</w:t>
      </w:r>
      <w:proofErr w:type="spellEnd"/>
      <w:r w:rsidRPr="004162F6">
        <w:t xml:space="preserve"> release 99 human gene model.</w:t>
      </w:r>
      <w:r w:rsidR="004162F6" w:rsidRPr="004162F6">
        <w:rPr>
          <w:vertAlign w:val="superscript"/>
        </w:rPr>
        <w:t xml:space="preserve"> </w:t>
      </w:r>
      <w:r w:rsidR="004162F6">
        <w:rPr>
          <w:vertAlign w:val="superscript"/>
        </w:rPr>
        <w:t>3</w:t>
      </w:r>
      <w:r w:rsidRPr="004162F6">
        <w:t xml:space="preserve">  The variants are annotated for allele frequency [</w:t>
      </w:r>
      <w:r w:rsidRPr="004162F6">
        <w:rPr>
          <w:color w:val="000000"/>
          <w:lang w:eastAsia="en-IN"/>
        </w:rPr>
        <w:t xml:space="preserve">population databases </w:t>
      </w:r>
      <w:proofErr w:type="spellStart"/>
      <w:r w:rsidRPr="004162F6">
        <w:rPr>
          <w:color w:val="000000"/>
          <w:lang w:eastAsia="en-IN"/>
        </w:rPr>
        <w:t>GnomAD</w:t>
      </w:r>
      <w:proofErr w:type="spellEnd"/>
      <w:r w:rsidRPr="004162F6">
        <w:rPr>
          <w:color w:val="000000"/>
          <w:lang w:eastAsia="en-IN"/>
        </w:rPr>
        <w:t xml:space="preserve"> </w:t>
      </w:r>
      <w:r w:rsidRPr="004162F6">
        <w:t>(v2.10),</w:t>
      </w:r>
      <w:r w:rsidRPr="004162F6">
        <w:rPr>
          <w:color w:val="000000"/>
          <w:lang w:eastAsia="en-IN"/>
        </w:rPr>
        <w:t xml:space="preserve"> </w:t>
      </w:r>
      <w:proofErr w:type="spellStart"/>
      <w:r w:rsidRPr="004162F6">
        <w:rPr>
          <w:color w:val="000000"/>
          <w:lang w:eastAsia="en-IN"/>
        </w:rPr>
        <w:t>GnomAD</w:t>
      </w:r>
      <w:proofErr w:type="spellEnd"/>
      <w:r w:rsidRPr="004162F6">
        <w:rPr>
          <w:color w:val="000000"/>
          <w:lang w:eastAsia="en-IN"/>
        </w:rPr>
        <w:t xml:space="preserve"> </w:t>
      </w:r>
      <w:r w:rsidRPr="004162F6">
        <w:t>(v3.0),</w:t>
      </w:r>
      <w:r w:rsidRPr="004162F6">
        <w:rPr>
          <w:color w:val="000000"/>
          <w:lang w:eastAsia="en-IN"/>
        </w:rPr>
        <w:t xml:space="preserve"> 1000 genome, </w:t>
      </w:r>
      <w:proofErr w:type="spellStart"/>
      <w:r w:rsidRPr="004162F6">
        <w:rPr>
          <w:color w:val="000000"/>
          <w:lang w:eastAsia="en-IN"/>
        </w:rPr>
        <w:t>MedGenome</w:t>
      </w:r>
      <w:proofErr w:type="spellEnd"/>
      <w:r w:rsidRPr="004162F6">
        <w:rPr>
          <w:color w:val="000000"/>
          <w:lang w:eastAsia="en-IN"/>
        </w:rPr>
        <w:t xml:space="preserve"> population specific database], </w:t>
      </w:r>
      <w:r w:rsidRPr="004162F6">
        <w:rPr>
          <w:i/>
          <w:iCs/>
          <w:color w:val="000000"/>
          <w:lang w:eastAsia="en-IN"/>
        </w:rPr>
        <w:t>in silico</w:t>
      </w:r>
      <w:r w:rsidRPr="004162F6">
        <w:rPr>
          <w:color w:val="000000"/>
          <w:lang w:eastAsia="en-IN"/>
        </w:rPr>
        <w:t xml:space="preserve"> prediction tools [PolyPhen‐2, SIFT, Mutation Taster2, and LRT] and disease databases [OMIM, </w:t>
      </w:r>
      <w:proofErr w:type="spellStart"/>
      <w:r w:rsidRPr="004162F6">
        <w:rPr>
          <w:color w:val="000000"/>
          <w:lang w:eastAsia="en-IN"/>
        </w:rPr>
        <w:t>ClinVar</w:t>
      </w:r>
      <w:proofErr w:type="spellEnd"/>
      <w:r w:rsidRPr="004162F6">
        <w:rPr>
          <w:color w:val="000000"/>
          <w:lang w:eastAsia="en-IN"/>
        </w:rPr>
        <w:t xml:space="preserve"> and HGMD]. The clinically significant variants are sequentially prioritised based on a) minor allele frequency; b) previously reported with disease literature; c) supporting damaging effect by ≥ 2 </w:t>
      </w:r>
      <w:r w:rsidRPr="004162F6">
        <w:rPr>
          <w:i/>
          <w:color w:val="000000"/>
          <w:lang w:eastAsia="en-IN"/>
        </w:rPr>
        <w:t>in silico</w:t>
      </w:r>
      <w:r w:rsidRPr="004162F6">
        <w:rPr>
          <w:color w:val="000000"/>
          <w:lang w:eastAsia="en-IN"/>
        </w:rPr>
        <w:t xml:space="preserve"> prediction tools; d) clinical features of the proband and analysed using Varminer (</w:t>
      </w:r>
      <w:proofErr w:type="spellStart"/>
      <w:r w:rsidRPr="004162F6">
        <w:rPr>
          <w:color w:val="000000"/>
          <w:lang w:eastAsia="en-IN"/>
        </w:rPr>
        <w:t>MedGenome</w:t>
      </w:r>
      <w:proofErr w:type="spellEnd"/>
      <w:r w:rsidRPr="004162F6">
        <w:rPr>
          <w:color w:val="000000"/>
          <w:lang w:eastAsia="en-IN"/>
        </w:rPr>
        <w:t xml:space="preserve"> proprietary variant interpretation tool)</w:t>
      </w:r>
      <w:r w:rsidR="00222839" w:rsidRPr="004162F6">
        <w:rPr>
          <w:color w:val="000000"/>
          <w:vertAlign w:val="superscript"/>
          <w:lang w:eastAsia="en-IN"/>
        </w:rPr>
        <w:t>1</w:t>
      </w:r>
      <w:r w:rsidRPr="004162F6">
        <w:rPr>
          <w:color w:val="000000"/>
          <w:lang w:eastAsia="en-IN"/>
        </w:rPr>
        <w:t xml:space="preserve">. </w:t>
      </w:r>
      <w:r w:rsidR="001A5883" w:rsidRPr="004162F6">
        <w:rPr>
          <w:color w:val="2E2E2E"/>
        </w:rPr>
        <w:t xml:space="preserve">In brief the data was prioritised for clinically relevant genes a) genes previously associated with disease phenotype (OMIM, </w:t>
      </w:r>
      <w:proofErr w:type="spellStart"/>
      <w:r w:rsidR="001A5883" w:rsidRPr="004162F6">
        <w:rPr>
          <w:color w:val="2E2E2E"/>
        </w:rPr>
        <w:t>Clinvar</w:t>
      </w:r>
      <w:proofErr w:type="spellEnd"/>
      <w:r w:rsidR="001A5883" w:rsidRPr="004162F6">
        <w:rPr>
          <w:color w:val="2E2E2E"/>
        </w:rPr>
        <w:t>); b) Variants with population frequency less than 5%  databases (</w:t>
      </w:r>
      <w:proofErr w:type="spellStart"/>
      <w:r w:rsidR="001A5883" w:rsidRPr="004162F6">
        <w:rPr>
          <w:color w:val="2E2E2E"/>
        </w:rPr>
        <w:t>gnomAD</w:t>
      </w:r>
      <w:proofErr w:type="spellEnd"/>
      <w:r w:rsidR="001A5883" w:rsidRPr="004162F6">
        <w:rPr>
          <w:color w:val="2E2E2E"/>
        </w:rPr>
        <w:t xml:space="preserve">, 1000 genome, Internal population specific database); c) Variants predicted to alter protein sequence (missense, </w:t>
      </w:r>
      <w:r w:rsidR="001A5883" w:rsidRPr="004162F6">
        <w:rPr>
          <w:color w:val="2E2E2E"/>
        </w:rPr>
        <w:lastRenderedPageBreak/>
        <w:t>nonsense, frameshift, splice site, and short indel variants; canonical splice variants and copy number variants. The variants were then interpreted based on the American College of Medical Genetics 2015 guideline</w:t>
      </w:r>
      <w:r w:rsidR="004162F6">
        <w:rPr>
          <w:color w:val="2E2E2E"/>
          <w:vertAlign w:val="superscript"/>
        </w:rPr>
        <w:t>4</w:t>
      </w:r>
      <w:r w:rsidR="001A5883" w:rsidRPr="004162F6">
        <w:rPr>
          <w:color w:val="2E2E2E"/>
        </w:rPr>
        <w:t xml:space="preserve"> as pathogenic (previously in a similar phenotype, loss of function variants in genes with known mechanism) or likely pathogenic (the variant may not be previously reported but the gene is well associated with the phenotype, conserved and damaging effect supported by prediction tools) matching the patient’s phenotype and disease mode of inheritance.</w:t>
      </w:r>
    </w:p>
    <w:p w14:paraId="65E1B787" w14:textId="77777777" w:rsidR="001A5883" w:rsidRPr="004162F6" w:rsidRDefault="001A5883" w:rsidP="004162F6">
      <w:pPr>
        <w:spacing w:line="480" w:lineRule="auto"/>
        <w:jc w:val="both"/>
        <w:rPr>
          <w:color w:val="2E2E2E"/>
        </w:rPr>
      </w:pPr>
      <w:r w:rsidRPr="004162F6">
        <w:rPr>
          <w:color w:val="2E2E2E"/>
        </w:rPr>
        <w:t xml:space="preserve">In addition, variants of unknown significance (VUS) in both autosomal dominant and recessive genes completely or partially matching the clinical profile of the patient were considered to understand the underlying genetic etiology. </w:t>
      </w:r>
    </w:p>
    <w:p w14:paraId="0454D429" w14:textId="5565CE4C" w:rsidR="004F6E48" w:rsidRPr="004162F6" w:rsidRDefault="004F6E48" w:rsidP="004162F6">
      <w:pPr>
        <w:shd w:val="clear" w:color="auto" w:fill="FFFFFF"/>
        <w:spacing w:line="480" w:lineRule="auto"/>
        <w:jc w:val="both"/>
      </w:pPr>
      <w:r w:rsidRPr="004162F6">
        <w:rPr>
          <w:color w:val="000000"/>
          <w:lang w:eastAsia="en-IN"/>
        </w:rPr>
        <w:t>C</w:t>
      </w:r>
      <w:r w:rsidRPr="004162F6">
        <w:t xml:space="preserve">opy number variants (CNVs) </w:t>
      </w:r>
      <w:r w:rsidR="001A5883" w:rsidRPr="004162F6">
        <w:t>we</w:t>
      </w:r>
      <w:r w:rsidR="00EE2AD5" w:rsidRPr="004162F6">
        <w:t>re</w:t>
      </w:r>
      <w:r w:rsidRPr="004162F6">
        <w:t xml:space="preserve"> detected from targeted sequence data using the </w:t>
      </w:r>
      <w:proofErr w:type="spellStart"/>
      <w:r w:rsidRPr="004162F6">
        <w:t>ExomeDepth</w:t>
      </w:r>
      <w:proofErr w:type="spellEnd"/>
      <w:r w:rsidRPr="004162F6">
        <w:t xml:space="preserve"> (v1.1.10) method. Based on the comparison of read-depths of the test data with the matched aggregate reference dataset, the algorithm detects CNVs (</w:t>
      </w:r>
      <w:r w:rsidRPr="004162F6">
        <w:rPr>
          <w:color w:val="202124"/>
          <w:shd w:val="clear" w:color="auto" w:fill="FFFFFF"/>
        </w:rPr>
        <w:t>≥ </w:t>
      </w:r>
      <w:r w:rsidRPr="004162F6">
        <w:t>400bp deletions and duplications).</w:t>
      </w:r>
      <w:r w:rsidR="004162F6">
        <w:rPr>
          <w:vertAlign w:val="superscript"/>
        </w:rPr>
        <w:t>5</w:t>
      </w:r>
      <w:r w:rsidRPr="004162F6">
        <w:t xml:space="preserve"> </w:t>
      </w:r>
    </w:p>
    <w:p w14:paraId="30D685A3" w14:textId="7AA75550" w:rsidR="00DD3994" w:rsidRPr="004162F6" w:rsidRDefault="0021354B" w:rsidP="004162F6">
      <w:pPr>
        <w:spacing w:line="480" w:lineRule="auto"/>
        <w:rPr>
          <w:b/>
          <w:sz w:val="28"/>
          <w:szCs w:val="28"/>
        </w:rPr>
      </w:pPr>
      <w:r>
        <w:rPr>
          <w:b/>
          <w:sz w:val="28"/>
          <w:szCs w:val="28"/>
        </w:rPr>
        <w:t xml:space="preserve">Chromosomal </w:t>
      </w:r>
      <w:r w:rsidR="00EC1B74" w:rsidRPr="0021354B">
        <w:rPr>
          <w:b/>
          <w:sz w:val="28"/>
          <w:szCs w:val="28"/>
        </w:rPr>
        <w:t>Microarray</w:t>
      </w:r>
      <w:r>
        <w:rPr>
          <w:b/>
          <w:sz w:val="28"/>
          <w:szCs w:val="28"/>
        </w:rPr>
        <w:t xml:space="preserve"> (CMA)</w:t>
      </w:r>
      <w:r w:rsidR="00EC1B74" w:rsidRPr="0021354B">
        <w:rPr>
          <w:b/>
          <w:sz w:val="28"/>
          <w:szCs w:val="28"/>
        </w:rPr>
        <w:t>:</w:t>
      </w:r>
    </w:p>
    <w:p w14:paraId="2AE2A964" w14:textId="413375D4" w:rsidR="00EE6249" w:rsidRDefault="009D01CC" w:rsidP="00EE6249">
      <w:pPr>
        <w:shd w:val="clear" w:color="auto" w:fill="FFFFFF"/>
        <w:spacing w:line="480" w:lineRule="auto"/>
        <w:jc w:val="both"/>
      </w:pPr>
      <w:r w:rsidRPr="0021354B">
        <w:t>After NGS</w:t>
      </w:r>
      <w:r w:rsidR="0021354B" w:rsidRPr="0021354B">
        <w:rPr>
          <w:color w:val="000000" w:themeColor="text1"/>
        </w:rPr>
        <w:t>,</w:t>
      </w:r>
      <w:r w:rsidR="0021354B">
        <w:rPr>
          <w:color w:val="FF0000"/>
        </w:rPr>
        <w:t xml:space="preserve"> </w:t>
      </w:r>
      <w:r w:rsidR="0021354B" w:rsidRPr="0021354B">
        <w:rPr>
          <w:color w:val="000000" w:themeColor="text1"/>
        </w:rPr>
        <w:t>twenty five</w:t>
      </w:r>
      <w:r w:rsidRPr="0021354B">
        <w:rPr>
          <w:color w:val="000000" w:themeColor="text1"/>
        </w:rPr>
        <w:t xml:space="preserve"> patients</w:t>
      </w:r>
      <w:commentRangeStart w:id="0"/>
      <w:commentRangeEnd w:id="0"/>
      <w:r w:rsidR="00132E08" w:rsidRPr="0021354B">
        <w:rPr>
          <w:rStyle w:val="CommentReference"/>
          <w:rFonts w:asciiTheme="minorHAnsi" w:eastAsiaTheme="minorHAnsi" w:hAnsiTheme="minorHAnsi" w:cstheme="minorBidi"/>
          <w:color w:val="000000" w:themeColor="text1"/>
          <w:lang w:val="en-US" w:eastAsia="en-US"/>
        </w:rPr>
        <w:commentReference w:id="0"/>
      </w:r>
      <w:r w:rsidR="0021354B">
        <w:rPr>
          <w:color w:val="000000" w:themeColor="text1"/>
        </w:rPr>
        <w:t>,</w:t>
      </w:r>
      <w:r w:rsidR="00DD3994" w:rsidRPr="0021354B">
        <w:rPr>
          <w:color w:val="000000" w:themeColor="text1"/>
        </w:rPr>
        <w:t xml:space="preserve"> </w:t>
      </w:r>
      <w:r w:rsidR="00DD3994" w:rsidRPr="0021354B">
        <w:t>who remained without a genetic diagnosis</w:t>
      </w:r>
      <w:r w:rsidR="001C7B37" w:rsidRPr="0021354B">
        <w:t xml:space="preserve">, </w:t>
      </w:r>
      <w:r w:rsidR="00DD3994" w:rsidRPr="0021354B">
        <w:t xml:space="preserve">were processed for </w:t>
      </w:r>
      <w:r w:rsidR="00EC1B74" w:rsidRPr="0021354B">
        <w:rPr>
          <w:i/>
          <w:iCs/>
          <w:color w:val="2E2E2E"/>
        </w:rPr>
        <w:t xml:space="preserve">array </w:t>
      </w:r>
      <w:hyperlink r:id="rId11">
        <w:r w:rsidR="00EC1B74" w:rsidRPr="0021354B">
          <w:rPr>
            <w:i/>
            <w:iCs/>
            <w:color w:val="2E2E2E"/>
          </w:rPr>
          <w:t>comparative genomic hybridization</w:t>
        </w:r>
      </w:hyperlink>
      <w:r w:rsidR="00EC1B74" w:rsidRPr="0021354B">
        <w:rPr>
          <w:i/>
          <w:iCs/>
          <w:color w:val="2E2E2E"/>
        </w:rPr>
        <w:t xml:space="preserve"> (</w:t>
      </w:r>
      <w:proofErr w:type="spellStart"/>
      <w:r w:rsidR="00EC1B74" w:rsidRPr="0021354B">
        <w:rPr>
          <w:i/>
          <w:iCs/>
          <w:color w:val="2E2E2E"/>
        </w:rPr>
        <w:t>aCGH</w:t>
      </w:r>
      <w:proofErr w:type="spellEnd"/>
      <w:r w:rsidR="00EC1B74" w:rsidRPr="0021354B">
        <w:rPr>
          <w:i/>
          <w:iCs/>
          <w:color w:val="2E2E2E"/>
        </w:rPr>
        <w:t>) analysis</w:t>
      </w:r>
      <w:r w:rsidR="00EC1B74" w:rsidRPr="0021354B">
        <w:rPr>
          <w:b/>
          <w:bCs/>
          <w:color w:val="2E2E2E"/>
        </w:rPr>
        <w:t xml:space="preserve"> </w:t>
      </w:r>
      <w:r w:rsidR="00EC1B74" w:rsidRPr="0021354B">
        <w:rPr>
          <w:color w:val="2E2E2E"/>
        </w:rPr>
        <w:t>(</w:t>
      </w:r>
      <w:r w:rsidR="00976794" w:rsidRPr="0021354B">
        <w:rPr>
          <w:color w:val="2E2E2E"/>
        </w:rPr>
        <w:t xml:space="preserve">Illumina </w:t>
      </w:r>
      <w:proofErr w:type="spellStart"/>
      <w:r w:rsidR="00976794" w:rsidRPr="0021354B">
        <w:rPr>
          <w:color w:val="2E2E2E"/>
        </w:rPr>
        <w:t>Karyotrack</w:t>
      </w:r>
      <w:proofErr w:type="spellEnd"/>
      <w:r w:rsidR="00976794" w:rsidRPr="0021354B">
        <w:rPr>
          <w:color w:val="2E2E2E"/>
        </w:rPr>
        <w:t xml:space="preserve"> array</w:t>
      </w:r>
      <w:r w:rsidR="00DD3994" w:rsidRPr="0021354B">
        <w:t xml:space="preserve">) and analysed on </w:t>
      </w:r>
      <w:proofErr w:type="spellStart"/>
      <w:r w:rsidR="00DD3994" w:rsidRPr="0021354B">
        <w:t>Bionano’s</w:t>
      </w:r>
      <w:proofErr w:type="spellEnd"/>
      <w:r w:rsidR="00DD3994" w:rsidRPr="0021354B">
        <w:t xml:space="preserve"> NxClinical Analysis Software.  </w:t>
      </w:r>
      <w:r w:rsidR="00D24699" w:rsidRPr="0021354B">
        <w:t xml:space="preserve">The array consists of approximately 700K probes targeting more than 4800 genes and regions with known disease associations, allowing for the analysis of genetic variation across the genome. The samples </w:t>
      </w:r>
      <w:r w:rsidRPr="0021354B">
        <w:t>were</w:t>
      </w:r>
      <w:r w:rsidR="00D24699" w:rsidRPr="0021354B">
        <w:t xml:space="preserve"> processed using the standard assay protocol, where 200 ng of genomic DNA is amplified overnight for whole-genome amplification. The amplified DNA </w:t>
      </w:r>
      <w:r w:rsidRPr="0021354B">
        <w:t>was</w:t>
      </w:r>
      <w:r w:rsidR="00D24699" w:rsidRPr="0021354B">
        <w:t xml:space="preserve"> then enzymatically fragmented and subjected to precipitation. The resuspended DNA samples </w:t>
      </w:r>
      <w:r w:rsidRPr="0021354B">
        <w:t>were</w:t>
      </w:r>
      <w:r w:rsidR="00D24699" w:rsidRPr="0021354B">
        <w:t xml:space="preserve"> hybridized to a chip, and the samples undergo </w:t>
      </w:r>
      <w:proofErr w:type="spellStart"/>
      <w:r w:rsidR="00D24699" w:rsidRPr="0021354B">
        <w:t>labeling</w:t>
      </w:r>
      <w:proofErr w:type="spellEnd"/>
      <w:r w:rsidR="00D24699" w:rsidRPr="0021354B">
        <w:t xml:space="preserve">, washing, and staining. The data generated from the assay </w:t>
      </w:r>
      <w:r w:rsidRPr="0021354B">
        <w:t>was</w:t>
      </w:r>
      <w:r w:rsidR="00D24699" w:rsidRPr="0021354B">
        <w:t xml:space="preserve"> </w:t>
      </w:r>
      <w:proofErr w:type="spellStart"/>
      <w:r w:rsidR="00D24699" w:rsidRPr="0021354B">
        <w:t>analyzed</w:t>
      </w:r>
      <w:proofErr w:type="spellEnd"/>
      <w:r w:rsidR="00D24699" w:rsidRPr="0021354B">
        <w:t xml:space="preserve"> using a bioinformatic tool on the Human reference genome (GRCh38/hg38). </w:t>
      </w:r>
      <w:r w:rsidRPr="0021354B">
        <w:t>Based on the sensitivity of the array, d</w:t>
      </w:r>
      <w:r w:rsidR="00D24699" w:rsidRPr="0021354B">
        <w:t xml:space="preserve">eletions smaller than 100 kb and duplications smaller than 400 kb </w:t>
      </w:r>
      <w:r w:rsidRPr="0021354B">
        <w:t>were not</w:t>
      </w:r>
      <w:r w:rsidR="00D24699" w:rsidRPr="0021354B">
        <w:t xml:space="preserve"> reviewed. </w:t>
      </w:r>
      <w:r w:rsidR="00EE6249" w:rsidRPr="0021354B">
        <w:t>Detected copy number variations (CNVs) are reported when found to have clear or suspected clinical relevance; CNVs devoid of relevant gene content or reported</w:t>
      </w:r>
    </w:p>
    <w:p w14:paraId="5AD41487" w14:textId="6CC8F92A" w:rsidR="00D24699" w:rsidRDefault="00EE6249" w:rsidP="00EE6249">
      <w:pPr>
        <w:shd w:val="clear" w:color="auto" w:fill="FFFFFF"/>
        <w:spacing w:line="480" w:lineRule="auto"/>
        <w:jc w:val="both"/>
      </w:pPr>
      <w:r>
        <w:t>as common findings in the general population were prioritised</w:t>
      </w:r>
      <w:r w:rsidRPr="00EE6249">
        <w:t xml:space="preserve"> </w:t>
      </w:r>
      <w:r>
        <w:t>and analysed based on the clinical phenotype.</w:t>
      </w:r>
    </w:p>
    <w:p w14:paraId="0E7ECCDE" w14:textId="750BA2B6" w:rsidR="00DD3994" w:rsidRPr="004162F6" w:rsidRDefault="00DD3994" w:rsidP="004162F6">
      <w:pPr>
        <w:spacing w:line="480" w:lineRule="auto"/>
      </w:pPr>
      <w:r w:rsidRPr="004162F6">
        <w:t xml:space="preserve">The relevance of the variants were </w:t>
      </w:r>
      <w:r w:rsidR="00A07D2E" w:rsidRPr="004162F6">
        <w:t>assessed based</w:t>
      </w:r>
      <w:r w:rsidRPr="004162F6">
        <w:t xml:space="preserve"> on   databases: DECIPHER (</w:t>
      </w:r>
      <w:hyperlink r:id="rId12" w:history="1">
        <w:r w:rsidRPr="004162F6">
          <w:t>https://decipher.sanger</w:t>
        </w:r>
      </w:hyperlink>
      <w:r w:rsidRPr="004162F6">
        <w:t>. ac.uk/), ISCA consortium (</w:t>
      </w:r>
      <w:hyperlink r:id="rId13" w:history="1">
        <w:r w:rsidRPr="004162F6">
          <w:t>https://www.iscaconsortium.org/</w:t>
        </w:r>
      </w:hyperlink>
      <w:r w:rsidRPr="004162F6">
        <w:t>), OMIM (Online Mendelian Inheritance in Man,</w:t>
      </w:r>
    </w:p>
    <w:p w14:paraId="43FBE03E" w14:textId="4ACA90B2" w:rsidR="00DD3994" w:rsidRPr="004162F6" w:rsidRDefault="00DD3994" w:rsidP="004162F6">
      <w:pPr>
        <w:shd w:val="clear" w:color="auto" w:fill="FFFFFF"/>
        <w:spacing w:line="480" w:lineRule="auto"/>
        <w:jc w:val="both"/>
      </w:pPr>
      <w:r w:rsidRPr="004162F6">
        <w:lastRenderedPageBreak/>
        <w:t>https://www.omim.org/),UCSC genome browser (http:// genome.ucsc.edu/), and PubMed (</w:t>
      </w:r>
      <w:hyperlink r:id="rId14" w:history="1">
        <w:r w:rsidRPr="004162F6">
          <w:t>http://www.ncbi.nlm.nih</w:t>
        </w:r>
      </w:hyperlink>
      <w:r w:rsidRPr="004162F6">
        <w:t>. gov/</w:t>
      </w:r>
      <w:proofErr w:type="spellStart"/>
      <w:r w:rsidRPr="004162F6">
        <w:t>pubmed</w:t>
      </w:r>
      <w:proofErr w:type="spellEnd"/>
      <w:r w:rsidRPr="004162F6">
        <w:t>)</w:t>
      </w:r>
    </w:p>
    <w:p w14:paraId="1A34059D" w14:textId="78012647" w:rsidR="0059569A" w:rsidRDefault="00A8442F" w:rsidP="004162F6">
      <w:pPr>
        <w:shd w:val="clear" w:color="auto" w:fill="FFFFFF"/>
        <w:spacing w:line="480" w:lineRule="auto"/>
        <w:jc w:val="both"/>
        <w:rPr>
          <w:vertAlign w:val="superscript"/>
        </w:rPr>
      </w:pPr>
      <w:r w:rsidRPr="004162F6">
        <w:t>The significant variants in genes correlating the disease symptoms/phenotype and inheritance (</w:t>
      </w:r>
      <w:r w:rsidRPr="004162F6">
        <w:rPr>
          <w:i/>
          <w:color w:val="000000"/>
          <w:lang w:eastAsia="en-IN"/>
        </w:rPr>
        <w:t>de novo</w:t>
      </w:r>
      <w:r w:rsidRPr="004162F6">
        <w:rPr>
          <w:color w:val="000000"/>
          <w:lang w:eastAsia="en-IN"/>
        </w:rPr>
        <w:t>, autosomal dominant and autosomal recessive</w:t>
      </w:r>
      <w:r w:rsidRPr="004162F6">
        <w:t xml:space="preserve">) are prioritised. The significance of the prioritised variants </w:t>
      </w:r>
      <w:r w:rsidR="0059569A" w:rsidRPr="004162F6">
        <w:t xml:space="preserve">(SNVs and CNVs) </w:t>
      </w:r>
      <w:r w:rsidRPr="004162F6">
        <w:t>are assigned based on ACMG guidelines.</w:t>
      </w:r>
      <w:r w:rsidR="004162F6">
        <w:rPr>
          <w:vertAlign w:val="superscript"/>
        </w:rPr>
        <w:t>4</w:t>
      </w:r>
    </w:p>
    <w:p w14:paraId="6EF147E4" w14:textId="33D2E32A" w:rsidR="004F6E48" w:rsidRPr="004162F6" w:rsidRDefault="004F6E48" w:rsidP="004162F6">
      <w:pPr>
        <w:shd w:val="clear" w:color="auto" w:fill="FFFFFF"/>
        <w:spacing w:line="480" w:lineRule="auto"/>
        <w:jc w:val="both"/>
        <w:rPr>
          <w:color w:val="000000"/>
          <w:sz w:val="22"/>
          <w:szCs w:val="22"/>
          <w:lang w:eastAsia="en-IN"/>
        </w:rPr>
      </w:pPr>
      <w:r w:rsidRPr="004162F6">
        <w:rPr>
          <w:b/>
          <w:color w:val="000000"/>
          <w:sz w:val="22"/>
          <w:szCs w:val="22"/>
          <w:lang w:eastAsia="en-IN"/>
        </w:rPr>
        <w:t xml:space="preserve">Notes: </w:t>
      </w:r>
      <w:r w:rsidRPr="004162F6">
        <w:rPr>
          <w:color w:val="000000"/>
          <w:sz w:val="22"/>
          <w:szCs w:val="22"/>
          <w:lang w:eastAsia="en-IN"/>
        </w:rPr>
        <w:t xml:space="preserve">The </w:t>
      </w:r>
      <w:r w:rsidRPr="004162F6">
        <w:rPr>
          <w:i/>
          <w:color w:val="000000"/>
          <w:sz w:val="22"/>
          <w:szCs w:val="22"/>
          <w:lang w:eastAsia="en-IN"/>
        </w:rPr>
        <w:t>in-silico</w:t>
      </w:r>
      <w:r w:rsidRPr="004162F6">
        <w:rPr>
          <w:color w:val="000000"/>
          <w:sz w:val="22"/>
          <w:szCs w:val="22"/>
          <w:lang w:eastAsia="en-IN"/>
        </w:rPr>
        <w:t xml:space="preserve"> predictions are based on Variant Effect Predictor (v104), [SIFT version - 5.2.2; </w:t>
      </w:r>
      <w:proofErr w:type="spellStart"/>
      <w:r w:rsidRPr="004162F6">
        <w:rPr>
          <w:color w:val="000000"/>
          <w:sz w:val="22"/>
          <w:szCs w:val="22"/>
          <w:lang w:eastAsia="en-IN"/>
        </w:rPr>
        <w:t>PolyPhen</w:t>
      </w:r>
      <w:proofErr w:type="spellEnd"/>
      <w:r w:rsidRPr="004162F6">
        <w:rPr>
          <w:color w:val="000000"/>
          <w:sz w:val="22"/>
          <w:szCs w:val="22"/>
          <w:lang w:eastAsia="en-IN"/>
        </w:rPr>
        <w:t xml:space="preserve"> - 2.2.2; LRT version (November, 2009); CADD (v1.6); Splice AI; dbNSFPv4.2] and MutationTaster2 predictions are based on NCBI/</w:t>
      </w:r>
      <w:proofErr w:type="spellStart"/>
      <w:r w:rsidRPr="004162F6">
        <w:rPr>
          <w:color w:val="000000"/>
          <w:sz w:val="22"/>
          <w:szCs w:val="22"/>
          <w:lang w:eastAsia="en-IN"/>
        </w:rPr>
        <w:t>Ensembl</w:t>
      </w:r>
      <w:proofErr w:type="spellEnd"/>
      <w:r w:rsidRPr="004162F6">
        <w:rPr>
          <w:color w:val="000000"/>
          <w:sz w:val="22"/>
          <w:szCs w:val="22"/>
          <w:lang w:eastAsia="en-IN"/>
        </w:rPr>
        <w:t xml:space="preserve"> 66 build (GRCh38 genomic coordinates are converted to hg19 using UCSC Lift</w:t>
      </w:r>
      <w:r w:rsidR="00F06858">
        <w:rPr>
          <w:color w:val="000000"/>
          <w:sz w:val="22"/>
          <w:szCs w:val="22"/>
          <w:lang w:eastAsia="en-IN"/>
        </w:rPr>
        <w:t xml:space="preserve"> </w:t>
      </w:r>
      <w:r w:rsidRPr="004162F6">
        <w:rPr>
          <w:color w:val="000000"/>
          <w:sz w:val="22"/>
          <w:szCs w:val="22"/>
          <w:lang w:eastAsia="en-IN"/>
        </w:rPr>
        <w:t xml:space="preserve">Over and mapped to MT2). Diseases databases used for annotation includes </w:t>
      </w:r>
      <w:proofErr w:type="spellStart"/>
      <w:r w:rsidRPr="004162F6">
        <w:rPr>
          <w:color w:val="000000"/>
          <w:sz w:val="22"/>
          <w:szCs w:val="22"/>
          <w:lang w:eastAsia="en-IN"/>
        </w:rPr>
        <w:t>ClinVar</w:t>
      </w:r>
      <w:proofErr w:type="spellEnd"/>
      <w:r w:rsidRPr="004162F6">
        <w:rPr>
          <w:color w:val="000000"/>
          <w:sz w:val="22"/>
          <w:szCs w:val="22"/>
          <w:lang w:eastAsia="en-IN"/>
        </w:rPr>
        <w:t xml:space="preserve"> (updated on 5082021), OMIM (updated on 5082021), HGMD (v2021.3), LOVD (Nov-18), DECIPHER (population CNV) and </w:t>
      </w:r>
      <w:proofErr w:type="spellStart"/>
      <w:r w:rsidRPr="004162F6">
        <w:rPr>
          <w:color w:val="000000"/>
          <w:sz w:val="22"/>
          <w:szCs w:val="22"/>
          <w:lang w:eastAsia="en-IN"/>
        </w:rPr>
        <w:t>SwissVar</w:t>
      </w:r>
      <w:proofErr w:type="spellEnd"/>
      <w:r w:rsidRPr="004162F6">
        <w:rPr>
          <w:color w:val="000000"/>
          <w:sz w:val="22"/>
          <w:szCs w:val="22"/>
          <w:lang w:eastAsia="en-IN"/>
        </w:rPr>
        <w:t>.</w:t>
      </w:r>
    </w:p>
    <w:p w14:paraId="1ADE1502" w14:textId="5E13B5C3" w:rsidR="00885962" w:rsidRPr="004162F6" w:rsidRDefault="00885962" w:rsidP="00885962">
      <w:pPr>
        <w:spacing w:line="360" w:lineRule="auto"/>
        <w:rPr>
          <w:b/>
          <w:bCs/>
          <w:sz w:val="28"/>
          <w:szCs w:val="28"/>
        </w:rPr>
      </w:pPr>
      <w:r>
        <w:rPr>
          <w:b/>
          <w:bCs/>
          <w:sz w:val="28"/>
          <w:szCs w:val="28"/>
        </w:rPr>
        <w:t>S</w:t>
      </w:r>
      <w:r w:rsidRPr="004162F6">
        <w:rPr>
          <w:b/>
          <w:bCs/>
          <w:sz w:val="28"/>
          <w:szCs w:val="28"/>
        </w:rPr>
        <w:t xml:space="preserve">upplementary </w:t>
      </w:r>
      <w:r>
        <w:rPr>
          <w:b/>
          <w:bCs/>
          <w:sz w:val="28"/>
          <w:szCs w:val="28"/>
        </w:rPr>
        <w:t>references</w:t>
      </w:r>
    </w:p>
    <w:p w14:paraId="54D8AB18" w14:textId="77777777" w:rsidR="00885962" w:rsidRPr="00E44E21" w:rsidRDefault="00885962" w:rsidP="00885962">
      <w:pPr>
        <w:pStyle w:val="ListParagraph"/>
        <w:numPr>
          <w:ilvl w:val="0"/>
          <w:numId w:val="3"/>
        </w:numPr>
        <w:shd w:val="clear" w:color="auto" w:fill="FFFFFF"/>
        <w:spacing w:line="360" w:lineRule="auto"/>
        <w:jc w:val="both"/>
        <w:rPr>
          <w:rFonts w:ascii="Times New Roman" w:eastAsia="Times New Roman" w:hAnsi="Times New Roman" w:cs="Times New Roman"/>
          <w:color w:val="000000"/>
          <w:sz w:val="24"/>
          <w:szCs w:val="24"/>
          <w:lang w:eastAsia="en-IN"/>
        </w:rPr>
      </w:pPr>
      <w:r w:rsidRPr="00E44E21">
        <w:rPr>
          <w:rFonts w:ascii="Times New Roman" w:eastAsia="Times New Roman" w:hAnsi="Times New Roman" w:cs="Times New Roman"/>
          <w:color w:val="000000"/>
          <w:sz w:val="24"/>
          <w:szCs w:val="24"/>
          <w:lang w:eastAsia="en-IN"/>
        </w:rPr>
        <w:t>Li H, Durbin R. Fast</w:t>
      </w:r>
      <w:r>
        <w:rPr>
          <w:rFonts w:ascii="Times New Roman" w:eastAsia="Times New Roman" w:hAnsi="Times New Roman" w:cs="Times New Roman"/>
          <w:color w:val="000000"/>
          <w:sz w:val="24"/>
          <w:szCs w:val="24"/>
          <w:lang w:eastAsia="en-IN"/>
        </w:rPr>
        <w:t xml:space="preserve"> </w:t>
      </w:r>
      <w:r w:rsidRPr="00E44E21">
        <w:rPr>
          <w:rFonts w:ascii="Times New Roman" w:eastAsia="Times New Roman" w:hAnsi="Times New Roman" w:cs="Times New Roman"/>
          <w:color w:val="000000"/>
          <w:sz w:val="24"/>
          <w:szCs w:val="24"/>
          <w:lang w:eastAsia="en-IN"/>
        </w:rPr>
        <w:t xml:space="preserve">and accurate long-read alignment with Burrows-Wheeler transform. Bioinformatics. 2010; 26:589-95. </w:t>
      </w:r>
    </w:p>
    <w:p w14:paraId="1728887F" w14:textId="77777777" w:rsidR="00885962" w:rsidRPr="00E44E21" w:rsidRDefault="00885962" w:rsidP="00885962">
      <w:pPr>
        <w:pStyle w:val="ListParagraph"/>
        <w:numPr>
          <w:ilvl w:val="0"/>
          <w:numId w:val="3"/>
        </w:numPr>
        <w:shd w:val="clear" w:color="auto" w:fill="FFFFFF"/>
        <w:spacing w:line="360" w:lineRule="auto"/>
        <w:jc w:val="both"/>
        <w:rPr>
          <w:rFonts w:ascii="Times New Roman" w:eastAsia="Times New Roman" w:hAnsi="Times New Roman" w:cs="Times New Roman"/>
          <w:color w:val="000000"/>
          <w:sz w:val="24"/>
          <w:szCs w:val="24"/>
          <w:lang w:eastAsia="en-IN"/>
        </w:rPr>
      </w:pPr>
      <w:r w:rsidRPr="00E44E21">
        <w:rPr>
          <w:rFonts w:ascii="Times New Roman" w:eastAsia="Times New Roman" w:hAnsi="Times New Roman" w:cs="Times New Roman"/>
          <w:color w:val="000000"/>
          <w:sz w:val="24"/>
          <w:szCs w:val="24"/>
          <w:lang w:eastAsia="en-IN"/>
        </w:rPr>
        <w:t xml:space="preserve">Freed D, Aldana R, Weber JA, Edwards JS. The </w:t>
      </w:r>
      <w:proofErr w:type="spellStart"/>
      <w:r w:rsidRPr="00E44E21">
        <w:rPr>
          <w:rFonts w:ascii="Times New Roman" w:eastAsia="Times New Roman" w:hAnsi="Times New Roman" w:cs="Times New Roman"/>
          <w:color w:val="000000"/>
          <w:sz w:val="24"/>
          <w:szCs w:val="24"/>
          <w:lang w:eastAsia="en-IN"/>
        </w:rPr>
        <w:t>Sentieon</w:t>
      </w:r>
      <w:proofErr w:type="spellEnd"/>
      <w:r w:rsidRPr="00E44E21">
        <w:rPr>
          <w:rFonts w:ascii="Times New Roman" w:eastAsia="Times New Roman" w:hAnsi="Times New Roman" w:cs="Times New Roman"/>
          <w:color w:val="000000"/>
          <w:sz w:val="24"/>
          <w:szCs w:val="24"/>
          <w:lang w:eastAsia="en-IN"/>
        </w:rPr>
        <w:t xml:space="preserve"> Genomics Tools–A fast and accurate solution to variant calling from next-generation sequence data. </w:t>
      </w:r>
      <w:proofErr w:type="spellStart"/>
      <w:r w:rsidRPr="00E44E21">
        <w:rPr>
          <w:rFonts w:ascii="Times New Roman" w:eastAsia="Times New Roman" w:hAnsi="Times New Roman" w:cs="Times New Roman"/>
          <w:color w:val="000000"/>
          <w:sz w:val="24"/>
          <w:szCs w:val="24"/>
          <w:lang w:eastAsia="en-IN"/>
        </w:rPr>
        <w:t>BioRxiv</w:t>
      </w:r>
      <w:proofErr w:type="spellEnd"/>
      <w:r w:rsidRPr="00E44E21">
        <w:rPr>
          <w:rFonts w:ascii="Times New Roman" w:eastAsia="Times New Roman" w:hAnsi="Times New Roman" w:cs="Times New Roman"/>
          <w:color w:val="000000"/>
          <w:sz w:val="24"/>
          <w:szCs w:val="24"/>
          <w:lang w:eastAsia="en-IN"/>
        </w:rPr>
        <w:t>. 2017 Mar 10:115717.</w:t>
      </w:r>
    </w:p>
    <w:p w14:paraId="09091C46" w14:textId="77777777" w:rsidR="00885962" w:rsidRPr="00E44E21" w:rsidRDefault="00885962" w:rsidP="00885962">
      <w:pPr>
        <w:pStyle w:val="ListParagraph"/>
        <w:numPr>
          <w:ilvl w:val="0"/>
          <w:numId w:val="3"/>
        </w:numPr>
        <w:shd w:val="clear" w:color="auto" w:fill="FFFFFF"/>
        <w:spacing w:line="360" w:lineRule="auto"/>
        <w:jc w:val="both"/>
        <w:rPr>
          <w:rFonts w:ascii="Times New Roman" w:eastAsia="Times New Roman" w:hAnsi="Times New Roman" w:cs="Times New Roman"/>
          <w:color w:val="000000"/>
          <w:sz w:val="24"/>
          <w:szCs w:val="24"/>
          <w:lang w:eastAsia="en-IN"/>
        </w:rPr>
      </w:pPr>
      <w:r w:rsidRPr="00E44E21">
        <w:rPr>
          <w:rFonts w:ascii="Times New Roman" w:eastAsia="Times New Roman" w:hAnsi="Times New Roman" w:cs="Times New Roman"/>
          <w:color w:val="000000"/>
          <w:sz w:val="24"/>
          <w:szCs w:val="24"/>
          <w:lang w:eastAsia="en-IN"/>
        </w:rPr>
        <w:t xml:space="preserve">McLaren W, Pritchard B, Rios D, Chen Y, </w:t>
      </w:r>
      <w:proofErr w:type="spellStart"/>
      <w:r w:rsidRPr="00E44E21">
        <w:rPr>
          <w:rFonts w:ascii="Times New Roman" w:eastAsia="Times New Roman" w:hAnsi="Times New Roman" w:cs="Times New Roman"/>
          <w:color w:val="000000"/>
          <w:sz w:val="24"/>
          <w:szCs w:val="24"/>
          <w:lang w:eastAsia="en-IN"/>
        </w:rPr>
        <w:t>Flicek</w:t>
      </w:r>
      <w:proofErr w:type="spellEnd"/>
      <w:r w:rsidRPr="00E44E21">
        <w:rPr>
          <w:rFonts w:ascii="Times New Roman" w:eastAsia="Times New Roman" w:hAnsi="Times New Roman" w:cs="Times New Roman"/>
          <w:color w:val="000000"/>
          <w:sz w:val="24"/>
          <w:szCs w:val="24"/>
          <w:lang w:eastAsia="en-IN"/>
        </w:rPr>
        <w:t xml:space="preserve"> P, Cunningham F. Deriving the consequences of genomic variants with the </w:t>
      </w:r>
      <w:proofErr w:type="spellStart"/>
      <w:r w:rsidRPr="00E44E21">
        <w:rPr>
          <w:rFonts w:ascii="Times New Roman" w:eastAsia="Times New Roman" w:hAnsi="Times New Roman" w:cs="Times New Roman"/>
          <w:color w:val="000000"/>
          <w:sz w:val="24"/>
          <w:szCs w:val="24"/>
          <w:lang w:eastAsia="en-IN"/>
        </w:rPr>
        <w:t>Ensembl</w:t>
      </w:r>
      <w:proofErr w:type="spellEnd"/>
      <w:r w:rsidRPr="00E44E21">
        <w:rPr>
          <w:rFonts w:ascii="Times New Roman" w:eastAsia="Times New Roman" w:hAnsi="Times New Roman" w:cs="Times New Roman"/>
          <w:color w:val="000000"/>
          <w:sz w:val="24"/>
          <w:szCs w:val="24"/>
          <w:lang w:eastAsia="en-IN"/>
        </w:rPr>
        <w:t xml:space="preserve"> API and SNP Effect Predictor. Bioinformatics. 2010; 26:2069-70.</w:t>
      </w:r>
    </w:p>
    <w:p w14:paraId="3D8E5C62" w14:textId="77777777" w:rsidR="00885962" w:rsidRPr="00EC1B74" w:rsidRDefault="00885962" w:rsidP="00885962">
      <w:pPr>
        <w:pStyle w:val="ListParagraph"/>
        <w:numPr>
          <w:ilvl w:val="0"/>
          <w:numId w:val="3"/>
        </w:numPr>
        <w:shd w:val="clear" w:color="auto" w:fill="FFFFFF"/>
        <w:spacing w:line="360" w:lineRule="auto"/>
        <w:jc w:val="both"/>
        <w:rPr>
          <w:rFonts w:cstheme="minorHAnsi"/>
          <w:sz w:val="18"/>
          <w:szCs w:val="18"/>
        </w:rPr>
      </w:pPr>
      <w:r w:rsidRPr="00EC1B74">
        <w:rPr>
          <w:rFonts w:ascii="Times New Roman" w:eastAsia="Times New Roman" w:hAnsi="Times New Roman" w:cs="Times New Roman"/>
          <w:color w:val="000000"/>
          <w:sz w:val="24"/>
          <w:szCs w:val="24"/>
          <w:lang w:eastAsia="en-IN"/>
        </w:rPr>
        <w:t xml:space="preserve">Richards S, Aziz N, Bale S, et al. ACMG Laboratory Quality Assurance Committee. Standards and guidelines for the interpretation of sequence variants: a joint consensus recommendation of the American College of Medical Genetics and Genomics and the Association for Molecular Pathology. Genet Med. 2015; 17:405-24. </w:t>
      </w:r>
    </w:p>
    <w:p w14:paraId="197AE2DC" w14:textId="77777777" w:rsidR="00885962" w:rsidRPr="00E44E21" w:rsidRDefault="00885962" w:rsidP="00885962">
      <w:pPr>
        <w:pStyle w:val="ListParagraph"/>
        <w:numPr>
          <w:ilvl w:val="0"/>
          <w:numId w:val="3"/>
        </w:numPr>
        <w:shd w:val="clear" w:color="auto" w:fill="FFFFFF"/>
        <w:spacing w:line="360" w:lineRule="auto"/>
        <w:jc w:val="both"/>
        <w:rPr>
          <w:rFonts w:ascii="Times New Roman" w:eastAsia="Times New Roman" w:hAnsi="Times New Roman" w:cs="Times New Roman"/>
          <w:color w:val="000000"/>
          <w:sz w:val="24"/>
          <w:szCs w:val="24"/>
          <w:lang w:eastAsia="en-IN"/>
        </w:rPr>
      </w:pPr>
      <w:proofErr w:type="spellStart"/>
      <w:r w:rsidRPr="00E44E21">
        <w:rPr>
          <w:rFonts w:ascii="Times New Roman" w:eastAsia="Times New Roman" w:hAnsi="Times New Roman" w:cs="Times New Roman"/>
          <w:color w:val="000000"/>
          <w:sz w:val="24"/>
          <w:szCs w:val="24"/>
          <w:lang w:eastAsia="en-IN"/>
        </w:rPr>
        <w:t>Plagnol</w:t>
      </w:r>
      <w:proofErr w:type="spellEnd"/>
      <w:r w:rsidRPr="00E44E21">
        <w:rPr>
          <w:rFonts w:ascii="Times New Roman" w:eastAsia="Times New Roman" w:hAnsi="Times New Roman" w:cs="Times New Roman"/>
          <w:color w:val="000000"/>
          <w:sz w:val="24"/>
          <w:szCs w:val="24"/>
          <w:lang w:eastAsia="en-IN"/>
        </w:rPr>
        <w:t xml:space="preserve"> V, Curtis J, Epstein M, et al. A robust model for read count data in exome sequencing experiments and implications for copy number variant calling. Bioinformatics. 2012; 28:2747-54.</w:t>
      </w:r>
    </w:p>
    <w:p w14:paraId="1A5DE1CC" w14:textId="77777777" w:rsidR="00885962" w:rsidRDefault="00885962" w:rsidP="00885962">
      <w:pPr>
        <w:rPr>
          <w:b/>
          <w:sz w:val="32"/>
          <w:szCs w:val="32"/>
        </w:rPr>
      </w:pPr>
    </w:p>
    <w:p w14:paraId="5A0FA0B3" w14:textId="2BB6B22C" w:rsidR="004574E4" w:rsidRPr="00E44E21" w:rsidRDefault="004574E4" w:rsidP="00885962">
      <w:pPr>
        <w:spacing w:line="360" w:lineRule="auto"/>
        <w:rPr>
          <w:color w:val="000000"/>
          <w:lang w:eastAsia="en-IN"/>
        </w:rPr>
      </w:pPr>
    </w:p>
    <w:sectPr w:rsidR="004574E4" w:rsidRPr="00E44E21" w:rsidSect="00050CF6">
      <w:pgSz w:w="12240" w:h="15840"/>
      <w:pgMar w:top="720" w:right="720" w:bottom="720" w:left="72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Thenral SG" w:date="2024-04-22T02:04:00Z" w:initials="TS">
    <w:p w14:paraId="5B39166C" w14:textId="417AA99D" w:rsidR="00132E08" w:rsidRDefault="00132E08">
      <w:pPr>
        <w:pStyle w:val="CommentText"/>
      </w:pPr>
      <w:r>
        <w:rPr>
          <w:rStyle w:val="CommentReference"/>
        </w:rPr>
        <w:annotationRef/>
      </w:r>
      <w:r w:rsidR="008C055B">
        <w:t>!2 samples were processed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5B39166C"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B39166C" w16cid:durableId="18761192"/>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709FF8" w14:textId="77777777" w:rsidR="00050CF6" w:rsidRDefault="00050CF6" w:rsidP="00010BCC">
      <w:r>
        <w:separator/>
      </w:r>
    </w:p>
  </w:endnote>
  <w:endnote w:type="continuationSeparator" w:id="0">
    <w:p w14:paraId="7B5DFC51" w14:textId="77777777" w:rsidR="00050CF6" w:rsidRDefault="00050CF6" w:rsidP="00010B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Gotham Bold">
    <w:altName w:val="Arial"/>
    <w:panose1 w:val="020B0604020202020204"/>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1E18C8" w14:textId="77777777" w:rsidR="00050CF6" w:rsidRDefault="00050CF6" w:rsidP="00010BCC">
      <w:r>
        <w:separator/>
      </w:r>
    </w:p>
  </w:footnote>
  <w:footnote w:type="continuationSeparator" w:id="0">
    <w:p w14:paraId="10C000FC" w14:textId="77777777" w:rsidR="00050CF6" w:rsidRDefault="00050CF6" w:rsidP="00010B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3D62D8"/>
    <w:multiLevelType w:val="hybridMultilevel"/>
    <w:tmpl w:val="D69E1D5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5A331C00"/>
    <w:multiLevelType w:val="hybridMultilevel"/>
    <w:tmpl w:val="CBE48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ED5B58"/>
    <w:multiLevelType w:val="hybridMultilevel"/>
    <w:tmpl w:val="666E213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06961460">
    <w:abstractNumId w:val="1"/>
  </w:num>
  <w:num w:numId="2" w16cid:durableId="814109570">
    <w:abstractNumId w:val="2"/>
  </w:num>
  <w:num w:numId="3" w16cid:durableId="1964605159">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Thenral SG">
    <w15:presenceInfo w15:providerId="AD" w15:userId="S-1-5-21-3944666703-4254944860-1098944445-290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7635"/>
    <w:rsid w:val="0000124A"/>
    <w:rsid w:val="000019B2"/>
    <w:rsid w:val="00002373"/>
    <w:rsid w:val="00002829"/>
    <w:rsid w:val="000030E2"/>
    <w:rsid w:val="0000676F"/>
    <w:rsid w:val="000076D9"/>
    <w:rsid w:val="00010BCC"/>
    <w:rsid w:val="000167AA"/>
    <w:rsid w:val="00024D4C"/>
    <w:rsid w:val="00026576"/>
    <w:rsid w:val="000268F8"/>
    <w:rsid w:val="00027E0F"/>
    <w:rsid w:val="00031BA5"/>
    <w:rsid w:val="000321AE"/>
    <w:rsid w:val="00034019"/>
    <w:rsid w:val="0003614A"/>
    <w:rsid w:val="00036B82"/>
    <w:rsid w:val="00037F88"/>
    <w:rsid w:val="000417A0"/>
    <w:rsid w:val="000447E2"/>
    <w:rsid w:val="00050CF6"/>
    <w:rsid w:val="00052E6A"/>
    <w:rsid w:val="00055742"/>
    <w:rsid w:val="000559CC"/>
    <w:rsid w:val="00056A6D"/>
    <w:rsid w:val="00065735"/>
    <w:rsid w:val="000677DE"/>
    <w:rsid w:val="00067B7F"/>
    <w:rsid w:val="00074E4E"/>
    <w:rsid w:val="0007669C"/>
    <w:rsid w:val="00076C16"/>
    <w:rsid w:val="00085334"/>
    <w:rsid w:val="000934B9"/>
    <w:rsid w:val="000A121F"/>
    <w:rsid w:val="000A1DB2"/>
    <w:rsid w:val="000A4AF2"/>
    <w:rsid w:val="000A4BC8"/>
    <w:rsid w:val="000B13B4"/>
    <w:rsid w:val="000B3A3B"/>
    <w:rsid w:val="000B760A"/>
    <w:rsid w:val="000C4544"/>
    <w:rsid w:val="000D5317"/>
    <w:rsid w:val="000D534F"/>
    <w:rsid w:val="000D6876"/>
    <w:rsid w:val="000E01D3"/>
    <w:rsid w:val="000E2722"/>
    <w:rsid w:val="000E28B2"/>
    <w:rsid w:val="000E3035"/>
    <w:rsid w:val="000E34FF"/>
    <w:rsid w:val="000E50A0"/>
    <w:rsid w:val="000E5BED"/>
    <w:rsid w:val="000E6B8A"/>
    <w:rsid w:val="000E77B6"/>
    <w:rsid w:val="000F2B74"/>
    <w:rsid w:val="000F400F"/>
    <w:rsid w:val="000F495E"/>
    <w:rsid w:val="000F7757"/>
    <w:rsid w:val="001027C7"/>
    <w:rsid w:val="00102B3C"/>
    <w:rsid w:val="00107BA6"/>
    <w:rsid w:val="001100E3"/>
    <w:rsid w:val="0011074A"/>
    <w:rsid w:val="001110C1"/>
    <w:rsid w:val="001123AA"/>
    <w:rsid w:val="00112621"/>
    <w:rsid w:val="00117239"/>
    <w:rsid w:val="00117F17"/>
    <w:rsid w:val="00120821"/>
    <w:rsid w:val="001215C8"/>
    <w:rsid w:val="00121D3A"/>
    <w:rsid w:val="00123B23"/>
    <w:rsid w:val="00124D2A"/>
    <w:rsid w:val="0012733F"/>
    <w:rsid w:val="00127BFD"/>
    <w:rsid w:val="0013110C"/>
    <w:rsid w:val="00132E08"/>
    <w:rsid w:val="001340C7"/>
    <w:rsid w:val="0013413F"/>
    <w:rsid w:val="00134DD4"/>
    <w:rsid w:val="00136F1F"/>
    <w:rsid w:val="00143ED8"/>
    <w:rsid w:val="001440CA"/>
    <w:rsid w:val="00147343"/>
    <w:rsid w:val="00151878"/>
    <w:rsid w:val="001531A0"/>
    <w:rsid w:val="00153570"/>
    <w:rsid w:val="00157FE4"/>
    <w:rsid w:val="00161032"/>
    <w:rsid w:val="00165D31"/>
    <w:rsid w:val="001672D3"/>
    <w:rsid w:val="001702CE"/>
    <w:rsid w:val="001710FF"/>
    <w:rsid w:val="00176ED9"/>
    <w:rsid w:val="00177179"/>
    <w:rsid w:val="00177B07"/>
    <w:rsid w:val="0018033B"/>
    <w:rsid w:val="00180B85"/>
    <w:rsid w:val="00180E66"/>
    <w:rsid w:val="0018150A"/>
    <w:rsid w:val="001842B5"/>
    <w:rsid w:val="00187410"/>
    <w:rsid w:val="00191E93"/>
    <w:rsid w:val="0019388D"/>
    <w:rsid w:val="0019410F"/>
    <w:rsid w:val="0019526B"/>
    <w:rsid w:val="00196327"/>
    <w:rsid w:val="001A1C56"/>
    <w:rsid w:val="001A2DB2"/>
    <w:rsid w:val="001A543F"/>
    <w:rsid w:val="001A5883"/>
    <w:rsid w:val="001A72C1"/>
    <w:rsid w:val="001B2632"/>
    <w:rsid w:val="001B2CD8"/>
    <w:rsid w:val="001B3D49"/>
    <w:rsid w:val="001B3DFE"/>
    <w:rsid w:val="001B4499"/>
    <w:rsid w:val="001B4F18"/>
    <w:rsid w:val="001B72E0"/>
    <w:rsid w:val="001B7514"/>
    <w:rsid w:val="001C116E"/>
    <w:rsid w:val="001C7B37"/>
    <w:rsid w:val="001D248A"/>
    <w:rsid w:val="001D29B8"/>
    <w:rsid w:val="001D2F2E"/>
    <w:rsid w:val="001D3D2B"/>
    <w:rsid w:val="001D51D3"/>
    <w:rsid w:val="001E3630"/>
    <w:rsid w:val="001E4428"/>
    <w:rsid w:val="001E5B28"/>
    <w:rsid w:val="00204924"/>
    <w:rsid w:val="0021354B"/>
    <w:rsid w:val="002135B8"/>
    <w:rsid w:val="002138DA"/>
    <w:rsid w:val="0021634E"/>
    <w:rsid w:val="002170F8"/>
    <w:rsid w:val="00220B92"/>
    <w:rsid w:val="00221286"/>
    <w:rsid w:val="00221881"/>
    <w:rsid w:val="00222839"/>
    <w:rsid w:val="0022463A"/>
    <w:rsid w:val="00225A25"/>
    <w:rsid w:val="00227E42"/>
    <w:rsid w:val="002331D4"/>
    <w:rsid w:val="0023517B"/>
    <w:rsid w:val="00236AB8"/>
    <w:rsid w:val="00236E95"/>
    <w:rsid w:val="0024040D"/>
    <w:rsid w:val="002405BE"/>
    <w:rsid w:val="00243C3C"/>
    <w:rsid w:val="00243D32"/>
    <w:rsid w:val="002446DB"/>
    <w:rsid w:val="00250677"/>
    <w:rsid w:val="00251526"/>
    <w:rsid w:val="002563F8"/>
    <w:rsid w:val="002607B5"/>
    <w:rsid w:val="0026094F"/>
    <w:rsid w:val="00260EBB"/>
    <w:rsid w:val="00270C7E"/>
    <w:rsid w:val="0027479F"/>
    <w:rsid w:val="00281296"/>
    <w:rsid w:val="002838B9"/>
    <w:rsid w:val="00285916"/>
    <w:rsid w:val="00287180"/>
    <w:rsid w:val="00287F84"/>
    <w:rsid w:val="00291119"/>
    <w:rsid w:val="002915E9"/>
    <w:rsid w:val="00293150"/>
    <w:rsid w:val="002967B3"/>
    <w:rsid w:val="002A2F97"/>
    <w:rsid w:val="002B0027"/>
    <w:rsid w:val="002B3A5F"/>
    <w:rsid w:val="002B6A10"/>
    <w:rsid w:val="002B78AA"/>
    <w:rsid w:val="002C5DB4"/>
    <w:rsid w:val="002C7571"/>
    <w:rsid w:val="002C7926"/>
    <w:rsid w:val="002D2935"/>
    <w:rsid w:val="002D2CBB"/>
    <w:rsid w:val="002E180A"/>
    <w:rsid w:val="002E2D2C"/>
    <w:rsid w:val="002E4538"/>
    <w:rsid w:val="002F06EA"/>
    <w:rsid w:val="002F1CF9"/>
    <w:rsid w:val="002F2B6D"/>
    <w:rsid w:val="002F4754"/>
    <w:rsid w:val="002F4A5A"/>
    <w:rsid w:val="002F5E9E"/>
    <w:rsid w:val="0030170A"/>
    <w:rsid w:val="00302623"/>
    <w:rsid w:val="00304E7D"/>
    <w:rsid w:val="003063F6"/>
    <w:rsid w:val="00315663"/>
    <w:rsid w:val="003209D1"/>
    <w:rsid w:val="003213AC"/>
    <w:rsid w:val="0033093C"/>
    <w:rsid w:val="00330DAD"/>
    <w:rsid w:val="00330E63"/>
    <w:rsid w:val="003326AC"/>
    <w:rsid w:val="003356C5"/>
    <w:rsid w:val="003371DB"/>
    <w:rsid w:val="00337B9E"/>
    <w:rsid w:val="00337BCA"/>
    <w:rsid w:val="00337F9A"/>
    <w:rsid w:val="00340C6C"/>
    <w:rsid w:val="00346A8C"/>
    <w:rsid w:val="00356120"/>
    <w:rsid w:val="0035656E"/>
    <w:rsid w:val="0035756E"/>
    <w:rsid w:val="00357906"/>
    <w:rsid w:val="0035797B"/>
    <w:rsid w:val="0036141F"/>
    <w:rsid w:val="0036384E"/>
    <w:rsid w:val="00363E55"/>
    <w:rsid w:val="00367D6D"/>
    <w:rsid w:val="00371AED"/>
    <w:rsid w:val="00371C07"/>
    <w:rsid w:val="0037684A"/>
    <w:rsid w:val="00376B44"/>
    <w:rsid w:val="00380C04"/>
    <w:rsid w:val="00381FF3"/>
    <w:rsid w:val="003920C4"/>
    <w:rsid w:val="00392A2E"/>
    <w:rsid w:val="00392A35"/>
    <w:rsid w:val="00393976"/>
    <w:rsid w:val="003945F7"/>
    <w:rsid w:val="003946B9"/>
    <w:rsid w:val="00396B16"/>
    <w:rsid w:val="00397DE2"/>
    <w:rsid w:val="003A000F"/>
    <w:rsid w:val="003A23DB"/>
    <w:rsid w:val="003A53CA"/>
    <w:rsid w:val="003A5F74"/>
    <w:rsid w:val="003A70E2"/>
    <w:rsid w:val="003A7A85"/>
    <w:rsid w:val="003B09E6"/>
    <w:rsid w:val="003B3993"/>
    <w:rsid w:val="003B46EC"/>
    <w:rsid w:val="003B4958"/>
    <w:rsid w:val="003B61B3"/>
    <w:rsid w:val="003B7FC9"/>
    <w:rsid w:val="003C2BA4"/>
    <w:rsid w:val="003C6450"/>
    <w:rsid w:val="003C6F6A"/>
    <w:rsid w:val="003C7FDB"/>
    <w:rsid w:val="003D01F0"/>
    <w:rsid w:val="003D3BCF"/>
    <w:rsid w:val="003D436F"/>
    <w:rsid w:val="003D5407"/>
    <w:rsid w:val="003D5C67"/>
    <w:rsid w:val="003D6ACE"/>
    <w:rsid w:val="003E047A"/>
    <w:rsid w:val="003E10FD"/>
    <w:rsid w:val="003F3626"/>
    <w:rsid w:val="003F3DAF"/>
    <w:rsid w:val="003F4EDD"/>
    <w:rsid w:val="003F667B"/>
    <w:rsid w:val="004003B3"/>
    <w:rsid w:val="00400625"/>
    <w:rsid w:val="00402448"/>
    <w:rsid w:val="00405549"/>
    <w:rsid w:val="00406B36"/>
    <w:rsid w:val="00407C2C"/>
    <w:rsid w:val="00410B2F"/>
    <w:rsid w:val="0041308B"/>
    <w:rsid w:val="00413A72"/>
    <w:rsid w:val="004162F6"/>
    <w:rsid w:val="00416C31"/>
    <w:rsid w:val="00417854"/>
    <w:rsid w:val="0042101A"/>
    <w:rsid w:val="00423B9D"/>
    <w:rsid w:val="00423F1A"/>
    <w:rsid w:val="004325A1"/>
    <w:rsid w:val="00435751"/>
    <w:rsid w:val="0043619A"/>
    <w:rsid w:val="00437E6E"/>
    <w:rsid w:val="004410D7"/>
    <w:rsid w:val="004425E5"/>
    <w:rsid w:val="004434BD"/>
    <w:rsid w:val="00444C79"/>
    <w:rsid w:val="00446418"/>
    <w:rsid w:val="00446E13"/>
    <w:rsid w:val="00455044"/>
    <w:rsid w:val="00455B9B"/>
    <w:rsid w:val="00455E99"/>
    <w:rsid w:val="004574E4"/>
    <w:rsid w:val="0045750A"/>
    <w:rsid w:val="00461282"/>
    <w:rsid w:val="004718B2"/>
    <w:rsid w:val="0047449C"/>
    <w:rsid w:val="00477678"/>
    <w:rsid w:val="00477A46"/>
    <w:rsid w:val="00484029"/>
    <w:rsid w:val="00484E62"/>
    <w:rsid w:val="0048629C"/>
    <w:rsid w:val="00487BCC"/>
    <w:rsid w:val="00491EB1"/>
    <w:rsid w:val="00494897"/>
    <w:rsid w:val="004A0943"/>
    <w:rsid w:val="004A149A"/>
    <w:rsid w:val="004A1DE9"/>
    <w:rsid w:val="004A2E5A"/>
    <w:rsid w:val="004A3667"/>
    <w:rsid w:val="004A5463"/>
    <w:rsid w:val="004B05EC"/>
    <w:rsid w:val="004B18AA"/>
    <w:rsid w:val="004B5896"/>
    <w:rsid w:val="004C03F0"/>
    <w:rsid w:val="004C0847"/>
    <w:rsid w:val="004C2D08"/>
    <w:rsid w:val="004C3A51"/>
    <w:rsid w:val="004C3AC5"/>
    <w:rsid w:val="004C5443"/>
    <w:rsid w:val="004C5EB0"/>
    <w:rsid w:val="004C68A0"/>
    <w:rsid w:val="004D19E1"/>
    <w:rsid w:val="004D1CD3"/>
    <w:rsid w:val="004D46CC"/>
    <w:rsid w:val="004D4754"/>
    <w:rsid w:val="004E7B7E"/>
    <w:rsid w:val="004E7ECB"/>
    <w:rsid w:val="004F07D1"/>
    <w:rsid w:val="004F1BDF"/>
    <w:rsid w:val="004F26AB"/>
    <w:rsid w:val="004F2C81"/>
    <w:rsid w:val="004F6214"/>
    <w:rsid w:val="004F69A9"/>
    <w:rsid w:val="004F6E48"/>
    <w:rsid w:val="004F76DB"/>
    <w:rsid w:val="004F7F2A"/>
    <w:rsid w:val="00520904"/>
    <w:rsid w:val="00522E46"/>
    <w:rsid w:val="00522EEC"/>
    <w:rsid w:val="00523463"/>
    <w:rsid w:val="00523B0C"/>
    <w:rsid w:val="00524266"/>
    <w:rsid w:val="0053301D"/>
    <w:rsid w:val="0053328B"/>
    <w:rsid w:val="00543AB7"/>
    <w:rsid w:val="00544C6F"/>
    <w:rsid w:val="00544E2B"/>
    <w:rsid w:val="00546A68"/>
    <w:rsid w:val="005510AE"/>
    <w:rsid w:val="00552342"/>
    <w:rsid w:val="00552A76"/>
    <w:rsid w:val="005562A9"/>
    <w:rsid w:val="00556AF5"/>
    <w:rsid w:val="00556C36"/>
    <w:rsid w:val="005616CB"/>
    <w:rsid w:val="00564A2E"/>
    <w:rsid w:val="00565371"/>
    <w:rsid w:val="005673E2"/>
    <w:rsid w:val="0057291A"/>
    <w:rsid w:val="00572AFE"/>
    <w:rsid w:val="00575E02"/>
    <w:rsid w:val="00575F57"/>
    <w:rsid w:val="0057705D"/>
    <w:rsid w:val="005809BF"/>
    <w:rsid w:val="0058419D"/>
    <w:rsid w:val="0058540B"/>
    <w:rsid w:val="00586CFA"/>
    <w:rsid w:val="00586CFD"/>
    <w:rsid w:val="00587029"/>
    <w:rsid w:val="00587788"/>
    <w:rsid w:val="00587904"/>
    <w:rsid w:val="005879F3"/>
    <w:rsid w:val="00590FE9"/>
    <w:rsid w:val="00593B88"/>
    <w:rsid w:val="0059569A"/>
    <w:rsid w:val="00596E06"/>
    <w:rsid w:val="005A431B"/>
    <w:rsid w:val="005A5474"/>
    <w:rsid w:val="005A7418"/>
    <w:rsid w:val="005B0054"/>
    <w:rsid w:val="005B763C"/>
    <w:rsid w:val="005C1EB3"/>
    <w:rsid w:val="005D0E58"/>
    <w:rsid w:val="005D4742"/>
    <w:rsid w:val="005D54BE"/>
    <w:rsid w:val="005D6314"/>
    <w:rsid w:val="005E24A2"/>
    <w:rsid w:val="005E6D3B"/>
    <w:rsid w:val="005F2EC0"/>
    <w:rsid w:val="005F3D4E"/>
    <w:rsid w:val="005F78D3"/>
    <w:rsid w:val="00600DEE"/>
    <w:rsid w:val="006045A6"/>
    <w:rsid w:val="006045CA"/>
    <w:rsid w:val="00607455"/>
    <w:rsid w:val="00610B8A"/>
    <w:rsid w:val="006119CF"/>
    <w:rsid w:val="00612202"/>
    <w:rsid w:val="00614FFA"/>
    <w:rsid w:val="00615F91"/>
    <w:rsid w:val="00616932"/>
    <w:rsid w:val="00620018"/>
    <w:rsid w:val="006222B3"/>
    <w:rsid w:val="006251C7"/>
    <w:rsid w:val="006257E3"/>
    <w:rsid w:val="006264AC"/>
    <w:rsid w:val="00631D88"/>
    <w:rsid w:val="00633F2D"/>
    <w:rsid w:val="00642E14"/>
    <w:rsid w:val="00643A09"/>
    <w:rsid w:val="00645406"/>
    <w:rsid w:val="006454D7"/>
    <w:rsid w:val="0064580E"/>
    <w:rsid w:val="006503DD"/>
    <w:rsid w:val="006508F3"/>
    <w:rsid w:val="00650BA6"/>
    <w:rsid w:val="00653D88"/>
    <w:rsid w:val="00654669"/>
    <w:rsid w:val="006609BF"/>
    <w:rsid w:val="00660BD3"/>
    <w:rsid w:val="00665B9D"/>
    <w:rsid w:val="00665E6F"/>
    <w:rsid w:val="00670883"/>
    <w:rsid w:val="00671639"/>
    <w:rsid w:val="00671D53"/>
    <w:rsid w:val="00673CD6"/>
    <w:rsid w:val="00674D32"/>
    <w:rsid w:val="006838F9"/>
    <w:rsid w:val="00693EC7"/>
    <w:rsid w:val="006A1592"/>
    <w:rsid w:val="006A27D7"/>
    <w:rsid w:val="006A28E0"/>
    <w:rsid w:val="006A3EDB"/>
    <w:rsid w:val="006A5ED2"/>
    <w:rsid w:val="006A5EEA"/>
    <w:rsid w:val="006A6C68"/>
    <w:rsid w:val="006B0A43"/>
    <w:rsid w:val="006B1D7B"/>
    <w:rsid w:val="006B2F7A"/>
    <w:rsid w:val="006B42CC"/>
    <w:rsid w:val="006B53CA"/>
    <w:rsid w:val="006C102A"/>
    <w:rsid w:val="006C11DE"/>
    <w:rsid w:val="006C26E4"/>
    <w:rsid w:val="006D04C0"/>
    <w:rsid w:val="006D04C9"/>
    <w:rsid w:val="006D2D41"/>
    <w:rsid w:val="006D3068"/>
    <w:rsid w:val="006E1C6A"/>
    <w:rsid w:val="006E3302"/>
    <w:rsid w:val="006E3EF1"/>
    <w:rsid w:val="006E44E3"/>
    <w:rsid w:val="006E5210"/>
    <w:rsid w:val="006F39E7"/>
    <w:rsid w:val="006F4691"/>
    <w:rsid w:val="0070040B"/>
    <w:rsid w:val="007007E4"/>
    <w:rsid w:val="00702272"/>
    <w:rsid w:val="00702FA8"/>
    <w:rsid w:val="007031ED"/>
    <w:rsid w:val="00703D39"/>
    <w:rsid w:val="00705028"/>
    <w:rsid w:val="00710697"/>
    <w:rsid w:val="007146AE"/>
    <w:rsid w:val="00716330"/>
    <w:rsid w:val="00721426"/>
    <w:rsid w:val="00721D25"/>
    <w:rsid w:val="00721FC9"/>
    <w:rsid w:val="007233FD"/>
    <w:rsid w:val="0072644D"/>
    <w:rsid w:val="0073729A"/>
    <w:rsid w:val="00740212"/>
    <w:rsid w:val="007422B5"/>
    <w:rsid w:val="00743D04"/>
    <w:rsid w:val="007447C4"/>
    <w:rsid w:val="0074652D"/>
    <w:rsid w:val="00746E40"/>
    <w:rsid w:val="007471E7"/>
    <w:rsid w:val="007475C2"/>
    <w:rsid w:val="0075014E"/>
    <w:rsid w:val="00751EB3"/>
    <w:rsid w:val="00754DFD"/>
    <w:rsid w:val="00762572"/>
    <w:rsid w:val="007700C8"/>
    <w:rsid w:val="00772D1A"/>
    <w:rsid w:val="00776518"/>
    <w:rsid w:val="00781E0F"/>
    <w:rsid w:val="007851AE"/>
    <w:rsid w:val="0078646A"/>
    <w:rsid w:val="0078758E"/>
    <w:rsid w:val="00793392"/>
    <w:rsid w:val="0079379A"/>
    <w:rsid w:val="007976DE"/>
    <w:rsid w:val="007A6F92"/>
    <w:rsid w:val="007B2D9F"/>
    <w:rsid w:val="007B7352"/>
    <w:rsid w:val="007C25FC"/>
    <w:rsid w:val="007C34F5"/>
    <w:rsid w:val="007C61A6"/>
    <w:rsid w:val="007C74AC"/>
    <w:rsid w:val="007D0518"/>
    <w:rsid w:val="007D0787"/>
    <w:rsid w:val="007D2983"/>
    <w:rsid w:val="007D2ABE"/>
    <w:rsid w:val="007D2BC0"/>
    <w:rsid w:val="007D4344"/>
    <w:rsid w:val="007D64F9"/>
    <w:rsid w:val="007E1D4E"/>
    <w:rsid w:val="007E3A6A"/>
    <w:rsid w:val="007E5E7D"/>
    <w:rsid w:val="007F03A6"/>
    <w:rsid w:val="007F07CF"/>
    <w:rsid w:val="007F22FE"/>
    <w:rsid w:val="007F44E6"/>
    <w:rsid w:val="007F50AE"/>
    <w:rsid w:val="007F5620"/>
    <w:rsid w:val="007F5CF6"/>
    <w:rsid w:val="0080152E"/>
    <w:rsid w:val="008041A9"/>
    <w:rsid w:val="00804B05"/>
    <w:rsid w:val="008060F5"/>
    <w:rsid w:val="0080751C"/>
    <w:rsid w:val="00807EC4"/>
    <w:rsid w:val="00812643"/>
    <w:rsid w:val="00815D81"/>
    <w:rsid w:val="00815EED"/>
    <w:rsid w:val="008166BF"/>
    <w:rsid w:val="00816806"/>
    <w:rsid w:val="00816BB6"/>
    <w:rsid w:val="00817EA9"/>
    <w:rsid w:val="008211E1"/>
    <w:rsid w:val="00826B75"/>
    <w:rsid w:val="00826F88"/>
    <w:rsid w:val="0083080A"/>
    <w:rsid w:val="00831FA5"/>
    <w:rsid w:val="00834931"/>
    <w:rsid w:val="00834B58"/>
    <w:rsid w:val="008356F3"/>
    <w:rsid w:val="00836E4D"/>
    <w:rsid w:val="00840A16"/>
    <w:rsid w:val="00840C69"/>
    <w:rsid w:val="00841286"/>
    <w:rsid w:val="00843549"/>
    <w:rsid w:val="00847A54"/>
    <w:rsid w:val="00853569"/>
    <w:rsid w:val="00855EDF"/>
    <w:rsid w:val="00857F5A"/>
    <w:rsid w:val="008623F1"/>
    <w:rsid w:val="00863040"/>
    <w:rsid w:val="00863224"/>
    <w:rsid w:val="008656BA"/>
    <w:rsid w:val="0087101D"/>
    <w:rsid w:val="00871890"/>
    <w:rsid w:val="00873849"/>
    <w:rsid w:val="00874320"/>
    <w:rsid w:val="008767AF"/>
    <w:rsid w:val="008767D8"/>
    <w:rsid w:val="00876A22"/>
    <w:rsid w:val="00880110"/>
    <w:rsid w:val="00883A5C"/>
    <w:rsid w:val="00883B33"/>
    <w:rsid w:val="008849FA"/>
    <w:rsid w:val="00885962"/>
    <w:rsid w:val="00886BE8"/>
    <w:rsid w:val="00893C87"/>
    <w:rsid w:val="008960B1"/>
    <w:rsid w:val="008A4085"/>
    <w:rsid w:val="008A7808"/>
    <w:rsid w:val="008B6619"/>
    <w:rsid w:val="008B6625"/>
    <w:rsid w:val="008B7CA4"/>
    <w:rsid w:val="008C055B"/>
    <w:rsid w:val="008C08A9"/>
    <w:rsid w:val="008C2F1D"/>
    <w:rsid w:val="008C6F91"/>
    <w:rsid w:val="008D022A"/>
    <w:rsid w:val="008E03B8"/>
    <w:rsid w:val="008E2420"/>
    <w:rsid w:val="008E654C"/>
    <w:rsid w:val="008E6928"/>
    <w:rsid w:val="008F08E9"/>
    <w:rsid w:val="008F0CF9"/>
    <w:rsid w:val="008F271D"/>
    <w:rsid w:val="008F3221"/>
    <w:rsid w:val="008F32E4"/>
    <w:rsid w:val="008F4A89"/>
    <w:rsid w:val="008F69E8"/>
    <w:rsid w:val="008F742C"/>
    <w:rsid w:val="008F759B"/>
    <w:rsid w:val="00900E56"/>
    <w:rsid w:val="00901B16"/>
    <w:rsid w:val="00902E6C"/>
    <w:rsid w:val="00903BC6"/>
    <w:rsid w:val="00905D68"/>
    <w:rsid w:val="00910AB8"/>
    <w:rsid w:val="0091150A"/>
    <w:rsid w:val="00911CB9"/>
    <w:rsid w:val="009133D2"/>
    <w:rsid w:val="00913B4B"/>
    <w:rsid w:val="00914259"/>
    <w:rsid w:val="00915A28"/>
    <w:rsid w:val="009175A9"/>
    <w:rsid w:val="009177CC"/>
    <w:rsid w:val="0092436F"/>
    <w:rsid w:val="009248DC"/>
    <w:rsid w:val="00925AD3"/>
    <w:rsid w:val="0092726F"/>
    <w:rsid w:val="009275EF"/>
    <w:rsid w:val="00930005"/>
    <w:rsid w:val="00930F3D"/>
    <w:rsid w:val="009313D6"/>
    <w:rsid w:val="00932D0B"/>
    <w:rsid w:val="009341CD"/>
    <w:rsid w:val="00934F79"/>
    <w:rsid w:val="009360DB"/>
    <w:rsid w:val="009424EE"/>
    <w:rsid w:val="00943184"/>
    <w:rsid w:val="0094521D"/>
    <w:rsid w:val="00946040"/>
    <w:rsid w:val="00947AAE"/>
    <w:rsid w:val="009509C0"/>
    <w:rsid w:val="00952649"/>
    <w:rsid w:val="009606B3"/>
    <w:rsid w:val="009626F1"/>
    <w:rsid w:val="0096426F"/>
    <w:rsid w:val="009642FC"/>
    <w:rsid w:val="009670E4"/>
    <w:rsid w:val="00967283"/>
    <w:rsid w:val="009704E7"/>
    <w:rsid w:val="00972563"/>
    <w:rsid w:val="00976794"/>
    <w:rsid w:val="00976C3D"/>
    <w:rsid w:val="00981439"/>
    <w:rsid w:val="00982709"/>
    <w:rsid w:val="00984DF9"/>
    <w:rsid w:val="00992009"/>
    <w:rsid w:val="00992C04"/>
    <w:rsid w:val="009932B0"/>
    <w:rsid w:val="009A1AB5"/>
    <w:rsid w:val="009A1AB8"/>
    <w:rsid w:val="009A1C1E"/>
    <w:rsid w:val="009A2A15"/>
    <w:rsid w:val="009A40B1"/>
    <w:rsid w:val="009B2062"/>
    <w:rsid w:val="009C21E1"/>
    <w:rsid w:val="009D01CC"/>
    <w:rsid w:val="009D2694"/>
    <w:rsid w:val="009D7C51"/>
    <w:rsid w:val="009E240F"/>
    <w:rsid w:val="009E440A"/>
    <w:rsid w:val="009F0424"/>
    <w:rsid w:val="009F0821"/>
    <w:rsid w:val="009F1FCA"/>
    <w:rsid w:val="009F274A"/>
    <w:rsid w:val="009F7557"/>
    <w:rsid w:val="00A010CA"/>
    <w:rsid w:val="00A01DFF"/>
    <w:rsid w:val="00A06865"/>
    <w:rsid w:val="00A07401"/>
    <w:rsid w:val="00A07D2E"/>
    <w:rsid w:val="00A13851"/>
    <w:rsid w:val="00A140FD"/>
    <w:rsid w:val="00A1498C"/>
    <w:rsid w:val="00A17E44"/>
    <w:rsid w:val="00A2135D"/>
    <w:rsid w:val="00A22851"/>
    <w:rsid w:val="00A2392B"/>
    <w:rsid w:val="00A23B27"/>
    <w:rsid w:val="00A242AB"/>
    <w:rsid w:val="00A243C9"/>
    <w:rsid w:val="00A312D1"/>
    <w:rsid w:val="00A37752"/>
    <w:rsid w:val="00A37AB7"/>
    <w:rsid w:val="00A434D2"/>
    <w:rsid w:val="00A5144A"/>
    <w:rsid w:val="00A52ADA"/>
    <w:rsid w:val="00A53D35"/>
    <w:rsid w:val="00A53D5E"/>
    <w:rsid w:val="00A61EDC"/>
    <w:rsid w:val="00A65556"/>
    <w:rsid w:val="00A67FBF"/>
    <w:rsid w:val="00A708C7"/>
    <w:rsid w:val="00A70BB3"/>
    <w:rsid w:val="00A71CF2"/>
    <w:rsid w:val="00A72374"/>
    <w:rsid w:val="00A82CEE"/>
    <w:rsid w:val="00A83BEA"/>
    <w:rsid w:val="00A8442F"/>
    <w:rsid w:val="00A84ABE"/>
    <w:rsid w:val="00A85C23"/>
    <w:rsid w:val="00AA0B99"/>
    <w:rsid w:val="00AA21F6"/>
    <w:rsid w:val="00AA2D07"/>
    <w:rsid w:val="00AA3671"/>
    <w:rsid w:val="00AB03BB"/>
    <w:rsid w:val="00AB0A86"/>
    <w:rsid w:val="00AB1F37"/>
    <w:rsid w:val="00AB5C66"/>
    <w:rsid w:val="00AB6E9A"/>
    <w:rsid w:val="00AB742E"/>
    <w:rsid w:val="00AC379E"/>
    <w:rsid w:val="00AC5925"/>
    <w:rsid w:val="00AC776E"/>
    <w:rsid w:val="00AD3512"/>
    <w:rsid w:val="00AD3C57"/>
    <w:rsid w:val="00AD48D4"/>
    <w:rsid w:val="00AD62CA"/>
    <w:rsid w:val="00AD631B"/>
    <w:rsid w:val="00AD6B6D"/>
    <w:rsid w:val="00AD7F38"/>
    <w:rsid w:val="00AE041D"/>
    <w:rsid w:val="00AE1183"/>
    <w:rsid w:val="00AE4D6E"/>
    <w:rsid w:val="00AE6CB4"/>
    <w:rsid w:val="00AE76C8"/>
    <w:rsid w:val="00AF16BB"/>
    <w:rsid w:val="00AF20F0"/>
    <w:rsid w:val="00AF277D"/>
    <w:rsid w:val="00AF4944"/>
    <w:rsid w:val="00AF596B"/>
    <w:rsid w:val="00B01DD7"/>
    <w:rsid w:val="00B04C2A"/>
    <w:rsid w:val="00B06747"/>
    <w:rsid w:val="00B11C96"/>
    <w:rsid w:val="00B11F25"/>
    <w:rsid w:val="00B13BC2"/>
    <w:rsid w:val="00B160AD"/>
    <w:rsid w:val="00B16ADE"/>
    <w:rsid w:val="00B21826"/>
    <w:rsid w:val="00B247B1"/>
    <w:rsid w:val="00B25346"/>
    <w:rsid w:val="00B26D12"/>
    <w:rsid w:val="00B27259"/>
    <w:rsid w:val="00B301DE"/>
    <w:rsid w:val="00B3503C"/>
    <w:rsid w:val="00B4174D"/>
    <w:rsid w:val="00B45D4C"/>
    <w:rsid w:val="00B468D2"/>
    <w:rsid w:val="00B4794F"/>
    <w:rsid w:val="00B51CC6"/>
    <w:rsid w:val="00B51F6B"/>
    <w:rsid w:val="00B54B82"/>
    <w:rsid w:val="00B55EBD"/>
    <w:rsid w:val="00B577F6"/>
    <w:rsid w:val="00B631FA"/>
    <w:rsid w:val="00B634AB"/>
    <w:rsid w:val="00B66BE2"/>
    <w:rsid w:val="00B73402"/>
    <w:rsid w:val="00B76054"/>
    <w:rsid w:val="00B80AA2"/>
    <w:rsid w:val="00B852B8"/>
    <w:rsid w:val="00B87C13"/>
    <w:rsid w:val="00B902ED"/>
    <w:rsid w:val="00B90E40"/>
    <w:rsid w:val="00B91943"/>
    <w:rsid w:val="00B92255"/>
    <w:rsid w:val="00B9677C"/>
    <w:rsid w:val="00BA0B3C"/>
    <w:rsid w:val="00BA7737"/>
    <w:rsid w:val="00BB2519"/>
    <w:rsid w:val="00BB2D99"/>
    <w:rsid w:val="00BB4C57"/>
    <w:rsid w:val="00BC0BEB"/>
    <w:rsid w:val="00BC1AA4"/>
    <w:rsid w:val="00BC2244"/>
    <w:rsid w:val="00BC28E7"/>
    <w:rsid w:val="00BC5440"/>
    <w:rsid w:val="00BC6985"/>
    <w:rsid w:val="00BD2F3D"/>
    <w:rsid w:val="00BD40E1"/>
    <w:rsid w:val="00BD4559"/>
    <w:rsid w:val="00BD4D45"/>
    <w:rsid w:val="00BD67DD"/>
    <w:rsid w:val="00BE19A0"/>
    <w:rsid w:val="00BE3ADA"/>
    <w:rsid w:val="00BE4EFF"/>
    <w:rsid w:val="00BE68BE"/>
    <w:rsid w:val="00BE6D98"/>
    <w:rsid w:val="00BE7E07"/>
    <w:rsid w:val="00BF105D"/>
    <w:rsid w:val="00BF267C"/>
    <w:rsid w:val="00C02488"/>
    <w:rsid w:val="00C0627B"/>
    <w:rsid w:val="00C072F4"/>
    <w:rsid w:val="00C11931"/>
    <w:rsid w:val="00C1208A"/>
    <w:rsid w:val="00C13D19"/>
    <w:rsid w:val="00C144C0"/>
    <w:rsid w:val="00C1498F"/>
    <w:rsid w:val="00C159AF"/>
    <w:rsid w:val="00C20425"/>
    <w:rsid w:val="00C23851"/>
    <w:rsid w:val="00C24851"/>
    <w:rsid w:val="00C26575"/>
    <w:rsid w:val="00C27751"/>
    <w:rsid w:val="00C30826"/>
    <w:rsid w:val="00C31EE7"/>
    <w:rsid w:val="00C33F1B"/>
    <w:rsid w:val="00C34C8F"/>
    <w:rsid w:val="00C36389"/>
    <w:rsid w:val="00C3662E"/>
    <w:rsid w:val="00C367A8"/>
    <w:rsid w:val="00C37F06"/>
    <w:rsid w:val="00C40F2C"/>
    <w:rsid w:val="00C452F7"/>
    <w:rsid w:val="00C51360"/>
    <w:rsid w:val="00C5473B"/>
    <w:rsid w:val="00C5530A"/>
    <w:rsid w:val="00C5759E"/>
    <w:rsid w:val="00C576B4"/>
    <w:rsid w:val="00C57CB0"/>
    <w:rsid w:val="00C62268"/>
    <w:rsid w:val="00C634E1"/>
    <w:rsid w:val="00C65904"/>
    <w:rsid w:val="00C659A1"/>
    <w:rsid w:val="00C726AA"/>
    <w:rsid w:val="00C73F12"/>
    <w:rsid w:val="00C80E64"/>
    <w:rsid w:val="00C81BB1"/>
    <w:rsid w:val="00C81F73"/>
    <w:rsid w:val="00C82358"/>
    <w:rsid w:val="00C90841"/>
    <w:rsid w:val="00C90E06"/>
    <w:rsid w:val="00C9454E"/>
    <w:rsid w:val="00C95D78"/>
    <w:rsid w:val="00CA6DE4"/>
    <w:rsid w:val="00CB1D69"/>
    <w:rsid w:val="00CB1F74"/>
    <w:rsid w:val="00CB3807"/>
    <w:rsid w:val="00CB5C2F"/>
    <w:rsid w:val="00CC3ABC"/>
    <w:rsid w:val="00CC4237"/>
    <w:rsid w:val="00CD1A20"/>
    <w:rsid w:val="00CD1E57"/>
    <w:rsid w:val="00CD3DF9"/>
    <w:rsid w:val="00CD6352"/>
    <w:rsid w:val="00CD76EC"/>
    <w:rsid w:val="00CE2CF9"/>
    <w:rsid w:val="00CE3F01"/>
    <w:rsid w:val="00CE43DF"/>
    <w:rsid w:val="00CE662C"/>
    <w:rsid w:val="00CF2641"/>
    <w:rsid w:val="00CF4388"/>
    <w:rsid w:val="00CF56D0"/>
    <w:rsid w:val="00D02296"/>
    <w:rsid w:val="00D03402"/>
    <w:rsid w:val="00D11208"/>
    <w:rsid w:val="00D127FA"/>
    <w:rsid w:val="00D143B2"/>
    <w:rsid w:val="00D2332B"/>
    <w:rsid w:val="00D23579"/>
    <w:rsid w:val="00D24699"/>
    <w:rsid w:val="00D3518C"/>
    <w:rsid w:val="00D35356"/>
    <w:rsid w:val="00D3745E"/>
    <w:rsid w:val="00D40846"/>
    <w:rsid w:val="00D40C8D"/>
    <w:rsid w:val="00D42893"/>
    <w:rsid w:val="00D45E09"/>
    <w:rsid w:val="00D46BCE"/>
    <w:rsid w:val="00D51315"/>
    <w:rsid w:val="00D5244F"/>
    <w:rsid w:val="00D56D4A"/>
    <w:rsid w:val="00D62B40"/>
    <w:rsid w:val="00D65484"/>
    <w:rsid w:val="00D74FBC"/>
    <w:rsid w:val="00D758D6"/>
    <w:rsid w:val="00D82D16"/>
    <w:rsid w:val="00D9017B"/>
    <w:rsid w:val="00D91B96"/>
    <w:rsid w:val="00D93613"/>
    <w:rsid w:val="00D95C07"/>
    <w:rsid w:val="00DA224A"/>
    <w:rsid w:val="00DA545C"/>
    <w:rsid w:val="00DA55BB"/>
    <w:rsid w:val="00DA7358"/>
    <w:rsid w:val="00DB4533"/>
    <w:rsid w:val="00DB45DF"/>
    <w:rsid w:val="00DB4C66"/>
    <w:rsid w:val="00DC3F39"/>
    <w:rsid w:val="00DC4BF9"/>
    <w:rsid w:val="00DC54EE"/>
    <w:rsid w:val="00DC5AAD"/>
    <w:rsid w:val="00DC749D"/>
    <w:rsid w:val="00DD2227"/>
    <w:rsid w:val="00DD2746"/>
    <w:rsid w:val="00DD28F0"/>
    <w:rsid w:val="00DD3994"/>
    <w:rsid w:val="00DD7512"/>
    <w:rsid w:val="00DD776E"/>
    <w:rsid w:val="00DE13A6"/>
    <w:rsid w:val="00DE343F"/>
    <w:rsid w:val="00DE4B82"/>
    <w:rsid w:val="00DE6FBC"/>
    <w:rsid w:val="00DE7635"/>
    <w:rsid w:val="00DF1D28"/>
    <w:rsid w:val="00DF705D"/>
    <w:rsid w:val="00DF7494"/>
    <w:rsid w:val="00DF7A7D"/>
    <w:rsid w:val="00E04901"/>
    <w:rsid w:val="00E05A81"/>
    <w:rsid w:val="00E06589"/>
    <w:rsid w:val="00E130B6"/>
    <w:rsid w:val="00E139D1"/>
    <w:rsid w:val="00E143B8"/>
    <w:rsid w:val="00E157A1"/>
    <w:rsid w:val="00E15936"/>
    <w:rsid w:val="00E17A71"/>
    <w:rsid w:val="00E20A03"/>
    <w:rsid w:val="00E22198"/>
    <w:rsid w:val="00E25965"/>
    <w:rsid w:val="00E2665E"/>
    <w:rsid w:val="00E269CA"/>
    <w:rsid w:val="00E32B35"/>
    <w:rsid w:val="00E335A3"/>
    <w:rsid w:val="00E34AFE"/>
    <w:rsid w:val="00E42D34"/>
    <w:rsid w:val="00E44E21"/>
    <w:rsid w:val="00E45749"/>
    <w:rsid w:val="00E4659B"/>
    <w:rsid w:val="00E47D95"/>
    <w:rsid w:val="00E5158B"/>
    <w:rsid w:val="00E52072"/>
    <w:rsid w:val="00E52919"/>
    <w:rsid w:val="00E54668"/>
    <w:rsid w:val="00E55628"/>
    <w:rsid w:val="00E56165"/>
    <w:rsid w:val="00E61944"/>
    <w:rsid w:val="00E61BC4"/>
    <w:rsid w:val="00E71176"/>
    <w:rsid w:val="00E714D7"/>
    <w:rsid w:val="00E74F30"/>
    <w:rsid w:val="00E75C72"/>
    <w:rsid w:val="00E76CC1"/>
    <w:rsid w:val="00E77F74"/>
    <w:rsid w:val="00E80499"/>
    <w:rsid w:val="00E81405"/>
    <w:rsid w:val="00E820E8"/>
    <w:rsid w:val="00E8235F"/>
    <w:rsid w:val="00E85744"/>
    <w:rsid w:val="00E8689E"/>
    <w:rsid w:val="00E935F4"/>
    <w:rsid w:val="00E9424D"/>
    <w:rsid w:val="00E96771"/>
    <w:rsid w:val="00EA0A45"/>
    <w:rsid w:val="00EA0ED2"/>
    <w:rsid w:val="00EA1944"/>
    <w:rsid w:val="00EA20D6"/>
    <w:rsid w:val="00EA2C9D"/>
    <w:rsid w:val="00EB1B43"/>
    <w:rsid w:val="00EB4230"/>
    <w:rsid w:val="00EB4E05"/>
    <w:rsid w:val="00EB722E"/>
    <w:rsid w:val="00EB75C9"/>
    <w:rsid w:val="00EC1B74"/>
    <w:rsid w:val="00EC5CE5"/>
    <w:rsid w:val="00ED0686"/>
    <w:rsid w:val="00ED109B"/>
    <w:rsid w:val="00ED3496"/>
    <w:rsid w:val="00ED470D"/>
    <w:rsid w:val="00ED63DE"/>
    <w:rsid w:val="00ED6F0B"/>
    <w:rsid w:val="00ED73D3"/>
    <w:rsid w:val="00EE2AD5"/>
    <w:rsid w:val="00EE338E"/>
    <w:rsid w:val="00EE6249"/>
    <w:rsid w:val="00EF0E9B"/>
    <w:rsid w:val="00EF2356"/>
    <w:rsid w:val="00EF24D2"/>
    <w:rsid w:val="00EF4114"/>
    <w:rsid w:val="00EF4C46"/>
    <w:rsid w:val="00EF4E21"/>
    <w:rsid w:val="00EF5198"/>
    <w:rsid w:val="00EF62A2"/>
    <w:rsid w:val="00EF7D52"/>
    <w:rsid w:val="00F02246"/>
    <w:rsid w:val="00F034DC"/>
    <w:rsid w:val="00F03EE6"/>
    <w:rsid w:val="00F05129"/>
    <w:rsid w:val="00F06858"/>
    <w:rsid w:val="00F132DE"/>
    <w:rsid w:val="00F14020"/>
    <w:rsid w:val="00F15BF5"/>
    <w:rsid w:val="00F22427"/>
    <w:rsid w:val="00F26340"/>
    <w:rsid w:val="00F27883"/>
    <w:rsid w:val="00F34087"/>
    <w:rsid w:val="00F421FF"/>
    <w:rsid w:val="00F44EC6"/>
    <w:rsid w:val="00F44FAE"/>
    <w:rsid w:val="00F46BB4"/>
    <w:rsid w:val="00F47BF9"/>
    <w:rsid w:val="00F50ED0"/>
    <w:rsid w:val="00F50F48"/>
    <w:rsid w:val="00F517DC"/>
    <w:rsid w:val="00F55744"/>
    <w:rsid w:val="00F56F8A"/>
    <w:rsid w:val="00F57BE7"/>
    <w:rsid w:val="00F57E1E"/>
    <w:rsid w:val="00F60779"/>
    <w:rsid w:val="00F60D2D"/>
    <w:rsid w:val="00F6170D"/>
    <w:rsid w:val="00F63F0C"/>
    <w:rsid w:val="00F655DA"/>
    <w:rsid w:val="00F6565B"/>
    <w:rsid w:val="00F65A3B"/>
    <w:rsid w:val="00F662E3"/>
    <w:rsid w:val="00F67ED8"/>
    <w:rsid w:val="00F70234"/>
    <w:rsid w:val="00F83E6F"/>
    <w:rsid w:val="00F9497E"/>
    <w:rsid w:val="00F9503C"/>
    <w:rsid w:val="00FA592D"/>
    <w:rsid w:val="00FA5A81"/>
    <w:rsid w:val="00FB1C86"/>
    <w:rsid w:val="00FB4677"/>
    <w:rsid w:val="00FE0B93"/>
    <w:rsid w:val="00FE27CA"/>
    <w:rsid w:val="00FE72CE"/>
    <w:rsid w:val="00FF0F4D"/>
    <w:rsid w:val="00FF2A2D"/>
    <w:rsid w:val="00FF2E84"/>
    <w:rsid w:val="00FF3D10"/>
    <w:rsid w:val="00FF3FE4"/>
    <w:rsid w:val="00FF4F94"/>
    <w:rsid w:val="00FF599D"/>
    <w:rsid w:val="00FF6229"/>
    <w:rsid w:val="00FF7250"/>
    <w:rsid w:val="00FF7498"/>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27B92"/>
  <w15:chartTrackingRefBased/>
  <w15:docId w15:val="{1A34BD24-6A83-45AE-A933-FA12FEA57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2BC0"/>
    <w:pPr>
      <w:spacing w:after="0" w:line="240" w:lineRule="auto"/>
    </w:pPr>
    <w:rPr>
      <w:rFonts w:ascii="Times New Roman" w:eastAsia="Times New Roman" w:hAnsi="Times New Roman" w:cs="Times New Roman"/>
      <w:sz w:val="24"/>
      <w:szCs w:val="24"/>
      <w:lang w:val="en-IN" w:eastAsia="en-GB"/>
    </w:rPr>
  </w:style>
  <w:style w:type="paragraph" w:styleId="Heading3">
    <w:name w:val="heading 3"/>
    <w:basedOn w:val="Normal"/>
    <w:link w:val="Heading3Char"/>
    <w:uiPriority w:val="9"/>
    <w:qFormat/>
    <w:rsid w:val="00F83E6F"/>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E76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Table1Light">
    <w:name w:val="List Table 1 Light"/>
    <w:basedOn w:val="TableNormal"/>
    <w:uiPriority w:val="46"/>
    <w:rsid w:val="003F4EDD"/>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CommentReference">
    <w:name w:val="annotation reference"/>
    <w:basedOn w:val="DefaultParagraphFont"/>
    <w:uiPriority w:val="99"/>
    <w:semiHidden/>
    <w:unhideWhenUsed/>
    <w:rsid w:val="005879F3"/>
    <w:rPr>
      <w:sz w:val="16"/>
      <w:szCs w:val="16"/>
    </w:rPr>
  </w:style>
  <w:style w:type="paragraph" w:styleId="CommentText">
    <w:name w:val="annotation text"/>
    <w:basedOn w:val="Normal"/>
    <w:link w:val="CommentTextChar"/>
    <w:uiPriority w:val="99"/>
    <w:semiHidden/>
    <w:unhideWhenUsed/>
    <w:rsid w:val="005879F3"/>
    <w:pPr>
      <w:spacing w:after="160"/>
    </w:pPr>
    <w:rPr>
      <w:rFonts w:asciiTheme="minorHAnsi" w:eastAsiaTheme="minorHAnsi" w:hAnsiTheme="minorHAnsi" w:cstheme="minorBidi"/>
      <w:sz w:val="20"/>
      <w:szCs w:val="20"/>
      <w:lang w:val="en-US" w:eastAsia="en-US"/>
    </w:rPr>
  </w:style>
  <w:style w:type="character" w:customStyle="1" w:styleId="CommentTextChar">
    <w:name w:val="Comment Text Char"/>
    <w:basedOn w:val="DefaultParagraphFont"/>
    <w:link w:val="CommentText"/>
    <w:uiPriority w:val="99"/>
    <w:semiHidden/>
    <w:rsid w:val="005879F3"/>
    <w:rPr>
      <w:sz w:val="20"/>
      <w:szCs w:val="20"/>
    </w:rPr>
  </w:style>
  <w:style w:type="paragraph" w:styleId="CommentSubject">
    <w:name w:val="annotation subject"/>
    <w:basedOn w:val="CommentText"/>
    <w:next w:val="CommentText"/>
    <w:link w:val="CommentSubjectChar"/>
    <w:uiPriority w:val="99"/>
    <w:semiHidden/>
    <w:unhideWhenUsed/>
    <w:rsid w:val="005879F3"/>
    <w:rPr>
      <w:b/>
      <w:bCs/>
    </w:rPr>
  </w:style>
  <w:style w:type="character" w:customStyle="1" w:styleId="CommentSubjectChar">
    <w:name w:val="Comment Subject Char"/>
    <w:basedOn w:val="CommentTextChar"/>
    <w:link w:val="CommentSubject"/>
    <w:uiPriority w:val="99"/>
    <w:semiHidden/>
    <w:rsid w:val="005879F3"/>
    <w:rPr>
      <w:b/>
      <w:bCs/>
      <w:sz w:val="20"/>
      <w:szCs w:val="20"/>
    </w:rPr>
  </w:style>
  <w:style w:type="paragraph" w:styleId="BalloonText">
    <w:name w:val="Balloon Text"/>
    <w:basedOn w:val="Normal"/>
    <w:link w:val="BalloonTextChar"/>
    <w:uiPriority w:val="99"/>
    <w:semiHidden/>
    <w:unhideWhenUsed/>
    <w:rsid w:val="005879F3"/>
    <w:rPr>
      <w:sz w:val="18"/>
      <w:szCs w:val="18"/>
    </w:rPr>
  </w:style>
  <w:style w:type="character" w:customStyle="1" w:styleId="BalloonTextChar">
    <w:name w:val="Balloon Text Char"/>
    <w:basedOn w:val="DefaultParagraphFont"/>
    <w:link w:val="BalloonText"/>
    <w:uiPriority w:val="99"/>
    <w:semiHidden/>
    <w:rsid w:val="005879F3"/>
    <w:rPr>
      <w:rFonts w:ascii="Times New Roman" w:hAnsi="Times New Roman" w:cs="Times New Roman"/>
      <w:sz w:val="18"/>
      <w:szCs w:val="18"/>
    </w:rPr>
  </w:style>
  <w:style w:type="paragraph" w:styleId="ListParagraph">
    <w:name w:val="List Paragraph"/>
    <w:basedOn w:val="Normal"/>
    <w:uiPriority w:val="99"/>
    <w:qFormat/>
    <w:rsid w:val="00D91B96"/>
    <w:pPr>
      <w:spacing w:after="160" w:line="259" w:lineRule="auto"/>
      <w:ind w:left="720"/>
      <w:contextualSpacing/>
    </w:pPr>
    <w:rPr>
      <w:rFonts w:asciiTheme="minorHAnsi" w:eastAsiaTheme="minorHAnsi" w:hAnsiTheme="minorHAnsi" w:cstheme="minorBidi"/>
      <w:sz w:val="22"/>
      <w:szCs w:val="22"/>
      <w:lang w:val="en-US" w:eastAsia="en-US"/>
    </w:rPr>
  </w:style>
  <w:style w:type="paragraph" w:styleId="Header">
    <w:name w:val="header"/>
    <w:basedOn w:val="Normal"/>
    <w:link w:val="HeaderChar"/>
    <w:uiPriority w:val="99"/>
    <w:unhideWhenUsed/>
    <w:rsid w:val="00010BCC"/>
    <w:pPr>
      <w:tabs>
        <w:tab w:val="center" w:pos="4680"/>
        <w:tab w:val="right" w:pos="9360"/>
      </w:tabs>
    </w:pPr>
    <w:rPr>
      <w:rFonts w:asciiTheme="minorHAnsi" w:eastAsiaTheme="minorHAnsi" w:hAnsiTheme="minorHAnsi" w:cstheme="minorBidi"/>
      <w:sz w:val="22"/>
      <w:szCs w:val="22"/>
      <w:lang w:val="en-US" w:eastAsia="en-US"/>
    </w:rPr>
  </w:style>
  <w:style w:type="character" w:customStyle="1" w:styleId="HeaderChar">
    <w:name w:val="Header Char"/>
    <w:basedOn w:val="DefaultParagraphFont"/>
    <w:link w:val="Header"/>
    <w:uiPriority w:val="99"/>
    <w:rsid w:val="00010BCC"/>
  </w:style>
  <w:style w:type="paragraph" w:styleId="Footer">
    <w:name w:val="footer"/>
    <w:basedOn w:val="Normal"/>
    <w:link w:val="FooterChar"/>
    <w:uiPriority w:val="99"/>
    <w:unhideWhenUsed/>
    <w:rsid w:val="00010BCC"/>
    <w:pPr>
      <w:tabs>
        <w:tab w:val="center" w:pos="4680"/>
        <w:tab w:val="right" w:pos="9360"/>
      </w:tabs>
    </w:pPr>
    <w:rPr>
      <w:rFonts w:asciiTheme="minorHAnsi" w:eastAsiaTheme="minorHAnsi" w:hAnsiTheme="minorHAnsi" w:cstheme="minorBidi"/>
      <w:sz w:val="22"/>
      <w:szCs w:val="22"/>
      <w:lang w:val="en-US" w:eastAsia="en-US"/>
    </w:rPr>
  </w:style>
  <w:style w:type="character" w:customStyle="1" w:styleId="FooterChar">
    <w:name w:val="Footer Char"/>
    <w:basedOn w:val="DefaultParagraphFont"/>
    <w:link w:val="Footer"/>
    <w:uiPriority w:val="99"/>
    <w:rsid w:val="00010BCC"/>
  </w:style>
  <w:style w:type="character" w:customStyle="1" w:styleId="Heading3Char">
    <w:name w:val="Heading 3 Char"/>
    <w:basedOn w:val="DefaultParagraphFont"/>
    <w:link w:val="Heading3"/>
    <w:uiPriority w:val="9"/>
    <w:rsid w:val="00F83E6F"/>
    <w:rPr>
      <w:rFonts w:ascii="Times New Roman" w:eastAsia="Times New Roman" w:hAnsi="Times New Roman" w:cs="Times New Roman"/>
      <w:b/>
      <w:bCs/>
      <w:sz w:val="27"/>
      <w:szCs w:val="27"/>
      <w:lang w:val="en-IN" w:eastAsia="en-GB"/>
    </w:rPr>
  </w:style>
  <w:style w:type="paragraph" w:styleId="NormalWeb">
    <w:name w:val="Normal (Web)"/>
    <w:basedOn w:val="Normal"/>
    <w:uiPriority w:val="99"/>
    <w:unhideWhenUsed/>
    <w:rsid w:val="00F83E6F"/>
    <w:pPr>
      <w:spacing w:before="100" w:beforeAutospacing="1" w:after="100" w:afterAutospacing="1"/>
    </w:pPr>
  </w:style>
  <w:style w:type="character" w:customStyle="1" w:styleId="ref-journal">
    <w:name w:val="ref-journal"/>
    <w:basedOn w:val="DefaultParagraphFont"/>
    <w:rsid w:val="00F83E6F"/>
  </w:style>
  <w:style w:type="character" w:customStyle="1" w:styleId="ref-vol">
    <w:name w:val="ref-vol"/>
    <w:basedOn w:val="DefaultParagraphFont"/>
    <w:rsid w:val="00F83E6F"/>
  </w:style>
  <w:style w:type="paragraph" w:customStyle="1" w:styleId="skip-numbering">
    <w:name w:val="skip-numbering"/>
    <w:basedOn w:val="Normal"/>
    <w:rsid w:val="00F83E6F"/>
    <w:pPr>
      <w:spacing w:before="100" w:beforeAutospacing="1" w:after="100" w:afterAutospacing="1"/>
    </w:pPr>
  </w:style>
  <w:style w:type="paragraph" w:customStyle="1" w:styleId="Default">
    <w:name w:val="Default"/>
    <w:rsid w:val="003A70E2"/>
    <w:pPr>
      <w:autoSpaceDE w:val="0"/>
      <w:autoSpaceDN w:val="0"/>
      <w:adjustRightInd w:val="0"/>
      <w:spacing w:after="0" w:line="240" w:lineRule="auto"/>
    </w:pPr>
    <w:rPr>
      <w:rFonts w:ascii="Gotham Bold" w:hAnsi="Gotham Bold" w:cs="Gotham Bold"/>
      <w:color w:val="000000"/>
      <w:sz w:val="24"/>
      <w:szCs w:val="24"/>
      <w:lang w:val="en-IN"/>
    </w:rPr>
  </w:style>
  <w:style w:type="character" w:customStyle="1" w:styleId="A0">
    <w:name w:val="A0"/>
    <w:uiPriority w:val="99"/>
    <w:rsid w:val="003A70E2"/>
    <w:rPr>
      <w:rFonts w:cs="Gotham Bold"/>
      <w:b/>
      <w:bCs/>
      <w:color w:val="000000"/>
      <w:sz w:val="32"/>
      <w:szCs w:val="32"/>
    </w:rPr>
  </w:style>
  <w:style w:type="character" w:styleId="Hyperlink">
    <w:name w:val="Hyperlink"/>
    <w:basedOn w:val="DefaultParagraphFont"/>
    <w:uiPriority w:val="99"/>
    <w:unhideWhenUsed/>
    <w:rsid w:val="003A70E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022422">
      <w:bodyDiv w:val="1"/>
      <w:marLeft w:val="0"/>
      <w:marRight w:val="0"/>
      <w:marTop w:val="0"/>
      <w:marBottom w:val="0"/>
      <w:divBdr>
        <w:top w:val="none" w:sz="0" w:space="0" w:color="auto"/>
        <w:left w:val="none" w:sz="0" w:space="0" w:color="auto"/>
        <w:bottom w:val="none" w:sz="0" w:space="0" w:color="auto"/>
        <w:right w:val="none" w:sz="0" w:space="0" w:color="auto"/>
      </w:divBdr>
    </w:div>
    <w:div w:id="499466073">
      <w:bodyDiv w:val="1"/>
      <w:marLeft w:val="0"/>
      <w:marRight w:val="0"/>
      <w:marTop w:val="0"/>
      <w:marBottom w:val="0"/>
      <w:divBdr>
        <w:top w:val="none" w:sz="0" w:space="0" w:color="auto"/>
        <w:left w:val="none" w:sz="0" w:space="0" w:color="auto"/>
        <w:bottom w:val="none" w:sz="0" w:space="0" w:color="auto"/>
        <w:right w:val="none" w:sz="0" w:space="0" w:color="auto"/>
      </w:divBdr>
    </w:div>
    <w:div w:id="518931546">
      <w:bodyDiv w:val="1"/>
      <w:marLeft w:val="0"/>
      <w:marRight w:val="0"/>
      <w:marTop w:val="0"/>
      <w:marBottom w:val="0"/>
      <w:divBdr>
        <w:top w:val="none" w:sz="0" w:space="0" w:color="auto"/>
        <w:left w:val="none" w:sz="0" w:space="0" w:color="auto"/>
        <w:bottom w:val="none" w:sz="0" w:space="0" w:color="auto"/>
        <w:right w:val="none" w:sz="0" w:space="0" w:color="auto"/>
      </w:divBdr>
    </w:div>
    <w:div w:id="770976122">
      <w:bodyDiv w:val="1"/>
      <w:marLeft w:val="0"/>
      <w:marRight w:val="0"/>
      <w:marTop w:val="0"/>
      <w:marBottom w:val="0"/>
      <w:divBdr>
        <w:top w:val="none" w:sz="0" w:space="0" w:color="auto"/>
        <w:left w:val="none" w:sz="0" w:space="0" w:color="auto"/>
        <w:bottom w:val="none" w:sz="0" w:space="0" w:color="auto"/>
        <w:right w:val="none" w:sz="0" w:space="0" w:color="auto"/>
      </w:divBdr>
    </w:div>
    <w:div w:id="780340742">
      <w:bodyDiv w:val="1"/>
      <w:marLeft w:val="0"/>
      <w:marRight w:val="0"/>
      <w:marTop w:val="0"/>
      <w:marBottom w:val="0"/>
      <w:divBdr>
        <w:top w:val="none" w:sz="0" w:space="0" w:color="auto"/>
        <w:left w:val="none" w:sz="0" w:space="0" w:color="auto"/>
        <w:bottom w:val="none" w:sz="0" w:space="0" w:color="auto"/>
        <w:right w:val="none" w:sz="0" w:space="0" w:color="auto"/>
      </w:divBdr>
    </w:div>
    <w:div w:id="916328165">
      <w:bodyDiv w:val="1"/>
      <w:marLeft w:val="0"/>
      <w:marRight w:val="0"/>
      <w:marTop w:val="0"/>
      <w:marBottom w:val="0"/>
      <w:divBdr>
        <w:top w:val="none" w:sz="0" w:space="0" w:color="auto"/>
        <w:left w:val="none" w:sz="0" w:space="0" w:color="auto"/>
        <w:bottom w:val="none" w:sz="0" w:space="0" w:color="auto"/>
        <w:right w:val="none" w:sz="0" w:space="0" w:color="auto"/>
      </w:divBdr>
    </w:div>
    <w:div w:id="948852826">
      <w:bodyDiv w:val="1"/>
      <w:marLeft w:val="0"/>
      <w:marRight w:val="0"/>
      <w:marTop w:val="0"/>
      <w:marBottom w:val="0"/>
      <w:divBdr>
        <w:top w:val="none" w:sz="0" w:space="0" w:color="auto"/>
        <w:left w:val="none" w:sz="0" w:space="0" w:color="auto"/>
        <w:bottom w:val="none" w:sz="0" w:space="0" w:color="auto"/>
        <w:right w:val="none" w:sz="0" w:space="0" w:color="auto"/>
      </w:divBdr>
    </w:div>
    <w:div w:id="975987664">
      <w:bodyDiv w:val="1"/>
      <w:marLeft w:val="0"/>
      <w:marRight w:val="0"/>
      <w:marTop w:val="0"/>
      <w:marBottom w:val="0"/>
      <w:divBdr>
        <w:top w:val="none" w:sz="0" w:space="0" w:color="auto"/>
        <w:left w:val="none" w:sz="0" w:space="0" w:color="auto"/>
        <w:bottom w:val="none" w:sz="0" w:space="0" w:color="auto"/>
        <w:right w:val="none" w:sz="0" w:space="0" w:color="auto"/>
      </w:divBdr>
    </w:div>
    <w:div w:id="1014263209">
      <w:bodyDiv w:val="1"/>
      <w:marLeft w:val="0"/>
      <w:marRight w:val="0"/>
      <w:marTop w:val="0"/>
      <w:marBottom w:val="0"/>
      <w:divBdr>
        <w:top w:val="none" w:sz="0" w:space="0" w:color="auto"/>
        <w:left w:val="none" w:sz="0" w:space="0" w:color="auto"/>
        <w:bottom w:val="none" w:sz="0" w:space="0" w:color="auto"/>
        <w:right w:val="none" w:sz="0" w:space="0" w:color="auto"/>
      </w:divBdr>
    </w:div>
    <w:div w:id="1193418129">
      <w:bodyDiv w:val="1"/>
      <w:marLeft w:val="0"/>
      <w:marRight w:val="0"/>
      <w:marTop w:val="0"/>
      <w:marBottom w:val="0"/>
      <w:divBdr>
        <w:top w:val="none" w:sz="0" w:space="0" w:color="auto"/>
        <w:left w:val="none" w:sz="0" w:space="0" w:color="auto"/>
        <w:bottom w:val="none" w:sz="0" w:space="0" w:color="auto"/>
        <w:right w:val="none" w:sz="0" w:space="0" w:color="auto"/>
      </w:divBdr>
    </w:div>
    <w:div w:id="1224832916">
      <w:bodyDiv w:val="1"/>
      <w:marLeft w:val="0"/>
      <w:marRight w:val="0"/>
      <w:marTop w:val="0"/>
      <w:marBottom w:val="0"/>
      <w:divBdr>
        <w:top w:val="none" w:sz="0" w:space="0" w:color="auto"/>
        <w:left w:val="none" w:sz="0" w:space="0" w:color="auto"/>
        <w:bottom w:val="none" w:sz="0" w:space="0" w:color="auto"/>
        <w:right w:val="none" w:sz="0" w:space="0" w:color="auto"/>
      </w:divBdr>
    </w:div>
    <w:div w:id="1245724376">
      <w:bodyDiv w:val="1"/>
      <w:marLeft w:val="0"/>
      <w:marRight w:val="0"/>
      <w:marTop w:val="0"/>
      <w:marBottom w:val="0"/>
      <w:divBdr>
        <w:top w:val="none" w:sz="0" w:space="0" w:color="auto"/>
        <w:left w:val="none" w:sz="0" w:space="0" w:color="auto"/>
        <w:bottom w:val="none" w:sz="0" w:space="0" w:color="auto"/>
        <w:right w:val="none" w:sz="0" w:space="0" w:color="auto"/>
      </w:divBdr>
    </w:div>
    <w:div w:id="1272124683">
      <w:bodyDiv w:val="1"/>
      <w:marLeft w:val="0"/>
      <w:marRight w:val="0"/>
      <w:marTop w:val="0"/>
      <w:marBottom w:val="0"/>
      <w:divBdr>
        <w:top w:val="none" w:sz="0" w:space="0" w:color="auto"/>
        <w:left w:val="none" w:sz="0" w:space="0" w:color="auto"/>
        <w:bottom w:val="none" w:sz="0" w:space="0" w:color="auto"/>
        <w:right w:val="none" w:sz="0" w:space="0" w:color="auto"/>
      </w:divBdr>
    </w:div>
    <w:div w:id="1410689084">
      <w:bodyDiv w:val="1"/>
      <w:marLeft w:val="0"/>
      <w:marRight w:val="0"/>
      <w:marTop w:val="0"/>
      <w:marBottom w:val="0"/>
      <w:divBdr>
        <w:top w:val="none" w:sz="0" w:space="0" w:color="auto"/>
        <w:left w:val="none" w:sz="0" w:space="0" w:color="auto"/>
        <w:bottom w:val="none" w:sz="0" w:space="0" w:color="auto"/>
        <w:right w:val="none" w:sz="0" w:space="0" w:color="auto"/>
      </w:divBdr>
    </w:div>
    <w:div w:id="1451624651">
      <w:bodyDiv w:val="1"/>
      <w:marLeft w:val="0"/>
      <w:marRight w:val="0"/>
      <w:marTop w:val="0"/>
      <w:marBottom w:val="0"/>
      <w:divBdr>
        <w:top w:val="none" w:sz="0" w:space="0" w:color="auto"/>
        <w:left w:val="none" w:sz="0" w:space="0" w:color="auto"/>
        <w:bottom w:val="none" w:sz="0" w:space="0" w:color="auto"/>
        <w:right w:val="none" w:sz="0" w:space="0" w:color="auto"/>
      </w:divBdr>
    </w:div>
    <w:div w:id="1457407176">
      <w:bodyDiv w:val="1"/>
      <w:marLeft w:val="0"/>
      <w:marRight w:val="0"/>
      <w:marTop w:val="0"/>
      <w:marBottom w:val="0"/>
      <w:divBdr>
        <w:top w:val="none" w:sz="0" w:space="0" w:color="auto"/>
        <w:left w:val="none" w:sz="0" w:space="0" w:color="auto"/>
        <w:bottom w:val="none" w:sz="0" w:space="0" w:color="auto"/>
        <w:right w:val="none" w:sz="0" w:space="0" w:color="auto"/>
      </w:divBdr>
    </w:div>
    <w:div w:id="1491214859">
      <w:bodyDiv w:val="1"/>
      <w:marLeft w:val="0"/>
      <w:marRight w:val="0"/>
      <w:marTop w:val="0"/>
      <w:marBottom w:val="0"/>
      <w:divBdr>
        <w:top w:val="none" w:sz="0" w:space="0" w:color="auto"/>
        <w:left w:val="none" w:sz="0" w:space="0" w:color="auto"/>
        <w:bottom w:val="none" w:sz="0" w:space="0" w:color="auto"/>
        <w:right w:val="none" w:sz="0" w:space="0" w:color="auto"/>
      </w:divBdr>
    </w:div>
    <w:div w:id="1510213789">
      <w:bodyDiv w:val="1"/>
      <w:marLeft w:val="0"/>
      <w:marRight w:val="0"/>
      <w:marTop w:val="0"/>
      <w:marBottom w:val="0"/>
      <w:divBdr>
        <w:top w:val="none" w:sz="0" w:space="0" w:color="auto"/>
        <w:left w:val="none" w:sz="0" w:space="0" w:color="auto"/>
        <w:bottom w:val="none" w:sz="0" w:space="0" w:color="auto"/>
        <w:right w:val="none" w:sz="0" w:space="0" w:color="auto"/>
      </w:divBdr>
    </w:div>
    <w:div w:id="1554805718">
      <w:bodyDiv w:val="1"/>
      <w:marLeft w:val="0"/>
      <w:marRight w:val="0"/>
      <w:marTop w:val="0"/>
      <w:marBottom w:val="0"/>
      <w:divBdr>
        <w:top w:val="none" w:sz="0" w:space="0" w:color="auto"/>
        <w:left w:val="none" w:sz="0" w:space="0" w:color="auto"/>
        <w:bottom w:val="none" w:sz="0" w:space="0" w:color="auto"/>
        <w:right w:val="none" w:sz="0" w:space="0" w:color="auto"/>
      </w:divBdr>
    </w:div>
    <w:div w:id="1588617137">
      <w:bodyDiv w:val="1"/>
      <w:marLeft w:val="0"/>
      <w:marRight w:val="0"/>
      <w:marTop w:val="0"/>
      <w:marBottom w:val="0"/>
      <w:divBdr>
        <w:top w:val="none" w:sz="0" w:space="0" w:color="auto"/>
        <w:left w:val="none" w:sz="0" w:space="0" w:color="auto"/>
        <w:bottom w:val="none" w:sz="0" w:space="0" w:color="auto"/>
        <w:right w:val="none" w:sz="0" w:space="0" w:color="auto"/>
      </w:divBdr>
    </w:div>
    <w:div w:id="1824157872">
      <w:bodyDiv w:val="1"/>
      <w:marLeft w:val="0"/>
      <w:marRight w:val="0"/>
      <w:marTop w:val="0"/>
      <w:marBottom w:val="0"/>
      <w:divBdr>
        <w:top w:val="none" w:sz="0" w:space="0" w:color="auto"/>
        <w:left w:val="none" w:sz="0" w:space="0" w:color="auto"/>
        <w:bottom w:val="none" w:sz="0" w:space="0" w:color="auto"/>
        <w:right w:val="none" w:sz="0" w:space="0" w:color="auto"/>
      </w:divBdr>
    </w:div>
    <w:div w:id="1847132891">
      <w:bodyDiv w:val="1"/>
      <w:marLeft w:val="0"/>
      <w:marRight w:val="0"/>
      <w:marTop w:val="0"/>
      <w:marBottom w:val="0"/>
      <w:divBdr>
        <w:top w:val="none" w:sz="0" w:space="0" w:color="auto"/>
        <w:left w:val="none" w:sz="0" w:space="0" w:color="auto"/>
        <w:bottom w:val="none" w:sz="0" w:space="0" w:color="auto"/>
        <w:right w:val="none" w:sz="0" w:space="0" w:color="auto"/>
      </w:divBdr>
    </w:div>
    <w:div w:id="1883471688">
      <w:bodyDiv w:val="1"/>
      <w:marLeft w:val="0"/>
      <w:marRight w:val="0"/>
      <w:marTop w:val="0"/>
      <w:marBottom w:val="0"/>
      <w:divBdr>
        <w:top w:val="none" w:sz="0" w:space="0" w:color="auto"/>
        <w:left w:val="none" w:sz="0" w:space="0" w:color="auto"/>
        <w:bottom w:val="none" w:sz="0" w:space="0" w:color="auto"/>
        <w:right w:val="none" w:sz="0" w:space="0" w:color="auto"/>
      </w:divBdr>
    </w:div>
    <w:div w:id="1891454359">
      <w:bodyDiv w:val="1"/>
      <w:marLeft w:val="0"/>
      <w:marRight w:val="0"/>
      <w:marTop w:val="0"/>
      <w:marBottom w:val="0"/>
      <w:divBdr>
        <w:top w:val="none" w:sz="0" w:space="0" w:color="auto"/>
        <w:left w:val="none" w:sz="0" w:space="0" w:color="auto"/>
        <w:bottom w:val="none" w:sz="0" w:space="0" w:color="auto"/>
        <w:right w:val="none" w:sz="0" w:space="0" w:color="auto"/>
      </w:divBdr>
    </w:div>
    <w:div w:id="1933076720">
      <w:bodyDiv w:val="1"/>
      <w:marLeft w:val="0"/>
      <w:marRight w:val="0"/>
      <w:marTop w:val="0"/>
      <w:marBottom w:val="0"/>
      <w:divBdr>
        <w:top w:val="none" w:sz="0" w:space="0" w:color="auto"/>
        <w:left w:val="none" w:sz="0" w:space="0" w:color="auto"/>
        <w:bottom w:val="none" w:sz="0" w:space="0" w:color="auto"/>
        <w:right w:val="none" w:sz="0" w:space="0" w:color="auto"/>
      </w:divBdr>
    </w:div>
    <w:div w:id="1944336352">
      <w:bodyDiv w:val="1"/>
      <w:marLeft w:val="0"/>
      <w:marRight w:val="0"/>
      <w:marTop w:val="0"/>
      <w:marBottom w:val="0"/>
      <w:divBdr>
        <w:top w:val="none" w:sz="0" w:space="0" w:color="auto"/>
        <w:left w:val="none" w:sz="0" w:space="0" w:color="auto"/>
        <w:bottom w:val="none" w:sz="0" w:space="0" w:color="auto"/>
        <w:right w:val="none" w:sz="0" w:space="0" w:color="auto"/>
      </w:divBdr>
    </w:div>
    <w:div w:id="1977485687">
      <w:bodyDiv w:val="1"/>
      <w:marLeft w:val="0"/>
      <w:marRight w:val="0"/>
      <w:marTop w:val="0"/>
      <w:marBottom w:val="0"/>
      <w:divBdr>
        <w:top w:val="none" w:sz="0" w:space="0" w:color="auto"/>
        <w:left w:val="none" w:sz="0" w:space="0" w:color="auto"/>
        <w:bottom w:val="none" w:sz="0" w:space="0" w:color="auto"/>
        <w:right w:val="none" w:sz="0" w:space="0" w:color="auto"/>
      </w:divBdr>
    </w:div>
    <w:div w:id="2056005138">
      <w:bodyDiv w:val="1"/>
      <w:marLeft w:val="0"/>
      <w:marRight w:val="0"/>
      <w:marTop w:val="0"/>
      <w:marBottom w:val="0"/>
      <w:divBdr>
        <w:top w:val="none" w:sz="0" w:space="0" w:color="auto"/>
        <w:left w:val="none" w:sz="0" w:space="0" w:color="auto"/>
        <w:bottom w:val="none" w:sz="0" w:space="0" w:color="auto"/>
        <w:right w:val="none" w:sz="0" w:space="0" w:color="auto"/>
      </w:divBdr>
    </w:div>
    <w:div w:id="2129081792">
      <w:bodyDiv w:val="1"/>
      <w:marLeft w:val="0"/>
      <w:marRight w:val="0"/>
      <w:marTop w:val="0"/>
      <w:marBottom w:val="0"/>
      <w:divBdr>
        <w:top w:val="none" w:sz="0" w:space="0" w:color="auto"/>
        <w:left w:val="none" w:sz="0" w:space="0" w:color="auto"/>
        <w:bottom w:val="none" w:sz="0" w:space="0" w:color="auto"/>
        <w:right w:val="none" w:sz="0" w:space="0" w:color="auto"/>
      </w:divBdr>
    </w:div>
    <w:div w:id="21303886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www.iscaconsortium.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decipher.sanger" TargetMode="Externa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ciencedirect.com/topics/medicine-and-dentistry/comparative-genomic-hybridization"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www.ncbi.nlm.ni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A3F233-ACA5-407A-8793-4A99C2EDF8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1078</Words>
  <Characters>6149</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Felippe Borlot</dc:creator>
  <cp:keywords/>
  <dc:description/>
  <cp:lastModifiedBy>seema jain</cp:lastModifiedBy>
  <cp:revision>2</cp:revision>
  <cp:lastPrinted>2022-12-24T06:56:00Z</cp:lastPrinted>
  <dcterms:created xsi:type="dcterms:W3CDTF">2024-05-08T13:36:00Z</dcterms:created>
  <dcterms:modified xsi:type="dcterms:W3CDTF">2024-05-08T13:36:00Z</dcterms:modified>
</cp:coreProperties>
</file>