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822B" w14:textId="77777777" w:rsidR="000D5F7D" w:rsidRPr="001E2966" w:rsidRDefault="000D5F7D" w:rsidP="000D5F7D">
      <w:pPr>
        <w:spacing w:before="180" w:after="180" w:line="420" w:lineRule="exact"/>
        <w:ind w:rightChars="-24" w:right="-58"/>
        <w:jc w:val="both"/>
        <w:rPr>
          <w:rFonts w:ascii="Arial" w:eastAsia="DFKai-SB" w:hAnsi="Arial" w:cs="Arial"/>
        </w:rPr>
      </w:pPr>
      <w:r w:rsidRPr="00EB5A08">
        <w:rPr>
          <w:rFonts w:ascii="Arial" w:eastAsia="DFKai-SB" w:hAnsi="Arial" w:cs="Arial"/>
          <w:b/>
        </w:rPr>
        <w:t>Supplementary Table 1</w:t>
      </w:r>
      <w:r w:rsidRPr="001E2966">
        <w:rPr>
          <w:rFonts w:ascii="Arial" w:eastAsia="DFKai-SB" w:hAnsi="Arial" w:cs="Arial"/>
        </w:rPr>
        <w:t xml:space="preserve"> </w:t>
      </w:r>
      <w:r w:rsidRPr="00F056FD">
        <w:rPr>
          <w:rFonts w:ascii="Arial" w:eastAsia="DFKai-SB" w:hAnsi="Arial" w:cs="Arial"/>
        </w:rPr>
        <w:t xml:space="preserve">The distribution of anticancer drug classes before ALK inhibitor therapy </w:t>
      </w:r>
      <w:r w:rsidRPr="001E2966">
        <w:rPr>
          <w:rFonts w:ascii="Arial" w:eastAsia="DFKai-SB" w:hAnsi="Arial" w:cs="Arial"/>
        </w:rPr>
        <w:t>(n</w:t>
      </w:r>
      <w:r>
        <w:rPr>
          <w:rFonts w:ascii="Arial" w:eastAsia="DFKai-SB" w:hAnsi="Arial" w:cs="Arial" w:hint="eastAsia"/>
        </w:rPr>
        <w:t xml:space="preserve"> </w:t>
      </w:r>
      <w:r w:rsidRPr="001E2966">
        <w:rPr>
          <w:rFonts w:ascii="Arial" w:eastAsia="DFKai-SB" w:hAnsi="Arial" w:cs="Arial"/>
        </w:rPr>
        <w:t>=</w:t>
      </w:r>
      <w:r>
        <w:rPr>
          <w:rFonts w:ascii="Arial" w:eastAsia="DFKai-SB" w:hAnsi="Arial" w:cs="Arial" w:hint="eastAsia"/>
        </w:rPr>
        <w:t xml:space="preserve"> </w:t>
      </w:r>
      <w:r w:rsidRPr="001E2966">
        <w:rPr>
          <w:rFonts w:ascii="Arial" w:eastAsia="DFKai-SB" w:hAnsi="Arial" w:cs="Arial"/>
        </w:rPr>
        <w:t>29)</w:t>
      </w:r>
    </w:p>
    <w:tbl>
      <w:tblPr>
        <w:tblW w:w="86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1275"/>
        <w:gridCol w:w="1276"/>
      </w:tblGrid>
      <w:tr w:rsidR="000D5F7D" w14:paraId="7E3448DE" w14:textId="77777777" w:rsidTr="00672F36">
        <w:trPr>
          <w:trHeight w:val="345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F926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Category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11B2A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 xml:space="preserve">Drug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C039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339F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iCs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%</w:t>
            </w:r>
          </w:p>
        </w:tc>
      </w:tr>
      <w:tr w:rsidR="000D5F7D" w14:paraId="5B280DBE" w14:textId="77777777" w:rsidTr="00672F36">
        <w:trPr>
          <w:trHeight w:val="4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C6210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Alkylating agents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CB91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Carboplatin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045A8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CF88D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51.7</w:t>
            </w:r>
          </w:p>
        </w:tc>
      </w:tr>
      <w:tr w:rsidR="000D5F7D" w14:paraId="1FFBAC68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407AB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F632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Cisplatin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DC83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93A3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kern w:val="0"/>
                <w:szCs w:val="24"/>
              </w:rPr>
              <w:t>34.5</w:t>
            </w:r>
          </w:p>
        </w:tc>
      </w:tr>
      <w:tr w:rsidR="000D5F7D" w14:paraId="6FE8A019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1E39B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57245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Oxaliplatin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DAD69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8803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2561955A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C416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Anthracyclines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95423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Doxorubicin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9BE2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1E66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2460C2C0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688D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Antimetabolites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6AE4E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5-Fluorouracil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D24E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5F0BA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16BC4B7E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BF58D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7E5BB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TS-1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52A05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0205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6.9</w:t>
            </w:r>
          </w:p>
        </w:tc>
      </w:tr>
      <w:tr w:rsidR="000D5F7D" w14:paraId="67CD2A9A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8D3CD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2DB2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Gemcitabine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FF7C7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7FB6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27.6</w:t>
            </w:r>
          </w:p>
        </w:tc>
      </w:tr>
      <w:tr w:rsidR="000D5F7D" w14:paraId="0141ED3B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84CB5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Taxanes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391C6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Docetaxel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C207D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20CB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41.4</w:t>
            </w:r>
          </w:p>
        </w:tc>
      </w:tr>
      <w:tr w:rsidR="000D5F7D" w14:paraId="4EBF9AC0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6AFF9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9BE80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Paclitaxel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DE7A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DB402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24.1</w:t>
            </w:r>
          </w:p>
        </w:tc>
      </w:tr>
      <w:tr w:rsidR="000D5F7D" w14:paraId="04482D0A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0926A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Vinca alkaloids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DBE1B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Vinorelbine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E43B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A7DC8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34.5</w:t>
            </w:r>
          </w:p>
        </w:tc>
      </w:tr>
      <w:tr w:rsidR="000D5F7D" w14:paraId="7A25DCA2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81C4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Tyrosine kinase inhibitors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31B1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Afatinib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25F2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A9C2A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37.9</w:t>
            </w:r>
          </w:p>
        </w:tc>
      </w:tr>
      <w:tr w:rsidR="000D5F7D" w14:paraId="3D74E47C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E29D7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7E1A9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Cabozantinib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91851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A216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6C85D458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E2F41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B205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Erlotinib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548C1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4CCE9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34.5</w:t>
            </w:r>
          </w:p>
        </w:tc>
      </w:tr>
      <w:tr w:rsidR="000D5F7D" w14:paraId="65B98C6C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01BAB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257F3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Gefitinib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BD2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A2E28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17.2</w:t>
            </w:r>
          </w:p>
        </w:tc>
      </w:tr>
      <w:tr w:rsidR="000D5F7D" w14:paraId="57E1BB63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E78C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BB74F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Lenvatinib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162F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E3AA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2E13D2A5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9B83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09C33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Osimertinib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1F6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7CB3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20.7</w:t>
            </w:r>
          </w:p>
        </w:tc>
      </w:tr>
      <w:tr w:rsidR="000D5F7D" w14:paraId="564FE1B6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C1E8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C371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Regorafenib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97794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D4513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488115D9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EE0A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2D731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Sorafenib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394F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1629E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690ECCC5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0067E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5CF64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Bevacizumab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EAF8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1C69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34.5</w:t>
            </w:r>
          </w:p>
        </w:tc>
      </w:tr>
      <w:tr w:rsidR="000D5F7D" w14:paraId="738EA7B8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9F98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77FD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Ramucirumab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02CB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1670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10.3</w:t>
            </w:r>
          </w:p>
        </w:tc>
      </w:tr>
      <w:tr w:rsidR="000D5F7D" w14:paraId="2951F494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52060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EGFR inhibitor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D752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Cetuximab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3377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F2B6E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65255A12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08E88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Folate antagonist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8DD29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Pemetrexed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93B00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91EF3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75.9</w:t>
            </w:r>
          </w:p>
        </w:tc>
      </w:tr>
      <w:tr w:rsidR="000D5F7D" w14:paraId="7C9F8554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D56CE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HER2 + mitotic inhibitor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F6BF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Trastuzumab emtansine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FC63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C5D99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2C05EB3E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AE40D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HER2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B7601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Pyrotinib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ACF72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4FC09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3.4</w:t>
            </w:r>
          </w:p>
        </w:tc>
      </w:tr>
      <w:tr w:rsidR="000D5F7D" w14:paraId="47E61579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E7AAB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PD-1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E775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Nivolumab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05EBB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DCB7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10.3</w:t>
            </w:r>
          </w:p>
        </w:tc>
      </w:tr>
      <w:tr w:rsidR="000D5F7D" w14:paraId="1E5E2417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29740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595B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Pembrolizumab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A922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7C95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10.3</w:t>
            </w:r>
          </w:p>
        </w:tc>
      </w:tr>
      <w:tr w:rsidR="000D5F7D" w14:paraId="77156EEA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9B5688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PD-L1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536086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Atezolizumab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AAA23D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1EC26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13.8</w:t>
            </w:r>
          </w:p>
        </w:tc>
      </w:tr>
      <w:tr w:rsidR="000D5F7D" w14:paraId="424A5AF8" w14:textId="77777777" w:rsidTr="00672F36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4D045E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CTLA-4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AD3948" w14:textId="77777777" w:rsidR="000D5F7D" w:rsidRPr="001E2966" w:rsidRDefault="000D5F7D" w:rsidP="00672F36">
            <w:pPr>
              <w:widowControl/>
              <w:spacing w:line="360" w:lineRule="exact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Ipilimumab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7B3C4C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C511D8" w14:textId="77777777" w:rsidR="000D5F7D" w:rsidRPr="001E2966" w:rsidRDefault="000D5F7D" w:rsidP="00672F36">
            <w:pPr>
              <w:widowControl/>
              <w:spacing w:line="360" w:lineRule="exact"/>
              <w:jc w:val="center"/>
              <w:rPr>
                <w:rFonts w:ascii="Arial" w:eastAsia="DFKai-SB" w:hAnsi="Arial" w:cs="Arial"/>
                <w:color w:val="000000"/>
                <w:kern w:val="0"/>
                <w:szCs w:val="24"/>
              </w:rPr>
            </w:pPr>
            <w:r w:rsidRPr="001E2966">
              <w:rPr>
                <w:rFonts w:ascii="Arial" w:eastAsia="DFKai-SB" w:hAnsi="Arial" w:cs="Arial"/>
                <w:color w:val="000000"/>
                <w:kern w:val="0"/>
                <w:szCs w:val="24"/>
              </w:rPr>
              <w:t>6.9</w:t>
            </w:r>
          </w:p>
        </w:tc>
      </w:tr>
    </w:tbl>
    <w:p w14:paraId="3990AB38" w14:textId="77777777" w:rsidR="000D5F7D" w:rsidRPr="001E2966" w:rsidRDefault="000D5F7D" w:rsidP="000D5F7D">
      <w:pPr>
        <w:spacing w:before="180" w:after="180" w:line="420" w:lineRule="exact"/>
        <w:ind w:rightChars="-24" w:right="-58"/>
        <w:jc w:val="both"/>
        <w:rPr>
          <w:rFonts w:ascii="Arial" w:eastAsia="DFKai-SB" w:hAnsi="Arial" w:cs="Arial"/>
        </w:rPr>
      </w:pPr>
    </w:p>
    <w:p w14:paraId="7E0555FC" w14:textId="77777777" w:rsidR="000D5F7D" w:rsidRPr="001E2966" w:rsidRDefault="000D5F7D" w:rsidP="000D5F7D">
      <w:pPr>
        <w:spacing w:before="180" w:after="180" w:line="420" w:lineRule="exact"/>
        <w:ind w:rightChars="-24" w:right="-58"/>
        <w:jc w:val="both"/>
        <w:rPr>
          <w:rFonts w:ascii="Arial" w:eastAsia="DFKai-SB" w:hAnsi="Arial" w:cs="Arial"/>
        </w:rPr>
      </w:pPr>
    </w:p>
    <w:p w14:paraId="288BABF3" w14:textId="77777777" w:rsidR="009002C6" w:rsidRDefault="009002C6"/>
    <w:sectPr w:rsidR="009002C6" w:rsidSect="000D5F7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709211"/>
      <w:docPartObj>
        <w:docPartGallery w:val="Page Numbers (Bottom of Page)"/>
        <w:docPartUnique/>
      </w:docPartObj>
    </w:sdtPr>
    <w:sdtContent>
      <w:p w14:paraId="2DC0B22A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5615">
          <w:rPr>
            <w:noProof/>
            <w:lang w:val="zh-TW"/>
          </w:rPr>
          <w:t>28</w:t>
        </w:r>
        <w:r>
          <w:fldChar w:fldCharType="end"/>
        </w:r>
      </w:p>
    </w:sdtContent>
  </w:sdt>
  <w:p w14:paraId="547FB46C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7D"/>
    <w:rsid w:val="000D5F7D"/>
    <w:rsid w:val="009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FE28D"/>
  <w15:chartTrackingRefBased/>
  <w15:docId w15:val="{37DA949F-3811-4148-8B5A-D74263E2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F7D"/>
    <w:pPr>
      <w:widowControl w:val="0"/>
      <w:spacing w:after="0" w:line="240" w:lineRule="auto"/>
    </w:pPr>
    <w:rPr>
      <w:rFonts w:eastAsiaTheme="minorEastAsia"/>
      <w:sz w:val="24"/>
      <w:lang w:val="en-US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F7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F7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F7D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F7D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F7D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F7D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F7D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F7D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F7D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F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F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F7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5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F7D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5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F7D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5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F7D"/>
    <w:pPr>
      <w:widowControl/>
      <w:spacing w:after="160" w:line="259" w:lineRule="auto"/>
      <w:ind w:left="720"/>
      <w:contextualSpacing/>
    </w:pPr>
    <w:rPr>
      <w:rFonts w:eastAsiaTheme="minorHAnsi"/>
      <w:sz w:val="2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5F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F7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F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F7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D5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D5F7D"/>
    <w:rPr>
      <w:rFonts w:eastAsiaTheme="minorEastAsia"/>
      <w:sz w:val="20"/>
      <w:szCs w:val="20"/>
      <w:lang w:val="en-US"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>Springer Nature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2024-05-21T19:02:00Z</dcterms:created>
  <dcterms:modified xsi:type="dcterms:W3CDTF">2024-05-21T19:02:00Z</dcterms:modified>
</cp:coreProperties>
</file>