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23EF" w14:textId="348B36C3" w:rsidR="00BB1095" w:rsidRPr="00452F59" w:rsidRDefault="00BB1095" w:rsidP="00BB1095">
      <w:pPr>
        <w:spacing w:after="120" w:line="480" w:lineRule="auto"/>
        <w:rPr>
          <w:rFonts w:ascii="Times New Roman" w:hAnsi="Times New Roman"/>
          <w:b/>
          <w:bCs/>
          <w:color w:val="000000" w:themeColor="text1"/>
          <w:sz w:val="24"/>
          <w:szCs w:val="24"/>
        </w:rPr>
      </w:pPr>
      <w:r w:rsidRPr="00452F59">
        <w:rPr>
          <w:rFonts w:ascii="Times New Roman" w:hAnsi="Times New Roman" w:hint="eastAsia"/>
          <w:b/>
          <w:bCs/>
          <w:color w:val="000000" w:themeColor="text1"/>
          <w:sz w:val="24"/>
          <w:szCs w:val="24"/>
        </w:rPr>
        <w:t>S</w:t>
      </w:r>
      <w:r w:rsidRPr="00452F59">
        <w:rPr>
          <w:rFonts w:ascii="Times New Roman" w:hAnsi="Times New Roman"/>
          <w:b/>
          <w:bCs/>
          <w:color w:val="000000" w:themeColor="text1"/>
          <w:sz w:val="24"/>
          <w:szCs w:val="24"/>
        </w:rPr>
        <w:t>upplementary Methods</w:t>
      </w:r>
    </w:p>
    <w:p w14:paraId="15CB8253" w14:textId="0A388446" w:rsidR="00BB1095" w:rsidRPr="00452F59" w:rsidRDefault="00BB1095" w:rsidP="00BB1095">
      <w:pPr>
        <w:spacing w:after="120" w:line="480" w:lineRule="auto"/>
        <w:rPr>
          <w:rFonts w:ascii="Times New Roman" w:hAnsi="Times New Roman"/>
          <w:b/>
          <w:bCs/>
          <w:i/>
          <w:iCs/>
          <w:color w:val="000000" w:themeColor="text1"/>
          <w:sz w:val="24"/>
          <w:szCs w:val="24"/>
        </w:rPr>
      </w:pPr>
      <w:r w:rsidRPr="00452F59">
        <w:rPr>
          <w:rFonts w:ascii="Times New Roman" w:hAnsi="Times New Roman"/>
          <w:b/>
          <w:bCs/>
          <w:i/>
          <w:iCs/>
          <w:color w:val="000000" w:themeColor="text1"/>
          <w:sz w:val="24"/>
          <w:szCs w:val="24"/>
        </w:rPr>
        <w:t>Deoxyribonucleic acid extraction</w:t>
      </w:r>
    </w:p>
    <w:p w14:paraId="3B536AE4" w14:textId="77777777" w:rsidR="00BB1095" w:rsidRPr="00452F59" w:rsidRDefault="00BB1095" w:rsidP="00BB1095">
      <w:pPr>
        <w:spacing w:line="480" w:lineRule="auto"/>
        <w:ind w:firstLine="840"/>
        <w:rPr>
          <w:rFonts w:ascii="Times New Roman" w:hAnsi="Times New Roman" w:cs="Times New Roman"/>
          <w:noProof/>
          <w:color w:val="000000" w:themeColor="text1"/>
          <w:kern w:val="0"/>
          <w:sz w:val="24"/>
          <w:szCs w:val="24"/>
        </w:rPr>
      </w:pPr>
      <w:r w:rsidRPr="00452F59">
        <w:rPr>
          <w:rFonts w:ascii="Times New Roman" w:hAnsi="Times New Roman" w:cs="Times New Roman"/>
          <w:noProof/>
          <w:color w:val="000000" w:themeColor="text1"/>
          <w:kern w:val="0"/>
          <w:sz w:val="24"/>
          <w:szCs w:val="24"/>
        </w:rPr>
        <w:t xml:space="preserve">For EAC lesions, all resected and FFPE specimens were laser captured and microdissected for </w:t>
      </w:r>
      <w:r w:rsidRPr="00452F59">
        <w:rPr>
          <w:rFonts w:ascii="Times New Roman" w:hAnsi="Times New Roman"/>
          <w:color w:val="000000" w:themeColor="text1"/>
          <w:sz w:val="24"/>
          <w:szCs w:val="24"/>
        </w:rPr>
        <w:t>deoxyribonucleic acid (</w:t>
      </w:r>
      <w:r w:rsidRPr="00452F59">
        <w:rPr>
          <w:rFonts w:ascii="Times New Roman" w:hAnsi="Times New Roman" w:cs="Times New Roman"/>
          <w:noProof/>
          <w:color w:val="000000" w:themeColor="text1"/>
          <w:kern w:val="0"/>
          <w:sz w:val="24"/>
          <w:szCs w:val="24"/>
        </w:rPr>
        <w:t xml:space="preserve">DNA) extraction. Lesional areas for microdissection were marked by pathologists on the guiding hematoxylin and eosine-stained slides to obtain EAC and adjacent BE in the tissue sections. Of the lesions, two had very few noncancerous BEs. Therefore, 11 EAC specimens were </w:t>
      </w:r>
      <w:r w:rsidRPr="00452F59">
        <w:rPr>
          <w:rFonts w:ascii="Times New Roman" w:hAnsi="Times New Roman" w:cs="Times New Roman" w:hint="eastAsia"/>
          <w:noProof/>
          <w:color w:val="000000" w:themeColor="text1"/>
          <w:kern w:val="0"/>
          <w:sz w:val="24"/>
          <w:szCs w:val="24"/>
        </w:rPr>
        <w:t>m</w:t>
      </w:r>
      <w:r w:rsidRPr="00452F59">
        <w:rPr>
          <w:rFonts w:ascii="Times New Roman" w:hAnsi="Times New Roman" w:cs="Times New Roman"/>
          <w:noProof/>
          <w:color w:val="000000" w:themeColor="text1"/>
          <w:kern w:val="0"/>
          <w:sz w:val="24"/>
          <w:szCs w:val="24"/>
        </w:rPr>
        <w:t xml:space="preserve">icrodissected to 11 EAC areas and nine surrounding noncancerous BEs. DNA was extracted using the </w:t>
      </w:r>
      <w:r w:rsidRPr="00452F59">
        <w:rPr>
          <w:rFonts w:ascii="Times New Roman" w:hAnsi="Times New Roman" w:cs="Times New Roman" w:hint="eastAsia"/>
          <w:noProof/>
          <w:color w:val="000000" w:themeColor="text1"/>
          <w:kern w:val="0"/>
          <w:sz w:val="24"/>
          <w:szCs w:val="24"/>
        </w:rPr>
        <w:t xml:space="preserve">NucleoSpin® DNA FFPE XS kit </w:t>
      </w:r>
      <w:r w:rsidRPr="00452F59">
        <w:rPr>
          <w:rFonts w:ascii="Times New Roman" w:hAnsi="Times New Roman" w:cs="Times New Roman"/>
          <w:noProof/>
          <w:color w:val="000000" w:themeColor="text1"/>
          <w:kern w:val="0"/>
          <w:sz w:val="24"/>
          <w:szCs w:val="24"/>
        </w:rPr>
        <w:t>(Takara Bio Inc., Tokyo, Japan) and was quantitated by fluorometry with the Invitrogen Qubit fluorometer and the Invitrogen Quant-iT double-strand DNA BR Assay Kit (Life Technologies, Carlsbad, CA, USA) as recommended by the manufacturers. All biopsy samples were quickly put into Allprotect Tissue Reagent (Qiagen, Hilden, Germany) and preserved at 4 °C until DNA extraction for NDBE.</w:t>
      </w:r>
      <w:bookmarkStart w:id="0" w:name="_Hlk29568399"/>
      <w:r w:rsidRPr="00452F59">
        <w:rPr>
          <w:rFonts w:ascii="Times New Roman" w:hAnsi="Times New Roman" w:cs="Times New Roman"/>
          <w:noProof/>
          <w:color w:val="000000" w:themeColor="text1"/>
          <w:kern w:val="0"/>
          <w:sz w:val="24"/>
          <w:szCs w:val="24"/>
        </w:rPr>
        <w:t xml:space="preserve"> In addition, peripheral blood was obtained from all patients before or after endoscopy. Each buffy coat was isolated after centrifugation at 820×</w:t>
      </w:r>
      <w:r w:rsidRPr="00452F59">
        <w:rPr>
          <w:rFonts w:ascii="Times New Roman" w:hAnsi="Times New Roman" w:cs="Times New Roman"/>
          <w:i/>
          <w:color w:val="000000" w:themeColor="text1"/>
          <w:kern w:val="0"/>
          <w:sz w:val="24"/>
          <w:szCs w:val="24"/>
        </w:rPr>
        <w:t>g</w:t>
      </w:r>
      <w:r w:rsidRPr="00452F59">
        <w:rPr>
          <w:rFonts w:ascii="Times New Roman" w:hAnsi="Times New Roman" w:cs="Times New Roman"/>
          <w:noProof/>
          <w:color w:val="000000" w:themeColor="text1"/>
          <w:kern w:val="0"/>
          <w:sz w:val="24"/>
          <w:szCs w:val="24"/>
        </w:rPr>
        <w:t xml:space="preserve"> at 4 °C for 10 min and stored at −80 °C until DNA extraction.</w:t>
      </w:r>
      <w:bookmarkEnd w:id="0"/>
      <w:r w:rsidRPr="00452F59">
        <w:rPr>
          <w:rFonts w:ascii="Times New Roman" w:hAnsi="Times New Roman" w:cs="Times New Roman"/>
          <w:noProof/>
          <w:color w:val="000000" w:themeColor="text1"/>
          <w:kern w:val="0"/>
          <w:sz w:val="24"/>
          <w:szCs w:val="24"/>
        </w:rPr>
        <w:t xml:space="preserve"> The DNA of the tissue sample and the buffy coat of each patient was extracted with a QIAamp DNA Mini Kit (Qiagen). A NanoDrop (Thermo Fisher Scientific, Waltham, MA, USA) was then used to measure DNA concentration. </w:t>
      </w:r>
      <w:r w:rsidRPr="00452F59">
        <w:rPr>
          <w:rFonts w:ascii="Times New Roman" w:hAnsi="Times New Roman" w:cs="Times New Roman"/>
          <w:noProof/>
          <w:color w:val="000000" w:themeColor="text1"/>
          <w:kern w:val="0"/>
          <w:sz w:val="24"/>
          <w:szCs w:val="24"/>
        </w:rPr>
        <w:lastRenderedPageBreak/>
        <w:t>All extracted DNA was stored at −80 °C.</w:t>
      </w:r>
    </w:p>
    <w:p w14:paraId="0980479C" w14:textId="77777777" w:rsidR="00BB1095" w:rsidRPr="00452F59" w:rsidRDefault="00BB1095" w:rsidP="00BB1095">
      <w:pPr>
        <w:spacing w:line="480" w:lineRule="auto"/>
        <w:rPr>
          <w:rFonts w:ascii="Times New Roman" w:hAnsi="Times New Roman" w:cs="Times New Roman"/>
          <w:b/>
          <w:i/>
          <w:iCs/>
          <w:color w:val="000000" w:themeColor="text1"/>
          <w:sz w:val="24"/>
          <w:szCs w:val="24"/>
        </w:rPr>
      </w:pPr>
      <w:r w:rsidRPr="00452F59">
        <w:rPr>
          <w:rFonts w:ascii="Times New Roman" w:hAnsi="Times New Roman" w:cs="Times New Roman"/>
          <w:b/>
          <w:i/>
          <w:iCs/>
          <w:color w:val="000000" w:themeColor="text1"/>
          <w:sz w:val="24"/>
          <w:szCs w:val="24"/>
        </w:rPr>
        <w:t>Targeted NGS</w:t>
      </w:r>
    </w:p>
    <w:p w14:paraId="1947ED89" w14:textId="77777777" w:rsidR="00BB1095" w:rsidRPr="00452F59" w:rsidRDefault="00BB1095" w:rsidP="00BB1095">
      <w:pPr>
        <w:spacing w:line="480" w:lineRule="auto"/>
        <w:ind w:firstLine="840"/>
        <w:rPr>
          <w:rFonts w:ascii="Times New Roman" w:hAnsi="Times New Roman" w:cs="Times New Roman"/>
          <w:b/>
          <w:i/>
          <w:iCs/>
          <w:color w:val="000000" w:themeColor="text1"/>
          <w:sz w:val="24"/>
          <w:szCs w:val="24"/>
        </w:rPr>
      </w:pPr>
      <w:r w:rsidRPr="00452F59">
        <w:rPr>
          <w:rFonts w:ascii="Times New Roman" w:hAnsi="Times New Roman" w:cs="Times New Roman"/>
          <w:noProof/>
          <w:color w:val="000000" w:themeColor="text1"/>
          <w:sz w:val="24"/>
          <w:szCs w:val="24"/>
        </w:rPr>
        <w:t xml:space="preserve">Extracted DNA was amplified by multiplex </w:t>
      </w:r>
      <w:r w:rsidRPr="00452F59">
        <w:rPr>
          <w:rFonts w:ascii="Times New Roman" w:hAnsi="Times New Roman"/>
          <w:color w:val="000000" w:themeColor="text1"/>
          <w:sz w:val="24"/>
          <w:szCs w:val="24"/>
        </w:rPr>
        <w:t>polymerase chain reaction</w:t>
      </w:r>
      <w:r w:rsidRPr="00452F59">
        <w:rPr>
          <w:rFonts w:ascii="Times New Roman" w:hAnsi="Times New Roman" w:cs="Times New Roman"/>
          <w:noProof/>
          <w:color w:val="000000" w:themeColor="text1"/>
          <w:sz w:val="24"/>
          <w:szCs w:val="24"/>
        </w:rPr>
        <w:t xml:space="preserve"> (PCR) with the premixed panel of this study and the HiFi Master Mix </w:t>
      </w:r>
      <w:r w:rsidRPr="00452F59">
        <w:rPr>
          <w:rFonts w:ascii="Times New Roman" w:hAnsi="Times New Roman" w:cs="Times New Roman"/>
          <w:noProof/>
          <w:color w:val="000000" w:themeColor="text1"/>
          <w:kern w:val="0"/>
          <w:sz w:val="24"/>
          <w:szCs w:val="24"/>
        </w:rPr>
        <w:t>(Thermo Fisher Scientific)</w:t>
      </w:r>
      <w:r w:rsidRPr="00452F59">
        <w:rPr>
          <w:rFonts w:ascii="Times New Roman" w:hAnsi="Times New Roman" w:cs="Times New Roman"/>
          <w:noProof/>
          <w:color w:val="000000" w:themeColor="text1"/>
          <w:sz w:val="24"/>
          <w:szCs w:val="24"/>
        </w:rPr>
        <w:t xml:space="preserve">. </w:t>
      </w:r>
      <w:r w:rsidRPr="00452F59">
        <w:rPr>
          <w:rFonts w:ascii="Times New Roman" w:hAnsi="Times New Roman" w:cs="Times New Roman"/>
          <w:color w:val="000000" w:themeColor="text1"/>
          <w:sz w:val="24"/>
          <w:szCs w:val="24"/>
        </w:rPr>
        <w:t xml:space="preserve">The amplicons were then treated with </w:t>
      </w:r>
      <w:proofErr w:type="spellStart"/>
      <w:r w:rsidRPr="00452F59">
        <w:rPr>
          <w:rFonts w:ascii="Times New Roman" w:hAnsi="Times New Roman" w:cs="Times New Roman"/>
          <w:color w:val="000000" w:themeColor="text1"/>
          <w:sz w:val="24"/>
          <w:szCs w:val="24"/>
        </w:rPr>
        <w:t>FuPa</w:t>
      </w:r>
      <w:proofErr w:type="spellEnd"/>
      <w:r w:rsidRPr="00452F59">
        <w:rPr>
          <w:rFonts w:ascii="Times New Roman" w:hAnsi="Times New Roman" w:cs="Times New Roman"/>
          <w:color w:val="000000" w:themeColor="text1"/>
          <w:sz w:val="24"/>
          <w:szCs w:val="24"/>
        </w:rPr>
        <w:t xml:space="preserve"> reagent </w:t>
      </w:r>
      <w:r w:rsidRPr="00452F59">
        <w:rPr>
          <w:rFonts w:ascii="Times New Roman" w:hAnsi="Times New Roman" w:cs="Times New Roman"/>
          <w:noProof/>
          <w:color w:val="000000" w:themeColor="text1"/>
          <w:kern w:val="0"/>
          <w:sz w:val="24"/>
          <w:szCs w:val="24"/>
        </w:rPr>
        <w:t>(Thermo Fisher Scientific)</w:t>
      </w:r>
      <w:r w:rsidRPr="00452F59">
        <w:rPr>
          <w:rFonts w:ascii="Times New Roman" w:hAnsi="Times New Roman" w:cs="Times New Roman"/>
          <w:color w:val="000000" w:themeColor="text1"/>
          <w:sz w:val="24"/>
          <w:szCs w:val="24"/>
        </w:rPr>
        <w:t xml:space="preserve"> to partially digest the primer sequences and phosphorylate the amplicons for optimization of the sequencing performance. The amplicons were then ligated to adapters with barcodes using an Ion Xpress Barcode Adapters kit </w:t>
      </w:r>
      <w:r w:rsidRPr="00452F59">
        <w:rPr>
          <w:rFonts w:ascii="Times New Roman" w:hAnsi="Times New Roman" w:cs="Times New Roman"/>
          <w:noProof/>
          <w:color w:val="000000" w:themeColor="text1"/>
          <w:kern w:val="0"/>
          <w:sz w:val="24"/>
          <w:szCs w:val="24"/>
        </w:rPr>
        <w:t>(Thermo Fisher Scientific)</w:t>
      </w:r>
      <w:r w:rsidRPr="00452F59">
        <w:rPr>
          <w:rFonts w:ascii="Times New Roman" w:hAnsi="Times New Roman" w:cs="Times New Roman"/>
          <w:color w:val="000000" w:themeColor="text1"/>
          <w:sz w:val="24"/>
          <w:szCs w:val="24"/>
        </w:rPr>
        <w:t xml:space="preserve">. The ligated library was purified using </w:t>
      </w:r>
      <w:proofErr w:type="spellStart"/>
      <w:r w:rsidRPr="00452F59">
        <w:rPr>
          <w:rFonts w:ascii="Times New Roman" w:hAnsi="Times New Roman" w:cs="Times New Roman"/>
          <w:color w:val="000000" w:themeColor="text1"/>
          <w:sz w:val="24"/>
          <w:szCs w:val="24"/>
        </w:rPr>
        <w:t>Agencourt</w:t>
      </w:r>
      <w:proofErr w:type="spellEnd"/>
      <w:r w:rsidRPr="00452F59">
        <w:rPr>
          <w:rFonts w:ascii="Times New Roman" w:hAnsi="Times New Roman" w:cs="Times New Roman"/>
          <w:color w:val="000000" w:themeColor="text1"/>
          <w:sz w:val="24"/>
          <w:szCs w:val="24"/>
        </w:rPr>
        <w:t xml:space="preserve"> </w:t>
      </w:r>
      <w:proofErr w:type="spellStart"/>
      <w:r w:rsidRPr="00452F59">
        <w:rPr>
          <w:rFonts w:ascii="Times New Roman" w:hAnsi="Times New Roman" w:cs="Times New Roman"/>
          <w:color w:val="000000" w:themeColor="text1"/>
          <w:sz w:val="24"/>
          <w:szCs w:val="24"/>
        </w:rPr>
        <w:t>AMPure</w:t>
      </w:r>
      <w:proofErr w:type="spellEnd"/>
      <w:r w:rsidRPr="00452F59">
        <w:rPr>
          <w:rFonts w:ascii="Times New Roman" w:hAnsi="Times New Roman" w:cs="Times New Roman"/>
          <w:color w:val="000000" w:themeColor="text1"/>
          <w:sz w:val="24"/>
          <w:szCs w:val="24"/>
        </w:rPr>
        <w:t xml:space="preserve"> XP reagents (Beckman Coulter, Brea, CA, USA), and the library concentration was quantified by </w:t>
      </w:r>
      <w:r w:rsidRPr="00452F59">
        <w:rPr>
          <w:rFonts w:ascii="Times New Roman" w:hAnsi="Times New Roman" w:cs="Times New Roman"/>
          <w:noProof/>
          <w:color w:val="000000" w:themeColor="text1"/>
          <w:sz w:val="24"/>
          <w:szCs w:val="24"/>
        </w:rPr>
        <w:t>real-time</w:t>
      </w:r>
      <w:r w:rsidRPr="00452F59">
        <w:rPr>
          <w:rFonts w:ascii="Times New Roman" w:hAnsi="Times New Roman" w:cs="Times New Roman"/>
          <w:color w:val="000000" w:themeColor="text1"/>
          <w:sz w:val="24"/>
          <w:szCs w:val="24"/>
        </w:rPr>
        <w:t xml:space="preserve"> PCR with an Ion Library Quantitation Kit (Thermo Fisher Scientific). The </w:t>
      </w:r>
      <w:r w:rsidRPr="00452F59">
        <w:rPr>
          <w:rFonts w:ascii="Times New Roman" w:hAnsi="Times New Roman" w:cs="Times New Roman"/>
          <w:noProof/>
          <w:color w:val="000000" w:themeColor="text1"/>
          <w:sz w:val="24"/>
          <w:szCs w:val="24"/>
        </w:rPr>
        <w:t>concentration</w:t>
      </w:r>
      <w:r w:rsidRPr="00452F59">
        <w:rPr>
          <w:rFonts w:ascii="Times New Roman" w:hAnsi="Times New Roman" w:cs="Times New Roman"/>
          <w:color w:val="000000" w:themeColor="text1"/>
          <w:sz w:val="24"/>
          <w:szCs w:val="24"/>
        </w:rPr>
        <w:t xml:space="preserve"> of each library was adjusted to </w:t>
      </w:r>
      <w:r w:rsidRPr="00452F59">
        <w:rPr>
          <w:rFonts w:ascii="Times New Roman" w:hAnsi="Times New Roman" w:cs="Times New Roman"/>
          <w:noProof/>
          <w:color w:val="000000" w:themeColor="text1"/>
          <w:sz w:val="24"/>
          <w:szCs w:val="24"/>
        </w:rPr>
        <w:t>10 pM</w:t>
      </w:r>
      <w:r w:rsidRPr="00452F59">
        <w:rPr>
          <w:rFonts w:ascii="Times New Roman" w:hAnsi="Times New Roman" w:cs="Times New Roman"/>
          <w:color w:val="000000" w:themeColor="text1"/>
          <w:sz w:val="24"/>
          <w:szCs w:val="24"/>
        </w:rPr>
        <w:t xml:space="preserve"> and was then enriched using emulsion PCR with Hi-Q™ View OT2 Kit (Thermo Fisher Scientific). After loading on an Ion 318 Chip </w:t>
      </w:r>
      <w:r w:rsidRPr="00452F59">
        <w:rPr>
          <w:rFonts w:ascii="Times New Roman" w:hAnsi="Times New Roman" w:cs="Times New Roman"/>
          <w:noProof/>
          <w:color w:val="000000" w:themeColor="text1"/>
          <w:kern w:val="0"/>
          <w:sz w:val="24"/>
          <w:szCs w:val="24"/>
        </w:rPr>
        <w:t>(Thermo Fisher Scientific)</w:t>
      </w:r>
      <w:r w:rsidRPr="00452F59">
        <w:rPr>
          <w:rFonts w:ascii="Times New Roman" w:hAnsi="Times New Roman" w:cs="Times New Roman"/>
          <w:color w:val="000000" w:themeColor="text1"/>
          <w:sz w:val="24"/>
          <w:szCs w:val="24"/>
        </w:rPr>
        <w:t xml:space="preserve">, sequencing was carried out on Ion PGM (Thermo Fisher Scientific). All procedures </w:t>
      </w:r>
      <w:r w:rsidRPr="00452F59">
        <w:rPr>
          <w:rFonts w:ascii="Times New Roman" w:hAnsi="Times New Roman" w:cs="Times New Roman"/>
          <w:noProof/>
          <w:color w:val="000000" w:themeColor="text1"/>
          <w:sz w:val="24"/>
          <w:szCs w:val="24"/>
        </w:rPr>
        <w:t>were performed</w:t>
      </w:r>
      <w:r w:rsidRPr="00452F59">
        <w:rPr>
          <w:rFonts w:ascii="Times New Roman" w:hAnsi="Times New Roman" w:cs="Times New Roman"/>
          <w:color w:val="000000" w:themeColor="text1"/>
          <w:sz w:val="24"/>
          <w:szCs w:val="24"/>
        </w:rPr>
        <w:t xml:space="preserve"> </w:t>
      </w:r>
      <w:r w:rsidRPr="00452F59">
        <w:rPr>
          <w:rFonts w:ascii="Times New Roman" w:hAnsi="Times New Roman" w:cs="Times New Roman"/>
          <w:noProof/>
          <w:color w:val="000000" w:themeColor="text1"/>
          <w:sz w:val="24"/>
          <w:szCs w:val="24"/>
        </w:rPr>
        <w:t>following the manufacturer</w:t>
      </w:r>
      <w:r w:rsidRPr="00452F59">
        <w:rPr>
          <w:rFonts w:ascii="Times New Roman" w:eastAsia="游明朝" w:hAnsi="Times New Roman" w:cs="Times New Roman"/>
          <w:color w:val="000000" w:themeColor="text1"/>
          <w:kern w:val="0"/>
          <w:sz w:val="24"/>
          <w:szCs w:val="24"/>
          <w:lang w:eastAsia="de-CH"/>
        </w:rPr>
        <w:t>’</w:t>
      </w:r>
      <w:r w:rsidRPr="00452F59">
        <w:rPr>
          <w:rFonts w:ascii="Times New Roman" w:hAnsi="Times New Roman" w:cs="Times New Roman"/>
          <w:noProof/>
          <w:color w:val="000000" w:themeColor="text1"/>
          <w:sz w:val="24"/>
          <w:szCs w:val="24"/>
        </w:rPr>
        <w:t>s recommendations.</w:t>
      </w:r>
    </w:p>
    <w:p w14:paraId="77706DA5" w14:textId="77777777" w:rsidR="00BB1095" w:rsidRPr="00452F59" w:rsidRDefault="00BB1095" w:rsidP="00BB1095">
      <w:pPr>
        <w:spacing w:line="480" w:lineRule="auto"/>
        <w:rPr>
          <w:rFonts w:ascii="Times New Roman" w:hAnsi="Times New Roman" w:cs="Times New Roman"/>
          <w:b/>
          <w:i/>
          <w:iCs/>
          <w:color w:val="000000" w:themeColor="text1"/>
          <w:sz w:val="24"/>
          <w:szCs w:val="24"/>
        </w:rPr>
      </w:pPr>
      <w:r w:rsidRPr="00452F59">
        <w:rPr>
          <w:rFonts w:ascii="Times New Roman" w:hAnsi="Times New Roman" w:cs="Times New Roman"/>
          <w:b/>
          <w:i/>
          <w:iCs/>
          <w:noProof/>
          <w:color w:val="000000" w:themeColor="text1"/>
          <w:sz w:val="24"/>
          <w:szCs w:val="24"/>
        </w:rPr>
        <w:t>NGS data</w:t>
      </w:r>
      <w:r w:rsidRPr="00452F59">
        <w:rPr>
          <w:rFonts w:ascii="Times New Roman" w:hAnsi="Times New Roman" w:cs="Times New Roman"/>
          <w:b/>
          <w:i/>
          <w:iCs/>
          <w:color w:val="000000" w:themeColor="text1"/>
          <w:sz w:val="24"/>
          <w:szCs w:val="24"/>
        </w:rPr>
        <w:t xml:space="preserve"> analysis</w:t>
      </w:r>
    </w:p>
    <w:p w14:paraId="2F2B3AB8" w14:textId="77777777" w:rsidR="00BB1095" w:rsidRPr="00452F59" w:rsidRDefault="00BB1095" w:rsidP="00BB1095">
      <w:pPr>
        <w:spacing w:line="480" w:lineRule="auto"/>
        <w:ind w:firstLine="840"/>
        <w:rPr>
          <w:rFonts w:ascii="Times New Roman" w:hAnsi="Times New Roman" w:cs="Times New Roman"/>
          <w:color w:val="000000" w:themeColor="text1"/>
          <w:sz w:val="24"/>
          <w:szCs w:val="24"/>
        </w:rPr>
      </w:pPr>
      <w:r w:rsidRPr="00452F59">
        <w:rPr>
          <w:rFonts w:ascii="Times New Roman" w:hAnsi="Times New Roman" w:cs="Times New Roman"/>
          <w:color w:val="000000" w:themeColor="text1"/>
          <w:sz w:val="24"/>
          <w:szCs w:val="24"/>
        </w:rPr>
        <w:t xml:space="preserve">Sequence data </w:t>
      </w:r>
      <w:r w:rsidRPr="00452F59">
        <w:rPr>
          <w:rFonts w:ascii="Times New Roman" w:hAnsi="Times New Roman" w:cs="Times New Roman"/>
          <w:noProof/>
          <w:color w:val="000000" w:themeColor="text1"/>
          <w:sz w:val="24"/>
          <w:szCs w:val="24"/>
        </w:rPr>
        <w:t>was processed</w:t>
      </w:r>
      <w:r w:rsidRPr="00452F59">
        <w:rPr>
          <w:rFonts w:ascii="Times New Roman" w:hAnsi="Times New Roman" w:cs="Times New Roman"/>
          <w:color w:val="000000" w:themeColor="text1"/>
          <w:sz w:val="24"/>
          <w:szCs w:val="24"/>
        </w:rPr>
        <w:t xml:space="preserve"> with Ion Torrent Suite Software. Raw signal data were analyzed using Torrent Suite version 5.16</w:t>
      </w:r>
      <w:r w:rsidRPr="00452F59">
        <w:rPr>
          <w:rFonts w:ascii="Times New Roman" w:hAnsi="Times New Roman" w:cs="Times New Roman"/>
          <w:b/>
          <w:color w:val="000000" w:themeColor="text1"/>
          <w:sz w:val="24"/>
          <w:szCs w:val="24"/>
        </w:rPr>
        <w:t xml:space="preserve"> </w:t>
      </w:r>
      <w:r w:rsidRPr="00452F59">
        <w:rPr>
          <w:rFonts w:ascii="Times New Roman" w:hAnsi="Times New Roman" w:cs="Times New Roman"/>
          <w:noProof/>
          <w:color w:val="000000" w:themeColor="text1"/>
          <w:sz w:val="24"/>
          <w:szCs w:val="24"/>
        </w:rPr>
        <w:t>after</w:t>
      </w:r>
      <w:r w:rsidRPr="00452F59">
        <w:rPr>
          <w:rFonts w:ascii="Times New Roman" w:hAnsi="Times New Roman" w:cs="Times New Roman"/>
          <w:color w:val="000000" w:themeColor="text1"/>
          <w:sz w:val="24"/>
          <w:szCs w:val="24"/>
        </w:rPr>
        <w:t xml:space="preserve"> signal processing, base-calling </w:t>
      </w:r>
      <w:r w:rsidRPr="00452F59">
        <w:rPr>
          <w:rFonts w:ascii="Times New Roman" w:hAnsi="Times New Roman" w:cs="Times New Roman"/>
          <w:color w:val="000000" w:themeColor="text1"/>
          <w:sz w:val="24"/>
          <w:szCs w:val="24"/>
        </w:rPr>
        <w:lastRenderedPageBreak/>
        <w:t xml:space="preserve">adapter trimming, quality score assignment, PCR duplicate removal, read alignment to the reference </w:t>
      </w:r>
      <w:bookmarkStart w:id="1" w:name="_Hlk530778744"/>
      <w:r w:rsidRPr="00452F59">
        <w:rPr>
          <w:rFonts w:ascii="Times New Roman" w:hAnsi="Times New Roman" w:cs="Times New Roman"/>
          <w:color w:val="000000" w:themeColor="text1"/>
          <w:sz w:val="24"/>
          <w:szCs w:val="24"/>
        </w:rPr>
        <w:t>human genome 19</w:t>
      </w:r>
      <w:bookmarkEnd w:id="1"/>
      <w:r w:rsidRPr="00452F59">
        <w:rPr>
          <w:rFonts w:ascii="Times New Roman" w:hAnsi="Times New Roman" w:cs="Times New Roman"/>
          <w:color w:val="000000" w:themeColor="text1"/>
          <w:sz w:val="24"/>
          <w:szCs w:val="24"/>
        </w:rPr>
        <w:t>, quality control of mapping quality, and coverage analysis.</w:t>
      </w:r>
      <w:bookmarkStart w:id="2" w:name="_Hlk38305145"/>
    </w:p>
    <w:p w14:paraId="28786E5A" w14:textId="77777777" w:rsidR="00BB1095" w:rsidRPr="00452F59" w:rsidRDefault="00BB1095" w:rsidP="00BB1095">
      <w:pPr>
        <w:spacing w:line="480" w:lineRule="auto"/>
        <w:ind w:firstLine="840"/>
        <w:rPr>
          <w:rFonts w:ascii="Times New Roman" w:hAnsi="Times New Roman" w:cs="Times New Roman"/>
          <w:color w:val="000000" w:themeColor="text1"/>
          <w:sz w:val="24"/>
          <w:szCs w:val="24"/>
          <w:u w:val="single"/>
        </w:rPr>
      </w:pPr>
      <w:r w:rsidRPr="00452F59">
        <w:rPr>
          <w:rFonts w:ascii="Times New Roman" w:hAnsi="Times New Roman" w:cs="Times New Roman"/>
          <w:color w:val="000000" w:themeColor="text1"/>
          <w:sz w:val="24"/>
          <w:szCs w:val="24"/>
        </w:rPr>
        <w:t xml:space="preserve">Nonsynonymous somatic and splice site mutations </w:t>
      </w:r>
      <w:r w:rsidRPr="00452F59">
        <w:rPr>
          <w:rFonts w:ascii="Times New Roman" w:hAnsi="Times New Roman" w:cs="Times New Roman"/>
          <w:noProof/>
          <w:color w:val="000000" w:themeColor="text1"/>
          <w:sz w:val="24"/>
          <w:szCs w:val="24"/>
        </w:rPr>
        <w:t>were identified</w:t>
      </w:r>
      <w:r w:rsidRPr="00452F59">
        <w:rPr>
          <w:rFonts w:ascii="Times New Roman" w:hAnsi="Times New Roman" w:cs="Times New Roman"/>
          <w:color w:val="000000" w:themeColor="text1"/>
          <w:sz w:val="24"/>
          <w:szCs w:val="24"/>
        </w:rPr>
        <w:t xml:space="preserve"> by the Ion Reporter Server System (Thermo Fisher Scientific)</w:t>
      </w:r>
      <w:bookmarkEnd w:id="2"/>
      <w:r w:rsidRPr="00452F59">
        <w:rPr>
          <w:rFonts w:ascii="Times New Roman" w:hAnsi="Times New Roman" w:cs="Times New Roman"/>
          <w:color w:val="000000" w:themeColor="text1"/>
          <w:sz w:val="24"/>
          <w:szCs w:val="24"/>
        </w:rPr>
        <w:t xml:space="preserve">. In addition, buffy coat DNA was used as a reference to identify variants in EAC and NDBE. </w:t>
      </w:r>
      <w:r w:rsidRPr="00452F59">
        <w:rPr>
          <w:rFonts w:ascii="Times New Roman" w:hAnsi="Times New Roman" w:cs="Times New Roman"/>
          <w:noProof/>
          <w:color w:val="000000" w:themeColor="text1"/>
          <w:sz w:val="24"/>
          <w:szCs w:val="24"/>
        </w:rPr>
        <w:t>Mutations were filtered according to the following criteria to identify high-confidence somatic mutations:</w:t>
      </w:r>
      <w:bookmarkStart w:id="3" w:name="_Hlk29711478"/>
      <w:r w:rsidRPr="00452F59">
        <w:rPr>
          <w:rFonts w:ascii="Times New Roman" w:hAnsi="Times New Roman" w:cs="Times New Roman"/>
          <w:noProof/>
          <w:color w:val="000000" w:themeColor="text1"/>
          <w:sz w:val="24"/>
          <w:szCs w:val="24"/>
        </w:rPr>
        <w:t xml:space="preserve"> (1) the minimum count for mutant allele reads ≥5 in samples; (2) coverage depth ≥10 at the somatic variant site in samples; (3) high-confidence variant call (confident somatic variants = In), variant allele frequency (AF) ≥1% and </w:t>
      </w:r>
      <w:r w:rsidRPr="00452F59">
        <w:rPr>
          <w:rFonts w:ascii="Times New Roman" w:hAnsi="Times New Roman" w:cs="Times New Roman"/>
          <w:i/>
          <w:iCs/>
          <w:noProof/>
          <w:color w:val="000000" w:themeColor="text1"/>
          <w:sz w:val="24"/>
          <w:szCs w:val="24"/>
        </w:rPr>
        <w:t>p</w:t>
      </w:r>
      <w:r w:rsidRPr="00452F59">
        <w:rPr>
          <w:rFonts w:ascii="Times New Roman" w:hAnsi="Times New Roman" w:cs="Times New Roman"/>
          <w:noProof/>
          <w:color w:val="000000" w:themeColor="text1"/>
          <w:sz w:val="24"/>
          <w:szCs w:val="24"/>
        </w:rPr>
        <w:t xml:space="preserve"> value cutoff 0.05; (4) variants present in the Single Nucleotide Polymorphism Database (dbSNP) version 138 are filtered out (UCSC common SNPs = Not In); and (5) no variant allele reads in the buffy coat.</w:t>
      </w:r>
      <w:r w:rsidRPr="00452F59">
        <w:rPr>
          <w:color w:val="000000" w:themeColor="text1"/>
        </w:rPr>
        <w:t xml:space="preserve"> </w:t>
      </w:r>
      <w:r w:rsidRPr="00452F59">
        <w:rPr>
          <w:rFonts w:ascii="Times New Roman" w:hAnsi="Times New Roman" w:cs="Times New Roman"/>
          <w:noProof/>
          <w:color w:val="000000" w:themeColor="text1"/>
          <w:sz w:val="24"/>
          <w:szCs w:val="24"/>
        </w:rPr>
        <w:t>This analysis method was reported in a previous study, and it is believed that this data analysis is reasonable [22].</w:t>
      </w:r>
      <w:bookmarkEnd w:id="3"/>
    </w:p>
    <w:p w14:paraId="2F2E2D71" w14:textId="77777777" w:rsidR="00BB1095" w:rsidRPr="00452F59" w:rsidRDefault="00BB1095" w:rsidP="00BB1095">
      <w:pPr>
        <w:spacing w:line="480" w:lineRule="auto"/>
        <w:ind w:firstLine="840"/>
        <w:rPr>
          <w:rFonts w:ascii="Times New Roman" w:hAnsi="Times New Roman" w:cs="Times New Roman"/>
          <w:color w:val="000000" w:themeColor="text1"/>
          <w:sz w:val="24"/>
          <w:szCs w:val="24"/>
        </w:rPr>
      </w:pPr>
      <w:r w:rsidRPr="00452F59">
        <w:rPr>
          <w:rFonts w:ascii="Times New Roman" w:hAnsi="Times New Roman" w:cs="Times New Roman"/>
          <w:color w:val="000000" w:themeColor="text1"/>
          <w:sz w:val="24"/>
          <w:szCs w:val="24"/>
        </w:rPr>
        <w:t xml:space="preserve">For each identified mutant gene, we analyzed whether it was oncogenic or not </w:t>
      </w:r>
      <w:r w:rsidRPr="00452F59">
        <w:rPr>
          <w:rFonts w:ascii="Times New Roman" w:hAnsi="Times New Roman" w:cs="Times New Roman"/>
          <w:noProof/>
          <w:color w:val="000000" w:themeColor="text1"/>
          <w:sz w:val="24"/>
          <w:szCs w:val="24"/>
        </w:rPr>
        <w:t>concerning</w:t>
      </w:r>
      <w:r w:rsidRPr="00452F59">
        <w:rPr>
          <w:rFonts w:ascii="Times New Roman" w:hAnsi="Times New Roman" w:cs="Times New Roman"/>
          <w:color w:val="000000" w:themeColor="text1"/>
          <w:sz w:val="24"/>
          <w:szCs w:val="24"/>
        </w:rPr>
        <w:t xml:space="preserve"> </w:t>
      </w:r>
      <w:r w:rsidRPr="00452F59">
        <w:rPr>
          <w:rFonts w:ascii="Times New Roman" w:hAnsi="Times New Roman" w:cs="Times New Roman"/>
          <w:noProof/>
          <w:color w:val="000000" w:themeColor="text1"/>
          <w:sz w:val="24"/>
          <w:szCs w:val="24"/>
        </w:rPr>
        <w:t>OncoKB (http://oncokb.org/)</w:t>
      </w:r>
      <w:r w:rsidRPr="00452F59">
        <w:rPr>
          <w:rFonts w:ascii="Times New Roman" w:hAnsi="Times New Roman" w:cs="Times New Roman"/>
          <w:color w:val="000000" w:themeColor="text1"/>
          <w:sz w:val="24"/>
          <w:szCs w:val="24"/>
        </w:rPr>
        <w:t xml:space="preserve">. In this study, oncogenic and </w:t>
      </w:r>
      <w:r w:rsidRPr="00452F59">
        <w:rPr>
          <w:rFonts w:ascii="Times New Roman" w:hAnsi="Times New Roman" w:cs="Times New Roman"/>
          <w:noProof/>
          <w:color w:val="000000" w:themeColor="text1"/>
          <w:sz w:val="24"/>
          <w:szCs w:val="24"/>
        </w:rPr>
        <w:t>likely</w:t>
      </w:r>
      <w:r w:rsidRPr="00452F59">
        <w:rPr>
          <w:rFonts w:ascii="Times New Roman" w:hAnsi="Times New Roman" w:cs="Times New Roman"/>
          <w:color w:val="000000" w:themeColor="text1"/>
          <w:sz w:val="24"/>
          <w:szCs w:val="24"/>
        </w:rPr>
        <w:t xml:space="preserve"> oncogenic mutations </w:t>
      </w:r>
      <w:r w:rsidRPr="00452F59">
        <w:rPr>
          <w:rFonts w:ascii="Times New Roman" w:hAnsi="Times New Roman" w:cs="Times New Roman"/>
          <w:noProof/>
          <w:color w:val="000000" w:themeColor="text1"/>
          <w:sz w:val="24"/>
          <w:szCs w:val="24"/>
        </w:rPr>
        <w:t>were defined</w:t>
      </w:r>
      <w:r w:rsidRPr="00452F59">
        <w:rPr>
          <w:rFonts w:ascii="Times New Roman" w:hAnsi="Times New Roman" w:cs="Times New Roman"/>
          <w:color w:val="000000" w:themeColor="text1"/>
          <w:sz w:val="24"/>
          <w:szCs w:val="24"/>
        </w:rPr>
        <w:t xml:space="preserve"> as putative drivers.</w:t>
      </w:r>
    </w:p>
    <w:p w14:paraId="568428ED" w14:textId="77777777" w:rsidR="00A1237B" w:rsidRPr="00452F59" w:rsidRDefault="00452F59">
      <w:pPr>
        <w:rPr>
          <w:color w:val="000000" w:themeColor="text1"/>
        </w:rPr>
      </w:pPr>
    </w:p>
    <w:sectPr w:rsidR="00A1237B" w:rsidRPr="00452F5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095"/>
    <w:rsid w:val="000E6334"/>
    <w:rsid w:val="00334252"/>
    <w:rsid w:val="00452F59"/>
    <w:rsid w:val="00BB1095"/>
    <w:rsid w:val="00E03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6B30DE"/>
  <w15:chartTrackingRefBased/>
  <w15:docId w15:val="{EF5CE08A-3CB9-4210-8912-1B2A2E7D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095"/>
    <w:pPr>
      <w:widowControl w:val="0"/>
      <w:jc w:val="both"/>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587</Words>
  <Characters>3352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徳長 鎮</dc:creator>
  <cp:keywords/>
  <dc:description/>
  <cp:lastModifiedBy>沖元 謙一郎</cp:lastModifiedBy>
  <cp:revision>2</cp:revision>
  <dcterms:created xsi:type="dcterms:W3CDTF">2021-02-26T09:21:00Z</dcterms:created>
  <dcterms:modified xsi:type="dcterms:W3CDTF">2021-04-22T06:28:00Z</dcterms:modified>
</cp:coreProperties>
</file>