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F901A" w14:textId="77777777" w:rsidR="002C1B07" w:rsidRDefault="002C1B07" w:rsidP="002C1B0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2: PEDro quality rating scores for the included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5"/>
        <w:gridCol w:w="3790"/>
        <w:gridCol w:w="1261"/>
        <w:gridCol w:w="725"/>
        <w:gridCol w:w="819"/>
        <w:gridCol w:w="891"/>
        <w:gridCol w:w="837"/>
        <w:gridCol w:w="1260"/>
        <w:gridCol w:w="1084"/>
        <w:gridCol w:w="908"/>
        <w:gridCol w:w="908"/>
      </w:tblGrid>
      <w:tr w:rsidR="002C1B07" w:rsidRPr="008C24BF" w14:paraId="29BB8E9F" w14:textId="77777777" w:rsidTr="00554EEE">
        <w:trPr>
          <w:trHeight w:val="57"/>
        </w:trPr>
        <w:tc>
          <w:tcPr>
            <w:tcW w:w="0" w:type="auto"/>
            <w:gridSpan w:val="2"/>
            <w:noWrap/>
            <w:hideMark/>
          </w:tcPr>
          <w:p w14:paraId="78B81247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Reference</w:t>
            </w:r>
          </w:p>
        </w:tc>
        <w:tc>
          <w:tcPr>
            <w:tcW w:w="0" w:type="auto"/>
            <w:hideMark/>
          </w:tcPr>
          <w:p w14:paraId="48A23005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(Forbes, Blanchard, Mummery, &amp; Courneya, 2015)</w:t>
            </w:r>
          </w:p>
        </w:tc>
        <w:tc>
          <w:tcPr>
            <w:tcW w:w="0" w:type="auto"/>
            <w:hideMark/>
          </w:tcPr>
          <w:p w14:paraId="1118FDF8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(Lee et al., 2013)</w:t>
            </w:r>
          </w:p>
        </w:tc>
        <w:tc>
          <w:tcPr>
            <w:tcW w:w="0" w:type="auto"/>
            <w:hideMark/>
          </w:tcPr>
          <w:p w14:paraId="06D3D7E2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(James et al., 2015)</w:t>
            </w:r>
          </w:p>
        </w:tc>
        <w:tc>
          <w:tcPr>
            <w:tcW w:w="0" w:type="auto"/>
            <w:hideMark/>
          </w:tcPr>
          <w:p w14:paraId="080DA2D7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(Rabin, Pinto, &amp; Fava, 2016)</w:t>
            </w:r>
          </w:p>
        </w:tc>
        <w:tc>
          <w:tcPr>
            <w:tcW w:w="0" w:type="auto"/>
            <w:hideMark/>
          </w:tcPr>
          <w:p w14:paraId="0E2CCC41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(Mama et al., 2017</w:t>
            </w:r>
          </w:p>
        </w:tc>
        <w:tc>
          <w:tcPr>
            <w:tcW w:w="0" w:type="auto"/>
            <w:hideMark/>
          </w:tcPr>
          <w:p w14:paraId="67A48B4A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(Vallerand, Rhodes, Walker, &amp; Courneya, 2018)</w:t>
            </w:r>
          </w:p>
        </w:tc>
        <w:tc>
          <w:tcPr>
            <w:tcW w:w="0" w:type="auto"/>
            <w:hideMark/>
          </w:tcPr>
          <w:p w14:paraId="2E808022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(Valle, Tate, Mayer, Allicock, &amp; Cai, 2015)</w:t>
            </w:r>
          </w:p>
        </w:tc>
        <w:tc>
          <w:tcPr>
            <w:tcW w:w="0" w:type="auto"/>
            <w:hideMark/>
          </w:tcPr>
          <w:p w14:paraId="12C0618F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Hawkes et al., 2013)</w:t>
            </w:r>
          </w:p>
        </w:tc>
        <w:tc>
          <w:tcPr>
            <w:tcW w:w="0" w:type="auto"/>
            <w:hideMark/>
          </w:tcPr>
          <w:p w14:paraId="796B702E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(Ligibel et al., 2012)</w:t>
            </w:r>
          </w:p>
        </w:tc>
      </w:tr>
      <w:tr w:rsidR="002C1B07" w:rsidRPr="008C24BF" w14:paraId="52D7EA35" w14:textId="77777777" w:rsidTr="00554EEE">
        <w:trPr>
          <w:trHeight w:val="58"/>
        </w:trPr>
        <w:tc>
          <w:tcPr>
            <w:tcW w:w="0" w:type="auto"/>
            <w:noWrap/>
            <w:hideMark/>
          </w:tcPr>
          <w:p w14:paraId="1B5B319F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  <w:r w:rsidRPr="008C24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External validity</w:t>
            </w:r>
          </w:p>
        </w:tc>
        <w:tc>
          <w:tcPr>
            <w:tcW w:w="0" w:type="auto"/>
            <w:hideMark/>
          </w:tcPr>
          <w:p w14:paraId="148B5BA9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1.Eligibility criteria were speciﬁed</w:t>
            </w:r>
          </w:p>
        </w:tc>
        <w:tc>
          <w:tcPr>
            <w:tcW w:w="0" w:type="auto"/>
            <w:noWrap/>
            <w:hideMark/>
          </w:tcPr>
          <w:p w14:paraId="41480D07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428ACF3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77F8CDE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34BE907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2379D3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A97217E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2ECC8CB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0E014C7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F89C1AE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</w:tr>
      <w:tr w:rsidR="002C1B07" w:rsidRPr="008C24BF" w14:paraId="6DD0850B" w14:textId="77777777" w:rsidTr="00554EEE">
        <w:trPr>
          <w:trHeight w:val="57"/>
        </w:trPr>
        <w:tc>
          <w:tcPr>
            <w:tcW w:w="0" w:type="auto"/>
            <w:vMerge w:val="restart"/>
            <w:hideMark/>
          </w:tcPr>
          <w:p w14:paraId="4040C8DC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  <w:r w:rsidRPr="008C24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  <w:t>Internal and statistical validity</w:t>
            </w:r>
          </w:p>
        </w:tc>
        <w:tc>
          <w:tcPr>
            <w:tcW w:w="0" w:type="auto"/>
            <w:hideMark/>
          </w:tcPr>
          <w:p w14:paraId="10667ABD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2. Subjects were randomly allocated</w:t>
            </w:r>
          </w:p>
        </w:tc>
        <w:tc>
          <w:tcPr>
            <w:tcW w:w="0" w:type="auto"/>
            <w:noWrap/>
            <w:hideMark/>
          </w:tcPr>
          <w:p w14:paraId="467F5DD5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F3F7E8F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1E7070B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7061BB1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0614851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F201E5E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E39FF4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202F579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6900304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</w:tr>
      <w:tr w:rsidR="002C1B07" w:rsidRPr="008C24BF" w14:paraId="22CD22BB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738CF9F8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noWrap/>
            <w:hideMark/>
          </w:tcPr>
          <w:p w14:paraId="025E8C6B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3. Allocation was concealed.</w:t>
            </w:r>
          </w:p>
        </w:tc>
        <w:tc>
          <w:tcPr>
            <w:tcW w:w="0" w:type="auto"/>
            <w:noWrap/>
            <w:hideMark/>
          </w:tcPr>
          <w:p w14:paraId="003D98F3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6215EF8" w14:textId="05E51637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94545E0" w14:textId="5648C85D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19680A2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5D1B40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8F4169C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7141CA3" w14:textId="7BC8FC17" w:rsidR="002C1B07" w:rsidRPr="00000D2A" w:rsidRDefault="00DB11FC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99B7B60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CD8C36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</w:tr>
      <w:tr w:rsidR="002C1B07" w:rsidRPr="008C24BF" w14:paraId="786FC2CD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32BA3162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2C054116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4. The groups were similar at baseline on the most important prognostic indicators.</w:t>
            </w:r>
          </w:p>
        </w:tc>
        <w:tc>
          <w:tcPr>
            <w:tcW w:w="0" w:type="auto"/>
            <w:noWrap/>
            <w:hideMark/>
          </w:tcPr>
          <w:p w14:paraId="609EC394" w14:textId="0F92FC48" w:rsidR="002C1B07" w:rsidRPr="00000D2A" w:rsidRDefault="00DB11FC" w:rsidP="00DB11F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5C1F5C2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CFDEA05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40793C9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1BD7B48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D2F5D5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D1C807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9790F00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4414E90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</w:tr>
      <w:tr w:rsidR="002C1B07" w:rsidRPr="008C24BF" w14:paraId="2E38BF81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7291202A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noWrap/>
            <w:hideMark/>
          </w:tcPr>
          <w:p w14:paraId="448BE877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5.There was blinding of all subjects.</w:t>
            </w:r>
          </w:p>
        </w:tc>
        <w:tc>
          <w:tcPr>
            <w:tcW w:w="0" w:type="auto"/>
            <w:noWrap/>
            <w:hideMark/>
          </w:tcPr>
          <w:p w14:paraId="4661E4C9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492DEC4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178E6B0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636AD7B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AA9FC5C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6432EFF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A6EDF6E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A7E3CED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7F43241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</w:tr>
      <w:tr w:rsidR="002C1B07" w:rsidRPr="008C24BF" w14:paraId="1C6FC86A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5217942D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6D9C53CB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6. There was blinding of all therapists who administered the therapy.</w:t>
            </w:r>
          </w:p>
        </w:tc>
        <w:tc>
          <w:tcPr>
            <w:tcW w:w="0" w:type="auto"/>
            <w:noWrap/>
            <w:hideMark/>
          </w:tcPr>
          <w:p w14:paraId="21477D99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EAA0AF5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C733191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A417C57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D4BE86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41F863E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86DD5AA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8AA85C3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0DA9415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</w:tr>
      <w:tr w:rsidR="002C1B07" w:rsidRPr="008C24BF" w14:paraId="526467EE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07685BBC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4993EAE0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7. There was blinding of all assessors who measured at least one key outcome.</w:t>
            </w:r>
          </w:p>
        </w:tc>
        <w:tc>
          <w:tcPr>
            <w:tcW w:w="0" w:type="auto"/>
            <w:noWrap/>
            <w:hideMark/>
          </w:tcPr>
          <w:p w14:paraId="4AA67A53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FAFB205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24D4AEC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A402929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A77D32C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1ED318C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392BDB8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F85315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3C25C87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</w:tr>
      <w:tr w:rsidR="002C1B07" w:rsidRPr="008C24BF" w14:paraId="20248F6F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70F3FAD6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5AEADABA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8.Measurements of at least one key outcome were obtained from more than 85% of the subjects initially allocated to groups</w:t>
            </w:r>
          </w:p>
        </w:tc>
        <w:tc>
          <w:tcPr>
            <w:tcW w:w="0" w:type="auto"/>
            <w:noWrap/>
            <w:hideMark/>
          </w:tcPr>
          <w:p w14:paraId="7ED5FC7D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2444F54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1A43689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3CD0AB2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C204233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C98A22C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69277BC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C08239D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F4B2058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</w:tr>
      <w:tr w:rsidR="002C1B07" w:rsidRPr="008C24BF" w14:paraId="7EC906E6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359F6965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3F9B19E3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9. All subjects for whom outcome measures were available received the treatment or control condition as allocated; where this was not the case, data for at least one key outcome were analysed by ‘‘intention to treat’’.</w:t>
            </w:r>
          </w:p>
        </w:tc>
        <w:tc>
          <w:tcPr>
            <w:tcW w:w="0" w:type="auto"/>
            <w:noWrap/>
            <w:hideMark/>
          </w:tcPr>
          <w:p w14:paraId="3C3CFD45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ACD17D0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9172E92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9629718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64B3788" w14:textId="189B0EC9" w:rsidR="002C1B07" w:rsidRPr="00000D2A" w:rsidRDefault="00DB11FC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E9E1EA5" w14:textId="6721E547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30A694D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1765BC8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74ABD2F5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</w:tr>
      <w:tr w:rsidR="002C1B07" w:rsidRPr="008C24BF" w14:paraId="60399245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011A962D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73FFF01F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10. The results of between-group statistical comparisons are reported for at least one key outcome.</w:t>
            </w:r>
          </w:p>
        </w:tc>
        <w:tc>
          <w:tcPr>
            <w:tcW w:w="0" w:type="auto"/>
            <w:noWrap/>
            <w:hideMark/>
          </w:tcPr>
          <w:p w14:paraId="3CABC2CF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45D53A5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B5EAF9E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A840F98" w14:textId="0499FF6A" w:rsidR="002C1B07" w:rsidRPr="00000D2A" w:rsidRDefault="00DB11FC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7573A32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1860734C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733EA00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DA4CF1A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6A9EEC4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</w:tr>
      <w:tr w:rsidR="002C1B07" w:rsidRPr="008C24BF" w14:paraId="195D1AD2" w14:textId="77777777" w:rsidTr="00554EEE">
        <w:trPr>
          <w:trHeight w:val="57"/>
        </w:trPr>
        <w:tc>
          <w:tcPr>
            <w:tcW w:w="0" w:type="auto"/>
            <w:vMerge/>
            <w:hideMark/>
          </w:tcPr>
          <w:p w14:paraId="1BAD3C55" w14:textId="77777777" w:rsidR="002C1B07" w:rsidRPr="008C24BF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5FF0457F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11. The study provides both point measurements and measurements of variability for at least one key outcome.</w:t>
            </w:r>
          </w:p>
        </w:tc>
        <w:tc>
          <w:tcPr>
            <w:tcW w:w="0" w:type="auto"/>
            <w:noWrap/>
            <w:hideMark/>
          </w:tcPr>
          <w:p w14:paraId="1FA6F0F4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27695FB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A64BA1D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544D503" w14:textId="5405C922" w:rsidR="002C1B07" w:rsidRPr="00000D2A" w:rsidRDefault="00DB11FC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CAC8BE9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2804FD9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F840861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7425532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6CB1E7A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</w:t>
            </w:r>
          </w:p>
        </w:tc>
      </w:tr>
      <w:tr w:rsidR="002C1B07" w:rsidRPr="008C24BF" w14:paraId="6F217737" w14:textId="77777777" w:rsidTr="00554EEE">
        <w:trPr>
          <w:trHeight w:val="57"/>
        </w:trPr>
        <w:tc>
          <w:tcPr>
            <w:tcW w:w="0" w:type="auto"/>
            <w:noWrap/>
            <w:hideMark/>
          </w:tcPr>
          <w:p w14:paraId="23DA9E5E" w14:textId="77777777" w:rsidR="002C1B07" w:rsidRPr="008C24BF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14FA38D8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Overall total</w:t>
            </w:r>
          </w:p>
        </w:tc>
        <w:tc>
          <w:tcPr>
            <w:tcW w:w="0" w:type="auto"/>
            <w:noWrap/>
            <w:hideMark/>
          </w:tcPr>
          <w:p w14:paraId="5E636EE3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7A1F20D" w14:textId="3B84D731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0ACFB2AB" w14:textId="21858D29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5D060AB5" w14:textId="30310EBA" w:rsidR="002C1B07" w:rsidRPr="00000D2A" w:rsidRDefault="00DB11FC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4BD5B19F" w14:textId="000D50CD" w:rsidR="002C1B07" w:rsidRPr="00000D2A" w:rsidRDefault="00DB11FC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00C01DE" w14:textId="41088C1E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47B08B13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AD4212E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709D447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8</w:t>
            </w:r>
          </w:p>
        </w:tc>
      </w:tr>
      <w:tr w:rsidR="002C1B07" w:rsidRPr="008C24BF" w14:paraId="57D629C0" w14:textId="77777777" w:rsidTr="00554EEE">
        <w:trPr>
          <w:trHeight w:val="57"/>
        </w:trPr>
        <w:tc>
          <w:tcPr>
            <w:tcW w:w="0" w:type="auto"/>
            <w:noWrap/>
            <w:hideMark/>
          </w:tcPr>
          <w:p w14:paraId="71E7677F" w14:textId="77777777" w:rsidR="002C1B07" w:rsidRPr="008C24BF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MY"/>
              </w:rPr>
            </w:pPr>
          </w:p>
        </w:tc>
        <w:tc>
          <w:tcPr>
            <w:tcW w:w="0" w:type="auto"/>
            <w:hideMark/>
          </w:tcPr>
          <w:p w14:paraId="557A7057" w14:textId="77777777" w:rsidR="002C1B07" w:rsidRPr="00000D2A" w:rsidRDefault="002C1B07" w:rsidP="00554EE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 xml:space="preserve">Total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i</w:t>
            </w: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nternal and statistical validity</w:t>
            </w:r>
          </w:p>
        </w:tc>
        <w:tc>
          <w:tcPr>
            <w:tcW w:w="0" w:type="auto"/>
            <w:noWrap/>
            <w:hideMark/>
          </w:tcPr>
          <w:p w14:paraId="5534A786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600BAB6D" w14:textId="2636935C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ABC5614" w14:textId="5CCFA5F9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63F232B" w14:textId="52660297" w:rsidR="002C1B07" w:rsidRPr="00000D2A" w:rsidRDefault="00DB11FC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F3503A9" w14:textId="7974156C" w:rsidR="002C1B07" w:rsidRPr="00000D2A" w:rsidRDefault="00DB11FC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FDA3878" w14:textId="546D414A" w:rsidR="002C1B07" w:rsidRPr="00000D2A" w:rsidRDefault="00353116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8</w:t>
            </w:r>
            <w:bookmarkStart w:id="0" w:name="_GoBack"/>
            <w:bookmarkEnd w:id="0"/>
          </w:p>
        </w:tc>
        <w:tc>
          <w:tcPr>
            <w:tcW w:w="0" w:type="auto"/>
            <w:noWrap/>
            <w:hideMark/>
          </w:tcPr>
          <w:p w14:paraId="01B537C7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20297B27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726640F0" w14:textId="77777777" w:rsidR="002C1B07" w:rsidRPr="00000D2A" w:rsidRDefault="002C1B07" w:rsidP="00554E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000D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7</w:t>
            </w:r>
          </w:p>
        </w:tc>
      </w:tr>
    </w:tbl>
    <w:p w14:paraId="4E0CA09D" w14:textId="77777777" w:rsidR="002C1B07" w:rsidRPr="00F7671E" w:rsidRDefault="002C1B07" w:rsidP="002C1B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A9913A" w14:textId="77777777" w:rsidR="008B5A9B" w:rsidRDefault="008B5A9B"/>
    <w:sectPr w:rsidR="008B5A9B" w:rsidSect="008C24BF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3FB74" w14:textId="77777777" w:rsidR="00B4789C" w:rsidRDefault="00B4789C" w:rsidP="00F3173F">
      <w:pPr>
        <w:spacing w:after="0" w:line="240" w:lineRule="auto"/>
      </w:pPr>
      <w:r>
        <w:separator/>
      </w:r>
    </w:p>
  </w:endnote>
  <w:endnote w:type="continuationSeparator" w:id="0">
    <w:p w14:paraId="3D5B5EB2" w14:textId="77777777" w:rsidR="00B4789C" w:rsidRDefault="00B4789C" w:rsidP="00F31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75826D" w14:textId="77777777" w:rsidR="00B4789C" w:rsidRDefault="00B4789C" w:rsidP="00F3173F">
      <w:pPr>
        <w:spacing w:after="0" w:line="240" w:lineRule="auto"/>
      </w:pPr>
      <w:r>
        <w:separator/>
      </w:r>
    </w:p>
  </w:footnote>
  <w:footnote w:type="continuationSeparator" w:id="0">
    <w:p w14:paraId="6E144930" w14:textId="77777777" w:rsidR="00B4789C" w:rsidRDefault="00B4789C" w:rsidP="00F31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D15114" w14:textId="2820656F" w:rsidR="00F3173F" w:rsidRPr="00F3173F" w:rsidRDefault="00F3173F">
    <w:pPr>
      <w:pStyle w:val="Header"/>
      <w:rPr>
        <w:rFonts w:ascii="Times New Roman" w:hAnsi="Times New Roman" w:cs="Times New Roman"/>
      </w:rPr>
    </w:pPr>
    <w:r w:rsidRPr="00F3173F">
      <w:rPr>
        <w:rFonts w:ascii="Times New Roman" w:hAnsi="Times New Roman" w:cs="Times New Roman"/>
      </w:rPr>
      <w:t>Supplement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B07"/>
    <w:rsid w:val="001B2C27"/>
    <w:rsid w:val="002C1B07"/>
    <w:rsid w:val="00353116"/>
    <w:rsid w:val="00570999"/>
    <w:rsid w:val="008B5A9B"/>
    <w:rsid w:val="00B4789C"/>
    <w:rsid w:val="00DB11FC"/>
    <w:rsid w:val="00F3173F"/>
    <w:rsid w:val="00FF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4E4C7"/>
  <w15:chartTrackingRefBased/>
  <w15:docId w15:val="{715EB3D9-A82C-4498-BD59-44B478247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C1B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1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17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173F"/>
  </w:style>
  <w:style w:type="paragraph" w:styleId="Footer">
    <w:name w:val="footer"/>
    <w:basedOn w:val="Normal"/>
    <w:link w:val="FooterChar"/>
    <w:uiPriority w:val="99"/>
    <w:unhideWhenUsed/>
    <w:rsid w:val="00F317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173F"/>
  </w:style>
  <w:style w:type="paragraph" w:styleId="BalloonText">
    <w:name w:val="Balloon Text"/>
    <w:basedOn w:val="Normal"/>
    <w:link w:val="BalloonTextChar"/>
    <w:uiPriority w:val="99"/>
    <w:semiHidden/>
    <w:unhideWhenUsed/>
    <w:rsid w:val="00DB1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1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Mardiana</dc:creator>
  <cp:keywords/>
  <dc:description/>
  <cp:lastModifiedBy>Mardiana</cp:lastModifiedBy>
  <cp:revision>3</cp:revision>
  <dcterms:created xsi:type="dcterms:W3CDTF">2019-10-04T06:15:00Z</dcterms:created>
  <dcterms:modified xsi:type="dcterms:W3CDTF">2019-10-08T10:10:00Z</dcterms:modified>
</cp:coreProperties>
</file>