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F8244" w14:textId="77777777" w:rsidR="00B049CE" w:rsidRDefault="00B049CE" w:rsidP="00B049CE">
      <w:pPr>
        <w:pStyle w:val="Heading1"/>
      </w:pPr>
      <w:r>
        <w:t>Supplementary files:</w:t>
      </w:r>
    </w:p>
    <w:p w14:paraId="0D354632" w14:textId="77777777" w:rsidR="00B049CE" w:rsidRDefault="00B049CE" w:rsidP="00B049CE">
      <w:pPr>
        <w:jc w:val="both"/>
      </w:pPr>
    </w:p>
    <w:p w14:paraId="4FD29752" w14:textId="77777777" w:rsidR="00B049CE" w:rsidRPr="003D55FF" w:rsidRDefault="00B049CE" w:rsidP="00B049CE">
      <w:pPr>
        <w:jc w:val="both"/>
      </w:pPr>
      <w:r>
        <w:t>T</w:t>
      </w:r>
      <w:r w:rsidRPr="003D55FF">
        <w:t xml:space="preserve">he basic building block of EIT </w:t>
      </w:r>
      <w:r>
        <w:t>is</w:t>
      </w:r>
      <w:r w:rsidRPr="003D55FF">
        <w:t xml:space="preserve"> Maxwell’s equations.</w:t>
      </w:r>
    </w:p>
    <w:p w14:paraId="5D04169B" w14:textId="77777777" w:rsidR="00B049CE" w:rsidRDefault="00B049CE" w:rsidP="00B049CE">
      <w:pPr>
        <w:jc w:val="both"/>
      </w:pPr>
      <w:r w:rsidRPr="003D55FF">
        <w:t>In an inhomogeneous medium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5"/>
        <w:gridCol w:w="1371"/>
      </w:tblGrid>
      <w:tr w:rsidR="00B049CE" w14:paraId="31B738AF" w14:textId="77777777" w:rsidTr="003D6E88">
        <w:trPr>
          <w:trHeight w:val="665"/>
        </w:trPr>
        <w:tc>
          <w:tcPr>
            <w:tcW w:w="9085" w:type="dxa"/>
          </w:tcPr>
          <w:p w14:paraId="00E40EC8" w14:textId="77777777" w:rsidR="00B049CE" w:rsidRDefault="00B049CE" w:rsidP="003D6E88">
            <w:pPr>
              <w:jc w:val="both"/>
            </w:pPr>
            <m:oMathPara>
              <m:oMath>
                <m:r>
                  <m:rPr>
                    <m:sty m:val="b"/>
                  </m:rPr>
                  <w:rPr>
                    <w:rFonts w:ascii="Cambria Math" w:hAnsi="Cambria Math"/>
                  </w:rPr>
                  <m:t>∇</m:t>
                </m:r>
                <m:r>
                  <w:rPr>
                    <w:rFonts w:ascii="Cambria Math" w:hAnsi="Cambria Math"/>
                  </w:rPr>
                  <m:t>×</m:t>
                </m:r>
                <m:r>
                  <m:rPr>
                    <m:sty m:val="b"/>
                  </m:rPr>
                  <w:rPr>
                    <w:rFonts w:ascii="Cambria Math" w:hAnsi="Cambria Math"/>
                  </w:rPr>
                  <m:t>E</m:t>
                </m:r>
                <m:r>
                  <w:rPr>
                    <w:rFonts w:ascii="Cambria Math" w:hAnsi="Cambria Math"/>
                  </w:rPr>
                  <m:t>= -</m:t>
                </m:r>
                <m:f>
                  <m:fPr>
                    <m:ctrlPr>
                      <w:rPr>
                        <w:rFonts w:ascii="Cambria Math" w:hAnsi="Cambria Math"/>
                        <w:i/>
                      </w:rPr>
                    </m:ctrlPr>
                  </m:fPr>
                  <m:num>
                    <m:r>
                      <w:rPr>
                        <w:rFonts w:ascii="Cambria Math" w:hAnsi="Cambria Math"/>
                      </w:rPr>
                      <m:t>∂</m:t>
                    </m:r>
                    <m:r>
                      <m:rPr>
                        <m:sty m:val="b"/>
                      </m:rPr>
                      <w:rPr>
                        <w:rFonts w:ascii="Cambria Math" w:hAnsi="Cambria Math"/>
                      </w:rPr>
                      <m:t>B</m:t>
                    </m:r>
                  </m:num>
                  <m:den>
                    <m:r>
                      <w:rPr>
                        <w:rFonts w:ascii="Cambria Math" w:hAnsi="Cambria Math"/>
                      </w:rPr>
                      <m:t>∂t</m:t>
                    </m:r>
                  </m:den>
                </m:f>
              </m:oMath>
            </m:oMathPara>
          </w:p>
        </w:tc>
        <w:tc>
          <w:tcPr>
            <w:tcW w:w="1371" w:type="dxa"/>
          </w:tcPr>
          <w:p w14:paraId="4817B34C" w14:textId="77777777" w:rsidR="00B049CE" w:rsidRPr="00920945" w:rsidRDefault="00B049CE" w:rsidP="003D6E88">
            <w:pPr>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sz w:val="10"/>
              </w:rPr>
            </w:pPr>
            <w:r w:rsidRPr="003D55FF">
              <w:rPr>
                <w:rFonts w:eastAsiaTheme="minorEastAsia"/>
              </w:rPr>
              <w:t xml:space="preserve"> </w:t>
            </w:r>
          </w:p>
          <w:p w14:paraId="50463DA1" w14:textId="77777777" w:rsidR="00B049CE" w:rsidRDefault="00B049CE" w:rsidP="003D6E88">
            <w:pPr>
              <w:pBdr>
                <w:top w:val="none" w:sz="0" w:space="0" w:color="auto"/>
                <w:left w:val="none" w:sz="0" w:space="0" w:color="auto"/>
                <w:bottom w:val="none" w:sz="0" w:space="0" w:color="auto"/>
                <w:right w:val="none" w:sz="0" w:space="0" w:color="auto"/>
                <w:between w:val="none" w:sz="0" w:space="0" w:color="auto"/>
                <w:bar w:val="none" w:sz="0" w:color="auto"/>
              </w:pBdr>
            </w:pPr>
            <w:r>
              <w:rPr>
                <w:rFonts w:eastAsiaTheme="minorEastAsia"/>
              </w:rPr>
              <w:t xml:space="preserve">              </w:t>
            </w:r>
            <w:r w:rsidRPr="003D55FF">
              <w:rPr>
                <w:rFonts w:eastAsiaTheme="minorEastAsia"/>
              </w:rPr>
              <w:t>(1)</w:t>
            </w:r>
          </w:p>
        </w:tc>
      </w:tr>
      <w:tr w:rsidR="00B049CE" w14:paraId="3B9EB671" w14:textId="77777777" w:rsidTr="003D6E88">
        <w:trPr>
          <w:trHeight w:val="696"/>
        </w:trPr>
        <w:tc>
          <w:tcPr>
            <w:tcW w:w="9085" w:type="dxa"/>
          </w:tcPr>
          <w:p w14:paraId="5D065A54" w14:textId="77777777" w:rsidR="00B049CE" w:rsidRDefault="00B049CE" w:rsidP="003D6E88">
            <w:pPr>
              <w:jc w:val="both"/>
            </w:pPr>
            <m:oMathPara>
              <m:oMath>
                <m:r>
                  <m:rPr>
                    <m:sty m:val="b"/>
                  </m:rPr>
                  <w:rPr>
                    <w:rFonts w:ascii="Cambria Math" w:eastAsiaTheme="minorEastAsia" w:hAnsi="Cambria Math"/>
                  </w:rPr>
                  <m:t>∇</m:t>
                </m:r>
                <m:r>
                  <w:rPr>
                    <w:rFonts w:ascii="Cambria Math" w:eastAsiaTheme="minorEastAsia" w:hAnsi="Cambria Math"/>
                  </w:rPr>
                  <m:t>×</m:t>
                </m:r>
                <m:r>
                  <m:rPr>
                    <m:sty m:val="b"/>
                  </m:rPr>
                  <w:rPr>
                    <w:rFonts w:ascii="Cambria Math" w:eastAsiaTheme="minorEastAsia" w:hAnsi="Cambria Math"/>
                  </w:rPr>
                  <m:t>H</m:t>
                </m:r>
                <m:r>
                  <w:rPr>
                    <w:rFonts w:ascii="Cambria Math" w:eastAsiaTheme="minorEastAsia" w:hAnsi="Cambria Math"/>
                  </w:rPr>
                  <m:t>=J+</m:t>
                </m:r>
                <m:f>
                  <m:fPr>
                    <m:ctrlPr>
                      <w:rPr>
                        <w:rFonts w:ascii="Cambria Math" w:eastAsiaTheme="minorEastAsia" w:hAnsi="Cambria Math"/>
                        <w:i/>
                      </w:rPr>
                    </m:ctrlPr>
                  </m:fPr>
                  <m:num>
                    <m:r>
                      <w:rPr>
                        <w:rFonts w:ascii="Cambria Math" w:eastAsiaTheme="minorEastAsia" w:hAnsi="Cambria Math"/>
                      </w:rPr>
                      <m:t>∂</m:t>
                    </m:r>
                    <m:r>
                      <m:rPr>
                        <m:sty m:val="b"/>
                      </m:rPr>
                      <w:rPr>
                        <w:rFonts w:ascii="Cambria Math" w:eastAsiaTheme="minorEastAsia" w:hAnsi="Cambria Math"/>
                      </w:rPr>
                      <m:t>D</m:t>
                    </m:r>
                  </m:num>
                  <m:den>
                    <m:r>
                      <w:rPr>
                        <w:rFonts w:ascii="Cambria Math" w:eastAsiaTheme="minorEastAsia" w:hAnsi="Cambria Math"/>
                      </w:rPr>
                      <m:t>∂t</m:t>
                    </m:r>
                  </m:den>
                </m:f>
              </m:oMath>
            </m:oMathPara>
          </w:p>
        </w:tc>
        <w:tc>
          <w:tcPr>
            <w:tcW w:w="1371" w:type="dxa"/>
          </w:tcPr>
          <w:p w14:paraId="57C430AA" w14:textId="77777777" w:rsidR="00B049CE" w:rsidRPr="00C2652D" w:rsidRDefault="00B049CE" w:rsidP="003D6E88">
            <w:pPr>
              <w:jc w:val="both"/>
              <w:rPr>
                <w:rFonts w:eastAsiaTheme="minorEastAsia"/>
                <w:sz w:val="8"/>
              </w:rPr>
            </w:pPr>
          </w:p>
          <w:p w14:paraId="1C8BD608" w14:textId="77777777" w:rsidR="00B049CE" w:rsidRDefault="00B049CE" w:rsidP="003D6E88">
            <w:pPr>
              <w:jc w:val="both"/>
            </w:pPr>
            <w:r>
              <w:rPr>
                <w:rFonts w:eastAsiaTheme="minorEastAsia"/>
              </w:rPr>
              <w:t xml:space="preserve">              </w:t>
            </w:r>
            <w:r w:rsidRPr="003D55FF">
              <w:rPr>
                <w:rFonts w:eastAsiaTheme="minorEastAsia"/>
              </w:rPr>
              <w:t>(2)</w:t>
            </w:r>
          </w:p>
        </w:tc>
      </w:tr>
    </w:tbl>
    <w:p w14:paraId="52C9D61B" w14:textId="77777777" w:rsidR="00B049CE" w:rsidRDefault="00B049CE" w:rsidP="00B049CE">
      <w:pPr>
        <w:jc w:val="both"/>
        <w:rPr>
          <w:rFonts w:eastAsiaTheme="minorEastAsia"/>
        </w:rPr>
      </w:pPr>
      <w:r w:rsidRPr="003D55FF">
        <w:rPr>
          <w:rFonts w:eastAsiaTheme="minorEastAsia"/>
        </w:rPr>
        <w:t xml:space="preserve">Here E is </w:t>
      </w:r>
      <w:r>
        <w:rPr>
          <w:rFonts w:eastAsiaTheme="minorEastAsia"/>
        </w:rPr>
        <w:t xml:space="preserve">the </w:t>
      </w:r>
      <w:r w:rsidRPr="003D55FF">
        <w:rPr>
          <w:rFonts w:eastAsiaTheme="minorEastAsia"/>
        </w:rPr>
        <w:t xml:space="preserve">electric field </w:t>
      </w:r>
      <w:r w:rsidRPr="003D55FF">
        <w:t>inside the body or ROI</w:t>
      </w:r>
      <w:r w:rsidRPr="003D55FF">
        <w:rPr>
          <w:rFonts w:eastAsiaTheme="minorEastAsia"/>
        </w:rPr>
        <w:t xml:space="preserve">, B is magnetic induction, H is </w:t>
      </w:r>
      <w:r>
        <w:rPr>
          <w:rFonts w:eastAsiaTheme="minorEastAsia"/>
        </w:rPr>
        <w:t xml:space="preserve">the </w:t>
      </w:r>
      <w:r w:rsidRPr="003D55FF">
        <w:rPr>
          <w:rFonts w:eastAsiaTheme="minorEastAsia"/>
        </w:rPr>
        <w:t>magnetic field, J is current density</w:t>
      </w:r>
      <w:r>
        <w:rPr>
          <w:rFonts w:eastAsiaTheme="minorEastAsia"/>
        </w:rPr>
        <w:t>,</w:t>
      </w:r>
      <w:r w:rsidRPr="003D55FF">
        <w:rPr>
          <w:rFonts w:eastAsiaTheme="minorEastAsia"/>
        </w:rPr>
        <w:t xml:space="preserve"> and D is </w:t>
      </w:r>
      <w:r>
        <w:rPr>
          <w:rFonts w:eastAsiaTheme="minorEastAsia"/>
        </w:rPr>
        <w:t xml:space="preserve">the </w:t>
      </w:r>
      <w:r w:rsidRPr="003D55FF">
        <w:rPr>
          <w:rFonts w:eastAsiaTheme="minorEastAsia"/>
        </w:rPr>
        <w:t>displacement vector. If injected current is harmonic in nature frequency ω</w:t>
      </w:r>
      <w:r>
        <w:rPr>
          <w:rFonts w:eastAsiaTheme="minorEastAsia"/>
        </w:rPr>
        <w:t>,</w:t>
      </w:r>
      <w:r w:rsidRPr="003D55FF">
        <w:rPr>
          <w:rFonts w:eastAsiaTheme="minorEastAsia"/>
        </w:rPr>
        <w:t xml:space="preserve"> then fields are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8"/>
        <w:gridCol w:w="1204"/>
        <w:gridCol w:w="1244"/>
      </w:tblGrid>
      <w:tr w:rsidR="00B049CE" w14:paraId="54D3182F" w14:textId="77777777" w:rsidTr="003D6E88">
        <w:tc>
          <w:tcPr>
            <w:tcW w:w="8018" w:type="dxa"/>
          </w:tcPr>
          <w:p w14:paraId="2427A779" w14:textId="77777777" w:rsidR="00B049CE" w:rsidRDefault="00B049CE" w:rsidP="003D6E88">
            <w:pPr>
              <w:jc w:val="both"/>
              <w:rPr>
                <w:rFonts w:eastAsiaTheme="minorEastAsia"/>
              </w:rPr>
            </w:pPr>
            <m:oMathPara>
              <m:oMath>
                <m:r>
                  <m:rPr>
                    <m:sty m:val="b"/>
                  </m:rPr>
                  <w:rPr>
                    <w:rFonts w:ascii="Cambria Math" w:eastAsiaTheme="minorEastAsia" w:hAnsi="Cambria Math"/>
                  </w:rPr>
                  <m:t>E</m:t>
                </m:r>
                <m:r>
                  <w:rPr>
                    <w:rFonts w:ascii="Cambria Math" w:eastAsiaTheme="minorEastAsia" w:hAnsi="Cambria Math"/>
                  </w:rPr>
                  <m:t>=</m:t>
                </m:r>
                <m:acc>
                  <m:accPr>
                    <m:chr m:val="̊"/>
                    <m:ctrlPr>
                      <w:rPr>
                        <w:rFonts w:ascii="Cambria Math" w:eastAsiaTheme="minorEastAsia" w:hAnsi="Cambria Math"/>
                        <w:i/>
                      </w:rPr>
                    </m:ctrlPr>
                  </m:accPr>
                  <m:e>
                    <m:r>
                      <m:rPr>
                        <m:sty m:val="p"/>
                      </m:rPr>
                      <w:rPr>
                        <w:rFonts w:ascii="Cambria Math" w:eastAsiaTheme="minorEastAsia" w:hAnsi="Cambria Math"/>
                      </w:rPr>
                      <m:t>E</m:t>
                    </m:r>
                  </m:e>
                </m:acc>
                <m:sSup>
                  <m:sSupPr>
                    <m:ctrlPr>
                      <w:rPr>
                        <w:rFonts w:ascii="Cambria Math" w:eastAsiaTheme="minorEastAsia" w:hAnsi="Cambria Math"/>
                        <w:i/>
                      </w:rPr>
                    </m:ctrlPr>
                  </m:sSupPr>
                  <m:e>
                    <m:r>
                      <w:rPr>
                        <w:rFonts w:ascii="Cambria Math" w:hAnsi="Cambria Math"/>
                      </w:rPr>
                      <m:t>e</m:t>
                    </m:r>
                  </m:e>
                  <m:sup>
                    <m:r>
                      <w:rPr>
                        <w:rFonts w:ascii="Cambria Math" w:hAnsi="Cambria Math"/>
                      </w:rPr>
                      <m:t>iωt</m:t>
                    </m:r>
                  </m:sup>
                </m:sSup>
                <m:r>
                  <w:rPr>
                    <w:rFonts w:ascii="Cambria Math" w:eastAsiaTheme="minorEastAsia" w:hAnsi="Cambria Math"/>
                  </w:rPr>
                  <m:t xml:space="preserve">  and</m:t>
                </m:r>
                <m:r>
                  <m:rPr>
                    <m:sty m:val="bi"/>
                  </m:rPr>
                  <w:rPr>
                    <w:rFonts w:ascii="Cambria Math" w:eastAsiaTheme="minorEastAsia" w:hAnsi="Cambria Math"/>
                  </w:rPr>
                  <m:t xml:space="preserve"> </m:t>
                </m:r>
                <m:r>
                  <m:rPr>
                    <m:sty m:val="b"/>
                  </m:rPr>
                  <w:rPr>
                    <w:rFonts w:ascii="Cambria Math" w:eastAsiaTheme="minorEastAsia" w:hAnsi="Cambria Math"/>
                  </w:rPr>
                  <m:t>B</m:t>
                </m:r>
                <m:r>
                  <w:rPr>
                    <w:rFonts w:ascii="Cambria Math" w:eastAsiaTheme="minorEastAsia" w:hAnsi="Cambria Math"/>
                  </w:rPr>
                  <m:t>=</m:t>
                </m:r>
                <m:acc>
                  <m:accPr>
                    <m:chr m:val="̊"/>
                    <m:ctrlPr>
                      <w:rPr>
                        <w:rFonts w:ascii="Cambria Math" w:eastAsiaTheme="minorEastAsia" w:hAnsi="Cambria Math"/>
                        <w:i/>
                      </w:rPr>
                    </m:ctrlPr>
                  </m:accPr>
                  <m:e>
                    <m:r>
                      <m:rPr>
                        <m:sty m:val="p"/>
                      </m:rPr>
                      <w:rPr>
                        <w:rFonts w:ascii="Cambria Math" w:eastAsiaTheme="minorEastAsia" w:hAnsi="Cambria Math"/>
                      </w:rPr>
                      <m:t>B</m:t>
                    </m:r>
                  </m:e>
                </m:acc>
                <m:sSup>
                  <m:sSupPr>
                    <m:ctrlPr>
                      <w:rPr>
                        <w:rFonts w:ascii="Cambria Math" w:eastAsiaTheme="minorEastAsia" w:hAnsi="Cambria Math"/>
                        <w:i/>
                      </w:rPr>
                    </m:ctrlPr>
                  </m:sSupPr>
                  <m:e>
                    <m:r>
                      <w:rPr>
                        <w:rFonts w:ascii="Cambria Math" w:hAnsi="Cambria Math"/>
                      </w:rPr>
                      <m:t>e</m:t>
                    </m:r>
                  </m:e>
                  <m:sup>
                    <m:r>
                      <w:rPr>
                        <w:rFonts w:ascii="Cambria Math" w:hAnsi="Cambria Math"/>
                      </w:rPr>
                      <m:t>iωt</m:t>
                    </m:r>
                  </m:sup>
                </m:sSup>
              </m:oMath>
            </m:oMathPara>
          </w:p>
        </w:tc>
        <w:tc>
          <w:tcPr>
            <w:tcW w:w="1204" w:type="dxa"/>
          </w:tcPr>
          <w:p w14:paraId="20508262" w14:textId="77777777" w:rsidR="00B049CE" w:rsidRPr="003D55FF" w:rsidRDefault="00B049CE" w:rsidP="003D6E88">
            <w:pPr>
              <w:jc w:val="right"/>
              <w:rPr>
                <w:rFonts w:eastAsiaTheme="minorEastAsia"/>
              </w:rPr>
            </w:pPr>
          </w:p>
        </w:tc>
        <w:tc>
          <w:tcPr>
            <w:tcW w:w="1244" w:type="dxa"/>
          </w:tcPr>
          <w:p w14:paraId="4BA6B0A2" w14:textId="77777777" w:rsidR="00B049CE" w:rsidRDefault="00B049CE" w:rsidP="003D6E88">
            <w:pPr>
              <w:jc w:val="right"/>
              <w:rPr>
                <w:rFonts w:eastAsiaTheme="minorEastAsia"/>
              </w:rPr>
            </w:pPr>
            <w:r w:rsidRPr="003D55FF">
              <w:rPr>
                <w:rFonts w:eastAsiaTheme="minorEastAsia"/>
              </w:rPr>
              <w:t>(3)</w:t>
            </w:r>
          </w:p>
        </w:tc>
      </w:tr>
    </w:tbl>
    <w:p w14:paraId="41539B0A" w14:textId="77777777" w:rsidR="00B049CE" w:rsidRPr="009560B7" w:rsidRDefault="00B049CE" w:rsidP="00B049CE">
      <w:pPr>
        <w:jc w:val="both"/>
        <w:rPr>
          <w:rFonts w:eastAsiaTheme="minorEastAsia"/>
          <w:sz w:val="12"/>
        </w:rPr>
      </w:pPr>
    </w:p>
    <w:p w14:paraId="3F6FB1EA" w14:textId="77777777" w:rsidR="00B049CE" w:rsidRDefault="00B049CE" w:rsidP="00B049CE">
      <w:pPr>
        <w:jc w:val="both"/>
        <w:rPr>
          <w:rFonts w:eastAsiaTheme="minorEastAsia"/>
        </w:rPr>
      </w:pPr>
      <w:r w:rsidRPr="003D55FF">
        <w:rPr>
          <w:rFonts w:eastAsiaTheme="minorEastAsia"/>
        </w:rPr>
        <w:t>In a linear isotropic medium</w:t>
      </w:r>
      <w:r>
        <w:rPr>
          <w:rFonts w:eastAsiaTheme="minorEastAsia"/>
        </w:rPr>
        <w:t>,</w:t>
      </w:r>
      <w:r w:rsidRPr="003D55FF">
        <w:rPr>
          <w:rFonts w:eastAsiaTheme="minorEastAsia"/>
        </w:rPr>
        <w:t xml:space="preserve"> </w:t>
      </w:r>
      <w:r>
        <w:rPr>
          <w:rFonts w:eastAsiaTheme="minorEastAsia"/>
        </w:rPr>
        <w:t xml:space="preserve">the </w:t>
      </w:r>
      <w:r w:rsidRPr="003D55FF">
        <w:rPr>
          <w:rFonts w:eastAsiaTheme="minorEastAsia"/>
        </w:rPr>
        <w:t xml:space="preserve">following relation </w:t>
      </w:r>
      <w:r>
        <w:rPr>
          <w:rFonts w:eastAsiaTheme="minorEastAsia"/>
        </w:rPr>
        <w:t>is</w:t>
      </w:r>
      <w:r w:rsidRPr="003D55FF">
        <w:rPr>
          <w:rFonts w:eastAsiaTheme="minorEastAsia"/>
        </w:rPr>
        <w:t xml:space="preserve"> followed by the fields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5"/>
        <w:gridCol w:w="1371"/>
      </w:tblGrid>
      <w:tr w:rsidR="00B049CE" w14:paraId="76448782" w14:textId="77777777" w:rsidTr="003D6E88">
        <w:tc>
          <w:tcPr>
            <w:tcW w:w="9085" w:type="dxa"/>
          </w:tcPr>
          <w:p w14:paraId="3B092B56" w14:textId="77777777" w:rsidR="00B049CE" w:rsidRDefault="00B049CE" w:rsidP="003D6E88">
            <w:pPr>
              <w:jc w:val="center"/>
              <w:rPr>
                <w:rFonts w:eastAsiaTheme="minorEastAsia"/>
              </w:rPr>
            </w:pPr>
            <w:r w:rsidRPr="003D55FF">
              <w:rPr>
                <w:rFonts w:eastAsiaTheme="minorEastAsia"/>
                <w:b/>
              </w:rPr>
              <w:t>D</w:t>
            </w:r>
            <w:r w:rsidRPr="003D55FF">
              <w:rPr>
                <w:rFonts w:eastAsiaTheme="minorEastAsia"/>
              </w:rPr>
              <w:t xml:space="preserve"> = </w:t>
            </w:r>
            <m:oMath>
              <m:r>
                <w:rPr>
                  <w:rFonts w:ascii="Cambria Math" w:eastAsiaTheme="minorEastAsia" w:hAnsi="Cambria Math"/>
                </w:rPr>
                <m:t>ε</m:t>
              </m:r>
              <m:r>
                <m:rPr>
                  <m:sty m:val="b"/>
                </m:rPr>
                <w:rPr>
                  <w:rFonts w:ascii="Cambria Math" w:eastAsiaTheme="minorEastAsia" w:hAnsi="Cambria Math"/>
                </w:rPr>
                <m:t>E</m:t>
              </m:r>
            </m:oMath>
          </w:p>
        </w:tc>
        <w:tc>
          <w:tcPr>
            <w:tcW w:w="1371" w:type="dxa"/>
          </w:tcPr>
          <w:p w14:paraId="69D04719" w14:textId="77777777" w:rsidR="00B049CE" w:rsidRDefault="00B049CE" w:rsidP="003D6E88">
            <w:pPr>
              <w:jc w:val="right"/>
              <w:rPr>
                <w:rFonts w:eastAsiaTheme="minorEastAsia"/>
              </w:rPr>
            </w:pPr>
            <w:r w:rsidRPr="003D55FF">
              <w:rPr>
                <w:rFonts w:eastAsiaTheme="minorEastAsia"/>
              </w:rPr>
              <w:t>(4)</w:t>
            </w:r>
          </w:p>
        </w:tc>
      </w:tr>
    </w:tbl>
    <w:p w14:paraId="3E0F88FA" w14:textId="77777777" w:rsidR="00B049CE" w:rsidRPr="009560B7" w:rsidRDefault="00B049CE" w:rsidP="00B049CE">
      <w:pPr>
        <w:jc w:val="both"/>
        <w:rPr>
          <w:rFonts w:eastAsiaTheme="minorEastAsia"/>
          <w:sz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5"/>
        <w:gridCol w:w="1371"/>
      </w:tblGrid>
      <w:tr w:rsidR="00B049CE" w14:paraId="0093DC8A" w14:textId="77777777" w:rsidTr="003D6E88">
        <w:tc>
          <w:tcPr>
            <w:tcW w:w="9085" w:type="dxa"/>
          </w:tcPr>
          <w:p w14:paraId="7506B74F" w14:textId="77777777" w:rsidR="00B049CE" w:rsidRDefault="00B049CE" w:rsidP="003D6E88">
            <w:pPr>
              <w:jc w:val="center"/>
              <w:rPr>
                <w:rFonts w:eastAsiaTheme="minorEastAsia"/>
              </w:rPr>
            </w:pPr>
            <m:oMathPara>
              <m:oMath>
                <m:r>
                  <m:rPr>
                    <m:sty m:val="b"/>
                  </m:rPr>
                  <w:rPr>
                    <w:rFonts w:ascii="Cambria Math" w:eastAsiaTheme="minorEastAsia" w:hAnsi="Cambria Math"/>
                  </w:rPr>
                  <m:t>B</m:t>
                </m:r>
                <m:r>
                  <w:rPr>
                    <w:rFonts w:ascii="Cambria Math" w:eastAsiaTheme="minorEastAsia" w:hAnsi="Cambria Math"/>
                  </w:rPr>
                  <m:t xml:space="preserve"> = μ</m:t>
                </m:r>
                <m:r>
                  <m:rPr>
                    <m:sty m:val="b"/>
                  </m:rPr>
                  <w:rPr>
                    <w:rFonts w:ascii="Cambria Math" w:eastAsiaTheme="minorEastAsia" w:hAnsi="Cambria Math"/>
                  </w:rPr>
                  <m:t>H</m:t>
                </m:r>
              </m:oMath>
            </m:oMathPara>
          </w:p>
        </w:tc>
        <w:tc>
          <w:tcPr>
            <w:tcW w:w="1371" w:type="dxa"/>
          </w:tcPr>
          <w:p w14:paraId="1DB33F66" w14:textId="77777777" w:rsidR="00B049CE" w:rsidRDefault="00B049CE" w:rsidP="003D6E88">
            <w:pPr>
              <w:jc w:val="right"/>
              <w:rPr>
                <w:rFonts w:eastAsiaTheme="minorEastAsia"/>
              </w:rPr>
            </w:pPr>
            <w:r w:rsidRPr="003D55FF">
              <w:rPr>
                <w:rFonts w:eastAsiaTheme="minorEastAsia"/>
              </w:rPr>
              <w:t>(5)</w:t>
            </w:r>
          </w:p>
        </w:tc>
      </w:tr>
    </w:tbl>
    <w:p w14:paraId="43803B40" w14:textId="77777777" w:rsidR="00B049CE" w:rsidRDefault="00B049CE" w:rsidP="00B049CE">
      <w:pPr>
        <w:jc w:val="both"/>
        <w:rPr>
          <w:rFonts w:eastAsiaTheme="minorEastAsia"/>
        </w:rPr>
      </w:pPr>
    </w:p>
    <w:tbl>
      <w:tblPr>
        <w:tblStyle w:val="TableGrid"/>
        <w:tblpPr w:leftFromText="180" w:rightFromText="180" w:vertAnchor="text" w:horzAnchor="page" w:tblpX="6224" w:tblpY="-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1170"/>
      </w:tblGrid>
      <w:tr w:rsidR="00B049CE" w14:paraId="0593AA30" w14:textId="77777777" w:rsidTr="003D6E88">
        <w:tc>
          <w:tcPr>
            <w:tcW w:w="3775" w:type="dxa"/>
          </w:tcPr>
          <w:p w14:paraId="296DEB08" w14:textId="77777777" w:rsidR="00B049CE" w:rsidRDefault="00B049CE" w:rsidP="003D6E88">
            <w:pPr>
              <w:jc w:val="both"/>
            </w:pPr>
            <w:bookmarkStart w:id="0" w:name="_Hlk116593110"/>
            <m:oMathPara>
              <m:oMath>
                <m:r>
                  <m:rPr>
                    <m:sty m:val="bi"/>
                  </m:rPr>
                  <w:rPr>
                    <w:rFonts w:ascii="Cambria Math" w:hAnsi="Cambria Math"/>
                  </w:rPr>
                  <m:t>J</m:t>
                </m:r>
                <m:r>
                  <w:rPr>
                    <w:rFonts w:ascii="Cambria Math" w:hAnsi="Cambria Math"/>
                  </w:rPr>
                  <m:t xml:space="preserve"> = σ</m:t>
                </m:r>
                <m:r>
                  <m:rPr>
                    <m:sty m:val="b"/>
                  </m:rPr>
                  <w:rPr>
                    <w:rFonts w:ascii="Cambria Math" w:hAnsi="Cambria Math"/>
                  </w:rPr>
                  <m:t>E</m:t>
                </m:r>
              </m:oMath>
            </m:oMathPara>
          </w:p>
        </w:tc>
        <w:tc>
          <w:tcPr>
            <w:tcW w:w="1170" w:type="dxa"/>
          </w:tcPr>
          <w:p w14:paraId="78DE5C9B" w14:textId="77777777" w:rsidR="00B049CE" w:rsidRDefault="00B049CE" w:rsidP="003D6E88">
            <w:pPr>
              <w:jc w:val="right"/>
            </w:pPr>
            <w:r w:rsidRPr="003D55FF">
              <w:t>(6)</w:t>
            </w:r>
          </w:p>
        </w:tc>
      </w:tr>
    </w:tbl>
    <w:bookmarkEnd w:id="0"/>
    <w:p w14:paraId="0CF49AEE" w14:textId="77777777" w:rsidR="00B049CE" w:rsidRDefault="00B049CE" w:rsidP="00B049CE">
      <w:pPr>
        <w:jc w:val="both"/>
      </w:pPr>
      <w:r>
        <w:t>a</w:t>
      </w:r>
      <w:r w:rsidRPr="003D55FF">
        <w:t xml:space="preserve">nd voltage and current obey the following Ohm's law </w:t>
      </w:r>
    </w:p>
    <w:p w14:paraId="1EE84560" w14:textId="77777777" w:rsidR="00B049CE" w:rsidRDefault="00B049CE" w:rsidP="00B049CE">
      <w:pPr>
        <w:jc w:val="both"/>
      </w:pPr>
      <w:r w:rsidRPr="003D55FF">
        <w:t xml:space="preserve">Where </w:t>
      </w:r>
      <m:oMath>
        <m:r>
          <w:rPr>
            <w:rFonts w:ascii="Cambria Math" w:hAnsi="Cambria Math"/>
          </w:rPr>
          <m:t>σ</m:t>
        </m:r>
      </m:oMath>
      <w:r w:rsidRPr="003D55FF">
        <w:t xml:space="preserve"> is the conductivity, </w:t>
      </w:r>
      <m:oMath>
        <m:r>
          <w:rPr>
            <w:rFonts w:ascii="Cambria Math" w:hAnsi="Cambria Math"/>
          </w:rPr>
          <m:t>ε</m:t>
        </m:r>
      </m:oMath>
      <w:r w:rsidRPr="003D55FF">
        <w:t xml:space="preserve"> is the permittivity</w:t>
      </w:r>
      <w:r>
        <w:t>,</w:t>
      </w:r>
      <w:r w:rsidRPr="003D55FF">
        <w:t xml:space="preserve"> and </w:t>
      </w:r>
      <m:oMath>
        <m:r>
          <w:rPr>
            <w:rFonts w:ascii="Cambria Math" w:hAnsi="Cambria Math"/>
          </w:rPr>
          <m:t>μ</m:t>
        </m:r>
      </m:oMath>
      <w:r w:rsidRPr="003D55FF">
        <w:t xml:space="preserve"> is the permeability of the medium or ROI. To solve </w:t>
      </w:r>
      <w:r>
        <w:t>the EIT problem, we assume</w:t>
      </w:r>
      <w:r w:rsidRPr="003D55FF">
        <w:t xml:space="preserve"> that </w:t>
      </w:r>
      <w:r>
        <w:t xml:space="preserve">the </w:t>
      </w:r>
      <w:r w:rsidRPr="003D55FF">
        <w:t>subject under test or ROI ha</w:t>
      </w:r>
      <w:r>
        <w:t>s</w:t>
      </w:r>
      <w:r w:rsidRPr="003D55FF">
        <w:t xml:space="preserve"> an isotropic distribution. From equation (1), (2)</w:t>
      </w:r>
      <w:r>
        <w:t>,</w:t>
      </w:r>
      <w:r w:rsidRPr="003D55FF">
        <w:t xml:space="preserve"> and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gridCol w:w="1101"/>
      </w:tblGrid>
      <w:tr w:rsidR="00B049CE" w14:paraId="40F21EB3" w14:textId="77777777" w:rsidTr="003D6E88">
        <w:tc>
          <w:tcPr>
            <w:tcW w:w="9355" w:type="dxa"/>
          </w:tcPr>
          <w:p w14:paraId="4FBA2E18" w14:textId="77777777" w:rsidR="00B049CE" w:rsidRDefault="00B049CE" w:rsidP="003D6E88">
            <w:pPr>
              <w:jc w:val="both"/>
            </w:pPr>
            <m:oMathPara>
              <m:oMath>
                <m:r>
                  <m:rPr>
                    <m:sty m:val="p"/>
                  </m:rPr>
                  <w:rPr>
                    <w:rFonts w:ascii="Cambria Math" w:hAnsi="Cambria Math"/>
                  </w:rPr>
                  <m:t>∇</m:t>
                </m:r>
                <m:r>
                  <w:rPr>
                    <w:rFonts w:ascii="Cambria Math" w:hAnsi="Cambria Math"/>
                  </w:rPr>
                  <m:t>×</m:t>
                </m:r>
                <m:r>
                  <m:rPr>
                    <m:sty m:val="b"/>
                  </m:rPr>
                  <w:rPr>
                    <w:rFonts w:ascii="Cambria Math" w:hAnsi="Cambria Math"/>
                  </w:rPr>
                  <m:t>E</m:t>
                </m:r>
                <m:r>
                  <w:rPr>
                    <w:rFonts w:ascii="Cambria Math" w:hAnsi="Cambria Math"/>
                  </w:rPr>
                  <m:t>= -iωμ</m:t>
                </m:r>
                <m:r>
                  <m:rPr>
                    <m:sty m:val="b"/>
                  </m:rPr>
                  <w:rPr>
                    <w:rFonts w:ascii="Cambria Math" w:hAnsi="Cambria Math"/>
                  </w:rPr>
                  <m:t>H</m:t>
                </m:r>
              </m:oMath>
            </m:oMathPara>
          </w:p>
        </w:tc>
        <w:tc>
          <w:tcPr>
            <w:tcW w:w="1101" w:type="dxa"/>
          </w:tcPr>
          <w:p w14:paraId="34872DBB" w14:textId="77777777" w:rsidR="00B049CE" w:rsidRDefault="00B049CE" w:rsidP="003D6E88">
            <w:pPr>
              <w:jc w:val="right"/>
            </w:pPr>
            <w:r w:rsidRPr="003D55FF">
              <w:rPr>
                <w:rFonts w:eastAsiaTheme="minorEastAsia"/>
              </w:rPr>
              <w:t>(7)</w:t>
            </w:r>
          </w:p>
        </w:tc>
      </w:tr>
    </w:tbl>
    <w:p w14:paraId="2390829C" w14:textId="77777777" w:rsidR="00B049CE" w:rsidRPr="009560B7" w:rsidRDefault="00B049CE" w:rsidP="00B049CE">
      <w:pPr>
        <w:jc w:val="both"/>
        <w:rPr>
          <w:rFonts w:eastAsiaTheme="minorEastAsia"/>
          <w:sz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gridCol w:w="1101"/>
      </w:tblGrid>
      <w:tr w:rsidR="00B049CE" w14:paraId="24078DF0" w14:textId="77777777" w:rsidTr="003D6E88">
        <w:tc>
          <w:tcPr>
            <w:tcW w:w="9355" w:type="dxa"/>
          </w:tcPr>
          <w:p w14:paraId="79EF5C61" w14:textId="77777777" w:rsidR="00B049CE" w:rsidRDefault="00B049CE" w:rsidP="003D6E88">
            <w:pPr>
              <w:jc w:val="both"/>
              <w:rPr>
                <w:rFonts w:eastAsiaTheme="minorEastAsia"/>
              </w:rPr>
            </w:pPr>
            <m:oMathPara>
              <m:oMath>
                <m:r>
                  <m:rPr>
                    <m:sty m:val="p"/>
                  </m:rPr>
                  <w:rPr>
                    <w:rFonts w:ascii="Cambria Math" w:eastAsiaTheme="minorEastAsia" w:hAnsi="Cambria Math"/>
                  </w:rPr>
                  <m:t>∇</m:t>
                </m:r>
                <m:r>
                  <w:rPr>
                    <w:rFonts w:ascii="Cambria Math" w:eastAsiaTheme="minorEastAsia" w:hAnsi="Cambria Math"/>
                  </w:rPr>
                  <m:t>×</m:t>
                </m:r>
                <m:r>
                  <m:rPr>
                    <m:sty m:val="b"/>
                  </m:rPr>
                  <w:rPr>
                    <w:rFonts w:ascii="Cambria Math" w:eastAsiaTheme="minorEastAsia" w:hAnsi="Cambria Math"/>
                  </w:rPr>
                  <m:t>H</m:t>
                </m:r>
                <m:r>
                  <w:rPr>
                    <w:rFonts w:ascii="Cambria Math" w:eastAsiaTheme="minorEastAsia" w:hAnsi="Cambria Math"/>
                  </w:rPr>
                  <m:t>=J+iωε</m:t>
                </m:r>
                <m:r>
                  <m:rPr>
                    <m:sty m:val="b"/>
                  </m:rPr>
                  <w:rPr>
                    <w:rFonts w:ascii="Cambria Math" w:eastAsiaTheme="minorEastAsia" w:hAnsi="Cambria Math"/>
                  </w:rPr>
                  <m:t>E</m:t>
                </m:r>
              </m:oMath>
            </m:oMathPara>
          </w:p>
        </w:tc>
        <w:tc>
          <w:tcPr>
            <w:tcW w:w="1101" w:type="dxa"/>
          </w:tcPr>
          <w:p w14:paraId="6EB800E7" w14:textId="77777777" w:rsidR="00B049CE" w:rsidRDefault="00B049CE" w:rsidP="003D6E88">
            <w:pPr>
              <w:jc w:val="right"/>
              <w:rPr>
                <w:rFonts w:eastAsiaTheme="minorEastAsia"/>
              </w:rPr>
            </w:pPr>
            <w:r w:rsidRPr="003D55FF">
              <w:rPr>
                <w:rFonts w:eastAsiaTheme="minorEastAsia"/>
              </w:rPr>
              <w:t>(8)</w:t>
            </w:r>
          </w:p>
        </w:tc>
      </w:tr>
    </w:tbl>
    <w:p w14:paraId="50DCF8F1" w14:textId="77777777" w:rsidR="00B049CE" w:rsidRPr="003D55FF" w:rsidRDefault="00B049CE" w:rsidP="00B049CE">
      <w:pPr>
        <w:jc w:val="both"/>
      </w:pPr>
    </w:p>
    <w:tbl>
      <w:tblPr>
        <w:tblStyle w:val="TableGrid"/>
        <w:tblpPr w:leftFromText="180" w:rightFromText="180" w:vertAnchor="text" w:horzAnchor="margin" w:tblpXSpec="right"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3150"/>
      </w:tblGrid>
      <w:tr w:rsidR="00B049CE" w14:paraId="18F27F49" w14:textId="77777777" w:rsidTr="003D6E88">
        <w:trPr>
          <w:trHeight w:val="620"/>
        </w:trPr>
        <w:tc>
          <w:tcPr>
            <w:tcW w:w="4495" w:type="dxa"/>
          </w:tcPr>
          <w:p w14:paraId="48471DB3" w14:textId="77777777" w:rsidR="00B049CE" w:rsidRPr="009560B7" w:rsidRDefault="00B049CE" w:rsidP="003D6E88">
            <w:pPr>
              <w:jc w:val="center"/>
            </w:pPr>
            <m:oMathPara>
              <m:oMathParaPr>
                <m:jc m:val="left"/>
              </m:oMathParaPr>
              <m:oMath>
                <m:r>
                  <m:rPr>
                    <m:sty m:val="bi"/>
                  </m:rPr>
                  <w:rPr>
                    <w:rFonts w:ascii="Cambria Math" w:hAnsi="Cambria Math"/>
                  </w:rPr>
                  <m:t xml:space="preserve">                </m:t>
                </m:r>
                <m:r>
                  <m:rPr>
                    <m:sty m:val="b"/>
                  </m:rPr>
                  <w:rPr>
                    <w:rFonts w:ascii="Cambria Math" w:hAnsi="Cambria Math"/>
                  </w:rPr>
                  <m:t>E</m:t>
                </m:r>
                <m:r>
                  <w:rPr>
                    <w:rFonts w:ascii="Cambria Math" w:hAnsi="Cambria Math"/>
                  </w:rPr>
                  <m:t>= -</m:t>
                </m:r>
                <m:r>
                  <m:rPr>
                    <m:sty m:val="p"/>
                  </m:rPr>
                  <w:rPr>
                    <w:rFonts w:ascii="Cambria Math" w:hAnsi="Cambria Math"/>
                  </w:rPr>
                  <m:t>∇</m:t>
                </m:r>
                <m:r>
                  <w:rPr>
                    <w:rFonts w:ascii="Cambria Math" w:hAnsi="Cambria Math"/>
                  </w:rPr>
                  <m:t>ɸ-</m:t>
                </m:r>
                <m:f>
                  <m:fPr>
                    <m:ctrlPr>
                      <w:rPr>
                        <w:rFonts w:ascii="Cambria Math" w:hAnsi="Cambria Math"/>
                        <w:i/>
                      </w:rPr>
                    </m:ctrlPr>
                  </m:fPr>
                  <m:num>
                    <m:r>
                      <w:rPr>
                        <w:rFonts w:ascii="Cambria Math" w:hAnsi="Cambria Math"/>
                      </w:rPr>
                      <m:t>∂</m:t>
                    </m:r>
                    <m:r>
                      <m:rPr>
                        <m:sty m:val="b"/>
                      </m:rPr>
                      <w:rPr>
                        <w:rFonts w:ascii="Cambria Math" w:hAnsi="Cambria Math"/>
                      </w:rPr>
                      <m:t>A</m:t>
                    </m:r>
                  </m:num>
                  <m:den>
                    <m:r>
                      <w:rPr>
                        <w:rFonts w:ascii="Cambria Math" w:hAnsi="Cambria Math"/>
                      </w:rPr>
                      <m:t>∂t</m:t>
                    </m:r>
                  </m:den>
                </m:f>
              </m:oMath>
            </m:oMathPara>
          </w:p>
        </w:tc>
        <w:tc>
          <w:tcPr>
            <w:tcW w:w="3150" w:type="dxa"/>
          </w:tcPr>
          <w:p w14:paraId="6B4B484C" w14:textId="77777777" w:rsidR="00B049CE" w:rsidRPr="009560B7" w:rsidRDefault="00B049CE" w:rsidP="003D6E88">
            <w:pPr>
              <w:jc w:val="right"/>
              <w:rPr>
                <w:sz w:val="10"/>
              </w:rPr>
            </w:pPr>
          </w:p>
          <w:p w14:paraId="42217782" w14:textId="77777777" w:rsidR="00B049CE" w:rsidRDefault="00B049CE" w:rsidP="003D6E88">
            <w:pPr>
              <w:jc w:val="right"/>
            </w:pPr>
            <w:r w:rsidRPr="003D55FF">
              <w:t>(</w:t>
            </w:r>
            <w:r>
              <w:t>9</w:t>
            </w:r>
            <w:r w:rsidRPr="003D55FF">
              <w:t>)</w:t>
            </w:r>
          </w:p>
        </w:tc>
      </w:tr>
    </w:tbl>
    <w:p w14:paraId="2A09CAD1" w14:textId="77777777" w:rsidR="00B049CE" w:rsidRPr="001E54A4" w:rsidRDefault="00B049CE" w:rsidP="00B049CE">
      <w:pPr>
        <w:jc w:val="both"/>
        <w:rPr>
          <w:sz w:val="4"/>
        </w:rPr>
      </w:pPr>
    </w:p>
    <w:p w14:paraId="54B68FB6" w14:textId="77777777" w:rsidR="00B049CE" w:rsidRDefault="00B049CE" w:rsidP="00B049CE">
      <w:pPr>
        <w:jc w:val="both"/>
      </w:pPr>
      <w:r w:rsidRPr="003D55FF">
        <w:t xml:space="preserve">From electrodynamics  </w:t>
      </w:r>
    </w:p>
    <w:p w14:paraId="7AB42682" w14:textId="77777777" w:rsidR="00B049CE" w:rsidRDefault="00B049CE" w:rsidP="00B049CE">
      <w:pPr>
        <w:jc w:val="both"/>
      </w:pPr>
    </w:p>
    <w:p w14:paraId="6C3650EB" w14:textId="77777777" w:rsidR="00B049CE" w:rsidRDefault="00B049CE" w:rsidP="00B049CE">
      <w:pPr>
        <w:jc w:val="both"/>
      </w:pPr>
      <w:r>
        <w:t>H</w:t>
      </w:r>
      <w:r w:rsidRPr="003D55FF">
        <w:t xml:space="preserve">ere </w:t>
      </w:r>
      <m:oMath>
        <m:r>
          <w:rPr>
            <w:rFonts w:ascii="Cambria Math" w:hAnsi="Cambria Math"/>
          </w:rPr>
          <m:t>φ</m:t>
        </m:r>
      </m:oMath>
      <w:r w:rsidRPr="003D55FF">
        <w:t xml:space="preserve"> is the potential field inside ROI, </w:t>
      </w:r>
      <w:r>
        <w:t xml:space="preserve">and </w:t>
      </w:r>
      <w:r w:rsidRPr="003D55FF">
        <w:t>A is vector potential. We assume that in EIT</w:t>
      </w:r>
      <w:r>
        <w:t>,</w:t>
      </w:r>
      <w:r w:rsidRPr="003D55FF">
        <w:t xml:space="preserve"> change in </w:t>
      </w:r>
      <w:r>
        <w:t xml:space="preserve">the </w:t>
      </w:r>
      <w:r w:rsidRPr="003D55FF">
        <w:t xml:space="preserve">electric field due to change in </w:t>
      </w:r>
      <w:r>
        <w:t xml:space="preserve">a </w:t>
      </w:r>
      <w:r w:rsidRPr="003D55FF">
        <w:t>magnetic field is neglected</w:t>
      </w:r>
      <w:r>
        <w:t>,</w:t>
      </w:r>
      <w:r w:rsidRPr="003D55FF">
        <w:t xml:space="preserve"> so </w:t>
      </w:r>
      <w:r>
        <w:t xml:space="preserve">the </w:t>
      </w:r>
      <w:r w:rsidRPr="003D55FF">
        <w:t>second term in eq(9) can be neglected 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gridCol w:w="1101"/>
      </w:tblGrid>
      <w:tr w:rsidR="00B049CE" w14:paraId="425D38DD" w14:textId="77777777" w:rsidTr="003D6E88">
        <w:tc>
          <w:tcPr>
            <w:tcW w:w="9355" w:type="dxa"/>
          </w:tcPr>
          <w:p w14:paraId="7ACB45C6" w14:textId="77777777" w:rsidR="00B049CE" w:rsidRDefault="00B049CE" w:rsidP="003D6E88">
            <w:pPr>
              <w:jc w:val="both"/>
            </w:pPr>
            <m:oMathPara>
              <m:oMath>
                <m:r>
                  <m:rPr>
                    <m:sty m:val="b"/>
                  </m:rPr>
                  <w:rPr>
                    <w:rFonts w:ascii="Cambria Math" w:hAnsi="Cambria Math"/>
                  </w:rPr>
                  <m:t>E</m:t>
                </m:r>
                <m:r>
                  <w:rPr>
                    <w:rFonts w:ascii="Cambria Math" w:hAnsi="Cambria Math"/>
                  </w:rPr>
                  <m:t>= -</m:t>
                </m:r>
                <m:r>
                  <m:rPr>
                    <m:sty m:val="b"/>
                  </m:rPr>
                  <w:rPr>
                    <w:rFonts w:ascii="Cambria Math" w:hAnsi="Cambria Math"/>
                  </w:rPr>
                  <m:t>∇</m:t>
                </m:r>
                <m:r>
                  <w:rPr>
                    <w:rFonts w:ascii="Cambria Math" w:hAnsi="Cambria Math"/>
                  </w:rPr>
                  <m:t>ɸ</m:t>
                </m:r>
              </m:oMath>
            </m:oMathPara>
          </w:p>
        </w:tc>
        <w:tc>
          <w:tcPr>
            <w:tcW w:w="1101" w:type="dxa"/>
          </w:tcPr>
          <w:p w14:paraId="6340A740" w14:textId="77777777" w:rsidR="00B049CE" w:rsidRDefault="00B049CE" w:rsidP="003D6E88">
            <w:pPr>
              <w:jc w:val="right"/>
            </w:pPr>
            <w:r w:rsidRPr="003D55FF">
              <w:t>(10)</w:t>
            </w:r>
          </w:p>
        </w:tc>
      </w:tr>
    </w:tbl>
    <w:p w14:paraId="0D5B3E5F" w14:textId="77777777" w:rsidR="00B049CE" w:rsidRPr="00BC1EC3" w:rsidRDefault="00B049CE" w:rsidP="00B049CE">
      <w:pPr>
        <w:jc w:val="both"/>
        <w:rPr>
          <w:sz w:val="14"/>
        </w:rPr>
      </w:pPr>
    </w:p>
    <w:p w14:paraId="00746BF4" w14:textId="77777777" w:rsidR="00B049CE" w:rsidRDefault="00B049CE" w:rsidP="00B049CE">
      <w:pPr>
        <w:jc w:val="both"/>
      </w:pPr>
      <w:r w:rsidRPr="003D55FF">
        <w:t xml:space="preserve">There is one more assumption that we hold in </w:t>
      </w:r>
      <w:r>
        <w:t xml:space="preserve">the </w:t>
      </w:r>
      <w:r w:rsidRPr="003D55FF">
        <w:t xml:space="preserve">case of EIT is that capacitive effects are neglected. This can be true only if    </w:t>
      </w:r>
      <m:oMath>
        <m:f>
          <m:fPr>
            <m:ctrlPr>
              <w:rPr>
                <w:rFonts w:ascii="Cambria Math" w:hAnsi="Cambria Math"/>
                <w:i/>
              </w:rPr>
            </m:ctrlPr>
          </m:fPr>
          <m:num>
            <m:r>
              <w:rPr>
                <w:rFonts w:ascii="Cambria Math" w:hAnsi="Cambria Math"/>
              </w:rPr>
              <m:t>ωε</m:t>
            </m:r>
          </m:num>
          <m:den>
            <m:r>
              <w:rPr>
                <w:rFonts w:ascii="Cambria Math" w:hAnsi="Cambria Math"/>
              </w:rPr>
              <m:t>σ</m:t>
            </m:r>
          </m:den>
        </m:f>
        <m:r>
          <w:rPr>
            <w:rFonts w:ascii="Cambria Math" w:hAnsi="Cambria Math"/>
          </w:rPr>
          <m:t>≪1</m:t>
        </m:r>
      </m:oMath>
      <w:r w:rsidRPr="003D55FF">
        <w:rPr>
          <w:rFonts w:eastAsiaTheme="minorEastAsia"/>
        </w:rPr>
        <w:t xml:space="preserve">. Which is true in </w:t>
      </w:r>
      <w:r>
        <w:rPr>
          <w:rFonts w:eastAsiaTheme="minorEastAsia"/>
        </w:rPr>
        <w:t xml:space="preserve">the </w:t>
      </w:r>
      <w:r w:rsidRPr="003D55FF">
        <w:rPr>
          <w:rFonts w:eastAsiaTheme="minorEastAsia"/>
        </w:rPr>
        <w:t>EIT case (approximate values: f = 10KHz,  ε= 8.85 x 10</w:t>
      </w:r>
      <w:r w:rsidRPr="003D55FF">
        <w:rPr>
          <w:rFonts w:eastAsiaTheme="minorEastAsia"/>
          <w:vertAlign w:val="superscript"/>
        </w:rPr>
        <w:t>-12</w:t>
      </w:r>
      <w:r w:rsidRPr="003D55FF">
        <w:rPr>
          <w:rFonts w:eastAsiaTheme="minorEastAsia"/>
        </w:rPr>
        <w:t xml:space="preserve"> C</w:t>
      </w:r>
      <w:r w:rsidRPr="003D55FF">
        <w:rPr>
          <w:rFonts w:eastAsiaTheme="minorEastAsia"/>
          <w:vertAlign w:val="superscript"/>
        </w:rPr>
        <w:t>2</w:t>
      </w:r>
      <w:r w:rsidRPr="003D55FF">
        <w:rPr>
          <w:rFonts w:eastAsiaTheme="minorEastAsia"/>
        </w:rPr>
        <w:t>/N.m</w:t>
      </w:r>
      <w:r w:rsidRPr="003D55FF">
        <w:rPr>
          <w:rFonts w:eastAsiaTheme="minorEastAsia"/>
          <w:vertAlign w:val="superscript"/>
        </w:rPr>
        <w:t>2</w:t>
      </w:r>
      <w:r w:rsidRPr="003D55FF">
        <w:rPr>
          <w:rFonts w:eastAsiaTheme="minorEastAsia"/>
        </w:rPr>
        <w:t>,  σ = 0.25 (Ჲ.m)</w:t>
      </w:r>
      <w:r w:rsidRPr="003D55FF">
        <w:rPr>
          <w:rFonts w:eastAsiaTheme="minorEastAsia"/>
          <w:vertAlign w:val="superscript"/>
        </w:rPr>
        <w:t>-1</w:t>
      </w:r>
      <w:r w:rsidRPr="003D55FF">
        <w:rPr>
          <w:rFonts w:eastAsiaTheme="minorEastAsia"/>
        </w:rPr>
        <w:t xml:space="preserve">). This assumption can be modified where we can use capacitive effects for more realistic cases. </w:t>
      </w:r>
      <w:r w:rsidRPr="003D55FF">
        <w:t xml:space="preserve">Combining Eq(6) and Eq(10)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gridCol w:w="1101"/>
      </w:tblGrid>
      <w:tr w:rsidR="00B049CE" w14:paraId="363641E0" w14:textId="77777777" w:rsidTr="003D6E88">
        <w:tc>
          <w:tcPr>
            <w:tcW w:w="9355" w:type="dxa"/>
          </w:tcPr>
          <w:p w14:paraId="0D5E0DEA" w14:textId="77777777" w:rsidR="00B049CE" w:rsidRDefault="00B049CE" w:rsidP="003D6E88">
            <w:pPr>
              <w:jc w:val="both"/>
            </w:pPr>
            <m:oMathPara>
              <m:oMath>
                <m:r>
                  <m:rPr>
                    <m:sty m:val="bi"/>
                  </m:rPr>
                  <w:rPr>
                    <w:rFonts w:ascii="Cambria Math" w:hAnsi="Cambria Math"/>
                  </w:rPr>
                  <m:t>J</m:t>
                </m:r>
                <m:r>
                  <w:rPr>
                    <w:rFonts w:ascii="Cambria Math" w:hAnsi="Cambria Math"/>
                  </w:rPr>
                  <m:t>= -σ</m:t>
                </m:r>
                <m:r>
                  <m:rPr>
                    <m:sty m:val="b"/>
                  </m:rPr>
                  <w:rPr>
                    <w:rFonts w:ascii="Cambria Math" w:hAnsi="Cambria Math"/>
                  </w:rPr>
                  <m:t>∇</m:t>
                </m:r>
                <m:r>
                  <w:rPr>
                    <w:rFonts w:ascii="Cambria Math" w:hAnsi="Cambria Math"/>
                  </w:rPr>
                  <m:t>ɸ</m:t>
                </m:r>
              </m:oMath>
            </m:oMathPara>
          </w:p>
        </w:tc>
        <w:tc>
          <w:tcPr>
            <w:tcW w:w="1101" w:type="dxa"/>
          </w:tcPr>
          <w:p w14:paraId="6C488C2B" w14:textId="77777777" w:rsidR="00B049CE" w:rsidRDefault="00B049CE" w:rsidP="003D6E88">
            <w:pPr>
              <w:jc w:val="right"/>
            </w:pPr>
            <w:r w:rsidRPr="003D55FF">
              <w:t>(11)</w:t>
            </w:r>
          </w:p>
        </w:tc>
      </w:tr>
    </w:tbl>
    <w:p w14:paraId="5A89EDFD" w14:textId="77777777" w:rsidR="00B049CE" w:rsidRDefault="00B049CE" w:rsidP="00B049CE">
      <w:pPr>
        <w:jc w:val="both"/>
      </w:pPr>
    </w:p>
    <w:tbl>
      <w:tblPr>
        <w:tblStyle w:val="TableGrid"/>
        <w:tblpPr w:leftFromText="180" w:rightFromText="180" w:vertAnchor="text" w:horzAnchor="page" w:tblpX="5661" w:tblpY="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tblGrid>
      <w:tr w:rsidR="00B049CE" w14:paraId="4409D553" w14:textId="77777777" w:rsidTr="003D6E88">
        <w:tc>
          <w:tcPr>
            <w:tcW w:w="4315" w:type="dxa"/>
          </w:tcPr>
          <w:p w14:paraId="787BE4EA" w14:textId="77777777" w:rsidR="00B049CE" w:rsidRDefault="00B049CE" w:rsidP="003D6E88">
            <w:pPr>
              <w:jc w:val="both"/>
            </w:pPr>
            <w:bookmarkStart w:id="1" w:name="_Hlk116593454"/>
            <m:oMathPara>
              <m:oMath>
                <m:r>
                  <m:rPr>
                    <m:sty m:val="b"/>
                  </m:rPr>
                  <w:rPr>
                    <w:rFonts w:ascii="Cambria Math" w:hAnsi="Cambria Math"/>
                  </w:rPr>
                  <m:t>∇</m:t>
                </m:r>
                <m:r>
                  <m:rPr>
                    <m:sty m:val="bi"/>
                  </m:rPr>
                  <w:rPr>
                    <w:rFonts w:ascii="Cambria Math" w:hAnsi="Cambria Math"/>
                  </w:rPr>
                  <m:t>.J</m:t>
                </m:r>
                <m:r>
                  <w:rPr>
                    <w:rFonts w:ascii="Cambria Math" w:hAnsi="Cambria Math"/>
                  </w:rPr>
                  <m:t>=0</m:t>
                </m:r>
              </m:oMath>
            </m:oMathPara>
          </w:p>
        </w:tc>
      </w:tr>
    </w:tbl>
    <w:bookmarkEnd w:id="1"/>
    <w:p w14:paraId="4849B5C8" w14:textId="77777777" w:rsidR="00B049CE" w:rsidRDefault="00B049CE" w:rsidP="00B049CE">
      <w:pPr>
        <w:jc w:val="both"/>
      </w:pPr>
      <w:r w:rsidRPr="003D55FF">
        <w:t>In the absence of any internal current source</w:t>
      </w:r>
      <w:r>
        <w:t xml:space="preserve"> </w:t>
      </w:r>
    </w:p>
    <w:tbl>
      <w:tblPr>
        <w:tblStyle w:val="TableGrid"/>
        <w:tblpPr w:leftFromText="180" w:rightFromText="180" w:vertAnchor="text" w:horzAnchor="page" w:tblpX="5661" w:tblpY="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tblGrid>
      <w:tr w:rsidR="00B049CE" w14:paraId="0C06E490" w14:textId="77777777" w:rsidTr="003D6E88">
        <w:tc>
          <w:tcPr>
            <w:tcW w:w="4315" w:type="dxa"/>
          </w:tcPr>
          <w:p w14:paraId="4ECF9152" w14:textId="77777777" w:rsidR="00B049CE" w:rsidRDefault="00B049CE" w:rsidP="003D6E88">
            <w:pPr>
              <w:jc w:val="both"/>
            </w:pPr>
            <m:oMathPara>
              <m:oMath>
                <m:r>
                  <m:rPr>
                    <m:sty m:val="b"/>
                  </m:rPr>
                  <w:rPr>
                    <w:rFonts w:ascii="Cambria Math" w:hAnsi="Cambria Math"/>
                  </w:rPr>
                  <m:t>∇</m:t>
                </m:r>
                <m:r>
                  <m:rPr>
                    <m:sty m:val="p"/>
                  </m:rPr>
                  <w:rPr>
                    <w:rFonts w:ascii="Cambria Math" w:hAnsi="Cambria Math"/>
                  </w:rPr>
                  <m:t>.</m:t>
                </m:r>
                <m:d>
                  <m:dPr>
                    <m:ctrlPr>
                      <w:rPr>
                        <w:rFonts w:ascii="Cambria Math" w:hAnsi="Cambria Math"/>
                      </w:rPr>
                    </m:ctrlPr>
                  </m:dPr>
                  <m:e>
                    <m:r>
                      <w:rPr>
                        <w:rFonts w:ascii="Cambria Math" w:hAnsi="Cambria Math"/>
                      </w:rPr>
                      <m:t xml:space="preserve"> -σ</m:t>
                    </m:r>
                    <m:r>
                      <m:rPr>
                        <m:sty m:val="b"/>
                      </m:rPr>
                      <w:rPr>
                        <w:rFonts w:ascii="Cambria Math" w:hAnsi="Cambria Math"/>
                      </w:rPr>
                      <m:t>∇</m:t>
                    </m:r>
                    <m:r>
                      <w:rPr>
                        <w:rFonts w:ascii="Cambria Math" w:hAnsi="Cambria Math"/>
                      </w:rPr>
                      <m:t>ɸ</m:t>
                    </m:r>
                    <m:ctrlPr>
                      <w:rPr>
                        <w:rFonts w:ascii="Cambria Math" w:hAnsi="Cambria Math"/>
                        <w:i/>
                      </w:rPr>
                    </m:ctrlPr>
                  </m:e>
                </m:d>
                <m:r>
                  <w:rPr>
                    <w:rFonts w:ascii="Cambria Math" w:hAnsi="Cambria Math"/>
                  </w:rPr>
                  <m:t>=0</m:t>
                </m:r>
              </m:oMath>
            </m:oMathPara>
          </w:p>
        </w:tc>
      </w:tr>
    </w:tbl>
    <w:p w14:paraId="7F7B1FC2" w14:textId="77777777" w:rsidR="00B049CE" w:rsidRDefault="00B049CE" w:rsidP="00B049CE">
      <w:pPr>
        <w:jc w:val="both"/>
      </w:pPr>
      <w:r>
        <w:t>So</w:t>
      </w:r>
    </w:p>
    <w:tbl>
      <w:tblPr>
        <w:tblStyle w:val="TableGrid"/>
        <w:tblpPr w:leftFromText="180" w:rightFromText="180" w:vertAnchor="text" w:horzAnchor="margin" w:tblpXSpec="right" w:tblpY="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2340"/>
      </w:tblGrid>
      <w:tr w:rsidR="00B049CE" w14:paraId="0F98112B" w14:textId="77777777" w:rsidTr="003D6E88">
        <w:trPr>
          <w:trHeight w:val="350"/>
        </w:trPr>
        <w:tc>
          <w:tcPr>
            <w:tcW w:w="3145" w:type="dxa"/>
          </w:tcPr>
          <w:p w14:paraId="317E3F34" w14:textId="77777777" w:rsidR="00B049CE" w:rsidRDefault="00B049CE" w:rsidP="003D6E88">
            <w:pPr>
              <w:jc w:val="both"/>
            </w:pPr>
            <m:oMathPara>
              <m:oMath>
                <m:r>
                  <m:rPr>
                    <m:sty m:val="p"/>
                  </m:rPr>
                  <w:rPr>
                    <w:rFonts w:ascii="Cambria Math" w:hAnsi="Cambria Math"/>
                  </w:rPr>
                  <m:t xml:space="preserve">                      </m:t>
                </m:r>
                <m:r>
                  <m:rPr>
                    <m:sty m:val="b"/>
                  </m:rPr>
                  <w:rPr>
                    <w:rFonts w:ascii="Cambria Math" w:hAnsi="Cambria Math"/>
                  </w:rPr>
                  <m:t>∇</m:t>
                </m:r>
                <m:r>
                  <m:rPr>
                    <m:sty m:val="p"/>
                  </m:rPr>
                  <w:rPr>
                    <w:rFonts w:ascii="Cambria Math" w:hAnsi="Cambria Math"/>
                  </w:rPr>
                  <m:t>.</m:t>
                </m:r>
                <m:d>
                  <m:dPr>
                    <m:ctrlPr>
                      <w:rPr>
                        <w:rFonts w:ascii="Cambria Math" w:hAnsi="Cambria Math"/>
                      </w:rPr>
                    </m:ctrlPr>
                  </m:dPr>
                  <m:e>
                    <m:r>
                      <w:rPr>
                        <w:rFonts w:ascii="Cambria Math" w:hAnsi="Cambria Math"/>
                      </w:rPr>
                      <m:t xml:space="preserve"> σ</m:t>
                    </m:r>
                    <m:r>
                      <m:rPr>
                        <m:sty m:val="b"/>
                      </m:rPr>
                      <w:rPr>
                        <w:rFonts w:ascii="Cambria Math" w:hAnsi="Cambria Math"/>
                      </w:rPr>
                      <m:t>∇</m:t>
                    </m:r>
                    <m:r>
                      <w:rPr>
                        <w:rFonts w:ascii="Cambria Math" w:hAnsi="Cambria Math"/>
                      </w:rPr>
                      <m:t>ɸ</m:t>
                    </m:r>
                    <m:ctrlPr>
                      <w:rPr>
                        <w:rFonts w:ascii="Cambria Math" w:hAnsi="Cambria Math"/>
                        <w:i/>
                      </w:rPr>
                    </m:ctrlPr>
                  </m:e>
                </m:d>
                <m:r>
                  <w:rPr>
                    <w:rFonts w:ascii="Cambria Math" w:hAnsi="Cambria Math"/>
                  </w:rPr>
                  <m:t>=0</m:t>
                </m:r>
              </m:oMath>
            </m:oMathPara>
          </w:p>
        </w:tc>
        <w:tc>
          <w:tcPr>
            <w:tcW w:w="2340" w:type="dxa"/>
          </w:tcPr>
          <w:p w14:paraId="534B6CC1" w14:textId="77777777" w:rsidR="00B049CE" w:rsidRDefault="00B049CE" w:rsidP="003D6E88">
            <w:pPr>
              <w:jc w:val="right"/>
              <w:rPr>
                <w:rFonts w:ascii="Calibri Light" w:hAnsi="Calibri Light"/>
              </w:rPr>
            </w:pPr>
            <w:r w:rsidRPr="003D55FF">
              <w:t>(12)</w:t>
            </w:r>
          </w:p>
        </w:tc>
      </w:tr>
    </w:tbl>
    <w:p w14:paraId="57D7450F" w14:textId="77777777" w:rsidR="00B049CE" w:rsidRPr="003D55FF" w:rsidRDefault="00B049CE" w:rsidP="00B049CE">
      <w:pPr>
        <w:jc w:val="both"/>
      </w:pPr>
      <w:bookmarkStart w:id="2" w:name="_Hlk123739105"/>
      <w:r>
        <w:t>Or</w:t>
      </w:r>
      <w:r w:rsidRPr="003D55FF">
        <w:t xml:space="preserve">        </w:t>
      </w:r>
    </w:p>
    <w:p w14:paraId="78813141" w14:textId="77777777" w:rsidR="00B049CE" w:rsidRDefault="00B049CE" w:rsidP="00B049CE">
      <w:pPr>
        <w:jc w:val="both"/>
      </w:pPr>
      <w:r w:rsidRPr="003D55FF">
        <w:t xml:space="preserve">Boundary current is given by </w:t>
      </w:r>
      <m:oMath>
        <m:r>
          <m:rPr>
            <m:sty m:val="bi"/>
          </m:rPr>
          <w:rPr>
            <w:rFonts w:ascii="Cambria Math" w:hAnsi="Cambria Math"/>
          </w:rPr>
          <m:t>j=-J.n</m:t>
        </m:r>
        <m:r>
          <w:rPr>
            <w:rFonts w:ascii="Cambria Math" w:hAnsi="Cambria Math"/>
          </w:rPr>
          <m:t>= σ</m:t>
        </m:r>
        <m:r>
          <m:rPr>
            <m:sty m:val="b"/>
          </m:rPr>
          <w:rPr>
            <w:rFonts w:ascii="Cambria Math" w:hAnsi="Cambria Math"/>
          </w:rPr>
          <m:t>∇</m:t>
        </m:r>
        <m:r>
          <w:rPr>
            <w:rFonts w:ascii="Cambria Math" w:hAnsi="Cambria Math"/>
          </w:rPr>
          <m:t>φ</m:t>
        </m:r>
      </m:oMath>
      <w:r w:rsidRPr="003D55FF">
        <w:t xml:space="preserve">, where n is the </w:t>
      </w:r>
      <w:r>
        <w:t>normal unit</w:t>
      </w:r>
      <w:r w:rsidRPr="003D55FF">
        <w:t xml:space="preserve"> vector to the ROI. Eq (12) is an elliptic differential equation whose solution is obtained numerically using appropriate boundary conditions (Dirichlet and Neumann). This equation is not linear in nature, and after solving, it provides information about the conductivity/resistivity of ROI.</w:t>
      </w:r>
    </w:p>
    <w:p w14:paraId="0F4B7E88" w14:textId="77777777" w:rsidR="00B049CE" w:rsidRPr="003D55FF" w:rsidRDefault="00B049CE" w:rsidP="00B049CE">
      <w:pPr>
        <w:jc w:val="both"/>
      </w:pPr>
    </w:p>
    <w:p w14:paraId="5E41DAE1" w14:textId="77777777" w:rsidR="00B049CE" w:rsidRPr="003D55FF" w:rsidRDefault="00B049CE" w:rsidP="00B049CE">
      <w:pPr>
        <w:pStyle w:val="Heading2"/>
      </w:pPr>
      <w:bookmarkStart w:id="3" w:name="_Forward_and_inverse"/>
      <w:bookmarkEnd w:id="2"/>
      <w:bookmarkEnd w:id="3"/>
      <w:r w:rsidRPr="003D55FF">
        <w:t xml:space="preserve">Forward and inverse problem: </w:t>
      </w:r>
    </w:p>
    <w:p w14:paraId="1F76E1C7" w14:textId="77777777" w:rsidR="00B049CE" w:rsidRPr="00BD11DE" w:rsidRDefault="00B049CE" w:rsidP="00B049CE">
      <w:pPr>
        <w:pStyle w:val="Heading3"/>
      </w:pPr>
      <w:r w:rsidRPr="00BD11DE">
        <w:t>Forward problem:</w:t>
      </w:r>
    </w:p>
    <w:p w14:paraId="2EC04252" w14:textId="77777777" w:rsidR="00B049CE" w:rsidRDefault="00B049CE" w:rsidP="00B049CE">
      <w:pPr>
        <w:jc w:val="both"/>
      </w:pPr>
      <w:r w:rsidRPr="003D55FF">
        <w:t>In eq</w:t>
      </w:r>
      <w:r w:rsidRPr="007636E1">
        <w:t>uation</w:t>
      </w:r>
      <w:r w:rsidRPr="003D55FF">
        <w:t>(12) let’s suppose conductivity σ is known at all the point</w:t>
      </w:r>
      <w:r>
        <w:t>s</w:t>
      </w:r>
      <w:r w:rsidRPr="003D55FF">
        <w:t xml:space="preserve"> of ROI</w:t>
      </w:r>
      <w:r>
        <w:t>;</w:t>
      </w:r>
      <w:r w:rsidRPr="003D55FF">
        <w:t xml:space="preserve"> then</w:t>
      </w:r>
      <w:r>
        <w:t>,</w:t>
      </w:r>
      <w:r w:rsidRPr="003D55FF">
        <w:t xml:space="preserve"> it is possible to measure the potential of boundary electrodes by using numerical methods with appropriate boundary conditions. This is known as </w:t>
      </w:r>
      <w:r>
        <w:t xml:space="preserve">a </w:t>
      </w:r>
      <w:r w:rsidRPr="003D55FF">
        <w:t xml:space="preserve">forward problem. For known conductivity distribution, </w:t>
      </w:r>
      <w:r>
        <w:t xml:space="preserve">the </w:t>
      </w:r>
      <w:r w:rsidRPr="003D55FF">
        <w:t>analytic solution of the forward problem is not possible</w:t>
      </w:r>
      <w:r>
        <w:t>,</w:t>
      </w:r>
      <w:r w:rsidRPr="003D55FF">
        <w:t xml:space="preserve"> so we use </w:t>
      </w:r>
      <w:r>
        <w:t xml:space="preserve">the </w:t>
      </w:r>
      <w:r w:rsidRPr="003D55FF">
        <w:t>Finite element method, boundary element method, finite difference method, etc.</w:t>
      </w:r>
      <w:r>
        <w:t>,</w:t>
      </w:r>
      <w:r w:rsidRPr="003D55FF">
        <w:t xml:space="preserve"> to solve </w:t>
      </w:r>
      <w:r>
        <w:t xml:space="preserve">the </w:t>
      </w:r>
      <w:r w:rsidRPr="003D55FF">
        <w:t>forward problem.</w:t>
      </w:r>
    </w:p>
    <w:tbl>
      <w:tblPr>
        <w:tblStyle w:val="TableGrid"/>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tblGrid>
      <w:tr w:rsidR="00B049CE" w14:paraId="1068EF35" w14:textId="77777777" w:rsidTr="003D6E88">
        <w:tc>
          <w:tcPr>
            <w:tcW w:w="8750" w:type="dxa"/>
          </w:tcPr>
          <w:p w14:paraId="20BD1204" w14:textId="77777777" w:rsidR="00B049CE" w:rsidRDefault="00B049CE" w:rsidP="003D6E88">
            <w:pPr>
              <w:jc w:val="both"/>
            </w:pPr>
            <w:r>
              <w:rPr>
                <w:noProof/>
                <w:lang w:bidi="hi-IN"/>
              </w:rPr>
              <w:lastRenderedPageBreak/>
              <w:drawing>
                <wp:inline distT="0" distB="0" distL="0" distR="0" wp14:anchorId="6FC3030D" wp14:editId="2758EEE1">
                  <wp:extent cx="5419263" cy="3204376"/>
                  <wp:effectExtent l="0" t="0" r="0" b="0"/>
                  <wp:docPr id="24" name="Picture 24" descr="A diagram of a mathematical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diagram of a mathematical equation&#10;&#10;Description automatically generated"/>
                          <pic:cNvPicPr/>
                        </pic:nvPicPr>
                        <pic:blipFill rotWithShape="1">
                          <a:blip r:embed="rId4">
                            <a:extLst>
                              <a:ext uri="{28A0092B-C50C-407E-A947-70E740481C1C}">
                                <a14:useLocalDpi xmlns:a14="http://schemas.microsoft.com/office/drawing/2010/main" val="0"/>
                              </a:ext>
                            </a:extLst>
                          </a:blip>
                          <a:srcRect l="18066" t="5105" r="4633" b="13636"/>
                          <a:stretch/>
                        </pic:blipFill>
                        <pic:spPr bwMode="auto">
                          <a:xfrm>
                            <a:off x="0" y="0"/>
                            <a:ext cx="5496170" cy="32498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4AD903C" w14:textId="77777777" w:rsidR="00B049CE" w:rsidRDefault="00B049CE" w:rsidP="00B049CE">
      <w:pPr>
        <w:jc w:val="both"/>
      </w:pPr>
    </w:p>
    <w:p w14:paraId="31830851" w14:textId="77777777" w:rsidR="00B049CE" w:rsidRPr="003D55FF" w:rsidRDefault="00B049CE" w:rsidP="00B049CE">
      <w:pPr>
        <w:jc w:val="both"/>
      </w:pPr>
      <w:r w:rsidRPr="003D55FF">
        <w:t xml:space="preserve">Boundary conditions: </w:t>
      </w:r>
      <w:r>
        <w:t>the solution of</w:t>
      </w:r>
      <w:r w:rsidRPr="003D55FF">
        <w:t xml:space="preserve"> Eq(12) is governed by obeying the following boundary conditions</w:t>
      </w:r>
    </w:p>
    <w:p w14:paraId="0AE2DFF3" w14:textId="77777777" w:rsidR="00B049CE" w:rsidRPr="003D55FF" w:rsidRDefault="00B049CE" w:rsidP="00B049CE">
      <w:pPr>
        <w:jc w:val="both"/>
      </w:pPr>
      <w:proofErr w:type="spellStart"/>
      <w:r w:rsidRPr="003D55FF">
        <w:t>i</w:t>
      </w:r>
      <w:proofErr w:type="spellEnd"/>
      <w:r w:rsidRPr="003D55FF">
        <w:t xml:space="preserve">). Dirichlet Boundary Condition: When the potentials are specified (from measurements) on boundary </w:t>
      </w:r>
    </w:p>
    <w:p w14:paraId="3CB61C8F" w14:textId="77777777" w:rsidR="00B049CE" w:rsidRPr="003D55FF" w:rsidRDefault="00B049CE" w:rsidP="00B049CE">
      <w:pPr>
        <w:jc w:val="both"/>
      </w:pPr>
      <w:r w:rsidRPr="003D55FF">
        <w:t xml:space="preserve">                     ɸ = </w:t>
      </w:r>
      <w:proofErr w:type="spellStart"/>
      <w:r w:rsidRPr="003D55FF">
        <w:t>ɸ</w:t>
      </w:r>
      <w:r w:rsidRPr="003D55FF">
        <w:rPr>
          <w:vertAlign w:val="subscript"/>
        </w:rPr>
        <w:t>i</w:t>
      </w:r>
      <w:proofErr w:type="spellEnd"/>
      <w:r w:rsidRPr="003D55FF">
        <w:t xml:space="preserve">; where </w:t>
      </w:r>
      <w:proofErr w:type="spellStart"/>
      <w:r w:rsidRPr="003D55FF">
        <w:t>i</w:t>
      </w:r>
      <w:proofErr w:type="spellEnd"/>
      <w:r w:rsidRPr="003D55FF">
        <w:t xml:space="preserve"> = 1…..N(number of electrodes) and </w:t>
      </w:r>
      <w:proofErr w:type="spellStart"/>
      <w:r w:rsidRPr="003D55FF">
        <w:t>ɸ</w:t>
      </w:r>
      <w:r w:rsidRPr="003D55FF">
        <w:rPr>
          <w:vertAlign w:val="subscript"/>
        </w:rPr>
        <w:t>i</w:t>
      </w:r>
      <w:proofErr w:type="spellEnd"/>
      <w:r w:rsidRPr="003D55FF">
        <w:rPr>
          <w:vertAlign w:val="subscript"/>
        </w:rPr>
        <w:t xml:space="preserve"> </w:t>
      </w:r>
      <w:r w:rsidRPr="003D55FF">
        <w:t xml:space="preserve">is the measured potential on the </w:t>
      </w:r>
      <w:proofErr w:type="spellStart"/>
      <w:r w:rsidRPr="003D55FF">
        <w:t>i</w:t>
      </w:r>
      <w:r w:rsidRPr="003D55FF">
        <w:rPr>
          <w:vertAlign w:val="superscript"/>
        </w:rPr>
        <w:t>th</w:t>
      </w:r>
      <w:proofErr w:type="spellEnd"/>
      <w:r w:rsidRPr="003D55FF">
        <w:t xml:space="preserve"> electrode.</w:t>
      </w:r>
    </w:p>
    <w:p w14:paraId="31726507" w14:textId="77777777" w:rsidR="00B049CE" w:rsidRPr="003D55FF" w:rsidRDefault="00B049CE" w:rsidP="00B049CE">
      <w:pPr>
        <w:jc w:val="both"/>
      </w:pPr>
      <w:r w:rsidRPr="003D55FF">
        <w:t>ii). Neumann Boundary Condition: these boundary conditions are as follow</w:t>
      </w:r>
      <w:r>
        <w:t>s</w:t>
      </w:r>
    </w:p>
    <w:p w14:paraId="0C9A9789" w14:textId="77777777" w:rsidR="00B049CE" w:rsidRDefault="00B049CE" w:rsidP="00B049CE">
      <w:pPr>
        <w:jc w:val="both"/>
      </w:pPr>
      <w:r w:rsidRPr="003D55FF">
        <w:rPr>
          <w:noProof/>
          <w:lang w:bidi="hi-IN"/>
        </w:rPr>
        <mc:AlternateContent>
          <mc:Choice Requires="wps">
            <w:drawing>
              <wp:anchor distT="0" distB="0" distL="114300" distR="114300" simplePos="0" relativeHeight="251659264" behindDoc="0" locked="0" layoutInCell="1" allowOverlap="1" wp14:anchorId="19D0E99C" wp14:editId="7E9EBE2A">
                <wp:simplePos x="0" y="0"/>
                <wp:positionH relativeFrom="column">
                  <wp:posOffset>285750</wp:posOffset>
                </wp:positionH>
                <wp:positionV relativeFrom="paragraph">
                  <wp:posOffset>135255</wp:posOffset>
                </wp:positionV>
                <wp:extent cx="390525" cy="247650"/>
                <wp:effectExtent l="0" t="0" r="0" b="0"/>
                <wp:wrapNone/>
                <wp:docPr id="2" name="Text Box 2"/>
                <wp:cNvGraphicFramePr/>
                <a:graphic xmlns:a="http://schemas.openxmlformats.org/drawingml/2006/main">
                  <a:graphicData uri="http://schemas.microsoft.com/office/word/2010/wordprocessingShape">
                    <wps:wsp>
                      <wps:cNvSpPr txBox="1"/>
                      <wps:spPr>
                        <a:xfrm>
                          <a:off x="0" y="0"/>
                          <a:ext cx="390525" cy="247650"/>
                        </a:xfrm>
                        <a:prstGeom prst="rect">
                          <a:avLst/>
                        </a:prstGeom>
                        <a:noFill/>
                        <a:ln w="6350">
                          <a:noFill/>
                        </a:ln>
                      </wps:spPr>
                      <wps:txbx>
                        <w:txbxContent>
                          <w:p w14:paraId="0E82FB04" w14:textId="77777777" w:rsidR="00B049CE" w:rsidRDefault="00B049CE" w:rsidP="00B049CE">
                            <m:oMath>
                              <m:r>
                                <w:rPr>
                                  <w:rFonts w:ascii="Cambria Math" w:eastAsiaTheme="minorEastAsia" w:hAnsi="Cambria Math"/>
                                  <w:sz w:val="18"/>
                                </w:rPr>
                                <m:t>∂</m:t>
                              </m:r>
                            </m:oMath>
                            <w:r>
                              <w:rPr>
                                <w:rFonts w:cstheme="minorHAnsi"/>
                              </w:rPr>
                              <w:t>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D0E99C" id="_x0000_t202" coordsize="21600,21600" o:spt="202" path="m,l,21600r21600,l21600,xe">
                <v:stroke joinstyle="miter"/>
                <v:path gradientshapeok="t" o:connecttype="rect"/>
              </v:shapetype>
              <v:shape id="Text Box 2" o:spid="_x0000_s1026" type="#_x0000_t202" style="position:absolute;left:0;text-align:left;margin-left:22.5pt;margin-top:10.65pt;width:30.7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" filled="f" stroked="f" strokeweight=".5pt">
                <v:textbox>
                  <w:txbxContent>
                    <w:p w14:paraId="0E82FB04" w14:textId="77777777" w:rsidR="00B049CE" w:rsidRDefault="00B049CE" w:rsidP="00B049CE">
                      <m:oMath>
                        <m:r>
                          <w:rPr>
                            <w:rFonts w:ascii="Cambria Math" w:eastAsiaTheme="minorEastAsia" w:hAnsi="Cambria Math"/>
                            <w:sz w:val="18"/>
                          </w:rPr>
                          <m:t>∂</m:t>
                        </m:r>
                      </m:oMath>
                      <w:r>
                        <w:rPr>
                          <w:rFonts w:cstheme="minorHAnsi"/>
                        </w:rPr>
                        <w:t>Ω</w:t>
                      </w:r>
                    </w:p>
                  </w:txbxContent>
                </v:textbox>
              </v:shape>
            </w:pict>
          </mc:Fallback>
        </mc:AlternateContent>
      </w:r>
      <w:r w:rsidRPr="003D55FF">
        <w:t xml:space="preserve">             </w:t>
      </w:r>
      <m:oMath>
        <m:nary>
          <m:naryPr>
            <m:limLoc m:val="undOvr"/>
            <m:subHide m:val="1"/>
            <m:supHide m:val="1"/>
            <m:ctrlPr>
              <w:rPr>
                <w:rFonts w:ascii="Cambria Math" w:hAnsi="Cambria Math"/>
                <w:i/>
              </w:rPr>
            </m:ctrlPr>
          </m:naryPr>
          <m:sub/>
          <m:sup/>
          <m:e>
            <m:f>
              <m:fPr>
                <m:ctrlPr>
                  <w:rPr>
                    <w:rFonts w:ascii="Cambria Math" w:hAnsi="Cambria Math"/>
                    <w:i/>
                  </w:rPr>
                </m:ctrlPr>
              </m:fPr>
              <m:num>
                <m:r>
                  <w:rPr>
                    <w:rFonts w:ascii="Cambria Math" w:hAnsi="Cambria Math"/>
                  </w:rPr>
                  <m:t>σ∂ϕ</m:t>
                </m:r>
              </m:num>
              <m:den>
                <m:r>
                  <w:rPr>
                    <w:rFonts w:ascii="Cambria Math" w:hAnsi="Cambria Math"/>
                  </w:rPr>
                  <m:t>∂n</m:t>
                </m:r>
              </m:den>
            </m:f>
            <m:r>
              <w:rPr>
                <w:rFonts w:ascii="Cambria Math" w:hAnsi="Cambria Math"/>
              </w:rPr>
              <m:t xml:space="preserve">=  </m:t>
            </m:r>
          </m:e>
        </m:nary>
      </m:oMath>
      <w:r w:rsidRPr="003D55FF">
        <w:t xml:space="preserve">  +1 on the source electrode, -1 on the sink electrode, and zero otherwise. Where </w:t>
      </w:r>
      <m:oMath>
        <m:r>
          <w:rPr>
            <w:rFonts w:ascii="Cambria Math" w:hAnsi="Cambria Math"/>
          </w:rPr>
          <m:t>∂</m:t>
        </m:r>
      </m:oMath>
      <w:r w:rsidRPr="003D55FF">
        <w:t xml:space="preserve">Ω is the outer boundary surface, and n is the unit vector normal to the boundary surface. It has been found that the relation between the measured potentials and </w:t>
      </w:r>
      <w:r>
        <w:t xml:space="preserve">the </w:t>
      </w:r>
      <w:r w:rsidRPr="003D55FF">
        <w:t xml:space="preserve">conductivity of ROI is represented by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0"/>
        <w:gridCol w:w="616"/>
      </w:tblGrid>
      <w:tr w:rsidR="00B049CE" w14:paraId="3FD560EC" w14:textId="77777777" w:rsidTr="003D6E88">
        <w:tc>
          <w:tcPr>
            <w:tcW w:w="10060" w:type="dxa"/>
          </w:tcPr>
          <w:p w14:paraId="21B41C04" w14:textId="77777777" w:rsidR="00B049CE" w:rsidRDefault="00B049CE" w:rsidP="003D6E88">
            <w:pPr>
              <w:jc w:val="center"/>
            </w:pPr>
            <w:proofErr w:type="spellStart"/>
            <w:r>
              <w:t>δ</w:t>
            </w:r>
            <w:r w:rsidRPr="003D55FF">
              <w:t>ɸ</w:t>
            </w:r>
            <w:proofErr w:type="spellEnd"/>
            <w:r>
              <w:t xml:space="preserve"> = S</w:t>
            </w:r>
            <m:oMath>
              <m:r>
                <w:rPr>
                  <w:rFonts w:ascii="Cambria Math" w:hAnsi="Cambria Math"/>
                </w:rPr>
                <m:t>δσ</m:t>
              </m:r>
            </m:oMath>
          </w:p>
        </w:tc>
        <w:tc>
          <w:tcPr>
            <w:tcW w:w="396" w:type="dxa"/>
          </w:tcPr>
          <w:p w14:paraId="15A3969A" w14:textId="77777777" w:rsidR="00B049CE" w:rsidRDefault="00B049CE" w:rsidP="003D6E88">
            <w:pPr>
              <w:jc w:val="both"/>
            </w:pPr>
            <w:r>
              <w:t>(13</w:t>
            </w:r>
            <w:r w:rsidRPr="003D55FF">
              <w:t>)</w:t>
            </w:r>
          </w:p>
        </w:tc>
      </w:tr>
    </w:tbl>
    <w:p w14:paraId="77F40271" w14:textId="77777777" w:rsidR="00B049CE" w:rsidRPr="003D55FF" w:rsidRDefault="00B049CE" w:rsidP="00B049CE">
      <w:pPr>
        <w:jc w:val="both"/>
      </w:pPr>
      <w:r w:rsidRPr="003D55FF">
        <w:t xml:space="preserve">                                  </w:t>
      </w:r>
    </w:p>
    <w:p w14:paraId="670E988B" w14:textId="77777777" w:rsidR="00B049CE" w:rsidRDefault="00B049CE" w:rsidP="00B049CE">
      <w:pPr>
        <w:jc w:val="both"/>
      </w:pPr>
      <w:r w:rsidRPr="003D55FF">
        <w:t>Where T is the transformation matrix associated with potential and conductivity</w:t>
      </w:r>
      <w:r>
        <w:t>, t</w:t>
      </w:r>
      <w:r w:rsidRPr="003D55FF">
        <w:t xml:space="preserve"> and </w:t>
      </w:r>
      <m:oMath>
        <m:r>
          <w:rPr>
            <w:rFonts w:ascii="Cambria Math" w:hAnsi="Cambria Math"/>
          </w:rPr>
          <m:t>σ</m:t>
        </m:r>
      </m:oMath>
      <w:r w:rsidRPr="003D55FF">
        <w:t xml:space="preserve"> are known, then potential can be obtained numerically. This sort of mathematical problem is known as the forward problem.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85"/>
        <w:gridCol w:w="1371"/>
      </w:tblGrid>
      <w:tr w:rsidR="00B049CE" w14:paraId="7ACA74A6" w14:textId="77777777" w:rsidTr="003D6E88">
        <w:tc>
          <w:tcPr>
            <w:tcW w:w="9085" w:type="dxa"/>
          </w:tcPr>
          <w:p w14:paraId="35FEF120" w14:textId="77777777" w:rsidR="00B049CE" w:rsidRDefault="00B049CE" w:rsidP="003D6E88">
            <w:pPr>
              <w:jc w:val="center"/>
            </w:pPr>
            <w:r>
              <w:rPr>
                <w:rFonts w:eastAsiaTheme="minorEastAsia"/>
              </w:rPr>
              <w:t xml:space="preserve">              </w:t>
            </w:r>
            <m:oMath>
              <m:r>
                <w:rPr>
                  <w:rFonts w:ascii="Cambria Math" w:hAnsi="Cambria Math"/>
                </w:rPr>
                <m:t>δσ</m:t>
              </m:r>
            </m:oMath>
            <w:r>
              <w:t xml:space="preserve"> = S</w:t>
            </w:r>
            <w:r w:rsidRPr="003D55FF">
              <w:rPr>
                <w:vertAlign w:val="superscript"/>
              </w:rPr>
              <w:t>-1</w:t>
            </w:r>
            <w:r>
              <w:rPr>
                <w:vertAlign w:val="superscript"/>
              </w:rPr>
              <w:t xml:space="preserve"> </w:t>
            </w:r>
            <w:proofErr w:type="spellStart"/>
            <w:r>
              <w:t>δ</w:t>
            </w:r>
            <w:r w:rsidRPr="003D55FF">
              <w:t>ɸ</w:t>
            </w:r>
            <w:proofErr w:type="spellEnd"/>
          </w:p>
        </w:tc>
        <w:tc>
          <w:tcPr>
            <w:tcW w:w="1371" w:type="dxa"/>
          </w:tcPr>
          <w:p w14:paraId="1075304B" w14:textId="77777777" w:rsidR="00B049CE" w:rsidRDefault="00B049CE" w:rsidP="003D6E88">
            <w:pPr>
              <w:jc w:val="right"/>
            </w:pPr>
            <w:r>
              <w:t>(14</w:t>
            </w:r>
            <w:r w:rsidRPr="003D55FF">
              <w:t>)</w:t>
            </w:r>
          </w:p>
        </w:tc>
      </w:tr>
    </w:tbl>
    <w:p w14:paraId="43EA087A" w14:textId="77777777" w:rsidR="00B049CE" w:rsidRDefault="00B049CE" w:rsidP="00B049CE">
      <w:pPr>
        <w:jc w:val="both"/>
      </w:pPr>
    </w:p>
    <w:p w14:paraId="04541A0C" w14:textId="77777777" w:rsidR="00B049CE" w:rsidRDefault="00B049CE" w:rsidP="00B049CE">
      <w:pPr>
        <w:jc w:val="both"/>
      </w:pPr>
      <w:r>
        <w:t>But if we have Eq. like (14</w:t>
      </w:r>
      <w:r w:rsidRPr="003D55FF">
        <w:t xml:space="preserve">), where we have information about the transformation matrix and the boundary potentials, this sort of problem is known as an inverse problem. Finding the inverse of T is not straightforward. </w:t>
      </w:r>
    </w:p>
    <w:p w14:paraId="2977FD27" w14:textId="77777777" w:rsidR="00B049CE" w:rsidRPr="003D55FF" w:rsidRDefault="00B049CE" w:rsidP="00B049CE">
      <w:pPr>
        <w:jc w:val="both"/>
      </w:pPr>
    </w:p>
    <w:p w14:paraId="7B377CE2" w14:textId="77777777" w:rsidR="00B049CE" w:rsidRPr="00BD11DE" w:rsidRDefault="00B049CE" w:rsidP="00B049CE">
      <w:pPr>
        <w:pStyle w:val="Heading3"/>
      </w:pPr>
      <w:r w:rsidRPr="00BD11DE">
        <w:t>Inverse Problem:</w:t>
      </w:r>
    </w:p>
    <w:p w14:paraId="1ABEE164" w14:textId="77777777" w:rsidR="00B049CE" w:rsidRDefault="00B049CE" w:rsidP="00B049CE">
      <w:pPr>
        <w:jc w:val="both"/>
      </w:pPr>
      <w:r w:rsidRPr="003D55FF">
        <w:t xml:space="preserve">Inverse problems are ill-conditioned in nature means if we make a slight change in </w:t>
      </w:r>
      <w:r>
        <w:t xml:space="preserve">the </w:t>
      </w:r>
      <w:r w:rsidRPr="003D55FF">
        <w:t>experimental environment</w:t>
      </w:r>
      <w:r>
        <w:t>,</w:t>
      </w:r>
      <w:r w:rsidRPr="003D55FF">
        <w:t xml:space="preserve"> it may lead to a significant change in output. These kind</w:t>
      </w:r>
      <w:r>
        <w:t>s</w:t>
      </w:r>
      <w:r w:rsidRPr="003D55FF">
        <w:t xml:space="preserve"> of problems are highly unstable in nature and prone to error. </w:t>
      </w:r>
      <w:r>
        <w:t>An i</w:t>
      </w:r>
      <w:r w:rsidRPr="003D55FF">
        <w:t xml:space="preserve">nverse problem is </w:t>
      </w:r>
      <w:r>
        <w:t>a</w:t>
      </w:r>
      <w:r w:rsidRPr="003D55FF">
        <w:t xml:space="preserve"> way to get information about the resistivity or the conductivity distribution of the subject under test. It use</w:t>
      </w:r>
      <w:r>
        <w:t>s</w:t>
      </w:r>
      <w:r w:rsidRPr="003D55FF">
        <w:t xml:space="preserve"> the boundary condition to extract the information from ROI. In some and simplest cases</w:t>
      </w:r>
      <w:r>
        <w:t>,</w:t>
      </w:r>
      <w:r w:rsidRPr="003D55FF">
        <w:t xml:space="preserve"> like circular geometry having </w:t>
      </w:r>
      <w:r>
        <w:t xml:space="preserve">a </w:t>
      </w:r>
      <w:r w:rsidRPr="003D55FF">
        <w:t xml:space="preserve">homogeneous distribution of conductivity or resistivity, it’s easy to find out </w:t>
      </w:r>
      <w:r>
        <w:t xml:space="preserve">an </w:t>
      </w:r>
      <w:r w:rsidRPr="003D55FF">
        <w:t>analytical solution</w:t>
      </w:r>
      <w:r>
        <w:t>,</w:t>
      </w:r>
      <w:r w:rsidRPr="003D55FF">
        <w:t xml:space="preserve"> but in </w:t>
      </w:r>
      <w:r>
        <w:t xml:space="preserve">a </w:t>
      </w:r>
      <w:r w:rsidRPr="003D55FF">
        <w:t>practical scenario</w:t>
      </w:r>
      <w:r>
        <w:t>,</w:t>
      </w:r>
      <w:r w:rsidRPr="003D55FF">
        <w:t xml:space="preserve"> this is not the case. So we use numerical methods</w:t>
      </w:r>
      <w:r>
        <w:t>,</w:t>
      </w:r>
      <w:r w:rsidRPr="003D55FF">
        <w:t xml:space="preserve"> specially regularization methods are used to solve </w:t>
      </w:r>
      <w:r>
        <w:t xml:space="preserve">the </w:t>
      </w:r>
      <w:r w:rsidRPr="003D55FF">
        <w:t xml:space="preserve">inverse problem. </w:t>
      </w:r>
    </w:p>
    <w:tbl>
      <w:tblPr>
        <w:tblStyle w:val="TableGrid"/>
        <w:tblpPr w:leftFromText="180" w:rightFromText="180" w:vertAnchor="text" w:horzAnchor="margin" w:tblpXSpec="right" w:tblpY="2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9"/>
      </w:tblGrid>
      <w:tr w:rsidR="00B049CE" w14:paraId="5C2CE120" w14:textId="77777777" w:rsidTr="003D6E88">
        <w:trPr>
          <w:trHeight w:val="5048"/>
        </w:trPr>
        <w:tc>
          <w:tcPr>
            <w:tcW w:w="9609" w:type="dxa"/>
          </w:tcPr>
          <w:p w14:paraId="27D97366" w14:textId="77777777" w:rsidR="00B049CE" w:rsidRDefault="00B049CE" w:rsidP="003D6E88">
            <w:pPr>
              <w:jc w:val="both"/>
            </w:pPr>
            <w:r>
              <w:rPr>
                <w:noProof/>
                <w:lang w:bidi="hi-IN"/>
              </w:rPr>
              <w:lastRenderedPageBreak/>
              <w:drawing>
                <wp:inline distT="0" distB="0" distL="0" distR="0" wp14:anchorId="2AF24FD0" wp14:editId="2CECB076">
                  <wp:extent cx="5964712" cy="3355450"/>
                  <wp:effectExtent l="0" t="0" r="0" b="0"/>
                  <wp:docPr id="27" name="Picture 27" descr="A diagram of a mathematical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diagram of a mathematical equation&#10;&#10;Description automatically generated"/>
                          <pic:cNvPicPr/>
                        </pic:nvPicPr>
                        <pic:blipFill rotWithShape="1">
                          <a:blip r:embed="rId5">
                            <a:extLst>
                              <a:ext uri="{28A0092B-C50C-407E-A947-70E740481C1C}">
                                <a14:useLocalDpi xmlns:a14="http://schemas.microsoft.com/office/drawing/2010/main" val="0"/>
                              </a:ext>
                            </a:extLst>
                          </a:blip>
                          <a:srcRect l="7061" t="8298" r="9095" b="11942"/>
                          <a:stretch/>
                        </pic:blipFill>
                        <pic:spPr bwMode="auto">
                          <a:xfrm>
                            <a:off x="0" y="0"/>
                            <a:ext cx="5985566" cy="33671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40C576FF" w14:textId="77777777" w:rsidR="00B049CE" w:rsidRPr="003D55FF" w:rsidRDefault="00B049CE" w:rsidP="00B049CE">
      <w:pPr>
        <w:jc w:val="both"/>
      </w:pPr>
    </w:p>
    <w:p w14:paraId="7272DD77" w14:textId="77777777" w:rsidR="00B049CE" w:rsidRPr="003D55FF" w:rsidRDefault="00B049CE" w:rsidP="00B049CE">
      <w:pPr>
        <w:jc w:val="both"/>
      </w:pPr>
      <w:r>
        <w:t xml:space="preserve">                        </w:t>
      </w:r>
    </w:p>
    <w:p w14:paraId="3BA70D5A" w14:textId="77777777" w:rsidR="00B049CE" w:rsidRDefault="00B049CE" w:rsidP="00B049CE">
      <w:pPr>
        <w:jc w:val="both"/>
      </w:pPr>
    </w:p>
    <w:p w14:paraId="12B7F78F" w14:textId="77777777" w:rsidR="00B049CE" w:rsidRDefault="00B049CE" w:rsidP="00B049CE">
      <w:pPr>
        <w:jc w:val="both"/>
      </w:pPr>
    </w:p>
    <w:p w14:paraId="36A0F5D4" w14:textId="77777777" w:rsidR="00B049CE" w:rsidRDefault="00B049CE" w:rsidP="00B049CE">
      <w:pPr>
        <w:jc w:val="both"/>
      </w:pPr>
    </w:p>
    <w:p w14:paraId="5803876D" w14:textId="77777777" w:rsidR="00B049CE" w:rsidRDefault="00B049CE" w:rsidP="00B049CE">
      <w:pPr>
        <w:jc w:val="both"/>
      </w:pPr>
    </w:p>
    <w:p w14:paraId="1A6F5065" w14:textId="77777777" w:rsidR="00B049CE" w:rsidRDefault="00B049CE" w:rsidP="00B049CE">
      <w:pPr>
        <w:jc w:val="both"/>
      </w:pPr>
    </w:p>
    <w:p w14:paraId="3B6BE678" w14:textId="77777777" w:rsidR="00B049CE" w:rsidRDefault="00B049CE" w:rsidP="00B049CE">
      <w:pPr>
        <w:jc w:val="both"/>
      </w:pPr>
    </w:p>
    <w:p w14:paraId="357550C7" w14:textId="77777777" w:rsidR="00B049CE" w:rsidRDefault="00B049CE" w:rsidP="00B049CE">
      <w:pPr>
        <w:jc w:val="both"/>
      </w:pPr>
    </w:p>
    <w:p w14:paraId="70A8AB32" w14:textId="77777777" w:rsidR="00B049CE" w:rsidRDefault="00B049CE" w:rsidP="00B049CE">
      <w:pPr>
        <w:jc w:val="both"/>
      </w:pPr>
    </w:p>
    <w:p w14:paraId="11BC9341" w14:textId="77777777" w:rsidR="00B049CE" w:rsidRDefault="00B049CE" w:rsidP="00B049CE">
      <w:pPr>
        <w:jc w:val="both"/>
      </w:pPr>
    </w:p>
    <w:p w14:paraId="0A69E248" w14:textId="77777777" w:rsidR="00B049CE" w:rsidRDefault="00B049CE" w:rsidP="00B049CE">
      <w:pPr>
        <w:jc w:val="both"/>
      </w:pPr>
    </w:p>
    <w:p w14:paraId="1B1AAA71" w14:textId="77777777" w:rsidR="00B049CE" w:rsidRDefault="00B049CE" w:rsidP="00B049CE">
      <w:pPr>
        <w:jc w:val="both"/>
      </w:pPr>
    </w:p>
    <w:p w14:paraId="6909730F" w14:textId="77777777" w:rsidR="00B049CE" w:rsidRDefault="00B049CE" w:rsidP="00B049CE">
      <w:pPr>
        <w:jc w:val="both"/>
      </w:pPr>
    </w:p>
    <w:p w14:paraId="2A9007A1" w14:textId="77777777" w:rsidR="00B049CE" w:rsidRPr="003D55FF" w:rsidRDefault="00B049CE" w:rsidP="00B049CE">
      <w:pPr>
        <w:jc w:val="both"/>
      </w:pPr>
      <w:r w:rsidRPr="003D55FF">
        <w:t>Following are the steps to solve these problem:</w:t>
      </w:r>
    </w:p>
    <w:tbl>
      <w:tblPr>
        <w:tblStyle w:val="TableGrid"/>
        <w:tblW w:w="0" w:type="auto"/>
        <w:tblInd w:w="1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6"/>
      </w:tblGrid>
      <w:tr w:rsidR="00B049CE" w14:paraId="68FF7192" w14:textId="77777777" w:rsidTr="003D6E88">
        <w:tc>
          <w:tcPr>
            <w:tcW w:w="8376" w:type="dxa"/>
          </w:tcPr>
          <w:p w14:paraId="728164A8" w14:textId="77777777" w:rsidR="00B049CE" w:rsidRDefault="00B049CE" w:rsidP="003D6E88">
            <w:pPr>
              <w:jc w:val="both"/>
            </w:pPr>
            <w:r>
              <w:rPr>
                <w:noProof/>
                <w:lang w:bidi="hi-IN"/>
              </w:rPr>
              <w:drawing>
                <wp:inline distT="0" distB="0" distL="0" distR="0" wp14:anchorId="0F3A66CD" wp14:editId="4E868856">
                  <wp:extent cx="5181849" cy="2618841"/>
                  <wp:effectExtent l="0" t="0" r="0" b="0"/>
                  <wp:docPr id="1" name="Picture 1" descr="A diagram of a pro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problem&#10;&#10;Description automatically generated"/>
                          <pic:cNvPicPr/>
                        </pic:nvPicPr>
                        <pic:blipFill rotWithShape="1">
                          <a:blip r:embed="rId6">
                            <a:extLst>
                              <a:ext uri="{28A0092B-C50C-407E-A947-70E740481C1C}">
                                <a14:useLocalDpi xmlns:a14="http://schemas.microsoft.com/office/drawing/2010/main" val="0"/>
                              </a:ext>
                            </a:extLst>
                          </a:blip>
                          <a:srcRect l="4843" t="8415" r="2347" b="8198"/>
                          <a:stretch/>
                        </pic:blipFill>
                        <pic:spPr bwMode="auto">
                          <a:xfrm>
                            <a:off x="0" y="0"/>
                            <a:ext cx="5219352" cy="2637794"/>
                          </a:xfrm>
                          <a:prstGeom prst="rect">
                            <a:avLst/>
                          </a:prstGeom>
                          <a:ln>
                            <a:noFill/>
                          </a:ln>
                          <a:extLst>
                            <a:ext uri="{53640926-AAD7-44D8-BBD7-CCE9431645EC}">
                              <a14:shadowObscured xmlns:a14="http://schemas.microsoft.com/office/drawing/2010/main"/>
                            </a:ext>
                          </a:extLst>
                        </pic:spPr>
                      </pic:pic>
                    </a:graphicData>
                  </a:graphic>
                </wp:inline>
              </w:drawing>
            </w:r>
          </w:p>
        </w:tc>
      </w:tr>
    </w:tbl>
    <w:p w14:paraId="2AB4E7A6" w14:textId="77777777" w:rsidR="00B049CE" w:rsidRDefault="00B049CE" w:rsidP="00B049CE">
      <w:pPr>
        <w:jc w:val="both"/>
      </w:pPr>
    </w:p>
    <w:p w14:paraId="79279D93" w14:textId="77777777" w:rsidR="00B049CE" w:rsidRPr="00A61E1E" w:rsidRDefault="00B049CE" w:rsidP="00B049CE">
      <w:pPr>
        <w:pStyle w:val="Heading2"/>
      </w:pPr>
      <w:bookmarkStart w:id="4" w:name="_Electronics_involved:"/>
      <w:bookmarkEnd w:id="4"/>
      <w:r w:rsidRPr="00A61E1E">
        <w:t>Electronics involved:</w:t>
      </w:r>
    </w:p>
    <w:p w14:paraId="7FD4FB2C" w14:textId="77777777" w:rsidR="00B049CE" w:rsidRPr="00A61E1E" w:rsidRDefault="00B049CE" w:rsidP="00B049CE">
      <w:pPr>
        <w:jc w:val="both"/>
      </w:pPr>
    </w:p>
    <w:tbl>
      <w:tblPr>
        <w:tblStyle w:val="TableGrid"/>
        <w:tblW w:w="0" w:type="auto"/>
        <w:tblInd w:w="-5" w:type="dxa"/>
        <w:tblLook w:val="04A0" w:firstRow="1" w:lastRow="0" w:firstColumn="1" w:lastColumn="0" w:noHBand="0" w:noVBand="1"/>
      </w:tblPr>
      <w:tblGrid>
        <w:gridCol w:w="5456"/>
        <w:gridCol w:w="5005"/>
      </w:tblGrid>
      <w:tr w:rsidR="00B049CE" w:rsidRPr="00A61E1E" w14:paraId="7D185665" w14:textId="77777777" w:rsidTr="003D6E88">
        <w:tc>
          <w:tcPr>
            <w:tcW w:w="5555" w:type="dxa"/>
          </w:tcPr>
          <w:p w14:paraId="28B4C10B" w14:textId="77777777" w:rsidR="00B049CE" w:rsidRPr="00A61E1E" w:rsidRDefault="00B049CE" w:rsidP="003D6E88">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lang w:eastAsia="en-US"/>
              </w:rPr>
            </w:pPr>
            <w:r w:rsidRPr="00A61E1E">
              <w:rPr>
                <w:noProof/>
              </w:rPr>
              <w:drawing>
                <wp:inline distT="0" distB="0" distL="0" distR="0" wp14:anchorId="1A29181F" wp14:editId="358F1EAD">
                  <wp:extent cx="3503221" cy="1963520"/>
                  <wp:effectExtent l="0" t="0" r="2540" b="0"/>
                  <wp:docPr id="26" name="Picture 2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 engineering drawing&#10;&#10;Description automatically generated"/>
                          <pic:cNvPicPr/>
                        </pic:nvPicPr>
                        <pic:blipFill rotWithShape="1">
                          <a:blip r:embed="rId7">
                            <a:extLst>
                              <a:ext uri="{28A0092B-C50C-407E-A947-70E740481C1C}">
                                <a14:useLocalDpi xmlns:a14="http://schemas.microsoft.com/office/drawing/2010/main" val="0"/>
                              </a:ext>
                            </a:extLst>
                          </a:blip>
                          <a:srcRect l="8975" t="7233" r="27829" b="29795"/>
                          <a:stretch/>
                        </pic:blipFill>
                        <pic:spPr bwMode="auto">
                          <a:xfrm>
                            <a:off x="0" y="0"/>
                            <a:ext cx="3503221" cy="1963520"/>
                          </a:xfrm>
                          <a:prstGeom prst="rect">
                            <a:avLst/>
                          </a:prstGeom>
                          <a:ln>
                            <a:noFill/>
                          </a:ln>
                          <a:extLst>
                            <a:ext uri="{53640926-AAD7-44D8-BBD7-CCE9431645EC}">
                              <a14:shadowObscured xmlns:a14="http://schemas.microsoft.com/office/drawing/2010/main"/>
                            </a:ext>
                          </a:extLst>
                        </pic:spPr>
                      </pic:pic>
                    </a:graphicData>
                  </a:graphic>
                </wp:inline>
              </w:drawing>
            </w:r>
          </w:p>
        </w:tc>
        <w:tc>
          <w:tcPr>
            <w:tcW w:w="4916" w:type="dxa"/>
          </w:tcPr>
          <w:p w14:paraId="395E98CA" w14:textId="77777777" w:rsidR="00B049CE" w:rsidRPr="00A61E1E" w:rsidRDefault="00B049CE" w:rsidP="003D6E88">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lang w:val="en-US" w:eastAsia="en-US"/>
              </w:rPr>
            </w:pPr>
            <w:r w:rsidRPr="00A61E1E">
              <w:rPr>
                <w:noProof/>
              </w:rPr>
              <w:drawing>
                <wp:inline distT="0" distB="0" distL="0" distR="0" wp14:anchorId="4E989C47" wp14:editId="4FB029EE">
                  <wp:extent cx="3203434" cy="2090586"/>
                  <wp:effectExtent l="0" t="0" r="0" b="5080"/>
                  <wp:docPr id="17" name="Picture 1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schematic&#10;&#10;Description automatically generated"/>
                          <pic:cNvPicPr/>
                        </pic:nvPicPr>
                        <pic:blipFill rotWithShape="1">
                          <a:blip r:embed="rId8">
                            <a:extLst>
                              <a:ext uri="{28A0092B-C50C-407E-A947-70E740481C1C}">
                                <a14:useLocalDpi xmlns:a14="http://schemas.microsoft.com/office/drawing/2010/main" val="0"/>
                              </a:ext>
                            </a:extLst>
                          </a:blip>
                          <a:srcRect l="9693" t="-2941" r="31990" b="38530"/>
                          <a:stretch/>
                        </pic:blipFill>
                        <pic:spPr bwMode="auto">
                          <a:xfrm>
                            <a:off x="0" y="0"/>
                            <a:ext cx="3203434" cy="2090586"/>
                          </a:xfrm>
                          <a:prstGeom prst="rect">
                            <a:avLst/>
                          </a:prstGeom>
                          <a:ln>
                            <a:noFill/>
                          </a:ln>
                          <a:extLst>
                            <a:ext uri="{53640926-AAD7-44D8-BBD7-CCE9431645EC}">
                              <a14:shadowObscured xmlns:a14="http://schemas.microsoft.com/office/drawing/2010/main"/>
                            </a:ext>
                          </a:extLst>
                        </pic:spPr>
                      </pic:pic>
                    </a:graphicData>
                  </a:graphic>
                </wp:inline>
              </w:drawing>
            </w:r>
          </w:p>
        </w:tc>
      </w:tr>
      <w:tr w:rsidR="00B049CE" w:rsidRPr="00A61E1E" w14:paraId="3781E55B" w14:textId="77777777" w:rsidTr="003D6E88">
        <w:tc>
          <w:tcPr>
            <w:tcW w:w="5555" w:type="dxa"/>
          </w:tcPr>
          <w:p w14:paraId="29B758CE" w14:textId="77777777" w:rsidR="00B049CE" w:rsidRPr="00A61E1E" w:rsidRDefault="00B049CE" w:rsidP="003D6E88">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lang w:eastAsia="en-US"/>
              </w:rPr>
            </w:pPr>
            <w:r w:rsidRPr="00A61E1E">
              <w:rPr>
                <w:b/>
                <w:bdr w:val="none" w:sz="0" w:space="0" w:color="auto"/>
                <w:lang w:eastAsia="en-US"/>
              </w:rPr>
              <w:t>Figure</w:t>
            </w:r>
            <w:r w:rsidRPr="00A61E1E">
              <w:rPr>
                <w:bdr w:val="none" w:sz="0" w:space="0" w:color="auto"/>
                <w:lang w:eastAsia="en-US"/>
              </w:rPr>
              <w:t xml:space="preserve"> 1(a). Modified voltage controlled current source VCCS</w:t>
            </w:r>
          </w:p>
        </w:tc>
        <w:tc>
          <w:tcPr>
            <w:tcW w:w="4916" w:type="dxa"/>
          </w:tcPr>
          <w:p w14:paraId="79D690E7" w14:textId="77777777" w:rsidR="00B049CE" w:rsidRPr="00A61E1E" w:rsidRDefault="00B049CE" w:rsidP="003D6E88">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lang w:eastAsia="en-US"/>
              </w:rPr>
            </w:pPr>
            <w:r w:rsidRPr="00A61E1E">
              <w:rPr>
                <w:b/>
                <w:bdr w:val="none" w:sz="0" w:space="0" w:color="auto"/>
                <w:lang w:eastAsia="en-US"/>
              </w:rPr>
              <w:t>Figure</w:t>
            </w:r>
            <w:r w:rsidRPr="00A61E1E">
              <w:rPr>
                <w:bdr w:val="none" w:sz="0" w:space="0" w:color="auto"/>
                <w:lang w:eastAsia="en-US"/>
              </w:rPr>
              <w:t xml:space="preserve"> 1(b). Differential Voltmeter</w:t>
            </w:r>
          </w:p>
        </w:tc>
      </w:tr>
    </w:tbl>
    <w:p w14:paraId="0D489C38" w14:textId="77777777" w:rsidR="00B049CE" w:rsidRPr="00A61E1E" w:rsidRDefault="00B049CE" w:rsidP="00B049CE">
      <w:pPr>
        <w:jc w:val="both"/>
      </w:pPr>
    </w:p>
    <w:tbl>
      <w:tblPr>
        <w:tblStyle w:val="TableGrid"/>
        <w:tblW w:w="0" w:type="auto"/>
        <w:tblLook w:val="04A0" w:firstRow="1" w:lastRow="0" w:firstColumn="1" w:lastColumn="0" w:noHBand="0" w:noVBand="1"/>
      </w:tblPr>
      <w:tblGrid>
        <w:gridCol w:w="10456"/>
      </w:tblGrid>
      <w:tr w:rsidR="00B049CE" w:rsidRPr="00A61E1E" w14:paraId="7FF84642" w14:textId="77777777" w:rsidTr="003D6E88">
        <w:tc>
          <w:tcPr>
            <w:tcW w:w="10456" w:type="dxa"/>
          </w:tcPr>
          <w:p w14:paraId="359DC0C0" w14:textId="77777777" w:rsidR="00B049CE" w:rsidRPr="00A61E1E" w:rsidRDefault="00B049CE" w:rsidP="003D6E88">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lang w:eastAsia="en-US"/>
              </w:rPr>
            </w:pPr>
            <w:r w:rsidRPr="00A61E1E">
              <w:rPr>
                <w:noProof/>
              </w:rPr>
              <w:lastRenderedPageBreak/>
              <w:drawing>
                <wp:inline distT="0" distB="0" distL="0" distR="0" wp14:anchorId="34457D02" wp14:editId="68D97EA1">
                  <wp:extent cx="6554420" cy="2870200"/>
                  <wp:effectExtent l="0" t="0" r="0" b="6350"/>
                  <wp:docPr id="16" name="Picture 1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schematic&#10;&#10;Description automatically generated"/>
                          <pic:cNvPicPr/>
                        </pic:nvPicPr>
                        <pic:blipFill rotWithShape="1">
                          <a:blip r:embed="rId9">
                            <a:extLst>
                              <a:ext uri="{28A0092B-C50C-407E-A947-70E740481C1C}">
                                <a14:useLocalDpi xmlns:a14="http://schemas.microsoft.com/office/drawing/2010/main" val="0"/>
                              </a:ext>
                            </a:extLst>
                          </a:blip>
                          <a:srcRect r="1237"/>
                          <a:stretch/>
                        </pic:blipFill>
                        <pic:spPr bwMode="auto">
                          <a:xfrm>
                            <a:off x="0" y="0"/>
                            <a:ext cx="6671049" cy="2921272"/>
                          </a:xfrm>
                          <a:prstGeom prst="rect">
                            <a:avLst/>
                          </a:prstGeom>
                          <a:ln>
                            <a:noFill/>
                          </a:ln>
                          <a:extLst>
                            <a:ext uri="{53640926-AAD7-44D8-BBD7-CCE9431645EC}">
                              <a14:shadowObscured xmlns:a14="http://schemas.microsoft.com/office/drawing/2010/main"/>
                            </a:ext>
                          </a:extLst>
                        </pic:spPr>
                      </pic:pic>
                    </a:graphicData>
                  </a:graphic>
                </wp:inline>
              </w:drawing>
            </w:r>
          </w:p>
        </w:tc>
      </w:tr>
      <w:tr w:rsidR="00B049CE" w:rsidRPr="00A61E1E" w14:paraId="5A1B4663" w14:textId="77777777" w:rsidTr="003D6E88">
        <w:tc>
          <w:tcPr>
            <w:tcW w:w="10456" w:type="dxa"/>
          </w:tcPr>
          <w:p w14:paraId="72AC613D" w14:textId="77777777" w:rsidR="00B049CE" w:rsidRPr="00A61E1E" w:rsidRDefault="00B049CE" w:rsidP="003D6E88">
            <w:pPr>
              <w:pBdr>
                <w:top w:val="none" w:sz="0" w:space="0" w:color="auto"/>
                <w:left w:val="none" w:sz="0" w:space="0" w:color="auto"/>
                <w:bottom w:val="none" w:sz="0" w:space="0" w:color="auto"/>
                <w:right w:val="none" w:sz="0" w:space="0" w:color="auto"/>
                <w:between w:val="none" w:sz="0" w:space="0" w:color="auto"/>
                <w:bar w:val="none" w:sz="0" w:color="auto"/>
              </w:pBdr>
              <w:jc w:val="both"/>
              <w:rPr>
                <w:bdr w:val="none" w:sz="0" w:space="0" w:color="auto"/>
                <w:lang w:eastAsia="en-US"/>
              </w:rPr>
            </w:pPr>
            <w:r w:rsidRPr="00A61E1E">
              <w:rPr>
                <w:b/>
                <w:bdr w:val="none" w:sz="0" w:space="0" w:color="auto"/>
                <w:lang w:eastAsia="en-US"/>
              </w:rPr>
              <w:t>Figure</w:t>
            </w:r>
            <w:r w:rsidRPr="00A61E1E">
              <w:rPr>
                <w:bdr w:val="none" w:sz="0" w:space="0" w:color="auto"/>
                <w:lang w:eastAsia="en-US"/>
              </w:rPr>
              <w:t xml:space="preserve"> 2. Circuit Diagram of EIT Switching Module</w:t>
            </w:r>
          </w:p>
        </w:tc>
      </w:tr>
    </w:tbl>
    <w:p w14:paraId="63682D16" w14:textId="77777777" w:rsidR="00B049CE" w:rsidRPr="00A61E1E" w:rsidRDefault="00B049CE" w:rsidP="00B049CE">
      <w:pPr>
        <w:jc w:val="both"/>
      </w:pPr>
    </w:p>
    <w:p w14:paraId="7818A9FC" w14:textId="77777777" w:rsidR="00B049CE" w:rsidRDefault="00B049CE" w:rsidP="00B049CE">
      <w:pPr>
        <w:jc w:val="both"/>
      </w:pPr>
    </w:p>
    <w:p w14:paraId="653E2527" w14:textId="77777777" w:rsidR="00B049CE" w:rsidRDefault="00B049CE" w:rsidP="00B049CE">
      <w:pPr>
        <w:pStyle w:val="Heading2"/>
      </w:pPr>
      <w:bookmarkStart w:id="5" w:name="_Non-linear_fitting:"/>
      <w:bookmarkEnd w:id="5"/>
      <w:r>
        <w:t>Non-linear fitting:</w:t>
      </w:r>
    </w:p>
    <w:p w14:paraId="1C2425B5" w14:textId="77777777" w:rsidR="00B049CE" w:rsidRPr="0078702B" w:rsidRDefault="00B049CE" w:rsidP="00B049CE">
      <w:pPr>
        <w:spacing w:after="160" w:line="259" w:lineRule="auto"/>
        <w:jc w:val="both"/>
        <w:rPr>
          <w:rFonts w:asciiTheme="minorHAnsi" w:eastAsiaTheme="minorHAnsi" w:hAnsiTheme="minorHAnsi" w:cstheme="minorBidi"/>
          <w:sz w:val="22"/>
          <w:szCs w:val="22"/>
        </w:rPr>
      </w:pPr>
      <w:r>
        <w:t>Numerous experiments (nearly 500) have been conducted for non-linear fitting. Only one variable was changed in one experiment. Experiments corresponding to 4 and 5 number of electrodes have been skipped. The table that is attached below contains information about the experimental variables. RMSE corresponding to every experiment is used for fitting. This fitting is done using MATLAB inbuilt function ‘</w:t>
      </w:r>
      <w:proofErr w:type="spellStart"/>
      <w:r w:rsidRPr="0078702B">
        <w:rPr>
          <w:rFonts w:asciiTheme="minorHAnsi" w:eastAsiaTheme="minorHAnsi" w:hAnsiTheme="minorHAnsi" w:cstheme="minorBidi"/>
          <w:sz w:val="22"/>
          <w:szCs w:val="22"/>
        </w:rPr>
        <w:t>lsqcurvefit</w:t>
      </w:r>
      <w:proofErr w:type="spellEnd"/>
      <w:r>
        <w:rPr>
          <w:rFonts w:asciiTheme="minorHAnsi" w:eastAsiaTheme="minorHAnsi" w:hAnsiTheme="minorHAnsi" w:cstheme="minorBidi"/>
          <w:sz w:val="22"/>
          <w:szCs w:val="22"/>
        </w:rPr>
        <w:t>()</w:t>
      </w:r>
      <w:r>
        <w:t xml:space="preserve">’. Fitting RMSE is used to find out the best fit. </w:t>
      </w:r>
    </w:p>
    <w:tbl>
      <w:tblPr>
        <w:tblStyle w:val="TableGrid"/>
        <w:tblW w:w="0" w:type="auto"/>
        <w:tblLook w:val="04A0" w:firstRow="1" w:lastRow="0" w:firstColumn="1" w:lastColumn="0" w:noHBand="0" w:noVBand="1"/>
      </w:tblPr>
      <w:tblGrid>
        <w:gridCol w:w="1435"/>
        <w:gridCol w:w="1350"/>
        <w:gridCol w:w="1620"/>
        <w:gridCol w:w="1890"/>
        <w:gridCol w:w="2250"/>
        <w:gridCol w:w="1911"/>
      </w:tblGrid>
      <w:tr w:rsidR="00B049CE" w14:paraId="30E8FBE1" w14:textId="77777777" w:rsidTr="003D6E88">
        <w:tc>
          <w:tcPr>
            <w:tcW w:w="1435" w:type="dxa"/>
          </w:tcPr>
          <w:p w14:paraId="31C750BE" w14:textId="77777777" w:rsidR="00B049CE" w:rsidRDefault="00B049CE" w:rsidP="003D6E88">
            <w:pPr>
              <w:jc w:val="center"/>
            </w:pPr>
            <w:r>
              <w:t>Molarity</w:t>
            </w:r>
          </w:p>
        </w:tc>
        <w:tc>
          <w:tcPr>
            <w:tcW w:w="1350" w:type="dxa"/>
          </w:tcPr>
          <w:p w14:paraId="46716782" w14:textId="77777777" w:rsidR="00B049CE" w:rsidRDefault="00B049CE" w:rsidP="003D6E88">
            <w:pPr>
              <w:jc w:val="center"/>
            </w:pPr>
            <w:r>
              <w:t>Time (Min)</w:t>
            </w:r>
          </w:p>
        </w:tc>
        <w:tc>
          <w:tcPr>
            <w:tcW w:w="1620" w:type="dxa"/>
          </w:tcPr>
          <w:p w14:paraId="079CC1F1" w14:textId="77777777" w:rsidR="00B049CE" w:rsidRDefault="00B049CE" w:rsidP="003D6E88">
            <w:pPr>
              <w:jc w:val="center"/>
            </w:pPr>
            <w:r>
              <w:t>No. of electrodes</w:t>
            </w:r>
          </w:p>
        </w:tc>
        <w:tc>
          <w:tcPr>
            <w:tcW w:w="1890" w:type="dxa"/>
          </w:tcPr>
          <w:p w14:paraId="23C8FA9E" w14:textId="77777777" w:rsidR="00B049CE" w:rsidRDefault="00B049CE" w:rsidP="003D6E88">
            <w:pPr>
              <w:jc w:val="center"/>
            </w:pPr>
            <w:r>
              <w:t>Size of object (cm)</w:t>
            </w:r>
          </w:p>
        </w:tc>
        <w:tc>
          <w:tcPr>
            <w:tcW w:w="2250" w:type="dxa"/>
          </w:tcPr>
          <w:p w14:paraId="70433E7C" w14:textId="77777777" w:rsidR="00B049CE" w:rsidRDefault="00B049CE" w:rsidP="003D6E88">
            <w:pPr>
              <w:jc w:val="center"/>
            </w:pPr>
            <w:r>
              <w:t>Diameter of container (cm)</w:t>
            </w:r>
          </w:p>
        </w:tc>
        <w:tc>
          <w:tcPr>
            <w:tcW w:w="1911" w:type="dxa"/>
          </w:tcPr>
          <w:p w14:paraId="5EC11900" w14:textId="77777777" w:rsidR="00B049CE" w:rsidRDefault="00B049CE" w:rsidP="003D6E88">
            <w:pPr>
              <w:jc w:val="center"/>
            </w:pPr>
            <w:r>
              <w:t>Periphery covered by electrodes (%)</w:t>
            </w:r>
          </w:p>
        </w:tc>
      </w:tr>
      <w:tr w:rsidR="00B049CE" w14:paraId="011551D1" w14:textId="77777777" w:rsidTr="003D6E88">
        <w:tc>
          <w:tcPr>
            <w:tcW w:w="1435" w:type="dxa"/>
          </w:tcPr>
          <w:p w14:paraId="7513A946" w14:textId="77777777" w:rsidR="00B049CE" w:rsidRDefault="00B049CE" w:rsidP="003D6E88">
            <w:pPr>
              <w:jc w:val="center"/>
            </w:pPr>
            <w:r>
              <w:t>0.434</w:t>
            </w:r>
          </w:p>
        </w:tc>
        <w:tc>
          <w:tcPr>
            <w:tcW w:w="1350" w:type="dxa"/>
          </w:tcPr>
          <w:p w14:paraId="0E51C7A9" w14:textId="77777777" w:rsidR="00B049CE" w:rsidRDefault="00B049CE" w:rsidP="003D6E88">
            <w:pPr>
              <w:jc w:val="center"/>
            </w:pPr>
            <w:r>
              <w:t>20</w:t>
            </w:r>
          </w:p>
        </w:tc>
        <w:tc>
          <w:tcPr>
            <w:tcW w:w="1620" w:type="dxa"/>
          </w:tcPr>
          <w:p w14:paraId="72656127" w14:textId="77777777" w:rsidR="00B049CE" w:rsidRDefault="00B049CE" w:rsidP="003D6E88">
            <w:pPr>
              <w:jc w:val="center"/>
            </w:pPr>
            <w:r>
              <w:t>4 (skipped)</w:t>
            </w:r>
          </w:p>
        </w:tc>
        <w:tc>
          <w:tcPr>
            <w:tcW w:w="1890" w:type="dxa"/>
          </w:tcPr>
          <w:p w14:paraId="364D0F4D" w14:textId="77777777" w:rsidR="00B049CE" w:rsidRDefault="00B049CE" w:rsidP="003D6E88">
            <w:pPr>
              <w:jc w:val="center"/>
            </w:pPr>
            <w:r>
              <w:t>0.2</w:t>
            </w:r>
          </w:p>
        </w:tc>
        <w:tc>
          <w:tcPr>
            <w:tcW w:w="2250" w:type="dxa"/>
          </w:tcPr>
          <w:p w14:paraId="4550D9CF" w14:textId="77777777" w:rsidR="00B049CE" w:rsidRDefault="00B049CE" w:rsidP="003D6E88">
            <w:pPr>
              <w:jc w:val="center"/>
            </w:pPr>
            <w:r>
              <w:t>5.4</w:t>
            </w:r>
          </w:p>
        </w:tc>
        <w:tc>
          <w:tcPr>
            <w:tcW w:w="1911" w:type="dxa"/>
          </w:tcPr>
          <w:p w14:paraId="49C0B610" w14:textId="77777777" w:rsidR="00B049CE" w:rsidRDefault="00B049CE" w:rsidP="003D6E88">
            <w:pPr>
              <w:jc w:val="center"/>
            </w:pPr>
            <w:r>
              <w:t>38.66</w:t>
            </w:r>
          </w:p>
        </w:tc>
      </w:tr>
      <w:tr w:rsidR="00B049CE" w14:paraId="40DA5E76" w14:textId="77777777" w:rsidTr="003D6E88">
        <w:tc>
          <w:tcPr>
            <w:tcW w:w="1435" w:type="dxa"/>
          </w:tcPr>
          <w:p w14:paraId="29F075C6" w14:textId="77777777" w:rsidR="00B049CE" w:rsidRDefault="00B049CE" w:rsidP="003D6E88">
            <w:pPr>
              <w:jc w:val="center"/>
            </w:pPr>
            <w:r>
              <w:t>0.513</w:t>
            </w:r>
          </w:p>
        </w:tc>
        <w:tc>
          <w:tcPr>
            <w:tcW w:w="1350" w:type="dxa"/>
          </w:tcPr>
          <w:p w14:paraId="08E30546" w14:textId="77777777" w:rsidR="00B049CE" w:rsidRDefault="00B049CE" w:rsidP="003D6E88">
            <w:pPr>
              <w:jc w:val="center"/>
            </w:pPr>
            <w:r>
              <w:t>40</w:t>
            </w:r>
          </w:p>
        </w:tc>
        <w:tc>
          <w:tcPr>
            <w:tcW w:w="1620" w:type="dxa"/>
          </w:tcPr>
          <w:p w14:paraId="084E1354" w14:textId="77777777" w:rsidR="00B049CE" w:rsidRDefault="00B049CE" w:rsidP="003D6E88">
            <w:pPr>
              <w:jc w:val="center"/>
            </w:pPr>
            <w:r>
              <w:t>5 (skipped)</w:t>
            </w:r>
          </w:p>
        </w:tc>
        <w:tc>
          <w:tcPr>
            <w:tcW w:w="1890" w:type="dxa"/>
          </w:tcPr>
          <w:p w14:paraId="364844E3" w14:textId="77777777" w:rsidR="00B049CE" w:rsidRDefault="00B049CE" w:rsidP="003D6E88">
            <w:pPr>
              <w:jc w:val="center"/>
            </w:pPr>
            <w:r>
              <w:t>0.4</w:t>
            </w:r>
          </w:p>
        </w:tc>
        <w:tc>
          <w:tcPr>
            <w:tcW w:w="2250" w:type="dxa"/>
          </w:tcPr>
          <w:p w14:paraId="0D877F9D" w14:textId="77777777" w:rsidR="00B049CE" w:rsidRDefault="00B049CE" w:rsidP="003D6E88">
            <w:pPr>
              <w:jc w:val="center"/>
            </w:pPr>
            <w:r>
              <w:t>6.5</w:t>
            </w:r>
          </w:p>
        </w:tc>
        <w:tc>
          <w:tcPr>
            <w:tcW w:w="1911" w:type="dxa"/>
          </w:tcPr>
          <w:p w14:paraId="22375C3D" w14:textId="77777777" w:rsidR="00B049CE" w:rsidRDefault="00B049CE" w:rsidP="003D6E88">
            <w:pPr>
              <w:jc w:val="center"/>
            </w:pPr>
            <w:r>
              <w:t>39.19</w:t>
            </w:r>
          </w:p>
        </w:tc>
      </w:tr>
      <w:tr w:rsidR="00B049CE" w14:paraId="6B22D93F" w14:textId="77777777" w:rsidTr="003D6E88">
        <w:tc>
          <w:tcPr>
            <w:tcW w:w="1435" w:type="dxa"/>
          </w:tcPr>
          <w:p w14:paraId="1466A797" w14:textId="77777777" w:rsidR="00B049CE" w:rsidRDefault="00B049CE" w:rsidP="003D6E88">
            <w:pPr>
              <w:jc w:val="center"/>
            </w:pPr>
            <w:r>
              <w:t>0.684</w:t>
            </w:r>
          </w:p>
        </w:tc>
        <w:tc>
          <w:tcPr>
            <w:tcW w:w="1350" w:type="dxa"/>
          </w:tcPr>
          <w:p w14:paraId="413813B6" w14:textId="77777777" w:rsidR="00B049CE" w:rsidRDefault="00B049CE" w:rsidP="003D6E88">
            <w:pPr>
              <w:jc w:val="center"/>
            </w:pPr>
            <w:r>
              <w:t>60</w:t>
            </w:r>
          </w:p>
        </w:tc>
        <w:tc>
          <w:tcPr>
            <w:tcW w:w="1620" w:type="dxa"/>
          </w:tcPr>
          <w:p w14:paraId="1F590E60" w14:textId="77777777" w:rsidR="00B049CE" w:rsidRDefault="00B049CE" w:rsidP="003D6E88">
            <w:pPr>
              <w:jc w:val="center"/>
            </w:pPr>
            <w:r>
              <w:t>8</w:t>
            </w:r>
          </w:p>
        </w:tc>
        <w:tc>
          <w:tcPr>
            <w:tcW w:w="1890" w:type="dxa"/>
          </w:tcPr>
          <w:p w14:paraId="368949E0" w14:textId="77777777" w:rsidR="00B049CE" w:rsidRDefault="00B049CE" w:rsidP="003D6E88">
            <w:pPr>
              <w:jc w:val="center"/>
            </w:pPr>
            <w:r>
              <w:t>0.5</w:t>
            </w:r>
          </w:p>
        </w:tc>
        <w:tc>
          <w:tcPr>
            <w:tcW w:w="2250" w:type="dxa"/>
          </w:tcPr>
          <w:p w14:paraId="4BE3D76A" w14:textId="77777777" w:rsidR="00B049CE" w:rsidRDefault="00B049CE" w:rsidP="003D6E88">
            <w:pPr>
              <w:jc w:val="center"/>
            </w:pPr>
            <w:r>
              <w:t>8.3</w:t>
            </w:r>
          </w:p>
        </w:tc>
        <w:tc>
          <w:tcPr>
            <w:tcW w:w="1911" w:type="dxa"/>
          </w:tcPr>
          <w:p w14:paraId="7ECBCA75" w14:textId="77777777" w:rsidR="00B049CE" w:rsidRDefault="00B049CE" w:rsidP="003D6E88">
            <w:pPr>
              <w:jc w:val="center"/>
            </w:pPr>
            <w:r>
              <w:t>50.88</w:t>
            </w:r>
          </w:p>
        </w:tc>
      </w:tr>
      <w:tr w:rsidR="00B049CE" w14:paraId="30BE759A" w14:textId="77777777" w:rsidTr="003D6E88">
        <w:tc>
          <w:tcPr>
            <w:tcW w:w="1435" w:type="dxa"/>
          </w:tcPr>
          <w:p w14:paraId="32F531B6" w14:textId="77777777" w:rsidR="00B049CE" w:rsidRDefault="00B049CE" w:rsidP="003D6E88">
            <w:pPr>
              <w:jc w:val="center"/>
            </w:pPr>
            <w:r>
              <w:t>1.024</w:t>
            </w:r>
          </w:p>
        </w:tc>
        <w:tc>
          <w:tcPr>
            <w:tcW w:w="1350" w:type="dxa"/>
          </w:tcPr>
          <w:p w14:paraId="0380D548" w14:textId="77777777" w:rsidR="00B049CE" w:rsidRDefault="00B049CE" w:rsidP="003D6E88">
            <w:pPr>
              <w:jc w:val="center"/>
            </w:pPr>
            <w:r>
              <w:t>80</w:t>
            </w:r>
          </w:p>
        </w:tc>
        <w:tc>
          <w:tcPr>
            <w:tcW w:w="1620" w:type="dxa"/>
          </w:tcPr>
          <w:p w14:paraId="0082ED8C" w14:textId="77777777" w:rsidR="00B049CE" w:rsidRDefault="00B049CE" w:rsidP="003D6E88">
            <w:pPr>
              <w:jc w:val="center"/>
            </w:pPr>
            <w:r>
              <w:t>12</w:t>
            </w:r>
          </w:p>
        </w:tc>
        <w:tc>
          <w:tcPr>
            <w:tcW w:w="1890" w:type="dxa"/>
          </w:tcPr>
          <w:p w14:paraId="39DFC4CA" w14:textId="77777777" w:rsidR="00B049CE" w:rsidRDefault="00B049CE" w:rsidP="003D6E88">
            <w:pPr>
              <w:jc w:val="center"/>
            </w:pPr>
            <w:r>
              <w:t>0.7</w:t>
            </w:r>
          </w:p>
        </w:tc>
        <w:tc>
          <w:tcPr>
            <w:tcW w:w="2250" w:type="dxa"/>
          </w:tcPr>
          <w:p w14:paraId="588D4450" w14:textId="77777777" w:rsidR="00B049CE" w:rsidRDefault="00B049CE" w:rsidP="003D6E88">
            <w:pPr>
              <w:jc w:val="center"/>
            </w:pPr>
            <w:r>
              <w:t>19</w:t>
            </w:r>
          </w:p>
        </w:tc>
        <w:tc>
          <w:tcPr>
            <w:tcW w:w="1911" w:type="dxa"/>
          </w:tcPr>
          <w:p w14:paraId="3E828894" w14:textId="77777777" w:rsidR="00B049CE" w:rsidRDefault="00B049CE" w:rsidP="003D6E88">
            <w:pPr>
              <w:jc w:val="center"/>
            </w:pPr>
            <w:r>
              <w:t>35</w:t>
            </w:r>
          </w:p>
        </w:tc>
      </w:tr>
      <w:tr w:rsidR="00B049CE" w14:paraId="336633F8" w14:textId="77777777" w:rsidTr="003D6E88">
        <w:tc>
          <w:tcPr>
            <w:tcW w:w="1435" w:type="dxa"/>
          </w:tcPr>
          <w:p w14:paraId="15B254A3" w14:textId="77777777" w:rsidR="00B049CE" w:rsidRDefault="00B049CE" w:rsidP="003D6E88">
            <w:pPr>
              <w:jc w:val="center"/>
            </w:pPr>
            <w:r>
              <w:t>2.053</w:t>
            </w:r>
          </w:p>
        </w:tc>
        <w:tc>
          <w:tcPr>
            <w:tcW w:w="1350" w:type="dxa"/>
          </w:tcPr>
          <w:p w14:paraId="7565B3D3" w14:textId="77777777" w:rsidR="00B049CE" w:rsidRDefault="00B049CE" w:rsidP="003D6E88">
            <w:pPr>
              <w:jc w:val="center"/>
            </w:pPr>
            <w:r>
              <w:t>100</w:t>
            </w:r>
          </w:p>
        </w:tc>
        <w:tc>
          <w:tcPr>
            <w:tcW w:w="1620" w:type="dxa"/>
          </w:tcPr>
          <w:p w14:paraId="59B091D9" w14:textId="77777777" w:rsidR="00B049CE" w:rsidRDefault="00B049CE" w:rsidP="003D6E88">
            <w:pPr>
              <w:jc w:val="center"/>
            </w:pPr>
            <w:r>
              <w:t>16</w:t>
            </w:r>
          </w:p>
        </w:tc>
        <w:tc>
          <w:tcPr>
            <w:tcW w:w="1890" w:type="dxa"/>
          </w:tcPr>
          <w:p w14:paraId="65D816C2" w14:textId="77777777" w:rsidR="00B049CE" w:rsidRDefault="00B049CE" w:rsidP="003D6E88">
            <w:pPr>
              <w:jc w:val="center"/>
            </w:pPr>
            <w:r>
              <w:t>0.9</w:t>
            </w:r>
          </w:p>
        </w:tc>
        <w:tc>
          <w:tcPr>
            <w:tcW w:w="2250" w:type="dxa"/>
          </w:tcPr>
          <w:p w14:paraId="2DEE0404" w14:textId="77777777" w:rsidR="00B049CE" w:rsidRDefault="00B049CE" w:rsidP="003D6E88">
            <w:pPr>
              <w:jc w:val="center"/>
            </w:pPr>
            <w:r>
              <w:t>21.7</w:t>
            </w:r>
          </w:p>
        </w:tc>
        <w:tc>
          <w:tcPr>
            <w:tcW w:w="1911" w:type="dxa"/>
          </w:tcPr>
          <w:p w14:paraId="1F1CEABE" w14:textId="77777777" w:rsidR="00B049CE" w:rsidRDefault="00B049CE" w:rsidP="003D6E88">
            <w:pPr>
              <w:jc w:val="center"/>
            </w:pPr>
            <w:r>
              <w:t>35</w:t>
            </w:r>
          </w:p>
        </w:tc>
      </w:tr>
    </w:tbl>
    <w:p w14:paraId="72E48CBA" w14:textId="77777777" w:rsidR="00B049CE" w:rsidRDefault="00B049CE" w:rsidP="00B049CE">
      <w:pPr>
        <w:jc w:val="center"/>
      </w:pPr>
    </w:p>
    <w:p w14:paraId="44F7C164" w14:textId="77777777" w:rsidR="00B049CE" w:rsidRDefault="00B049CE" w:rsidP="00B049CE">
      <w:pPr>
        <w:jc w:val="center"/>
      </w:pPr>
    </w:p>
    <w:p w14:paraId="34DB9155" w14:textId="77777777" w:rsidR="00000000" w:rsidRDefault="00000000"/>
    <w:sectPr w:rsidR="004E032A" w:rsidSect="002A38F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wMzQwMrAwtTAwsjBS0lEKTi0uzszPAykwrAUAfz9/+iwAAAA="/>
  </w:docVars>
  <w:rsids>
    <w:rsidRoot w:val="00B049CE"/>
    <w:rsid w:val="001216D1"/>
    <w:rsid w:val="002A38F2"/>
    <w:rsid w:val="0038468F"/>
    <w:rsid w:val="0098535C"/>
    <w:rsid w:val="00A96EE8"/>
    <w:rsid w:val="00B049CE"/>
    <w:rsid w:val="00B23A56"/>
    <w:rsid w:val="00B64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0A43"/>
  <w15:chartTrackingRefBased/>
  <w15:docId w15:val="{5898D144-F1EE-469E-9182-9F806335C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9C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B049C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49C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049C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9CE"/>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B049CE"/>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B049CE"/>
    <w:rPr>
      <w:rFonts w:asciiTheme="majorHAnsi" w:eastAsiaTheme="majorEastAsia" w:hAnsiTheme="majorHAnsi" w:cstheme="majorBidi"/>
      <w:color w:val="1F3763" w:themeColor="accent1" w:themeShade="7F"/>
      <w:kern w:val="0"/>
      <w:sz w:val="24"/>
      <w:szCs w:val="24"/>
      <w14:ligatures w14:val="none"/>
    </w:rPr>
  </w:style>
  <w:style w:type="table" w:styleId="TableGrid">
    <w:name w:val="Table Grid"/>
    <w:basedOn w:val="TableNormal"/>
    <w:uiPriority w:val="39"/>
    <w:rsid w:val="00B049CE"/>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val="en-IN" w:eastAsia="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813</Words>
  <Characters>4881</Characters>
  <Application>Microsoft Office Word</Application>
  <DocSecurity>0</DocSecurity>
  <Lines>97</Lines>
  <Paragraphs>51</Paragraphs>
  <ScaleCrop>false</ScaleCrop>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VAISHALI SHARMA</dc:creator>
  <cp:keywords/>
  <dc:description/>
  <cp:lastModifiedBy>VAISHALI SHARMA</cp:lastModifiedBy>
  <cp:revision>2</cp:revision>
  <dcterms:created xsi:type="dcterms:W3CDTF">2023-07-17T09:50:00Z</dcterms:created>
  <dcterms:modified xsi:type="dcterms:W3CDTF">2024-03-12T12:03:00Z</dcterms:modified>
</cp:coreProperties>
</file>