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eastAsia="宋体" w:cs="Times New Roman"/>
          <w:b/>
          <w:color w:val="000000"/>
          <w:kern w:val="0"/>
          <w:szCs w:val="21"/>
        </w:rPr>
        <w:t>Supporting Information</w:t>
      </w:r>
    </w:p>
    <w:p>
      <w:pPr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drawing>
          <wp:inline distT="0" distB="0" distL="0" distR="0">
            <wp:extent cx="5339080" cy="8342630"/>
            <wp:effectExtent l="0" t="0" r="4445" b="1270"/>
            <wp:docPr id="1537588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8205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9915" cy="83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Figure S</w:t>
      </w:r>
      <w:r>
        <w:rPr>
          <w:rFonts w:hint="eastAsia" w:ascii="Times New Roman" w:hAnsi="Times New Roman" w:cs="Times New Roman"/>
          <w:b/>
          <w:lang w:val="en-US" w:eastAsia="zh-CN"/>
        </w:rPr>
        <w:t>1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eastAsia="宋体" w:cs="Times New Roman"/>
          <w:kern w:val="0"/>
          <w:szCs w:val="18"/>
        </w:rPr>
        <w:t xml:space="preserve">C57BL/6 mice in the AB4 pretreatment group were intraperitoneally injected with AB4 (5 mg/kg) for 7 days, and then given 3.0% DSS in drinking water for 7 days, during which AB4 (5 mg/kg) was continuously injected intraperitoneally; mice in the AB4 treatment group were given 3.0% DSS in drinking water for 7 days, during which AB4 (5 mg/kg) was intraperitoneally injected; 5-ASA (200 mg/kg) was orally administrated daily for 7 days as a positive control </w:t>
      </w:r>
      <w:r>
        <w:rPr>
          <w:rFonts w:ascii="Times New Roman" w:hAnsi="Times New Roman" w:cs="Times New Roman"/>
          <w:color w:val="000000"/>
          <w:szCs w:val="17"/>
        </w:rPr>
        <w:t>(n = 6 per group)</w:t>
      </w:r>
      <w:r>
        <w:rPr>
          <w:rFonts w:ascii="Times New Roman" w:hAnsi="Times New Roman" w:cs="Times New Roman"/>
          <w:color w:val="000000"/>
          <w:szCs w:val="18"/>
        </w:rPr>
        <w:t xml:space="preserve"> (</w:t>
      </w:r>
      <w:r>
        <w:rPr>
          <w:rFonts w:ascii="Times New Roman" w:hAnsi="Times New Roman" w:cs="Times New Roman"/>
          <w:b/>
          <w:color w:val="000000"/>
          <w:szCs w:val="18"/>
        </w:rPr>
        <w:t>A</w:t>
      </w:r>
      <w:r>
        <w:rPr>
          <w:rFonts w:ascii="Times New Roman" w:hAnsi="Times New Roman" w:cs="Times New Roman"/>
          <w:color w:val="000000"/>
          <w:szCs w:val="18"/>
        </w:rPr>
        <w:t>)</w:t>
      </w:r>
      <w:r>
        <w:rPr>
          <w:rFonts w:ascii="Times New Roman" w:hAnsi="Times New Roman" w:eastAsia="宋体" w:cs="Times New Roman"/>
          <w:kern w:val="0"/>
          <w:szCs w:val="18"/>
        </w:rPr>
        <w:t>.</w:t>
      </w:r>
      <w:r>
        <w:rPr>
          <w:rFonts w:ascii="Times New Roman" w:hAnsi="Times New Roman" w:eastAsia="宋体" w:cs="Times New Roman"/>
          <w:kern w:val="0"/>
          <w:sz w:val="24"/>
          <w:szCs w:val="18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Cs w:val="17"/>
        </w:rPr>
        <w:t>At the end of the experiment, the mice were sacrificed, and the colons were collected.</w:t>
      </w:r>
      <w:r>
        <w:rPr>
          <w:rFonts w:ascii="Times New Roman" w:hAnsi="Times New Roman" w:cs="Times New Roman"/>
          <w:color w:val="000000"/>
          <w:sz w:val="2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Cs w:val="18"/>
        </w:rPr>
        <w:t>(</w:t>
      </w:r>
      <w:r>
        <w:rPr>
          <w:rFonts w:hint="eastAsia" w:ascii="Times New Roman" w:hAnsi="Times New Roman" w:cs="Times New Roman"/>
          <w:b/>
          <w:color w:val="000000"/>
          <w:szCs w:val="18"/>
        </w:rPr>
        <w:t>B</w:t>
      </w:r>
      <w:r>
        <w:rPr>
          <w:rFonts w:ascii="Times New Roman" w:hAnsi="Times New Roman" w:cs="Times New Roman"/>
          <w:color w:val="000000"/>
          <w:szCs w:val="18"/>
        </w:rPr>
        <w:t>)</w:t>
      </w:r>
      <w:r>
        <w:rPr>
          <w:rFonts w:ascii="Times New Roman" w:hAnsi="Times New Roman" w:eastAsia="宋体" w:cs="Times New Roman"/>
          <w:color w:val="000000"/>
          <w:kern w:val="0"/>
          <w:sz w:val="17"/>
          <w:szCs w:val="17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Cs w:val="17"/>
        </w:rPr>
        <w:t>The body weight change,</w:t>
      </w:r>
      <w:r>
        <w:rPr>
          <w:rFonts w:ascii="Times New Roman" w:hAnsi="Times New Roman" w:cs="Times New Roman"/>
          <w:color w:val="000000"/>
          <w:szCs w:val="18"/>
        </w:rPr>
        <w:t xml:space="preserve"> (</w:t>
      </w:r>
      <w:r>
        <w:rPr>
          <w:rFonts w:hint="eastAsia" w:ascii="Times New Roman" w:hAnsi="Times New Roman" w:cs="Times New Roman"/>
          <w:b/>
          <w:color w:val="000000"/>
          <w:szCs w:val="18"/>
        </w:rPr>
        <w:t>C</w:t>
      </w:r>
      <w:r>
        <w:rPr>
          <w:rFonts w:ascii="Times New Roman" w:hAnsi="Times New Roman" w:cs="Times New Roman"/>
          <w:color w:val="000000"/>
          <w:szCs w:val="18"/>
        </w:rPr>
        <w:t>)</w:t>
      </w:r>
      <w:r>
        <w:rPr>
          <w:rFonts w:ascii="Times New Roman" w:hAnsi="Times New Roman" w:cs="Times New Roman"/>
          <w:color w:val="00000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000000"/>
          <w:szCs w:val="17"/>
        </w:rPr>
        <w:t>DAI score, and</w:t>
      </w:r>
      <w:r>
        <w:rPr>
          <w:rFonts w:ascii="Times New Roman" w:hAnsi="Times New Roman" w:cs="Times New Roman"/>
          <w:color w:val="00000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000000"/>
          <w:szCs w:val="18"/>
        </w:rPr>
        <w:t>(</w:t>
      </w:r>
      <w:r>
        <w:rPr>
          <w:rFonts w:hint="eastAsia" w:ascii="Times New Roman" w:hAnsi="Times New Roman" w:cs="Times New Roman"/>
          <w:b/>
          <w:color w:val="000000"/>
          <w:szCs w:val="18"/>
        </w:rPr>
        <w:t>D</w:t>
      </w:r>
      <w:r>
        <w:rPr>
          <w:rFonts w:ascii="Times New Roman" w:hAnsi="Times New Roman" w:cs="Times New Roman"/>
          <w:color w:val="000000"/>
          <w:szCs w:val="18"/>
        </w:rPr>
        <w:t>)</w:t>
      </w:r>
      <w:r>
        <w:rPr>
          <w:rFonts w:ascii="Times New Roman" w:hAnsi="Times New Roman" w:cs="Times New Roman"/>
          <w:color w:val="000000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000000"/>
          <w:szCs w:val="17"/>
        </w:rPr>
        <w:t xml:space="preserve">the colon length </w:t>
      </w:r>
      <w:r>
        <w:rPr>
          <w:rFonts w:ascii="Times New Roman" w:hAnsi="Times New Roman" w:eastAsia="宋体" w:cs="Times New Roman"/>
          <w:color w:val="000000"/>
          <w:kern w:val="0"/>
          <w:szCs w:val="17"/>
        </w:rPr>
        <w:t>were measured.</w:t>
      </w:r>
      <w:r>
        <w:rPr>
          <w:rFonts w:ascii="Times New Roman" w:hAnsi="Times New Roman" w:cs="Times New Roman"/>
          <w:color w:val="C00000"/>
          <w:szCs w:val="18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18"/>
          <w:highlight w:val="none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/>
          <w:b/>
          <w:color w:val="000000" w:themeColor="text1"/>
          <w:szCs w:val="18"/>
          <w:highlight w:val="none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:szCs w:val="18"/>
          <w:highlight w:val="none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ascii="Times New Roman" w:hAnsi="Times New Roman" w:cs="Times New Roman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Production of IL-1β, IL-18, IL-6, iNOS, and TNF-α in the serum of DSS-induced colitis mice was determined by ELISA.</w:t>
      </w:r>
      <w:r>
        <w:rPr>
          <w:rFonts w:ascii="Times New Roman" w:hAnsi="Times New Roman" w:cs="Times New Roman"/>
          <w:color w:val="000000" w:themeColor="text1"/>
          <w:szCs w:val="17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Cs w:val="17"/>
        </w:rPr>
        <w:t>Data are presented as mean ± SD.</w:t>
      </w:r>
      <w:r>
        <w:rPr>
          <w:rFonts w:ascii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</w:rPr>
        <w:t xml:space="preserve">**P &lt; 0.01 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and </w:t>
      </w:r>
      <w:r>
        <w:rPr>
          <w:rFonts w:ascii="Times New Roman" w:hAnsi="Times New Roman" w:cs="Times New Roman"/>
          <w:color w:val="000000"/>
          <w:szCs w:val="15"/>
        </w:rPr>
        <w:t>ns, not significantly different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 w:cs="Times New Roman"/>
          <w:i/>
          <w:color w:val="000000"/>
          <w:szCs w:val="17"/>
        </w:rPr>
        <w:t>vs.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Normal group; 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vertAlign w:val="superscript"/>
        </w:rPr>
        <w:t>#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</w:rPr>
        <w:t xml:space="preserve">P &lt; 0.05, 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vertAlign w:val="superscript"/>
        </w:rPr>
        <w:t>##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</w:rPr>
        <w:t>P &lt; 0.01</w:t>
      </w:r>
      <w:r>
        <w:rPr>
          <w:rFonts w:ascii="Times New Roman" w:hAnsi="Times New Roman" w:cs="Times New Roman"/>
          <w:i/>
          <w:color w:val="000000"/>
          <w:szCs w:val="17"/>
        </w:rPr>
        <w:t xml:space="preserve"> vs.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DSS group;</w:t>
      </w:r>
      <w:r>
        <w:rPr>
          <w:rFonts w:ascii="Times New Roman" w:hAnsi="Times New Roman" w:cs="Times New Roman"/>
          <w:color w:val="000000"/>
          <w:szCs w:val="18"/>
        </w:rPr>
        <w:t xml:space="preserve"> 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vertAlign w:val="superscript"/>
        </w:rPr>
        <w:t>$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</w:rPr>
        <w:t xml:space="preserve">P &lt; 0.05, 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$$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P &lt; 0.01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AB4 </w:t>
      </w:r>
      <w:r>
        <w:rPr>
          <w:rFonts w:ascii="Times New Roman" w:hAnsi="Times New Roman" w:eastAsia="宋体" w:cs="Times New Roman"/>
          <w:kern w:val="0"/>
          <w:szCs w:val="18"/>
        </w:rPr>
        <w:t>pretreatment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group </w:t>
      </w:r>
      <w:r>
        <w:rPr>
          <w:rFonts w:ascii="Times New Roman" w:hAnsi="Times New Roman" w:cs="Times New Roman"/>
          <w:i/>
          <w:color w:val="000000"/>
          <w:szCs w:val="17"/>
        </w:rPr>
        <w:t>vs.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5-ASA group or AB4 </w:t>
      </w:r>
      <w:r>
        <w:rPr>
          <w:rFonts w:ascii="Times New Roman" w:hAnsi="Times New Roman" w:eastAsia="宋体" w:cs="Times New Roman"/>
          <w:kern w:val="0"/>
          <w:szCs w:val="18"/>
        </w:rPr>
        <w:t>treatment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group.</w:t>
      </w:r>
    </w:p>
    <w:p>
      <w:pPr>
        <w:rPr>
          <w:rFonts w:ascii="Times New Roman" w:hAnsi="Times New Roman" w:eastAsia="宋体" w:cs="Times New Roman"/>
          <w:color w:val="000000"/>
          <w:kern w:val="0"/>
          <w:szCs w:val="21"/>
        </w:rPr>
      </w:pPr>
    </w:p>
    <w:p>
      <w:pPr>
        <w:rPr>
          <w:rFonts w:ascii="Times New Roman" w:hAnsi="Times New Roman" w:eastAsia="宋体" w:cs="Times New Roman"/>
          <w:color w:val="000000"/>
          <w:kern w:val="0"/>
          <w:szCs w:val="21"/>
        </w:rPr>
      </w:pPr>
    </w:p>
    <w:p>
      <w:pPr>
        <w:rPr>
          <w:rFonts w:hint="eastAsia" w:ascii="Times New Roman" w:hAnsi="Times New Roman" w:eastAsia="宋体" w:cs="Times New Roman"/>
          <w:color w:val="000000"/>
          <w:kern w:val="0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eastAsia="zh-CN"/>
        </w:rPr>
        <w:drawing>
          <wp:inline distT="0" distB="0" distL="114300" distR="114300">
            <wp:extent cx="4896485" cy="8860790"/>
            <wp:effectExtent l="0" t="0" r="8890" b="6985"/>
            <wp:docPr id="4" name="图片 4" descr="白头翁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白头翁汤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kern w:val="0"/>
          <w:szCs w:val="21"/>
          <w:highlight w:val="none"/>
        </w:rPr>
      </w:pPr>
      <w:r>
        <w:rPr>
          <w:rFonts w:ascii="Times New Roman" w:hAnsi="Times New Roman" w:cs="Times New Roman"/>
          <w:b/>
          <w:highlight w:val="none"/>
        </w:rPr>
        <w:t>Figure S</w:t>
      </w:r>
      <w:r>
        <w:rPr>
          <w:rFonts w:hint="eastAsia" w:ascii="Times New Roman" w:hAnsi="Times New Roman" w:cs="Times New Roman"/>
          <w:b/>
          <w:highlight w:val="none"/>
          <w:lang w:val="en-US" w:eastAsia="zh-CN"/>
        </w:rPr>
        <w:t>2</w:t>
      </w:r>
      <w:r>
        <w:rPr>
          <w:rFonts w:ascii="Times New Roman" w:hAnsi="Times New Roman" w:cs="Times New Roman"/>
          <w:b/>
          <w:highlight w:val="none"/>
        </w:rPr>
        <w:t xml:space="preserve">. </w:t>
      </w:r>
      <w:r>
        <w:rPr>
          <w:rFonts w:ascii="Times New Roman" w:hAnsi="Times New Roman" w:eastAsia="宋体" w:cs="Times New Roman"/>
          <w:kern w:val="0"/>
          <w:szCs w:val="18"/>
          <w:highlight w:val="none"/>
        </w:rPr>
        <w:t xml:space="preserve">C57BL/6 mice in the AB4 group were intraperitoneally injected with AB4 (5 mg/kg) for 7 days, and then given 3.0% DSS in drinking water for 7 days, during which AB4 (5 mg/kg) was continuously injected intraperitoneally; mice in the BTWT group were orally administrated BTWT (5 g/kg) for 7 days, and then given 3.0% DSS in drinking water for 7 days, during which BTWT (5 g/kg) was orally administrated </w:t>
      </w:r>
      <w:r>
        <w:rPr>
          <w:rFonts w:ascii="Times New Roman" w:hAnsi="Times New Roman" w:cs="Times New Roman"/>
          <w:szCs w:val="17"/>
          <w:highlight w:val="none"/>
        </w:rPr>
        <w:t>(n= 6 per group)</w:t>
      </w:r>
      <w:r>
        <w:rPr>
          <w:rFonts w:ascii="Times New Roman" w:hAnsi="Times New Roman" w:cs="Times New Roman"/>
          <w:szCs w:val="18"/>
          <w:highlight w:val="none"/>
        </w:rPr>
        <w:t xml:space="preserve"> (</w:t>
      </w:r>
      <w:r>
        <w:rPr>
          <w:rFonts w:ascii="Times New Roman" w:hAnsi="Times New Roman" w:cs="Times New Roman"/>
          <w:b/>
          <w:szCs w:val="18"/>
          <w:highlight w:val="none"/>
        </w:rPr>
        <w:t>A</w:t>
      </w:r>
      <w:r>
        <w:rPr>
          <w:rFonts w:ascii="Times New Roman" w:hAnsi="Times New Roman" w:cs="Times New Roman"/>
          <w:szCs w:val="18"/>
          <w:highlight w:val="none"/>
        </w:rPr>
        <w:t>)</w:t>
      </w:r>
      <w:r>
        <w:rPr>
          <w:rFonts w:ascii="Times New Roman" w:hAnsi="Times New Roman" w:eastAsia="宋体" w:cs="Times New Roman"/>
          <w:kern w:val="0"/>
          <w:szCs w:val="18"/>
          <w:highlight w:val="none"/>
        </w:rPr>
        <w:t>.</w:t>
      </w:r>
      <w:r>
        <w:rPr>
          <w:rFonts w:ascii="Times New Roman" w:hAnsi="Times New Roman" w:eastAsia="宋体" w:cs="Times New Roman"/>
          <w:kern w:val="0"/>
          <w:sz w:val="24"/>
          <w:szCs w:val="18"/>
          <w:highlight w:val="none"/>
        </w:rPr>
        <w:t xml:space="preserve"> </w:t>
      </w:r>
      <w:r>
        <w:rPr>
          <w:rFonts w:ascii="Times New Roman" w:hAnsi="Times New Roman" w:eastAsia="宋体" w:cs="Times New Roman"/>
          <w:kern w:val="0"/>
          <w:szCs w:val="17"/>
          <w:highlight w:val="none"/>
        </w:rPr>
        <w:t>At the end of the experiment, the mice were sacrificed, and the colons were collected.</w:t>
      </w:r>
      <w:r>
        <w:rPr>
          <w:rFonts w:ascii="Times New Roman" w:hAnsi="Times New Roman" w:cs="Times New Roman"/>
          <w:sz w:val="28"/>
          <w:szCs w:val="18"/>
          <w:highlight w:val="none"/>
        </w:rPr>
        <w:t xml:space="preserve"> </w:t>
      </w:r>
      <w:bookmarkStart w:id="0" w:name="OLE_LINK4"/>
      <w:r>
        <w:rPr>
          <w:rFonts w:ascii="Times New Roman" w:hAnsi="Times New Roman" w:cs="Times New Roman"/>
          <w:szCs w:val="18"/>
          <w:highlight w:val="none"/>
        </w:rPr>
        <w:t>(</w:t>
      </w:r>
      <w:r>
        <w:rPr>
          <w:rFonts w:hint="eastAsia" w:ascii="Times New Roman" w:hAnsi="Times New Roman" w:cs="Times New Roman"/>
          <w:b/>
          <w:szCs w:val="18"/>
          <w:highlight w:val="none"/>
        </w:rPr>
        <w:t>B</w:t>
      </w:r>
      <w:r>
        <w:rPr>
          <w:rFonts w:ascii="Times New Roman" w:hAnsi="Times New Roman" w:cs="Times New Roman"/>
          <w:szCs w:val="18"/>
          <w:highlight w:val="none"/>
        </w:rPr>
        <w:t>)</w:t>
      </w:r>
      <w:bookmarkEnd w:id="0"/>
      <w:r>
        <w:rPr>
          <w:rFonts w:ascii="Times New Roman" w:hAnsi="Times New Roman" w:eastAsia="宋体" w:cs="Times New Roman"/>
          <w:kern w:val="0"/>
          <w:sz w:val="17"/>
          <w:szCs w:val="17"/>
          <w:highlight w:val="none"/>
        </w:rPr>
        <w:t xml:space="preserve"> </w:t>
      </w:r>
      <w:r>
        <w:rPr>
          <w:rFonts w:ascii="Times New Roman" w:hAnsi="Times New Roman" w:eastAsia="宋体" w:cs="Times New Roman"/>
          <w:kern w:val="0"/>
          <w:szCs w:val="17"/>
          <w:highlight w:val="none"/>
        </w:rPr>
        <w:t>The body weight change,</w:t>
      </w:r>
      <w:r>
        <w:rPr>
          <w:rFonts w:ascii="Times New Roman" w:hAnsi="Times New Roman" w:cs="Times New Roman"/>
          <w:szCs w:val="18"/>
          <w:highlight w:val="none"/>
        </w:rPr>
        <w:t xml:space="preserve"> (</w:t>
      </w:r>
      <w:r>
        <w:rPr>
          <w:rFonts w:hint="eastAsia" w:ascii="Times New Roman" w:hAnsi="Times New Roman" w:cs="Times New Roman"/>
          <w:b/>
          <w:szCs w:val="18"/>
          <w:highlight w:val="none"/>
        </w:rPr>
        <w:t>C</w:t>
      </w:r>
      <w:r>
        <w:rPr>
          <w:rFonts w:ascii="Times New Roman" w:hAnsi="Times New Roman" w:cs="Times New Roman"/>
          <w:szCs w:val="18"/>
          <w:highlight w:val="none"/>
        </w:rPr>
        <w:t>)</w:t>
      </w:r>
      <w:r>
        <w:rPr>
          <w:rFonts w:ascii="Times New Roman" w:hAnsi="Times New Roman" w:cs="Times New Roman"/>
          <w:sz w:val="17"/>
          <w:szCs w:val="17"/>
          <w:highlight w:val="none"/>
        </w:rPr>
        <w:t xml:space="preserve"> </w:t>
      </w:r>
      <w:r>
        <w:rPr>
          <w:rFonts w:ascii="Times New Roman" w:hAnsi="Times New Roman" w:cs="Times New Roman"/>
          <w:szCs w:val="17"/>
          <w:highlight w:val="none"/>
        </w:rPr>
        <w:t>DAI score, and</w:t>
      </w:r>
      <w:r>
        <w:rPr>
          <w:rFonts w:ascii="Times New Roman" w:hAnsi="Times New Roman" w:cs="Times New Roman"/>
          <w:sz w:val="17"/>
          <w:szCs w:val="17"/>
          <w:highlight w:val="none"/>
        </w:rPr>
        <w:t xml:space="preserve"> </w:t>
      </w:r>
      <w:r>
        <w:rPr>
          <w:rFonts w:ascii="Times New Roman" w:hAnsi="Times New Roman" w:cs="Times New Roman"/>
          <w:szCs w:val="18"/>
          <w:highlight w:val="none"/>
        </w:rPr>
        <w:t>(</w:t>
      </w:r>
      <w:r>
        <w:rPr>
          <w:rFonts w:hint="eastAsia" w:ascii="Times New Roman" w:hAnsi="Times New Roman" w:cs="Times New Roman"/>
          <w:b/>
          <w:szCs w:val="18"/>
          <w:highlight w:val="none"/>
        </w:rPr>
        <w:t>D</w:t>
      </w:r>
      <w:r>
        <w:rPr>
          <w:rFonts w:ascii="Times New Roman" w:hAnsi="Times New Roman" w:cs="Times New Roman"/>
          <w:szCs w:val="18"/>
          <w:highlight w:val="none"/>
        </w:rPr>
        <w:t>)</w:t>
      </w:r>
      <w:r>
        <w:rPr>
          <w:rFonts w:ascii="Times New Roman" w:hAnsi="Times New Roman" w:cs="Times New Roman"/>
          <w:sz w:val="17"/>
          <w:szCs w:val="17"/>
          <w:highlight w:val="none"/>
        </w:rPr>
        <w:t xml:space="preserve"> </w:t>
      </w:r>
      <w:r>
        <w:rPr>
          <w:rFonts w:ascii="Times New Roman" w:hAnsi="Times New Roman" w:cs="Times New Roman"/>
          <w:szCs w:val="17"/>
          <w:highlight w:val="none"/>
        </w:rPr>
        <w:t xml:space="preserve">the colon length </w:t>
      </w:r>
      <w:r>
        <w:rPr>
          <w:rFonts w:ascii="Times New Roman" w:hAnsi="Times New Roman" w:eastAsia="宋体" w:cs="Times New Roman"/>
          <w:kern w:val="0"/>
          <w:szCs w:val="17"/>
          <w:highlight w:val="none"/>
        </w:rPr>
        <w:t>were measured.</w:t>
      </w:r>
      <w:r>
        <w:rPr>
          <w:rFonts w:ascii="Times New Roman" w:hAnsi="Times New Roman" w:cs="Times New Roman"/>
          <w:szCs w:val="17"/>
          <w:highlight w:val="none"/>
        </w:rPr>
        <w:t xml:space="preserve"> </w:t>
      </w:r>
      <w:r>
        <w:rPr>
          <w:rFonts w:ascii="Times New Roman" w:hAnsi="Times New Roman" w:cs="Times New Roman"/>
          <w:szCs w:val="18"/>
          <w:highlight w:val="none"/>
        </w:rPr>
        <w:t>(</w:t>
      </w:r>
      <w:r>
        <w:rPr>
          <w:rFonts w:ascii="Times New Roman" w:hAnsi="Times New Roman" w:cs="Times New Roman"/>
          <w:b/>
          <w:szCs w:val="18"/>
          <w:highlight w:val="none"/>
        </w:rPr>
        <w:t>E</w:t>
      </w:r>
      <w:r>
        <w:rPr>
          <w:rFonts w:ascii="Times New Roman" w:hAnsi="Times New Roman" w:cs="Times New Roman"/>
          <w:szCs w:val="18"/>
          <w:highlight w:val="none"/>
        </w:rPr>
        <w:t xml:space="preserve">) </w:t>
      </w:r>
      <w:r>
        <w:rPr>
          <w:rFonts w:ascii="Times New Roman" w:hAnsi="Times New Roman" w:cs="Times New Roman"/>
          <w:highlight w:val="none"/>
        </w:rPr>
        <w:t xml:space="preserve">Production of IL-1β, IL-18, IL-6, iNOS, and TNF-α in the serum of DSS-induced colitis mice was determined by ELISA. </w:t>
      </w:r>
      <w:r>
        <w:rPr>
          <w:rFonts w:ascii="Times New Roman" w:hAnsi="Times New Roman" w:cs="Times New Roman"/>
          <w:szCs w:val="17"/>
          <w:highlight w:val="none"/>
        </w:rPr>
        <w:t>Data are presented as mean ± SD.</w:t>
      </w:r>
      <w:r>
        <w:rPr>
          <w:rFonts w:ascii="Times New Roman" w:hAnsi="Times New Roman" w:cs="Times New Roman"/>
          <w:sz w:val="12"/>
          <w:szCs w:val="12"/>
          <w:highlight w:val="none"/>
        </w:rPr>
        <w:t xml:space="preserve"> </w:t>
      </w:r>
      <w:r>
        <w:rPr>
          <w:rFonts w:ascii="Times New Roman" w:hAnsi="Times New Roman" w:eastAsia="宋体" w:cs="Times New Roman"/>
          <w:i/>
          <w:kern w:val="0"/>
          <w:szCs w:val="21"/>
          <w:highlight w:val="none"/>
        </w:rPr>
        <w:t xml:space="preserve">**P &lt; 0.01 </w:t>
      </w:r>
      <w:r>
        <w:rPr>
          <w:rFonts w:ascii="Times New Roman" w:hAnsi="Times New Roman" w:cs="Times New Roman"/>
          <w:i/>
          <w:szCs w:val="17"/>
          <w:highlight w:val="none"/>
        </w:rPr>
        <w:t>vs.</w:t>
      </w:r>
      <w:r>
        <w:rPr>
          <w:rFonts w:ascii="Times New Roman" w:hAnsi="Times New Roman" w:eastAsia="宋体" w:cs="Times New Roman"/>
          <w:kern w:val="0"/>
          <w:szCs w:val="21"/>
          <w:highlight w:val="none"/>
        </w:rPr>
        <w:t xml:space="preserve"> Normal group; </w:t>
      </w:r>
      <w:r>
        <w:rPr>
          <w:rFonts w:ascii="Times New Roman" w:hAnsi="Times New Roman" w:eastAsia="宋体" w:cs="Times New Roman"/>
          <w:i/>
          <w:kern w:val="0"/>
          <w:szCs w:val="21"/>
          <w:highlight w:val="none"/>
          <w:vertAlign w:val="superscript"/>
        </w:rPr>
        <w:t>#</w:t>
      </w:r>
      <w:r>
        <w:rPr>
          <w:rFonts w:ascii="Times New Roman" w:hAnsi="Times New Roman" w:eastAsia="宋体" w:cs="Times New Roman"/>
          <w:i/>
          <w:kern w:val="0"/>
          <w:szCs w:val="21"/>
          <w:highlight w:val="none"/>
        </w:rPr>
        <w:t xml:space="preserve">P &lt; 0.05, </w:t>
      </w:r>
      <w:r>
        <w:rPr>
          <w:rFonts w:ascii="Times New Roman" w:hAnsi="Times New Roman" w:eastAsia="宋体" w:cs="Times New Roman"/>
          <w:i/>
          <w:kern w:val="0"/>
          <w:szCs w:val="21"/>
          <w:highlight w:val="none"/>
          <w:vertAlign w:val="superscript"/>
        </w:rPr>
        <w:t>##</w:t>
      </w:r>
      <w:r>
        <w:rPr>
          <w:rFonts w:ascii="Times New Roman" w:hAnsi="Times New Roman" w:eastAsia="宋体" w:cs="Times New Roman"/>
          <w:i/>
          <w:kern w:val="0"/>
          <w:szCs w:val="21"/>
          <w:highlight w:val="none"/>
        </w:rPr>
        <w:t>P &lt; 0.01</w:t>
      </w:r>
      <w:r>
        <w:rPr>
          <w:rFonts w:ascii="Times New Roman" w:hAnsi="Times New Roman" w:cs="Times New Roman"/>
          <w:i/>
          <w:szCs w:val="17"/>
          <w:highlight w:val="none"/>
        </w:rPr>
        <w:t xml:space="preserve"> vs.</w:t>
      </w:r>
      <w:r>
        <w:rPr>
          <w:rFonts w:ascii="Times New Roman" w:hAnsi="Times New Roman" w:eastAsia="宋体" w:cs="Times New Roman"/>
          <w:kern w:val="0"/>
          <w:szCs w:val="21"/>
          <w:highlight w:val="none"/>
        </w:rPr>
        <w:t xml:space="preserve"> DSS group;</w:t>
      </w:r>
      <w:r>
        <w:rPr>
          <w:rFonts w:ascii="Times New Roman" w:hAnsi="Times New Roman" w:cs="Times New Roman"/>
          <w:szCs w:val="18"/>
          <w:highlight w:val="none"/>
        </w:rPr>
        <w:t xml:space="preserve"> </w:t>
      </w:r>
      <w:r>
        <w:rPr>
          <w:rFonts w:ascii="Times New Roman" w:hAnsi="Times New Roman" w:cs="Times New Roman"/>
          <w:szCs w:val="15"/>
          <w:highlight w:val="none"/>
        </w:rPr>
        <w:t xml:space="preserve">ns, not significantly different </w:t>
      </w:r>
      <w:r>
        <w:rPr>
          <w:rFonts w:ascii="Times New Roman" w:hAnsi="Times New Roman" w:eastAsia="宋体" w:cs="Times New Roman"/>
          <w:kern w:val="0"/>
          <w:szCs w:val="21"/>
          <w:highlight w:val="none"/>
        </w:rPr>
        <w:t xml:space="preserve">AB4 treatment group </w:t>
      </w:r>
      <w:r>
        <w:rPr>
          <w:rFonts w:ascii="Times New Roman" w:hAnsi="Times New Roman" w:cs="Times New Roman"/>
          <w:i/>
          <w:szCs w:val="17"/>
          <w:highlight w:val="none"/>
        </w:rPr>
        <w:t>vs.</w:t>
      </w:r>
      <w:r>
        <w:rPr>
          <w:rFonts w:ascii="Times New Roman" w:hAnsi="Times New Roman" w:eastAsia="宋体" w:cs="Times New Roman"/>
          <w:kern w:val="0"/>
          <w:szCs w:val="21"/>
          <w:highlight w:val="none"/>
        </w:rPr>
        <w:t xml:space="preserve"> BTWT treatment group;</w:t>
      </w:r>
      <w:r>
        <w:rPr>
          <w:rFonts w:ascii="Times New Roman" w:hAnsi="Times New Roman" w:eastAsia="宋体" w:cs="Times New Roman"/>
          <w:i/>
          <w:kern w:val="0"/>
          <w:szCs w:val="21"/>
          <w:highlight w:val="none"/>
          <w:vertAlign w:val="superscript"/>
        </w:rPr>
        <w:t xml:space="preserve"> $</w:t>
      </w:r>
      <w:r>
        <w:rPr>
          <w:rFonts w:ascii="Times New Roman" w:hAnsi="Times New Roman" w:eastAsia="宋体" w:cs="Times New Roman"/>
          <w:i/>
          <w:kern w:val="0"/>
          <w:szCs w:val="21"/>
          <w:highlight w:val="none"/>
        </w:rPr>
        <w:t>P &lt; 0.05</w:t>
      </w:r>
      <w:r>
        <w:rPr>
          <w:rFonts w:ascii="Times New Roman" w:hAnsi="Times New Roman" w:eastAsia="宋体" w:cs="Times New Roman"/>
          <w:kern w:val="0"/>
          <w:szCs w:val="21"/>
          <w:highlight w:val="none"/>
        </w:rPr>
        <w:t xml:space="preserve"> AB4 treatment group </w:t>
      </w:r>
      <w:r>
        <w:rPr>
          <w:rFonts w:ascii="Times New Roman" w:hAnsi="Times New Roman" w:cs="Times New Roman"/>
          <w:i/>
          <w:szCs w:val="17"/>
          <w:highlight w:val="none"/>
        </w:rPr>
        <w:t>vs.</w:t>
      </w:r>
      <w:r>
        <w:rPr>
          <w:rFonts w:ascii="Times New Roman" w:hAnsi="Times New Roman" w:eastAsia="宋体" w:cs="Times New Roman"/>
          <w:kern w:val="0"/>
          <w:szCs w:val="21"/>
          <w:highlight w:val="none"/>
        </w:rPr>
        <w:t xml:space="preserve"> BTWT treatment group.</w:t>
      </w:r>
    </w:p>
    <w:p>
      <w:pPr>
        <w:rPr>
          <w:rFonts w:ascii="Times New Roman" w:hAnsi="Times New Roman" w:eastAsia="宋体" w:cs="Times New Roman"/>
          <w:kern w:val="0"/>
          <w:szCs w:val="21"/>
        </w:rPr>
      </w:pPr>
    </w:p>
    <w:p>
      <w:pPr>
        <w:rPr>
          <w:rFonts w:hint="eastAsia" w:ascii="Times New Roman" w:hAnsi="Times New Roman" w:eastAsia="宋体" w:cs="Times New Roman"/>
          <w:color w:val="C00000"/>
          <w:kern w:val="0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C00000"/>
          <w:kern w:val="0"/>
          <w:szCs w:val="21"/>
          <w:lang w:eastAsia="zh-CN"/>
        </w:rPr>
        <w:drawing>
          <wp:inline distT="0" distB="0" distL="114300" distR="114300">
            <wp:extent cx="5265420" cy="5229225"/>
            <wp:effectExtent l="0" t="0" r="1905" b="0"/>
            <wp:docPr id="2" name="图片 2" descr="Fig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S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highlight w:val="none"/>
        </w:rPr>
      </w:pPr>
      <w:bookmarkStart w:id="1" w:name="_Hlk154761490"/>
      <w:r>
        <w:rPr>
          <w:rFonts w:ascii="Times New Roman" w:hAnsi="Times New Roman" w:cs="Times New Roman"/>
          <w:b/>
          <w:highlight w:val="none"/>
        </w:rPr>
        <w:t>Figure S</w:t>
      </w:r>
      <w:r>
        <w:rPr>
          <w:rFonts w:hint="eastAsia" w:ascii="Times New Roman" w:hAnsi="Times New Roman" w:cs="Times New Roman"/>
          <w:b/>
          <w:highlight w:val="none"/>
          <w:lang w:val="en-US" w:eastAsia="zh-CN"/>
        </w:rPr>
        <w:t>3</w:t>
      </w:r>
      <w:r>
        <w:rPr>
          <w:rFonts w:ascii="Times New Roman" w:hAnsi="Times New Roman" w:cs="Times New Roman"/>
          <w:b/>
          <w:highlight w:val="none"/>
        </w:rPr>
        <w:t>.</w:t>
      </w:r>
      <w:r>
        <w:rPr>
          <w:rFonts w:ascii="Times New Roman" w:hAnsi="Times New Roman" w:cs="Times New Roman"/>
          <w:highlight w:val="none"/>
        </w:rPr>
        <w:t xml:space="preserve"> Interaction of NLRP3 with AB4.</w:t>
      </w:r>
      <w:r>
        <w:rPr>
          <w:highlight w:val="none"/>
        </w:rPr>
        <w:t xml:space="preserve"> </w:t>
      </w:r>
      <w:r>
        <w:rPr>
          <w:rFonts w:ascii="Times New Roman" w:hAnsi="Times New Roman" w:cs="Times New Roman"/>
          <w:highlight w:val="none"/>
        </w:rPr>
        <w:t>(</w:t>
      </w:r>
      <w:r>
        <w:rPr>
          <w:rFonts w:ascii="Times New Roman" w:hAnsi="Times New Roman" w:cs="Times New Roman"/>
          <w:b/>
          <w:bCs/>
          <w:highlight w:val="none"/>
        </w:rPr>
        <w:t>A</w:t>
      </w:r>
      <w:r>
        <w:rPr>
          <w:rFonts w:ascii="Times New Roman" w:hAnsi="Times New Roman" w:cs="Times New Roman"/>
          <w:highlight w:val="none"/>
        </w:rPr>
        <w:t>) BLI to determine the binding affinity (K</w:t>
      </w:r>
      <w:r>
        <w:rPr>
          <w:rFonts w:ascii="Times New Roman" w:hAnsi="Times New Roman" w:cs="Times New Roman"/>
          <w:highlight w:val="none"/>
          <w:vertAlign w:val="subscript"/>
        </w:rPr>
        <w:t>D</w:t>
      </w:r>
      <w:r>
        <w:rPr>
          <w:rFonts w:ascii="Times New Roman" w:hAnsi="Times New Roman" w:cs="Times New Roman"/>
          <w:highlight w:val="none"/>
        </w:rPr>
        <w:t xml:space="preserve"> value) of the NLRP3 protein with AB4. The concentrations of AB4 were set to 31.25, 62.5, 125, 250, and 500 μM. (</w:t>
      </w:r>
      <w:r>
        <w:rPr>
          <w:rFonts w:ascii="Times New Roman" w:hAnsi="Times New Roman" w:cs="Times New Roman"/>
          <w:b/>
          <w:bCs/>
          <w:highlight w:val="none"/>
        </w:rPr>
        <w:t>B</w:t>
      </w:r>
      <w:r>
        <w:rPr>
          <w:rFonts w:ascii="Times New Roman" w:hAnsi="Times New Roman" w:cs="Times New Roman"/>
          <w:highlight w:val="none"/>
        </w:rPr>
        <w:t>) CETSA of the NLRP3 protein with AB4.</w:t>
      </w:r>
      <w:r>
        <w:rPr>
          <w:rFonts w:ascii="Times New Roman" w:hAnsi="Times New Roman" w:cs="Times New Roman"/>
          <w:szCs w:val="17"/>
          <w:highlight w:val="none"/>
        </w:rPr>
        <w:t xml:space="preserve"> Data are presented as mean ± SD.</w:t>
      </w:r>
      <w:r>
        <w:rPr>
          <w:rFonts w:ascii="Times New Roman" w:hAnsi="Times New Roman" w:cs="Times New Roman"/>
          <w:highlight w:val="none"/>
        </w:rPr>
        <w:t xml:space="preserve"> </w:t>
      </w:r>
    </w:p>
    <w:p>
      <w:pPr>
        <w:rPr>
          <w:rFonts w:ascii="Times New Roman" w:hAnsi="Times New Roman" w:cs="Times New Roman"/>
          <w:highlight w:val="none"/>
        </w:rPr>
      </w:pPr>
    </w:p>
    <w:p>
      <w:pPr>
        <w:rPr>
          <w:rFonts w:ascii="Times New Roman" w:hAnsi="Times New Roman" w:cs="Times New Roman"/>
          <w:highlight w:val="none"/>
        </w:rPr>
      </w:pPr>
    </w:p>
    <w:p>
      <w:pPr>
        <w:rPr>
          <w:rFonts w:hint="eastAsia" w:ascii="Times New Roman" w:hAnsi="Times New Roman" w:cs="Times New Roman" w:eastAsiaTheme="minorEastAsia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highlight w:val="none"/>
          <w:lang w:eastAsia="zh-CN"/>
        </w:rPr>
        <w:drawing>
          <wp:inline distT="0" distB="0" distL="114300" distR="114300">
            <wp:extent cx="5269865" cy="2114550"/>
            <wp:effectExtent l="0" t="0" r="6985" b="0"/>
            <wp:docPr id="6" name="图片 6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b/>
          <w:highlight w:val="none"/>
        </w:rPr>
        <w:t>Fig</w:t>
      </w:r>
      <w:r>
        <w:rPr>
          <w:rFonts w:hint="eastAsia" w:ascii="Times New Roman" w:hAnsi="Times New Roman" w:cs="Times New Roman"/>
          <w:b/>
          <w:highlight w:val="none"/>
        </w:rPr>
        <w:t>ure</w:t>
      </w:r>
      <w:r>
        <w:rPr>
          <w:rFonts w:ascii="Times New Roman" w:hAnsi="Times New Roman" w:cs="Times New Roman"/>
          <w:b/>
          <w:highlight w:val="none"/>
        </w:rPr>
        <w:t xml:space="preserve"> </w:t>
      </w:r>
      <w:r>
        <w:rPr>
          <w:rFonts w:ascii="Times New Roman" w:hAnsi="Times New Roman" w:cs="Times New Roman"/>
          <w:b/>
          <w:color w:val="000000"/>
          <w:highlight w:val="none"/>
        </w:rPr>
        <w:t>S</w:t>
      </w:r>
      <w:r>
        <w:rPr>
          <w:rFonts w:hint="eastAsia" w:ascii="Times New Roman" w:hAnsi="Times New Roman" w:cs="Times New Roman"/>
          <w:b/>
          <w:color w:val="000000"/>
          <w:highlight w:val="none"/>
          <w:lang w:val="en-US" w:eastAsia="zh-CN"/>
        </w:rPr>
        <w:t>4</w:t>
      </w:r>
      <w:r>
        <w:rPr>
          <w:rFonts w:ascii="Times New Roman" w:hAnsi="Times New Roman" w:cs="Times New Roman"/>
          <w:b/>
          <w:color w:val="000000"/>
          <w:highlight w:val="none"/>
        </w:rPr>
        <w:t xml:space="preserve">. </w:t>
      </w:r>
      <w:r>
        <w:rPr>
          <w:rFonts w:hint="eastAsia" w:ascii="Times New Roman" w:hAnsi="Times New Roman" w:cs="Times New Roman"/>
          <w:b/>
          <w:color w:val="000000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/>
          <w:color w:val="000000"/>
          <w:lang w:val="en-US" w:eastAsia="zh-CN"/>
        </w:rPr>
        <w:t xml:space="preserve">BMDMs </w:t>
      </w:r>
      <w:r>
        <w:rPr>
          <w:rFonts w:ascii="Times New Roman" w:hAnsi="Times New Roman" w:cs="Times New Roman"/>
          <w:color w:val="000000"/>
          <w:szCs w:val="18"/>
        </w:rPr>
        <w:t>(</w:t>
      </w:r>
      <w:r>
        <w:rPr>
          <w:rFonts w:ascii="Times New Roman" w:hAnsi="Times New Roman" w:cs="Times New Roman"/>
          <w:b/>
          <w:color w:val="000000"/>
          <w:szCs w:val="18"/>
        </w:rPr>
        <w:t>A</w:t>
      </w:r>
      <w:r>
        <w:rPr>
          <w:rFonts w:ascii="Times New Roman" w:hAnsi="Times New Roman" w:cs="Times New Roman"/>
          <w:color w:val="000000"/>
          <w:szCs w:val="18"/>
        </w:rPr>
        <w:t>)</w:t>
      </w:r>
      <w:r>
        <w:rPr>
          <w:rFonts w:hint="eastAsia" w:ascii="Times New Roman" w:hAnsi="Times New Roman" w:cs="Times New Roman"/>
          <w:b w:val="0"/>
          <w:bCs/>
          <w:color w:val="000000"/>
          <w:lang w:val="en-US" w:eastAsia="zh-CN"/>
        </w:rPr>
        <w:t>and</w:t>
      </w:r>
      <w:r>
        <w:rPr>
          <w:rFonts w:hint="eastAsia" w:ascii="Times New Roman" w:hAnsi="Times New Roman" w:cs="Times New Roman"/>
          <w:b/>
          <w:color w:val="00000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THP-1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Cs w:val="18"/>
        </w:rPr>
        <w:t>(</w:t>
      </w:r>
      <w:r>
        <w:rPr>
          <w:rFonts w:hint="eastAsia" w:ascii="Times New Roman" w:hAnsi="Times New Roman" w:cs="Times New Roman"/>
          <w:b/>
          <w:color w:val="000000"/>
          <w:szCs w:val="18"/>
          <w:lang w:val="en-US" w:eastAsia="zh-CN"/>
        </w:rPr>
        <w:t>B</w:t>
      </w:r>
      <w:r>
        <w:rPr>
          <w:rFonts w:ascii="Times New Roman" w:hAnsi="Times New Roman" w:cs="Times New Roman"/>
          <w:color w:val="000000"/>
          <w:szCs w:val="18"/>
        </w:rPr>
        <w:t>)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cells were treated with different concentrations of </w:t>
      </w:r>
      <w:r>
        <w:rPr>
          <w:rFonts w:ascii="Times New Roman" w:hAnsi="Times New Roman" w:cs="Times New Roman"/>
          <w:color w:val="000000"/>
          <w:szCs w:val="21"/>
        </w:rPr>
        <w:t>AB4</w:t>
      </w:r>
      <w:r>
        <w:rPr>
          <w:rFonts w:hint="eastAsia" w:ascii="Times New Roman" w:hAnsi="Times New Roman" w:cs="Times New Roman"/>
          <w:color w:val="000000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for 24 h, and cell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viability was assessed by CCK-8 assay .</w:t>
      </w:r>
      <w:r>
        <w:rPr>
          <w:rFonts w:ascii="Times New Roman" w:hAnsi="Times New Roman" w:cs="Times New Roman"/>
          <w:color w:val="000000"/>
          <w:szCs w:val="17"/>
        </w:rPr>
        <w:t xml:space="preserve"> Data are presented as mean ± SD.</w:t>
      </w:r>
      <w:r>
        <w:rPr>
          <w:rFonts w:ascii="Times New Roman" w:hAnsi="Times New Roman" w:cs="Times New Roman"/>
          <w:i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15"/>
        </w:rPr>
        <w:t>ns, not significantly different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 w:cs="Times New Roman"/>
          <w:i/>
          <w:color w:val="000000"/>
          <w:szCs w:val="17"/>
        </w:rPr>
        <w:t>vs.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Control group.</w:t>
      </w:r>
    </w:p>
    <w:bookmarkEnd w:id="1"/>
    <w:p>
      <w:pPr>
        <w:jc w:val="left"/>
        <w:rPr>
          <w:rFonts w:ascii="Times New Roman" w:hAnsi="Times New Roman" w:cs="Times New Roman"/>
          <w:color w:val="000000"/>
          <w:kern w:val="0"/>
          <w:szCs w:val="21"/>
        </w:rPr>
      </w:pPr>
    </w:p>
    <w:p>
      <w:pPr>
        <w:jc w:val="left"/>
        <w:rPr>
          <w:rFonts w:ascii="Times New Roman" w:hAnsi="Times New Roman" w:cs="Times New Roman"/>
          <w:color w:val="000000"/>
          <w:kern w:val="0"/>
          <w:szCs w:val="21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color w:val="000000"/>
          <w:kern w:val="0"/>
          <w:sz w:val="24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kern w:val="0"/>
          <w:sz w:val="24"/>
          <w:szCs w:val="21"/>
          <w:lang w:eastAsia="zh-CN"/>
        </w:rPr>
        <w:drawing>
          <wp:inline distT="0" distB="0" distL="114300" distR="114300">
            <wp:extent cx="2835910" cy="2070100"/>
            <wp:effectExtent l="0" t="0" r="2540" b="6350"/>
            <wp:docPr id="1" name="图片 1" descr="TL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LR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b/>
        </w:rPr>
        <w:t>Figure S</w:t>
      </w:r>
      <w:r>
        <w:rPr>
          <w:rFonts w:hint="eastAsia" w:ascii="Times New Roman" w:hAnsi="Times New Roman" w:cs="Times New Roman"/>
          <w:b/>
          <w:highlight w:val="none"/>
          <w:lang w:val="en-US" w:eastAsia="zh-CN"/>
        </w:rPr>
        <w:t>5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Cs w:val="17"/>
        </w:rPr>
        <w:t xml:space="preserve">BMDMs were 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pretreated with AB4 (5, 10, and 20 μM) for 4 h, and then cultured with LPS (1μg/ml) for 6 h.</w:t>
      </w:r>
      <w:r>
        <w:rPr>
          <w:rFonts w:ascii="Times New Roman" w:hAnsi="Times New Roman" w:cs="Times New Roman"/>
          <w:color w:val="000000"/>
          <w:szCs w:val="17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The protein of TLR4 was detected by Western Blot.</w:t>
      </w:r>
      <w:r>
        <w:rPr>
          <w:rFonts w:ascii="Times New Roman" w:hAnsi="Times New Roman" w:cs="Times New Roman"/>
          <w:color w:val="000000"/>
          <w:szCs w:val="17"/>
        </w:rPr>
        <w:t xml:space="preserve"> Data are presented as mean ± SD.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</w:rPr>
        <w:t>**P &lt; 0.01</w:t>
      </w:r>
      <w:r>
        <w:rPr>
          <w:rFonts w:ascii="Times New Roman" w:hAnsi="Times New Roman" w:cs="Times New Roman"/>
          <w:i/>
          <w:color w:val="000000"/>
          <w:szCs w:val="17"/>
        </w:rPr>
        <w:t xml:space="preserve"> vs.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Control group;</w:t>
      </w:r>
      <w:r>
        <w:rPr>
          <w:rFonts w:ascii="Times New Roman" w:hAnsi="Times New Roman" w:cs="Times New Roman"/>
          <w:i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15"/>
        </w:rPr>
        <w:t>ns, not significantly different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 w:cs="Times New Roman"/>
          <w:i/>
          <w:color w:val="000000"/>
          <w:szCs w:val="17"/>
        </w:rPr>
        <w:t>vs.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 xml:space="preserve"> LPS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group.</w:t>
      </w:r>
    </w:p>
    <w:p>
      <w:pPr>
        <w:jc w:val="left"/>
        <w:rPr>
          <w:rFonts w:ascii="Times New Roman" w:hAnsi="Times New Roman" w:eastAsia="宋体" w:cs="Times New Roman"/>
          <w:color w:val="000000"/>
          <w:kern w:val="0"/>
          <w:szCs w:val="21"/>
        </w:rPr>
      </w:pPr>
      <w:bookmarkStart w:id="2" w:name="_GoBack"/>
      <w:bookmarkEnd w:id="2"/>
    </w:p>
    <w:p>
      <w:pPr>
        <w:jc w:val="center"/>
        <w:rPr>
          <w:rFonts w:ascii="Times New Roman" w:hAnsi="Times New Roman" w:cs="Times New Roman"/>
          <w:color w:val="000000"/>
          <w:kern w:val="0"/>
          <w:szCs w:val="21"/>
        </w:rPr>
      </w:pPr>
      <w:r>
        <w:drawing>
          <wp:inline distT="0" distB="0" distL="0" distR="0">
            <wp:extent cx="4928870" cy="1860550"/>
            <wp:effectExtent l="0" t="0" r="5080" b="6350"/>
            <wp:docPr id="1079758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5843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913" cy="18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Times New Roman" w:hAnsi="Times New Roman" w:cs="Times New Roman"/>
          <w:b/>
        </w:rPr>
        <w:t>Figure S</w:t>
      </w:r>
      <w:r>
        <w:rPr>
          <w:rFonts w:hint="eastAsia" w:ascii="Times New Roman" w:hAnsi="Times New Roman" w:cs="Times New Roman"/>
          <w:b/>
          <w:highlight w:val="none"/>
          <w:lang w:val="en-US" w:eastAsia="zh-CN"/>
        </w:rPr>
        <w:t>6</w:t>
      </w:r>
      <w:r>
        <w:rPr>
          <w:rFonts w:ascii="Times New Roman" w:hAnsi="Times New Roman" w:cs="Times New Roman"/>
          <w:b/>
          <w:highlight w:val="none"/>
        </w:rPr>
        <w:t>.</w:t>
      </w:r>
      <w:r>
        <w:rPr>
          <w:rFonts w:ascii="Times New Roman" w:hAnsi="Times New Roman" w:eastAsia="宋体" w:cs="Times New Roman"/>
          <w:b/>
          <w:color w:val="000000"/>
          <w:kern w:val="0"/>
          <w:szCs w:val="17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WT mice were subjected to DSS-induced colitis. The protein expression of 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CD1d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in </w:t>
      </w:r>
      <w:r>
        <w:rPr>
          <w:rFonts w:ascii="Times New Roman" w:hAnsi="Times New Roman" w:eastAsia="宋体" w:cs="Times New Roman"/>
          <w:color w:val="000000"/>
          <w:kern w:val="0"/>
          <w:szCs w:val="17"/>
        </w:rPr>
        <w:t>colonic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homogenates</w:t>
      </w:r>
      <w:r>
        <w:rPr>
          <w:rFonts w:ascii="Times New Roman" w:hAnsi="Times New Roman" w:cs="Times New Roman"/>
          <w:color w:val="000000"/>
          <w:szCs w:val="17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was detected by Western Blot.</w:t>
      </w:r>
      <w:r>
        <w:rPr>
          <w:rFonts w:ascii="Times New Roman" w:hAnsi="Times New Roman" w:cs="Times New Roman"/>
          <w:color w:val="000000"/>
          <w:szCs w:val="17"/>
        </w:rPr>
        <w:t xml:space="preserve"> Data are presented as mean ± SD.</w:t>
      </w:r>
      <w:r>
        <w:rPr>
          <w:rFonts w:ascii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</w:rPr>
        <w:t xml:space="preserve">**P &lt; 0.01 </w:t>
      </w:r>
      <w:r>
        <w:rPr>
          <w:rFonts w:ascii="Times New Roman" w:hAnsi="Times New Roman" w:cs="Times New Roman"/>
          <w:i/>
          <w:color w:val="000000"/>
          <w:szCs w:val="17"/>
        </w:rPr>
        <w:t>vs.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Normal group; 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vertAlign w:val="superscript"/>
        </w:rPr>
        <w:t>#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</w:rPr>
        <w:t xml:space="preserve">P &lt; 0.05, 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  <w:vertAlign w:val="superscript"/>
        </w:rPr>
        <w:t>##</w:t>
      </w:r>
      <w:r>
        <w:rPr>
          <w:rFonts w:ascii="Times New Roman" w:hAnsi="Times New Roman" w:eastAsia="宋体" w:cs="Times New Roman"/>
          <w:i/>
          <w:color w:val="000000"/>
          <w:kern w:val="0"/>
          <w:szCs w:val="21"/>
        </w:rPr>
        <w:t>P &lt; 0.01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 w:cs="Times New Roman"/>
          <w:i/>
          <w:color w:val="000000"/>
          <w:szCs w:val="17"/>
        </w:rPr>
        <w:t>vs.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DSS group.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2ODdlYWZjMTBmN2EwMDMxZDI1OWVmMTJlZTE0MWYifQ=="/>
  </w:docVars>
  <w:rsids>
    <w:rsidRoot w:val="00611D32"/>
    <w:rsid w:val="000D5FD1"/>
    <w:rsid w:val="00106A68"/>
    <w:rsid w:val="00122B19"/>
    <w:rsid w:val="00152A1B"/>
    <w:rsid w:val="00195A5B"/>
    <w:rsid w:val="001E2AA9"/>
    <w:rsid w:val="001F732C"/>
    <w:rsid w:val="0022256D"/>
    <w:rsid w:val="002529EC"/>
    <w:rsid w:val="0027583D"/>
    <w:rsid w:val="002D0621"/>
    <w:rsid w:val="00333C20"/>
    <w:rsid w:val="003C231C"/>
    <w:rsid w:val="00415FC1"/>
    <w:rsid w:val="004817EA"/>
    <w:rsid w:val="00503A48"/>
    <w:rsid w:val="005101BE"/>
    <w:rsid w:val="00583EF6"/>
    <w:rsid w:val="0060515C"/>
    <w:rsid w:val="00611D32"/>
    <w:rsid w:val="00686037"/>
    <w:rsid w:val="006B6E0F"/>
    <w:rsid w:val="00707B67"/>
    <w:rsid w:val="007312E7"/>
    <w:rsid w:val="00736F7D"/>
    <w:rsid w:val="00796FCA"/>
    <w:rsid w:val="007C3227"/>
    <w:rsid w:val="007D138D"/>
    <w:rsid w:val="008225E1"/>
    <w:rsid w:val="00874604"/>
    <w:rsid w:val="00897212"/>
    <w:rsid w:val="009D2ED6"/>
    <w:rsid w:val="00A022C2"/>
    <w:rsid w:val="00A02947"/>
    <w:rsid w:val="00A51C0A"/>
    <w:rsid w:val="00A539E4"/>
    <w:rsid w:val="00AE0B68"/>
    <w:rsid w:val="00AF0462"/>
    <w:rsid w:val="00B60287"/>
    <w:rsid w:val="00B6114E"/>
    <w:rsid w:val="00B86CED"/>
    <w:rsid w:val="00BE0AC1"/>
    <w:rsid w:val="00C035B2"/>
    <w:rsid w:val="00C316B1"/>
    <w:rsid w:val="00D1460E"/>
    <w:rsid w:val="00D9518F"/>
    <w:rsid w:val="00DA0818"/>
    <w:rsid w:val="00DA3D4A"/>
    <w:rsid w:val="00DF1F76"/>
    <w:rsid w:val="00E07363"/>
    <w:rsid w:val="00EA47D5"/>
    <w:rsid w:val="00EC7A5D"/>
    <w:rsid w:val="00ED3B85"/>
    <w:rsid w:val="00F011C2"/>
    <w:rsid w:val="09426E7B"/>
    <w:rsid w:val="11902A8A"/>
    <w:rsid w:val="1D214849"/>
    <w:rsid w:val="1F3C4445"/>
    <w:rsid w:val="22C71218"/>
    <w:rsid w:val="33D47F14"/>
    <w:rsid w:val="40A45CCE"/>
    <w:rsid w:val="41E36253"/>
    <w:rsid w:val="42CF1A6D"/>
    <w:rsid w:val="43924B33"/>
    <w:rsid w:val="493C6A78"/>
    <w:rsid w:val="4F74423A"/>
    <w:rsid w:val="5023004A"/>
    <w:rsid w:val="523A3A7C"/>
    <w:rsid w:val="59F31171"/>
    <w:rsid w:val="61DA5C32"/>
    <w:rsid w:val="75BE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485</Words>
  <Characters>2767</Characters>
  <Lines>23</Lines>
  <Paragraphs>6</Paragraphs>
  <TotalTime>12</TotalTime>
  <ScaleCrop>false</ScaleCrop>
  <LinksUpToDate>false</LinksUpToDate>
  <CharactersWithSpaces>3246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2023-03-07T09:43:00Z</dcterms:created>
  <dc:creator>Jiao Li</dc:creator>
  <cp:lastModifiedBy>李家小妹</cp:lastModifiedBy>
  <dcterms:modified xsi:type="dcterms:W3CDTF">2024-04-24T05:18:10Z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C469DBA899524B1A9B74AEBDD4C5E074_12</vt:lpwstr>
  </property>
</Properties>
</file>