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color w:val="000000"/>
          <w:kern w:val="0"/>
          <w:sz w:val="21"/>
          <w:szCs w:val="21"/>
        </w:rPr>
      </w:pPr>
      <w:bookmarkStart w:id="2" w:name="_GoBack"/>
      <w:bookmarkEnd w:id="2"/>
      <w:r>
        <w:rPr>
          <w:rFonts w:hint="eastAsia" w:ascii="Times New Roman" w:hAnsi="Times New Roman"/>
          <w:b/>
          <w:sz w:val="21"/>
          <w:szCs w:val="21"/>
        </w:rPr>
        <w:t xml:space="preserve">Supplementary </w:t>
      </w:r>
      <w:r>
        <w:rPr>
          <w:rFonts w:ascii="Times New Roman" w:hAnsi="Times New Roman"/>
          <w:b/>
          <w:sz w:val="21"/>
          <w:szCs w:val="21"/>
        </w:rPr>
        <w:t xml:space="preserve">Table 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/>
          <w:b/>
          <w:sz w:val="21"/>
          <w:szCs w:val="21"/>
        </w:rPr>
        <w:t>1</w:t>
      </w:r>
      <w:r>
        <w:rPr>
          <w:rFonts w:hint="eastAsia" w:ascii="Times New Roman" w:hAnsi="Times New Roman"/>
          <w:b w:val="0"/>
          <w:bCs/>
          <w:sz w:val="21"/>
          <w:szCs w:val="21"/>
          <w:lang w:val="en-US" w:eastAsia="zh-CN"/>
        </w:rPr>
        <w:t xml:space="preserve">: </w:t>
      </w:r>
      <w:r>
        <w:rPr>
          <w:rFonts w:ascii="Times New Roman" w:hAnsi="Times New Roman" w:cs="Cambria"/>
          <w:color w:val="000000"/>
          <w:kern w:val="0"/>
          <w:sz w:val="21"/>
          <w:szCs w:val="21"/>
        </w:rPr>
        <w:t xml:space="preserve">The Clinicopathological Features of </w:t>
      </w:r>
      <w:r>
        <w:rPr>
          <w:rFonts w:ascii="Times New Roman" w:hAnsi="Times New Roman"/>
          <w:color w:val="000000"/>
          <w:kern w:val="0"/>
          <w:sz w:val="21"/>
          <w:szCs w:val="21"/>
        </w:rPr>
        <w:t>patients with gastric cancer</w:t>
      </w:r>
    </w:p>
    <w:tbl>
      <w:tblPr>
        <w:tblStyle w:val="7"/>
        <w:tblW w:w="1119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130"/>
        <w:gridCol w:w="639"/>
        <w:gridCol w:w="636"/>
        <w:gridCol w:w="714"/>
        <w:gridCol w:w="561"/>
        <w:gridCol w:w="564"/>
        <w:gridCol w:w="714"/>
        <w:gridCol w:w="1029"/>
        <w:gridCol w:w="639"/>
        <w:gridCol w:w="636"/>
        <w:gridCol w:w="714"/>
        <w:gridCol w:w="561"/>
        <w:gridCol w:w="564"/>
        <w:gridCol w:w="71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4" w:hRule="atLeast"/>
          <w:jc w:val="center"/>
        </w:trPr>
        <w:tc>
          <w:tcPr>
            <w:tcW w:w="1383" w:type="dxa"/>
            <w:vMerge w:val="restart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Charastristics</w:t>
            </w:r>
          </w:p>
        </w:tc>
        <w:tc>
          <w:tcPr>
            <w:tcW w:w="4958" w:type="dxa"/>
            <w:gridSpan w:val="7"/>
            <w:tcBorders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The training set</w:t>
            </w:r>
            <w:bookmarkEnd w:id="0"/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</w:p>
        </w:tc>
        <w:tc>
          <w:tcPr>
            <w:tcW w:w="4857" w:type="dxa"/>
            <w:gridSpan w:val="7"/>
            <w:tcBorders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The validation set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2" w:hRule="atLeast"/>
          <w:jc w:val="center"/>
        </w:trPr>
        <w:tc>
          <w:tcPr>
            <w:tcW w:w="1383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130" w:type="dxa"/>
            <w:vMerge w:val="restart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Patients,n(%)</w:t>
            </w:r>
          </w:p>
        </w:tc>
        <w:tc>
          <w:tcPr>
            <w:tcW w:w="639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Patients,n(%)</w:t>
            </w:r>
          </w:p>
        </w:tc>
        <w:tc>
          <w:tcPr>
            <w:tcW w:w="639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33" w:hRule="atLeast"/>
          <w:jc w:val="center"/>
        </w:trPr>
        <w:tc>
          <w:tcPr>
            <w:tcW w:w="1383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130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Albumin(g/L)</w:t>
            </w:r>
          </w:p>
        </w:tc>
        <w:tc>
          <w:tcPr>
            <w:tcW w:w="71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CEA(ng/ml)</w:t>
            </w:r>
          </w:p>
        </w:tc>
        <w:tc>
          <w:tcPr>
            <w:tcW w:w="71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vMerge w:val="continue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5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Albumin(g/L)</w:t>
            </w:r>
          </w:p>
        </w:tc>
        <w:tc>
          <w:tcPr>
            <w:tcW w:w="71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CEA(ng/ml)</w:t>
            </w:r>
          </w:p>
        </w:tc>
        <w:tc>
          <w:tcPr>
            <w:tcW w:w="71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56" w:hRule="atLeast"/>
          <w:jc w:val="center"/>
        </w:trPr>
        <w:tc>
          <w:tcPr>
            <w:tcW w:w="1383" w:type="dxa"/>
            <w:vMerge w:val="continue"/>
            <w:tcBorders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130" w:type="dxa"/>
            <w:vMerge w:val="continue"/>
            <w:tcBorders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&gt;41.47</w:t>
            </w:r>
          </w:p>
        </w:tc>
        <w:tc>
          <w:tcPr>
            <w:tcW w:w="636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≤41.47</w:t>
            </w:r>
          </w:p>
        </w:tc>
        <w:tc>
          <w:tcPr>
            <w:tcW w:w="71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P value</w:t>
            </w:r>
          </w:p>
        </w:tc>
        <w:tc>
          <w:tcPr>
            <w:tcW w:w="56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≤4.77</w:t>
            </w:r>
          </w:p>
        </w:tc>
        <w:tc>
          <w:tcPr>
            <w:tcW w:w="56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&gt;4.77</w:t>
            </w:r>
          </w:p>
        </w:tc>
        <w:tc>
          <w:tcPr>
            <w:tcW w:w="71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P value</w:t>
            </w:r>
          </w:p>
        </w:tc>
        <w:tc>
          <w:tcPr>
            <w:tcW w:w="1029" w:type="dxa"/>
            <w:vMerge w:val="continue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&gt;41.47</w:t>
            </w:r>
          </w:p>
        </w:tc>
        <w:tc>
          <w:tcPr>
            <w:tcW w:w="636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≤41.47</w:t>
            </w:r>
          </w:p>
        </w:tc>
        <w:tc>
          <w:tcPr>
            <w:tcW w:w="71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P value</w:t>
            </w:r>
          </w:p>
        </w:tc>
        <w:tc>
          <w:tcPr>
            <w:tcW w:w="56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≤4.77</w:t>
            </w:r>
          </w:p>
        </w:tc>
        <w:tc>
          <w:tcPr>
            <w:tcW w:w="56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&gt;4.77</w:t>
            </w:r>
          </w:p>
        </w:tc>
        <w:tc>
          <w:tcPr>
            <w:tcW w:w="71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P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bookmarkStart w:id="1" w:name="OLE_LINK3" w:colFirst="0" w:colLast="0"/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Sex</w:t>
            </w:r>
          </w:p>
        </w:tc>
        <w:tc>
          <w:tcPr>
            <w:tcW w:w="1130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0.287</w:t>
            </w:r>
          </w:p>
        </w:tc>
        <w:tc>
          <w:tcPr>
            <w:tcW w:w="561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0.350</w:t>
            </w:r>
          </w:p>
        </w:tc>
        <w:tc>
          <w:tcPr>
            <w:tcW w:w="1029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0.084</w:t>
            </w:r>
          </w:p>
        </w:tc>
        <w:tc>
          <w:tcPr>
            <w:tcW w:w="561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0.681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49(29.9)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24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25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38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52(31.5)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31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45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115(70.1)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69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46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81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113(68.5)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51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62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95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Age (years)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0.004*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0.127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&lt;0.001*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0.034*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≤60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59(36.0)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25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47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57(34.5)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41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53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&gt;60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105(64.0)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69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72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33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108(65.5)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41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67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87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Tumor location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0.283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0.108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0.520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0.119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Middle and lower third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137(83.5)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61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76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142(86.1)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72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70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118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24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Upper third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27(16.5)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23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23(13.9)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Differentiation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0.188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0.779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0.173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0.029*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Well/Moderate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70(42.7)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50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58(35.2)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33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25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54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Poor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94(57.3)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58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69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25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107(64.8)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49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58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86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Diameter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of lesion (cm)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&lt;0.001*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&lt;0.001*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0.005*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0.001*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≤4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97(59.1)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54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43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82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101(61.2)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59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42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93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&gt;4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67(40.1)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37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30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64(38.8)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23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47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Cancer embolism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0.334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0.021*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0.097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0.003*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None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75(45.7)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35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40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61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64(38.8)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37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27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61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63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89(54.3)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35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54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58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101(61.2)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45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56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79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Never invasion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0.112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0.040*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0.014*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0.540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None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63(38.4)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40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23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95(57.6)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55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40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82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101(61.6)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48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53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79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70(42.4)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27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43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58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pTNM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0.001*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&lt;0.001*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0.004*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0.001*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I-II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73(44.5)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42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67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76(46.1)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47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29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72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III-IV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91(55.5)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28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63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52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39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89(53.9)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35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54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68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Depth of invasion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0.090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&lt;0.001*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0.001*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0.001*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T1-T2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56(34.1)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29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27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52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63(38.2)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42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61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T3-T4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108(65.9)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41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67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67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102(61.8)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40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62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79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23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LN metastasis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0.005*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&lt;0.001*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0.015*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0.001*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N0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62(37.8)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35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27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55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69(41.8)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42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27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66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N1/N1/N2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102(62.2)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35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67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64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38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96(58.2)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40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56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74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bookmarkEnd w:id="1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Survival status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&lt;0.001*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0.001*</w:t>
            </w: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&lt;0.001*</w:t>
            </w: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&lt;0.001*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Survival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76(46.3)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45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65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100(60.6)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65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35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94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70" w:hRule="atLeast"/>
          <w:jc w:val="center"/>
        </w:trPr>
        <w:tc>
          <w:tcPr>
            <w:tcW w:w="138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Death</w:t>
            </w:r>
          </w:p>
        </w:tc>
        <w:tc>
          <w:tcPr>
            <w:tcW w:w="1130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88(53.7)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25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63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54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02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65(39.4)</w:t>
            </w:r>
          </w:p>
        </w:tc>
        <w:tc>
          <w:tcPr>
            <w:tcW w:w="639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636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48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1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46</w:t>
            </w:r>
          </w:p>
        </w:tc>
        <w:tc>
          <w:tcPr>
            <w:tcW w:w="56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714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Cambria"/>
          <w:color w:val="000000"/>
          <w:kern w:val="0"/>
          <w:sz w:val="21"/>
          <w:szCs w:val="21"/>
        </w:rPr>
      </w:pPr>
      <w:r>
        <w:rPr>
          <w:rFonts w:hint="eastAsia" w:ascii="Times New Roman" w:hAnsi="Times New Roman"/>
          <w:b/>
          <w:sz w:val="21"/>
          <w:szCs w:val="21"/>
        </w:rPr>
        <w:t xml:space="preserve">Supplementary </w:t>
      </w:r>
      <w:r>
        <w:rPr>
          <w:rFonts w:ascii="Times New Roman" w:hAnsi="Times New Roman"/>
          <w:b/>
          <w:sz w:val="21"/>
          <w:szCs w:val="21"/>
        </w:rPr>
        <w:t xml:space="preserve">Table 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/>
          <w:b/>
          <w:sz w:val="21"/>
          <w:szCs w:val="21"/>
        </w:rPr>
        <w:t>2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 xml:space="preserve">: </w:t>
      </w:r>
      <w:r>
        <w:rPr>
          <w:rFonts w:ascii="Times New Roman" w:hAnsi="Times New Roman" w:cs="Cambria"/>
          <w:color w:val="000000"/>
          <w:kern w:val="0"/>
          <w:sz w:val="21"/>
          <w:szCs w:val="21"/>
        </w:rPr>
        <w:t>The Clinicopathological Characteristics Stratified by the ALB-CEA Score</w:t>
      </w:r>
    </w:p>
    <w:tbl>
      <w:tblPr>
        <w:tblStyle w:val="7"/>
        <w:tblW w:w="6134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876"/>
        <w:gridCol w:w="1209"/>
        <w:gridCol w:w="1217"/>
        <w:gridCol w:w="858"/>
        <w:gridCol w:w="1046"/>
        <w:gridCol w:w="1395"/>
        <w:gridCol w:w="1289"/>
        <w:gridCol w:w="85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72" w:hRule="atLeast"/>
          <w:jc w:val="center"/>
        </w:trPr>
        <w:tc>
          <w:tcPr>
            <w:tcW w:w="816" w:type="pct"/>
            <w:vMerge w:val="restar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Chara</w:t>
            </w:r>
            <w:r>
              <w:rPr>
                <w:sz w:val="15"/>
                <w:szCs w:val="15"/>
              </w:rPr>
              <w:t>cteristics</w:t>
            </w:r>
          </w:p>
        </w:tc>
        <w:tc>
          <w:tcPr>
            <w:tcW w:w="1579" w:type="pct"/>
            <w:gridSpan w:val="3"/>
            <w:tcBorders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The training set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783" w:type="pct"/>
            <w:gridSpan w:val="3"/>
            <w:tcBorders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The validation set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72" w:hRule="atLeast"/>
          <w:jc w:val="center"/>
        </w:trPr>
        <w:tc>
          <w:tcPr>
            <w:tcW w:w="816" w:type="pct"/>
            <w:vMerge w:val="continue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9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ALB-CEA</w:t>
            </w:r>
          </w:p>
        </w:tc>
        <w:tc>
          <w:tcPr>
            <w:tcW w:w="578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ALB-CEA</w:t>
            </w:r>
          </w:p>
        </w:tc>
        <w:tc>
          <w:tcPr>
            <w:tcW w:w="581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ALB-CEA</w:t>
            </w:r>
          </w:p>
        </w:tc>
        <w:tc>
          <w:tcPr>
            <w:tcW w:w="410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P value</w:t>
            </w:r>
          </w:p>
        </w:tc>
        <w:tc>
          <w:tcPr>
            <w:tcW w:w="500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ALB-CEA</w:t>
            </w:r>
          </w:p>
        </w:tc>
        <w:tc>
          <w:tcPr>
            <w:tcW w:w="667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ALB-CEA</w:t>
            </w:r>
          </w:p>
        </w:tc>
        <w:tc>
          <w:tcPr>
            <w:tcW w:w="615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ALB-CEA</w:t>
            </w:r>
          </w:p>
        </w:tc>
        <w:tc>
          <w:tcPr>
            <w:tcW w:w="410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P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72" w:hRule="atLeast"/>
          <w:jc w:val="center"/>
        </w:trPr>
        <w:tc>
          <w:tcPr>
            <w:tcW w:w="816" w:type="pct"/>
            <w:vMerge w:val="continue"/>
            <w:tcBorders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9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</w:t>
            </w:r>
          </w:p>
        </w:tc>
        <w:tc>
          <w:tcPr>
            <w:tcW w:w="578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581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410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</w:t>
            </w:r>
          </w:p>
        </w:tc>
        <w:tc>
          <w:tcPr>
            <w:tcW w:w="667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615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410" w:type="pct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Sex</w:t>
            </w:r>
          </w:p>
        </w:tc>
        <w:tc>
          <w:tcPr>
            <w:tcW w:w="419" w:type="pct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78" w:type="pct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81" w:type="pct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0.358</w:t>
            </w:r>
          </w:p>
        </w:tc>
        <w:tc>
          <w:tcPr>
            <w:tcW w:w="500" w:type="pct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67" w:type="pct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15" w:type="pct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tcBorders>
              <w:top w:val="single" w:color="auto" w:sz="12" w:space="0"/>
            </w:tcBorders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21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20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55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24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48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Age (years)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0.011*</w:t>
            </w: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000000"/>
                <w:sz w:val="15"/>
                <w:szCs w:val="15"/>
              </w:rPr>
              <w:t>&lt;0.001*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≤</w:t>
            </w:r>
            <w:r>
              <w:rPr>
                <w:rFonts w:hint="eastAsia" w:ascii="Arial" w:hAnsi="Arial" w:cs="Arial"/>
                <w:color w:val="000000"/>
                <w:sz w:val="15"/>
                <w:szCs w:val="15"/>
              </w:rPr>
              <w:t>60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27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27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&gt;60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48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27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54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Tumor location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0.258</w:t>
            </w: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Middle and lower third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49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59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68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54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20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Upper third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Differentiation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0.675</w:t>
            </w: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Well/Moderate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27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21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Poor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45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45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45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Diameter</w:t>
            </w:r>
            <w:r>
              <w:rPr>
                <w:rFonts w:hint="eastAsia" w:ascii="Times New Roman" w:hAnsi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of lesion </w:t>
            </w:r>
            <w:r>
              <w:rPr>
                <w:rFonts w:hint="eastAsia" w:ascii="Times New Roman" w:hAnsi="Times New Roman"/>
                <w:color w:val="000000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cm</w:t>
            </w:r>
            <w:r>
              <w:rPr>
                <w:rFonts w:hint="eastAsia" w:ascii="Times New Roman" w:hAnsi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000000"/>
                <w:sz w:val="15"/>
                <w:szCs w:val="15"/>
              </w:rPr>
              <w:t>&lt;0.001*</w:t>
            </w: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000000"/>
                <w:sz w:val="15"/>
                <w:szCs w:val="15"/>
              </w:rPr>
              <w:t>&lt;0.001*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≤</w:t>
            </w: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48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40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52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40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&gt;4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35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23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35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Cancer embolism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0.109</w:t>
            </w: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0.019*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None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24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26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22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Never invasion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0.052</w:t>
            </w: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None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43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52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26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pTNM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000000"/>
                <w:sz w:val="15"/>
                <w:szCs w:val="15"/>
              </w:rPr>
              <w:t>&lt;0.001*</w:t>
            </w: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0.001*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I-II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40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47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25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III-IV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46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28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Depth of invasion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0.001*</w:t>
            </w: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000000"/>
                <w:sz w:val="15"/>
                <w:szCs w:val="15"/>
              </w:rPr>
              <w:t>&lt;0.001*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T1-T2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28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25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T3-T4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47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LN metastasis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000000"/>
                <w:sz w:val="15"/>
                <w:szCs w:val="15"/>
              </w:rPr>
              <w:t>&lt;0.001*</w:t>
            </w: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0.002*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N0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26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24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N1/N1/N2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25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49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28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Survival status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000000"/>
                <w:sz w:val="15"/>
                <w:szCs w:val="15"/>
              </w:rPr>
              <w:t>&lt;0.001*</w:t>
            </w: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000000"/>
                <w:sz w:val="15"/>
                <w:szCs w:val="15"/>
              </w:rPr>
              <w:t>&lt;0.001*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Survival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39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62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35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816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Death</w:t>
            </w:r>
          </w:p>
        </w:tc>
        <w:tc>
          <w:tcPr>
            <w:tcW w:w="419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578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43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27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667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21</w:t>
            </w:r>
          </w:p>
        </w:tc>
        <w:tc>
          <w:tcPr>
            <w:tcW w:w="615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410" w:type="pct"/>
            <w:noWrap w:val="0"/>
            <w:vAlign w:val="top"/>
          </w:tcPr>
          <w:p>
            <w:pPr>
              <w:rPr>
                <w:color w:val="000000"/>
                <w:sz w:val="15"/>
                <w:szCs w:val="15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Cambria"/>
          <w:color w:val="000000"/>
          <w:kern w:val="0"/>
          <w:sz w:val="21"/>
          <w:szCs w:val="21"/>
        </w:rPr>
      </w:pPr>
      <w:r>
        <w:rPr>
          <w:rFonts w:hint="eastAsia" w:ascii="Times New Roman" w:hAnsi="Times New Roman"/>
          <w:b/>
          <w:sz w:val="21"/>
          <w:szCs w:val="21"/>
        </w:rPr>
        <w:t xml:space="preserve">Supplementary </w:t>
      </w:r>
      <w:r>
        <w:rPr>
          <w:rFonts w:ascii="Times New Roman" w:hAnsi="Times New Roman"/>
          <w:b/>
          <w:sz w:val="21"/>
          <w:szCs w:val="21"/>
        </w:rPr>
        <w:t xml:space="preserve">Table 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/>
          <w:b/>
          <w:sz w:val="21"/>
          <w:szCs w:val="21"/>
        </w:rPr>
        <w:t>3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 xml:space="preserve">: </w:t>
      </w:r>
      <w:r>
        <w:rPr>
          <w:rFonts w:ascii="Times New Roman" w:hAnsi="Times New Roman" w:cs="Cambria"/>
          <w:color w:val="000000"/>
          <w:kern w:val="0"/>
          <w:sz w:val="21"/>
          <w:szCs w:val="21"/>
        </w:rPr>
        <w:t>Comparison of prediction performance of three assessment methods</w:t>
      </w:r>
    </w:p>
    <w:tbl>
      <w:tblPr>
        <w:tblStyle w:val="7"/>
        <w:tblW w:w="851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1"/>
        <w:gridCol w:w="1613"/>
        <w:gridCol w:w="1613"/>
        <w:gridCol w:w="538"/>
        <w:gridCol w:w="1613"/>
        <w:gridCol w:w="1613"/>
        <w:gridCol w:w="53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227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Model</w:t>
            </w:r>
          </w:p>
        </w:tc>
        <w:tc>
          <w:tcPr>
            <w:tcW w:w="0" w:type="auto"/>
            <w:gridSpan w:val="3"/>
            <w:tcBorders>
              <w:bottom w:val="nil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The training set</w:t>
            </w:r>
          </w:p>
        </w:tc>
        <w:tc>
          <w:tcPr>
            <w:tcW w:w="0" w:type="auto"/>
            <w:gridSpan w:val="3"/>
            <w:tcBorders>
              <w:bottom w:val="nil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The validation set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227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C-index (95%CI)</w:t>
            </w:r>
          </w:p>
        </w:tc>
        <w:tc>
          <w:tcPr>
            <w:tcW w:w="0" w:type="auto"/>
            <w:tcBorders>
              <w:top w:val="nil"/>
              <w:bottom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AUC (95%CI)</w:t>
            </w:r>
          </w:p>
        </w:tc>
        <w:tc>
          <w:tcPr>
            <w:tcW w:w="0" w:type="auto"/>
            <w:tcBorders>
              <w:top w:val="nil"/>
              <w:bottom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AIC</w:t>
            </w:r>
          </w:p>
        </w:tc>
        <w:tc>
          <w:tcPr>
            <w:tcW w:w="0" w:type="auto"/>
            <w:tcBorders>
              <w:top w:val="nil"/>
              <w:bottom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C-index (95%CI)</w:t>
            </w:r>
          </w:p>
        </w:tc>
        <w:tc>
          <w:tcPr>
            <w:tcW w:w="0" w:type="auto"/>
            <w:tcBorders>
              <w:top w:val="nil"/>
              <w:bottom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AUC (95%CI)</w:t>
            </w:r>
          </w:p>
        </w:tc>
        <w:tc>
          <w:tcPr>
            <w:tcW w:w="0" w:type="auto"/>
            <w:tcBorders>
              <w:top w:val="nil"/>
              <w:bottom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AIC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0" w:type="auto"/>
            <w:tcBorders>
              <w:top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ALB-CEA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5"/>
                <w:szCs w:val="15"/>
                <w:lang w:bidi="ar"/>
              </w:rPr>
              <w:t>0.743(0.658-0.829)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5"/>
                <w:szCs w:val="15"/>
                <w:lang w:bidi="ar"/>
              </w:rPr>
              <w:t>0.703(0.623-0.782)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207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5"/>
                <w:szCs w:val="15"/>
                <w:lang w:bidi="ar"/>
              </w:rPr>
              <w:t>0.825(0.736-0.914)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5"/>
                <w:szCs w:val="15"/>
                <w:lang w:bidi="ar"/>
              </w:rPr>
              <w:t>0.776(0.703-0.848)</w:t>
            </w:r>
          </w:p>
        </w:tc>
        <w:tc>
          <w:tcPr>
            <w:tcW w:w="0" w:type="auto"/>
            <w:tcBorders>
              <w:top w:val="single" w:color="auto" w:sz="12" w:space="0"/>
            </w:tcBorders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CEA</w:t>
            </w:r>
          </w:p>
        </w:tc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5"/>
                <w:szCs w:val="15"/>
                <w:lang w:bidi="ar"/>
              </w:rPr>
              <w:t>0.621(0.556-0.685)</w:t>
            </w:r>
          </w:p>
        </w:tc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5"/>
                <w:szCs w:val="15"/>
                <w:lang w:bidi="ar"/>
              </w:rPr>
              <w:t>0.621(0.535-0.706)</w:t>
            </w:r>
          </w:p>
        </w:tc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5"/>
                <w:szCs w:val="15"/>
                <w:lang w:bidi="ar"/>
              </w:rPr>
              <w:t>218</w:t>
            </w:r>
          </w:p>
        </w:tc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5"/>
                <w:szCs w:val="15"/>
                <w:lang w:bidi="ar"/>
              </w:rPr>
              <w:t>0.616(0.556-0.676)</w:t>
            </w:r>
          </w:p>
        </w:tc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5"/>
                <w:szCs w:val="15"/>
                <w:lang w:bidi="ar"/>
              </w:rPr>
              <w:t>0.616(0.525-0.707)</w:t>
            </w:r>
          </w:p>
        </w:tc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trHeight w:val="227" w:hRule="atLeast"/>
          <w:jc w:val="center"/>
        </w:trPr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ALB</w:t>
            </w:r>
          </w:p>
        </w:tc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5"/>
                <w:szCs w:val="15"/>
                <w:lang w:bidi="ar"/>
              </w:rPr>
              <w:t>0.654(0.581-0.727)</w:t>
            </w:r>
          </w:p>
        </w:tc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5"/>
                <w:szCs w:val="15"/>
                <w:lang w:bidi="ar"/>
              </w:rPr>
              <w:t>0.654(0.569-0.739)</w:t>
            </w:r>
          </w:p>
        </w:tc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214</w:t>
            </w:r>
          </w:p>
        </w:tc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5"/>
                <w:szCs w:val="15"/>
                <w:lang w:bidi="ar"/>
              </w:rPr>
              <w:t>0.694(0.623-0.765)</w:t>
            </w:r>
          </w:p>
        </w:tc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eastAsia="Cambria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5"/>
                <w:szCs w:val="15"/>
                <w:lang w:bidi="ar"/>
              </w:rPr>
              <w:t>0.694(0.612-0.777)</w:t>
            </w:r>
          </w:p>
        </w:tc>
        <w:tc>
          <w:tcPr>
            <w:tcW w:w="0" w:type="auto"/>
            <w:shd w:val="clear" w:color="auto" w:fill="FFFFFF"/>
            <w:noWrap w:val="0"/>
            <w:tcMar>
              <w:top w:w="42" w:type="dxa"/>
              <w:left w:w="84" w:type="dxa"/>
              <w:bottom w:w="42" w:type="dxa"/>
              <w:right w:w="84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201</w:t>
            </w:r>
          </w:p>
        </w:tc>
      </w:tr>
    </w:tbl>
    <w:p>
      <w:pPr>
        <w:widowControl/>
        <w:shd w:val="clear" w:color="auto" w:fill="FFFFFF"/>
        <w:spacing w:line="360" w:lineRule="auto"/>
        <w:rPr>
          <w:rFonts w:ascii="Times New Roman" w:hAnsi="Times New Roman" w:cs="Cambria"/>
          <w:color w:val="000000"/>
          <w:kern w:val="0"/>
          <w:sz w:val="24"/>
          <w:szCs w:val="30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rPr>
          <w:rFonts w:hint="eastAsia" w:ascii="Times New Roman" w:hAnsi="Times New Roman"/>
          <w:b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Cambria"/>
          <w:color w:val="000000"/>
          <w:kern w:val="0"/>
          <w:sz w:val="21"/>
          <w:szCs w:val="21"/>
        </w:rPr>
      </w:pPr>
      <w:r>
        <w:rPr>
          <w:rFonts w:hint="eastAsia" w:ascii="Times New Roman" w:hAnsi="Times New Roman"/>
          <w:b/>
          <w:sz w:val="21"/>
          <w:szCs w:val="21"/>
        </w:rPr>
        <w:t xml:space="preserve">Supplementary </w:t>
      </w:r>
      <w:r>
        <w:rPr>
          <w:rFonts w:hint="eastAsia"/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"https://www.ncbi.nlm.nih.gov/pmc/articles/PMC9066204/figure/F2/" \t "https://www.ncbi.nlm.nih.gov/pmc/articles/PMC9066204/figure" </w:instrText>
      </w:r>
      <w:r>
        <w:rPr>
          <w:rFonts w:hint="eastAsia"/>
          <w:sz w:val="21"/>
          <w:szCs w:val="21"/>
        </w:rPr>
        <w:fldChar w:fldCharType="separate"/>
      </w:r>
      <w:r>
        <w:rPr>
          <w:rFonts w:ascii="Times New Roman" w:hAnsi="Times New Roman"/>
          <w:b/>
          <w:sz w:val="21"/>
          <w:szCs w:val="21"/>
        </w:rPr>
        <w:t>Fig</w:t>
      </w:r>
      <w:r>
        <w:rPr>
          <w:rFonts w:hint="eastAsia" w:ascii="Times New Roman" w:hAnsi="Times New Roman"/>
          <w:b/>
          <w:sz w:val="21"/>
          <w:szCs w:val="21"/>
        </w:rPr>
        <w:t>.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/>
          <w:b/>
          <w:sz w:val="21"/>
          <w:szCs w:val="21"/>
        </w:rPr>
        <w:t>1</w:t>
      </w:r>
      <w:r>
        <w:rPr>
          <w:rFonts w:hint="eastAsia" w:ascii="Times New Roman" w:hAnsi="Times New Roman"/>
          <w:b/>
          <w:sz w:val="21"/>
          <w:szCs w:val="21"/>
        </w:rPr>
        <w:fldChar w:fldCharType="end"/>
      </w:r>
      <w:r>
        <w:rPr>
          <w:rFonts w:hint="eastAsia" w:ascii="Times New Roman" w:hAnsi="Times New Roman"/>
          <w:b w:val="0"/>
          <w:bCs/>
          <w:sz w:val="21"/>
          <w:szCs w:val="21"/>
          <w:lang w:val="en-US" w:eastAsia="zh-CN"/>
        </w:rPr>
        <w:t>: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Cambria"/>
          <w:color w:val="000000"/>
          <w:kern w:val="0"/>
          <w:sz w:val="21"/>
          <w:szCs w:val="21"/>
        </w:rPr>
        <w:t xml:space="preserve">Kaplan-Meier survival curves for OS according to CEA and </w:t>
      </w:r>
      <w:r>
        <w:rPr>
          <w:rFonts w:hint="eastAsia" w:ascii="Times New Roman" w:hAnsi="Times New Roman" w:cs="Cambria"/>
          <w:color w:val="000000"/>
          <w:kern w:val="0"/>
          <w:sz w:val="21"/>
          <w:szCs w:val="21"/>
        </w:rPr>
        <w:t>ALB</w:t>
      </w:r>
      <w:r>
        <w:rPr>
          <w:rFonts w:ascii="Times New Roman" w:hAnsi="Times New Roman" w:cs="Cambria"/>
          <w:color w:val="000000"/>
          <w:kern w:val="0"/>
          <w:sz w:val="21"/>
          <w:szCs w:val="21"/>
        </w:rPr>
        <w:t xml:space="preserve"> in </w:t>
      </w:r>
      <w:r>
        <w:rPr>
          <w:rFonts w:ascii="Times New Roman" w:hAnsi="Times New Roman"/>
          <w:color w:val="000000"/>
          <w:kern w:val="0"/>
          <w:sz w:val="21"/>
          <w:szCs w:val="21"/>
        </w:rPr>
        <w:t>patients with gastric cancer</w:t>
      </w:r>
      <w:r>
        <w:rPr>
          <w:rFonts w:ascii="Times New Roman" w:hAnsi="Times New Roman" w:cs="Cambria"/>
          <w:color w:val="000000"/>
          <w:kern w:val="0"/>
          <w:sz w:val="21"/>
          <w:szCs w:val="21"/>
        </w:rPr>
        <w:t xml:space="preserve"> (the training set, A; the validation set, B).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Cambria"/>
          <w:color w:val="000000"/>
          <w:kern w:val="0"/>
          <w:sz w:val="21"/>
          <w:szCs w:val="21"/>
        </w:rPr>
      </w:pPr>
      <w:r>
        <w:rPr>
          <w:rFonts w:ascii="Cambria" w:hAnsi="Cambria"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127635</wp:posOffset>
            </wp:positionV>
            <wp:extent cx="5382895" cy="3531870"/>
            <wp:effectExtent l="0" t="0" r="1905" b="11430"/>
            <wp:wrapTopAndBottom/>
            <wp:docPr id="1" name="图片 2" descr="说明: 说明: 说明: 说明: 2个阶段的KM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说明: 说明: 说明: 说明: 2个阶段的KM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353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Cambria"/>
          <w:color w:val="000000"/>
          <w:kern w:val="0"/>
          <w:sz w:val="21"/>
          <w:szCs w:val="21"/>
        </w:rPr>
        <w:t xml:space="preserve">Abbreviations: OS: overall survival; CEA: carcinoembryonic antigen; </w:t>
      </w:r>
      <w:r>
        <w:rPr>
          <w:rFonts w:hint="eastAsia" w:ascii="Times New Roman" w:hAnsi="Times New Roman" w:cs="Cambria"/>
          <w:color w:val="000000"/>
          <w:kern w:val="0"/>
          <w:sz w:val="21"/>
          <w:szCs w:val="21"/>
        </w:rPr>
        <w:t>ALB</w:t>
      </w:r>
      <w:r>
        <w:rPr>
          <w:rFonts w:ascii="Times New Roman" w:hAnsi="Times New Roman" w:cs="Cambria"/>
          <w:color w:val="000000"/>
          <w:kern w:val="0"/>
          <w:sz w:val="21"/>
          <w:szCs w:val="21"/>
        </w:rPr>
        <w:t>: albumin.</w:t>
      </w:r>
    </w:p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4NDM4MTY0MmI1ZjUyN2U1YTRmNTZlYjQ0NjE3YTcifQ=="/>
  </w:docVars>
  <w:rsids>
    <w:rsidRoot w:val="00215241"/>
    <w:rsid w:val="00215241"/>
    <w:rsid w:val="004F5DAB"/>
    <w:rsid w:val="0A8D3D36"/>
    <w:rsid w:val="0D103128"/>
    <w:rsid w:val="13021BFD"/>
    <w:rsid w:val="3213014E"/>
    <w:rsid w:val="351C3035"/>
    <w:rsid w:val="38F31873"/>
    <w:rsid w:val="3E024D70"/>
    <w:rsid w:val="4CB86415"/>
    <w:rsid w:val="5CD32DF8"/>
    <w:rsid w:val="61750921"/>
    <w:rsid w:val="68F27327"/>
    <w:rsid w:val="6AEF5059"/>
    <w:rsid w:val="76032941"/>
    <w:rsid w:val="7DC048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qFormat/>
    <w:uiPriority w:val="22"/>
    <w:rPr>
      <w:b/>
      <w:bCs/>
    </w:rPr>
  </w:style>
  <w:style w:type="character" w:customStyle="1" w:styleId="10">
    <w:name w:val="标题 3 Char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1">
    <w:name w:val="批注框文本 Char"/>
    <w:link w:val="3"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link w:val="4"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">
    <w:name w:val="页眉 Char"/>
    <w:link w:val="5"/>
    <w:uiPriority w:val="0"/>
    <w:rPr>
      <w:rFonts w:ascii="Calibri" w:hAnsi="Calibri" w:eastAsia="宋体" w:cs="Times New Roman"/>
      <w:sz w:val="18"/>
      <w:szCs w:val="18"/>
    </w:rPr>
  </w:style>
  <w:style w:type="paragraph" w:customStyle="1" w:styleId="14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743</Words>
  <Characters>4241</Characters>
  <Lines>35</Lines>
  <Paragraphs>9</Paragraphs>
  <TotalTime>8</TotalTime>
  <ScaleCrop>false</ScaleCrop>
  <LinksUpToDate>false</LinksUpToDate>
  <CharactersWithSpaces>4975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2022-08-18T08:07:00Z</dcterms:created>
  <dc:creator>lj</dc:creator>
  <cp:lastModifiedBy>叫我啦啦啦</cp:lastModifiedBy>
  <dcterms:modified xsi:type="dcterms:W3CDTF">2024-05-06T11:11:58Z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A5586794EB0A431EAC42C31156F464F3_13</vt:lpwstr>
  </property>
</Properties>
</file>