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>
        <w:rPr>
          <w:rFonts w:hint="eastAsia" w:ascii="Times New Roman" w:hAnsi="Times New Roman" w:cs="Times New Roman"/>
        </w:rPr>
        <w:t xml:space="preserve">able </w:t>
      </w:r>
      <w:r>
        <w:rPr>
          <w:rFonts w:ascii="Times New Roman" w:hAnsi="Times New Roman" w:cs="Times New Roman"/>
        </w:rPr>
        <w:t>1.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</w:rPr>
        <w:t>MIKE SHE/MIKE 11 model calibration period and validation period model performance</w:t>
      </w:r>
    </w:p>
    <w:p>
      <w:pPr>
        <w:rPr>
          <w:rFonts w:ascii="Times New Roman" w:hAnsi="Times New Roman" w:cs="Times New Roman"/>
        </w:rPr>
      </w:pPr>
    </w:p>
    <w:tbl>
      <w:tblPr>
        <w:tblStyle w:val="7"/>
        <w:tblW w:w="8519" w:type="dxa"/>
        <w:jc w:val="center"/>
        <w:tblBorders>
          <w:top w:val="single" w:color="auto" w:sz="12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1114"/>
        <w:gridCol w:w="1138"/>
        <w:gridCol w:w="683"/>
        <w:gridCol w:w="658"/>
        <w:gridCol w:w="1056"/>
        <w:gridCol w:w="1138"/>
        <w:gridCol w:w="662"/>
        <w:gridCol w:w="662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40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vertAlign w:val="baseline"/>
                <w:lang w:val="en-US" w:eastAsia="zh-CN"/>
              </w:rPr>
              <w:t>Hydrological stations</w:t>
            </w:r>
          </w:p>
        </w:tc>
        <w:tc>
          <w:tcPr>
            <w:tcW w:w="3593" w:type="dxa"/>
            <w:gridSpan w:val="4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vertAlign w:val="superscript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vertAlign w:val="baseline"/>
                <w:lang w:val="en-US" w:eastAsia="zh-CN"/>
              </w:rPr>
              <w:t>Calibration period</w:t>
            </w:r>
          </w:p>
        </w:tc>
        <w:tc>
          <w:tcPr>
            <w:tcW w:w="3518" w:type="dxa"/>
            <w:gridSpan w:val="4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Times New Roman" w:hAnsi="Times New Roman" w:eastAsia="宋体" w:cs="Times New Roman"/>
                <w:i/>
                <w:i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vertAlign w:val="baseline"/>
                <w:lang w:val="en-US" w:eastAsia="zh-CN"/>
              </w:rPr>
              <w:t>Validation period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1408" w:type="dxa"/>
            <w:vMerge w:val="continue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114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vertAlign w:val="baseline"/>
                <w:lang w:val="en-US" w:eastAsia="zh-CN"/>
              </w:rPr>
              <w:t>Measured</w:t>
            </w:r>
          </w:p>
        </w:tc>
        <w:tc>
          <w:tcPr>
            <w:tcW w:w="113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vertAlign w:val="baseline"/>
                <w:lang w:val="en-US" w:eastAsia="zh-CN"/>
              </w:rPr>
              <w:t>Simulation</w:t>
            </w:r>
          </w:p>
        </w:tc>
        <w:tc>
          <w:tcPr>
            <w:tcW w:w="683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vertAlign w:val="baseline"/>
                <w:lang w:val="en-US" w:eastAsia="zh-CN"/>
              </w:rPr>
              <w:t>NSE</w:t>
            </w:r>
          </w:p>
        </w:tc>
        <w:tc>
          <w:tcPr>
            <w:tcW w:w="65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vertAlign w:val="baseline"/>
                <w:lang w:val="en-US" w:eastAsia="zh-CN"/>
              </w:rPr>
              <w:t>F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vertAlign w:val="subscript"/>
                <w:lang w:val="en-US" w:eastAsia="zh-CN"/>
              </w:rPr>
              <w:t>Bal</w:t>
            </w:r>
          </w:p>
        </w:tc>
        <w:tc>
          <w:tcPr>
            <w:tcW w:w="1056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Measured</w:t>
            </w:r>
          </w:p>
        </w:tc>
        <w:tc>
          <w:tcPr>
            <w:tcW w:w="113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Simulation</w:t>
            </w:r>
          </w:p>
        </w:tc>
        <w:tc>
          <w:tcPr>
            <w:tcW w:w="662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vertAlign w:val="baseline"/>
                <w:lang w:val="en-US" w:eastAsia="zh-CN"/>
              </w:rPr>
              <w:t>NSE</w:t>
            </w:r>
          </w:p>
        </w:tc>
        <w:tc>
          <w:tcPr>
            <w:tcW w:w="662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vertAlign w:val="baseline"/>
                <w:lang w:val="en-US" w:eastAsia="zh-CN"/>
              </w:rPr>
              <w:t>F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vertAlign w:val="subscript"/>
                <w:lang w:val="en-US" w:eastAsia="zh-CN"/>
              </w:rPr>
              <w:t>Bal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8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</w:rPr>
              <w:t>Bridge Station</w:t>
            </w:r>
          </w:p>
        </w:tc>
        <w:tc>
          <w:tcPr>
            <w:tcW w:w="1114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728.55</w:t>
            </w:r>
          </w:p>
        </w:tc>
        <w:tc>
          <w:tcPr>
            <w:tcW w:w="1138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739.92</w:t>
            </w:r>
          </w:p>
        </w:tc>
        <w:tc>
          <w:tcPr>
            <w:tcW w:w="683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0.845</w:t>
            </w:r>
          </w:p>
        </w:tc>
        <w:tc>
          <w:tcPr>
            <w:tcW w:w="658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0.135</w:t>
            </w:r>
          </w:p>
        </w:tc>
        <w:tc>
          <w:tcPr>
            <w:tcW w:w="105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529.61</w:t>
            </w:r>
          </w:p>
        </w:tc>
        <w:tc>
          <w:tcPr>
            <w:tcW w:w="1138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531.57</w:t>
            </w:r>
          </w:p>
        </w:tc>
        <w:tc>
          <w:tcPr>
            <w:tcW w:w="662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0.808</w:t>
            </w:r>
          </w:p>
        </w:tc>
        <w:tc>
          <w:tcPr>
            <w:tcW w:w="662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0.359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</w:rPr>
              <w:t>Dalai Station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655.90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651.64</w:t>
            </w:r>
          </w:p>
        </w:tc>
        <w:tc>
          <w:tcPr>
            <w:tcW w:w="6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0.836</w:t>
            </w:r>
          </w:p>
        </w:tc>
        <w:tc>
          <w:tcPr>
            <w:tcW w:w="6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0.2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488.46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479.50</w:t>
            </w:r>
          </w:p>
        </w:tc>
        <w:tc>
          <w:tcPr>
            <w:tcW w:w="6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0.815</w:t>
            </w:r>
          </w:p>
        </w:tc>
        <w:tc>
          <w:tcPr>
            <w:tcW w:w="6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0.456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</w:rPr>
              <w:t>Fuyu Station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636.78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644.77</w:t>
            </w:r>
          </w:p>
        </w:tc>
        <w:tc>
          <w:tcPr>
            <w:tcW w:w="6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0.812</w:t>
            </w:r>
          </w:p>
        </w:tc>
        <w:tc>
          <w:tcPr>
            <w:tcW w:w="6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0.15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531.47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538.76</w:t>
            </w:r>
          </w:p>
        </w:tc>
        <w:tc>
          <w:tcPr>
            <w:tcW w:w="6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0.806</w:t>
            </w:r>
          </w:p>
        </w:tc>
        <w:tc>
          <w:tcPr>
            <w:tcW w:w="6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0.364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</w:rPr>
              <w:t>Harbin Station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1222.32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1240.26</w:t>
            </w:r>
          </w:p>
        </w:tc>
        <w:tc>
          <w:tcPr>
            <w:tcW w:w="6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0.876</w:t>
            </w:r>
          </w:p>
        </w:tc>
        <w:tc>
          <w:tcPr>
            <w:tcW w:w="6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0.23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1048.57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1045.11</w:t>
            </w:r>
          </w:p>
        </w:tc>
        <w:tc>
          <w:tcPr>
            <w:tcW w:w="6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0.786</w:t>
            </w:r>
          </w:p>
        </w:tc>
        <w:tc>
          <w:tcPr>
            <w:tcW w:w="6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0.653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</w:rPr>
              <w:t>Yi'an Station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130.46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127.52</w:t>
            </w:r>
          </w:p>
        </w:tc>
        <w:tc>
          <w:tcPr>
            <w:tcW w:w="6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0.803</w:t>
            </w:r>
          </w:p>
        </w:tc>
        <w:tc>
          <w:tcPr>
            <w:tcW w:w="6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3.685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102.32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96.47</w:t>
            </w:r>
          </w:p>
        </w:tc>
        <w:tc>
          <w:tcPr>
            <w:tcW w:w="6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0.716</w:t>
            </w:r>
          </w:p>
        </w:tc>
        <w:tc>
          <w:tcPr>
            <w:tcW w:w="6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5.569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</w:rPr>
              <w:t>Beian Station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78.16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80.04</w:t>
            </w:r>
          </w:p>
        </w:tc>
        <w:tc>
          <w:tcPr>
            <w:tcW w:w="6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0.758</w:t>
            </w:r>
          </w:p>
        </w:tc>
        <w:tc>
          <w:tcPr>
            <w:tcW w:w="6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4.358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38.80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42.80</w:t>
            </w:r>
          </w:p>
        </w:tc>
        <w:tc>
          <w:tcPr>
            <w:tcW w:w="6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0.623</w:t>
            </w:r>
          </w:p>
        </w:tc>
        <w:tc>
          <w:tcPr>
            <w:tcW w:w="6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7.368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Average value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575.36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580.69</w:t>
            </w:r>
          </w:p>
        </w:tc>
        <w:tc>
          <w:tcPr>
            <w:tcW w:w="6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0.822</w:t>
            </w:r>
          </w:p>
        </w:tc>
        <w:tc>
          <w:tcPr>
            <w:tcW w:w="6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1.460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456.54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455.70</w:t>
            </w:r>
          </w:p>
        </w:tc>
        <w:tc>
          <w:tcPr>
            <w:tcW w:w="6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0.759</w:t>
            </w:r>
          </w:p>
        </w:tc>
        <w:tc>
          <w:tcPr>
            <w:tcW w:w="6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2.462</w:t>
            </w:r>
          </w:p>
        </w:tc>
      </w:tr>
    </w:tbl>
    <w:p/>
    <w:p/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>
        <w:rPr>
          <w:rFonts w:hint="eastAsia" w:ascii="Times New Roman" w:hAnsi="Times New Roman" w:cs="Times New Roman"/>
        </w:rPr>
        <w:t xml:space="preserve">able </w:t>
      </w:r>
      <w:r>
        <w:rPr>
          <w:rFonts w:hint="eastAsia" w:ascii="Times New Roman" w:hAnsi="Times New Roman" w:cs="Times New Roman"/>
          <w:lang w:val="en-US" w:eastAsia="zh-CN"/>
        </w:rPr>
        <w:t>2</w:t>
      </w:r>
      <w:r>
        <w:rPr>
          <w:rFonts w:ascii="Times New Roman" w:hAnsi="Times New Roman" w:cs="Times New Roman"/>
        </w:rPr>
        <w:t>.</w:t>
      </w:r>
      <w:r>
        <w:rPr>
          <w:rFonts w:hint="eastAsia" w:ascii="Times New Roman" w:hAnsi="Times New Roman" w:cs="Times New Roman"/>
        </w:rPr>
        <w:t xml:space="preserve"> The impact of climate change and human activities on runoff depth</w:t>
      </w:r>
    </w:p>
    <w:p>
      <w:pPr>
        <w:rPr>
          <w:rFonts w:ascii="Times New Roman" w:hAnsi="Times New Roman" w:cs="Times New Roman"/>
        </w:rPr>
      </w:pPr>
    </w:p>
    <w:tbl>
      <w:tblPr>
        <w:tblStyle w:val="7"/>
        <w:tblW w:w="82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1520"/>
        <w:gridCol w:w="1050"/>
        <w:gridCol w:w="1030"/>
        <w:gridCol w:w="960"/>
        <w:gridCol w:w="986"/>
        <w:gridCol w:w="1078"/>
        <w:gridCol w:w="9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6" w:type="dxa"/>
            <w:vMerge w:val="restart"/>
            <w:tcBorders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0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520" w:type="dxa"/>
            <w:vMerge w:val="restart"/>
            <w:tcBorders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64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Time</w:t>
            </w:r>
          </w:p>
        </w:tc>
        <w:tc>
          <w:tcPr>
            <w:tcW w:w="1050" w:type="dxa"/>
            <w:vMerge w:val="restart"/>
            <w:tcBorders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64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Average value</w:t>
            </w:r>
          </w:p>
        </w:tc>
        <w:tc>
          <w:tcPr>
            <w:tcW w:w="1030" w:type="dxa"/>
            <w:vMerge w:val="restart"/>
            <w:tcBorders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64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Total change</w:t>
            </w:r>
          </w:p>
        </w:tc>
        <w:tc>
          <w:tcPr>
            <w:tcW w:w="1946" w:type="dxa"/>
            <w:gridSpan w:val="2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64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Impact of human activities</w:t>
            </w:r>
          </w:p>
        </w:tc>
        <w:tc>
          <w:tcPr>
            <w:tcW w:w="1980" w:type="dxa"/>
            <w:gridSpan w:val="2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64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Impact of climate change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6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0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520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64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050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64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30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6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64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Amount of change</w:t>
            </w:r>
          </w:p>
        </w:tc>
        <w:tc>
          <w:tcPr>
            <w:tcW w:w="98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64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Contribution rate</w:t>
            </w:r>
          </w:p>
        </w:tc>
        <w:tc>
          <w:tcPr>
            <w:tcW w:w="10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64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Amount of change</w:t>
            </w:r>
          </w:p>
        </w:tc>
        <w:tc>
          <w:tcPr>
            <w:tcW w:w="9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64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Contribution rate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6" w:type="dxa"/>
            <w:vMerge w:val="restart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runoff depth </w:t>
            </w:r>
          </w:p>
        </w:tc>
        <w:tc>
          <w:tcPr>
            <w:tcW w:w="152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Base period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48.11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mm</w:t>
            </w:r>
          </w:p>
        </w:tc>
        <w:tc>
          <w:tcPr>
            <w:tcW w:w="103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6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Impact period 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29.04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mm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-19.07 mm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-3.18 mm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16.68 %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-15.89 mm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83.31 %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6" w:type="dxa"/>
            <w:vMerge w:val="continue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Impact period 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52.86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mm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7.49 mm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-5.24 mm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29.16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 %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12.73 mm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70.84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 %</w:t>
            </w:r>
          </w:p>
        </w:tc>
      </w:tr>
    </w:tbl>
    <w:p/>
    <w:p>
      <w:r>
        <w:br w:type="page"/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>
        <w:rPr>
          <w:rFonts w:hint="eastAsia" w:ascii="Times New Roman" w:hAnsi="Times New Roman" w:cs="Times New Roman"/>
        </w:rPr>
        <w:t xml:space="preserve">able 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ascii="Times New Roman" w:hAnsi="Times New Roman" w:cs="Times New Roman"/>
        </w:rPr>
        <w:t>.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</w:rPr>
        <w:t>Regression coefficients of different land use changes on runoff depth</w:t>
      </w:r>
    </w:p>
    <w:p>
      <w:pPr>
        <w:rPr>
          <w:rFonts w:ascii="Times New Roman" w:hAnsi="Times New Roman" w:cs="Times New Roman"/>
        </w:rPr>
      </w:pPr>
    </w:p>
    <w:tbl>
      <w:tblPr>
        <w:tblStyle w:val="7"/>
        <w:tblW w:w="84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830"/>
        <w:gridCol w:w="709"/>
        <w:gridCol w:w="1009"/>
        <w:gridCol w:w="918"/>
        <w:gridCol w:w="1527"/>
        <w:gridCol w:w="1135"/>
        <w:gridCol w:w="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45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0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Type of land use</w:t>
            </w:r>
          </w:p>
        </w:tc>
        <w:tc>
          <w:tcPr>
            <w:tcW w:w="830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0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Dryland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0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Paddy</w:t>
            </w:r>
          </w:p>
        </w:tc>
        <w:tc>
          <w:tcPr>
            <w:tcW w:w="1009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0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Woodland</w:t>
            </w:r>
          </w:p>
        </w:tc>
        <w:tc>
          <w:tcPr>
            <w:tcW w:w="918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0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Wetlands</w:t>
            </w:r>
          </w:p>
        </w:tc>
        <w:tc>
          <w:tcPr>
            <w:tcW w:w="1527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0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Construction land</w:t>
            </w:r>
          </w:p>
        </w:tc>
        <w:tc>
          <w:tcPr>
            <w:tcW w:w="1135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0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Unused land</w:t>
            </w:r>
          </w:p>
        </w:tc>
        <w:tc>
          <w:tcPr>
            <w:tcW w:w="760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0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R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superscript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Regression coefficient（10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superscript"/>
                <w:lang w:val="en-US" w:eastAsia="zh-CN"/>
              </w:rPr>
              <w:t>-1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）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1.14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-6.46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-3.07</w:t>
            </w:r>
          </w:p>
        </w:tc>
        <w:tc>
          <w:tcPr>
            <w:tcW w:w="9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-9.49</w:t>
            </w:r>
          </w:p>
        </w:tc>
        <w:tc>
          <w:tcPr>
            <w:tcW w:w="15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6.21</w:t>
            </w:r>
          </w:p>
        </w:tc>
        <w:tc>
          <w:tcPr>
            <w:tcW w:w="113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2.45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0.908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U0YjQwMTg0NDc1ZDMzYWFkNjI3MTg4MDU2MDljYjIifQ=="/>
  </w:docVars>
  <w:rsids>
    <w:rsidRoot w:val="00696653"/>
    <w:rsid w:val="00167911"/>
    <w:rsid w:val="001906F0"/>
    <w:rsid w:val="00696653"/>
    <w:rsid w:val="006E7FFD"/>
    <w:rsid w:val="00843977"/>
    <w:rsid w:val="008F2C60"/>
    <w:rsid w:val="01227D26"/>
    <w:rsid w:val="017E0CD4"/>
    <w:rsid w:val="10AC13BA"/>
    <w:rsid w:val="16EA49EA"/>
    <w:rsid w:val="31C15469"/>
    <w:rsid w:val="358856A2"/>
    <w:rsid w:val="5CF214D0"/>
    <w:rsid w:val="602120CC"/>
    <w:rsid w:val="63442776"/>
    <w:rsid w:val="70A66DF7"/>
    <w:rsid w:val="77E2133C"/>
    <w:rsid w:val="7E7E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autoRedefine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5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autoRedefine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autoRedefine/>
    <w:qFormat/>
    <w:uiPriority w:val="99"/>
    <w:rPr>
      <w:sz w:val="18"/>
      <w:szCs w:val="18"/>
    </w:rPr>
  </w:style>
  <w:style w:type="paragraph" w:styleId="12">
    <w:name w:val="List Paragraph"/>
    <w:basedOn w:val="1"/>
    <w:autoRedefine/>
    <w:qFormat/>
    <w:uiPriority w:val="34"/>
    <w:pPr>
      <w:widowControl/>
      <w:spacing w:after="200"/>
      <w:ind w:firstLine="420" w:firstLineChars="200"/>
    </w:pPr>
    <w:rPr>
      <w:rFonts w:ascii="Times" w:hAnsi="Times" w:eastAsia="宋体" w:cs="Times New Roman"/>
      <w:kern w:val="0"/>
      <w:sz w:val="24"/>
      <w:szCs w:val="20"/>
      <w:lang w:eastAsia="en-US"/>
    </w:rPr>
  </w:style>
  <w:style w:type="table" w:customStyle="1" w:styleId="13">
    <w:name w:val="网格型3"/>
    <w:basedOn w:val="6"/>
    <w:autoRedefine/>
    <w:qFormat/>
    <w:uiPriority w:val="3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批注文字 字符"/>
    <w:basedOn w:val="8"/>
    <w:link w:val="2"/>
    <w:autoRedefine/>
    <w:semiHidden/>
    <w:qFormat/>
    <w:uiPriority w:val="99"/>
  </w:style>
  <w:style w:type="character" w:customStyle="1" w:styleId="15">
    <w:name w:val="批注框文本 字符"/>
    <w:basedOn w:val="8"/>
    <w:link w:val="3"/>
    <w:autoRedefine/>
    <w:semiHidden/>
    <w:qFormat/>
    <w:uiPriority w:val="99"/>
    <w:rPr>
      <w:sz w:val="18"/>
      <w:szCs w:val="18"/>
    </w:rPr>
  </w:style>
  <w:style w:type="paragraph" w:customStyle="1" w:styleId="16">
    <w:name w:val="P68B1DB1-Normal6"/>
    <w:basedOn w:val="1"/>
    <w:autoRedefine/>
    <w:qFormat/>
    <w:uiPriority w:val="0"/>
    <w:rPr>
      <w:rFonts w:hint="eastAsia"/>
      <w:sz w:val="18"/>
    </w:rPr>
  </w:style>
  <w:style w:type="paragraph" w:customStyle="1" w:styleId="17">
    <w:name w:val="P68B1DB1-Normal7"/>
    <w:basedOn w:val="1"/>
    <w:autoRedefine/>
    <w:qFormat/>
    <w:uiPriority w:val="0"/>
    <w:rPr>
      <w:sz w:val="18"/>
    </w:rPr>
  </w:style>
  <w:style w:type="paragraph" w:customStyle="1" w:styleId="18">
    <w:name w:val="P68B1DB1-Normal8"/>
    <w:basedOn w:val="1"/>
    <w:autoRedefine/>
    <w:qFormat/>
    <w:uiPriority w:val="0"/>
    <w:rPr>
      <w:rFonts w:hint="eastAsia"/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240</Words>
  <Characters>1374</Characters>
  <Lines>11</Lines>
  <Paragraphs>3</Paragraphs>
  <TotalTime>0</TotalTime>
  <ScaleCrop>false</ScaleCrop>
  <LinksUpToDate>false</LinksUpToDate>
  <CharactersWithSpaces>1611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2022-07-06T07:11:00Z</dcterms:created>
  <dc:creator>1710040@tongji.edu.cn</dc:creator>
  <cp:lastModifiedBy>Lu Zhong</cp:lastModifiedBy>
  <dcterms:modified xsi:type="dcterms:W3CDTF">2024-05-07T00:56:13Z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4B003B36620C4D2B847C07C34DC533EF_13</vt:lpwstr>
  </property>
</Properties>
</file>