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14B94D" w14:textId="3DC88AB7" w:rsidR="00932215" w:rsidRPr="000B5D6B" w:rsidRDefault="002453E8" w:rsidP="00B37029">
      <w:pPr>
        <w:spacing w:line="360" w:lineRule="auto"/>
        <w:jc w:val="center"/>
        <w:rPr>
          <w:rFonts w:ascii="Times New Roman" w:hAnsi="Times New Roman" w:cs="Times New Roman"/>
          <w:b/>
          <w:bCs/>
          <w:sz w:val="24"/>
          <w:szCs w:val="24"/>
          <w:lang w:val="en-US"/>
        </w:rPr>
      </w:pPr>
      <w:r w:rsidRPr="000B5D6B">
        <w:rPr>
          <w:rFonts w:ascii="Times New Roman" w:hAnsi="Times New Roman" w:cs="Times New Roman"/>
          <w:b/>
          <w:bCs/>
          <w:sz w:val="24"/>
          <w:szCs w:val="24"/>
          <w:lang w:val="en-US"/>
        </w:rPr>
        <w:t xml:space="preserve">Supplementary Data provided by </w:t>
      </w:r>
      <w:proofErr w:type="gramStart"/>
      <w:r w:rsidR="006B6A5B" w:rsidRPr="000B5D6B">
        <w:rPr>
          <w:rFonts w:ascii="Times New Roman" w:hAnsi="Times New Roman" w:cs="Times New Roman"/>
          <w:b/>
          <w:bCs/>
          <w:sz w:val="24"/>
          <w:szCs w:val="24"/>
          <w:lang w:val="en-US"/>
        </w:rPr>
        <w:t>Authors</w:t>
      </w:r>
      <w:proofErr w:type="gramEnd"/>
    </w:p>
    <w:p w14:paraId="57173D2D" w14:textId="734379D9" w:rsidR="002453E8" w:rsidRPr="000B5D6B" w:rsidRDefault="002453E8" w:rsidP="004531F7">
      <w:pPr>
        <w:spacing w:line="360" w:lineRule="auto"/>
        <w:jc w:val="center"/>
        <w:rPr>
          <w:rFonts w:ascii="Times New Roman" w:hAnsi="Times New Roman" w:cs="Times New Roman"/>
          <w:b/>
          <w:bCs/>
          <w:sz w:val="24"/>
          <w:szCs w:val="24"/>
        </w:rPr>
      </w:pPr>
      <w:r w:rsidRPr="000B5D6B">
        <w:rPr>
          <w:rFonts w:ascii="Times New Roman" w:hAnsi="Times New Roman" w:cs="Times New Roman"/>
          <w:b/>
          <w:bCs/>
          <w:sz w:val="24"/>
          <w:szCs w:val="24"/>
        </w:rPr>
        <w:t>Data Sources</w:t>
      </w:r>
    </w:p>
    <w:p w14:paraId="3192C7DB" w14:textId="639F6310" w:rsidR="002453E8" w:rsidRPr="000B5D6B" w:rsidRDefault="002453E8"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u w:val="single"/>
        </w:rPr>
        <w:t>Nova Scotia Trauma Registry (NSTR):</w:t>
      </w:r>
      <w:r w:rsidRPr="000B5D6B">
        <w:rPr>
          <w:rFonts w:ascii="Times New Roman" w:hAnsi="Times New Roman" w:cs="Times New Roman"/>
          <w:sz w:val="24"/>
          <w:szCs w:val="24"/>
        </w:rPr>
        <w:t xml:space="preserve"> The TBI cohort was obtained from the NSTR, a comprehensive, provincial, population-based trauma registry managed by the Nova Scotia Department of Health &amp; Wellness. NSTR is an extensive database that captures demographic and clinical data on all major trauma cases requiring hospitalization in the province. Controls were obtained from the insured patient registry. </w:t>
      </w:r>
    </w:p>
    <w:p w14:paraId="6709F499" w14:textId="562712AD" w:rsidR="002453E8" w:rsidRPr="000B5D6B" w:rsidRDefault="002453E8"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u w:val="single"/>
        </w:rPr>
        <w:t>Canadian Institute of Health Information-</w:t>
      </w:r>
      <w:r w:rsidRPr="000B5D6B">
        <w:rPr>
          <w:rFonts w:ascii="Times New Roman" w:hAnsi="Times New Roman" w:cs="Times New Roman"/>
          <w:b/>
          <w:bCs/>
          <w:sz w:val="24"/>
          <w:szCs w:val="24"/>
          <w:u w:val="single"/>
        </w:rPr>
        <w:t xml:space="preserve"> </w:t>
      </w:r>
      <w:r w:rsidRPr="000B5D6B">
        <w:rPr>
          <w:rFonts w:ascii="Times New Roman" w:hAnsi="Times New Roman" w:cs="Times New Roman"/>
          <w:sz w:val="24"/>
          <w:szCs w:val="24"/>
          <w:u w:val="single"/>
        </w:rPr>
        <w:t>Discharge Abstract Database (CIHI DAD):</w:t>
      </w:r>
      <w:r w:rsidRPr="000B5D6B">
        <w:rPr>
          <w:rFonts w:ascii="Times New Roman" w:hAnsi="Times New Roman" w:cs="Times New Roman"/>
          <w:sz w:val="24"/>
          <w:szCs w:val="24"/>
        </w:rPr>
        <w:t xml:space="preserve"> CIHI DAD captures administrative, </w:t>
      </w:r>
      <w:proofErr w:type="gramStart"/>
      <w:r w:rsidRPr="000B5D6B">
        <w:rPr>
          <w:rFonts w:ascii="Times New Roman" w:hAnsi="Times New Roman" w:cs="Times New Roman"/>
          <w:sz w:val="24"/>
          <w:szCs w:val="24"/>
        </w:rPr>
        <w:t>clinical</w:t>
      </w:r>
      <w:proofErr w:type="gramEnd"/>
      <w:r w:rsidRPr="000B5D6B">
        <w:rPr>
          <w:rFonts w:ascii="Times New Roman" w:hAnsi="Times New Roman" w:cs="Times New Roman"/>
          <w:sz w:val="24"/>
          <w:szCs w:val="24"/>
        </w:rPr>
        <w:t xml:space="preserve"> and demographic information on hospital discharges (including deaths, sign-outs and transfers). </w:t>
      </w:r>
      <w:r w:rsidR="002B700F" w:rsidRPr="000B5D6B">
        <w:rPr>
          <w:rFonts w:ascii="Times New Roman" w:hAnsi="Times New Roman" w:cs="Times New Roman"/>
          <w:sz w:val="24"/>
          <w:szCs w:val="24"/>
        </w:rPr>
        <w:t xml:space="preserve">Psychiatric diagnoses were based on the </w:t>
      </w:r>
      <w:r w:rsidRPr="000B5D6B">
        <w:rPr>
          <w:rFonts w:ascii="Times New Roman" w:hAnsi="Times New Roman" w:cs="Times New Roman"/>
          <w:sz w:val="24"/>
          <w:szCs w:val="24"/>
        </w:rPr>
        <w:t>International Classification of Diseases, Tenth Revision (ICD-10) codes F05-98.</w:t>
      </w:r>
    </w:p>
    <w:p w14:paraId="03F97BD6" w14:textId="02EBCF5D" w:rsidR="002453E8" w:rsidRPr="000B5D6B" w:rsidRDefault="002453E8"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u w:val="single"/>
        </w:rPr>
        <w:t>MSI Physician Billing (MED):</w:t>
      </w:r>
      <w:r w:rsidRPr="000B5D6B">
        <w:rPr>
          <w:rFonts w:ascii="Times New Roman" w:hAnsi="Times New Roman" w:cs="Times New Roman"/>
          <w:sz w:val="24"/>
          <w:szCs w:val="24"/>
        </w:rPr>
        <w:t xml:space="preserve"> MED records physician billing information. Each observation records the details of a service encounter between an individual and a provider. </w:t>
      </w:r>
      <w:r w:rsidR="002B700F" w:rsidRPr="000B5D6B">
        <w:rPr>
          <w:rFonts w:ascii="Times New Roman" w:hAnsi="Times New Roman" w:cs="Times New Roman"/>
          <w:sz w:val="24"/>
          <w:szCs w:val="24"/>
        </w:rPr>
        <w:t xml:space="preserve">Psychiatric diagnoses were based on the </w:t>
      </w:r>
      <w:r w:rsidRPr="000B5D6B">
        <w:rPr>
          <w:rFonts w:ascii="Times New Roman" w:hAnsi="Times New Roman" w:cs="Times New Roman"/>
          <w:sz w:val="24"/>
          <w:szCs w:val="24"/>
        </w:rPr>
        <w:t>International Classification of Diseases, Ninth Revision (ICD-9) codes 210-319.</w:t>
      </w:r>
    </w:p>
    <w:p w14:paraId="15106396" w14:textId="1F52E99F" w:rsidR="002453E8" w:rsidRPr="000B5D6B" w:rsidRDefault="002453E8"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u w:val="single"/>
        </w:rPr>
        <w:t>National Ambulatory Care Reporting System (NACRS):</w:t>
      </w:r>
      <w:r w:rsidRPr="000B5D6B">
        <w:rPr>
          <w:rFonts w:ascii="Times New Roman" w:hAnsi="Times New Roman" w:cs="Times New Roman"/>
          <w:sz w:val="24"/>
          <w:szCs w:val="24"/>
        </w:rPr>
        <w:t xml:space="preserve"> NACRS contains data for all hospital-based and community-based ambulatory care</w:t>
      </w:r>
      <w:r w:rsidR="009F4612" w:rsidRPr="000B5D6B">
        <w:rPr>
          <w:rFonts w:ascii="Times New Roman" w:hAnsi="Times New Roman" w:cs="Times New Roman"/>
          <w:sz w:val="24"/>
          <w:szCs w:val="24"/>
        </w:rPr>
        <w:t xml:space="preserve">. </w:t>
      </w:r>
      <w:r w:rsidR="002B700F" w:rsidRPr="000B5D6B">
        <w:rPr>
          <w:rFonts w:ascii="Times New Roman" w:hAnsi="Times New Roman" w:cs="Times New Roman"/>
          <w:sz w:val="24"/>
          <w:szCs w:val="24"/>
        </w:rPr>
        <w:t>Psychiatric diagnoses were based on ICD-10 codes F05-98.</w:t>
      </w:r>
    </w:p>
    <w:p w14:paraId="212FD2EE" w14:textId="56549D10" w:rsidR="00044155" w:rsidRPr="000B5D6B" w:rsidRDefault="0071626F" w:rsidP="004531F7">
      <w:pPr>
        <w:spacing w:line="360" w:lineRule="auto"/>
        <w:jc w:val="center"/>
        <w:rPr>
          <w:rFonts w:ascii="Times New Roman" w:hAnsi="Times New Roman" w:cs="Times New Roman"/>
          <w:b/>
          <w:bCs/>
          <w:sz w:val="24"/>
          <w:szCs w:val="24"/>
        </w:rPr>
      </w:pPr>
      <w:r w:rsidRPr="000B5D6B">
        <w:rPr>
          <w:rFonts w:ascii="Times New Roman" w:hAnsi="Times New Roman" w:cs="Times New Roman"/>
          <w:b/>
          <w:bCs/>
          <w:sz w:val="24"/>
          <w:szCs w:val="24"/>
        </w:rPr>
        <w:t>Propensity Matched Analysis</w:t>
      </w:r>
    </w:p>
    <w:p w14:paraId="26605B27" w14:textId="53B9AEFE" w:rsidR="00C23D25" w:rsidRPr="000B5D6B" w:rsidRDefault="00C23D25" w:rsidP="00AA1C81">
      <w:pPr>
        <w:spacing w:line="360" w:lineRule="auto"/>
        <w:jc w:val="both"/>
        <w:rPr>
          <w:rFonts w:ascii="Times New Roman" w:hAnsi="Times New Roman" w:cs="Times New Roman"/>
          <w:b/>
          <w:bCs/>
          <w:sz w:val="24"/>
          <w:szCs w:val="24"/>
        </w:rPr>
      </w:pPr>
      <w:r w:rsidRPr="000B5D6B">
        <w:rPr>
          <w:rFonts w:ascii="Times New Roman" w:hAnsi="Times New Roman" w:cs="Times New Roman"/>
          <w:b/>
          <w:bCs/>
          <w:sz w:val="24"/>
          <w:szCs w:val="24"/>
        </w:rPr>
        <w:t>Objective:</w:t>
      </w:r>
      <w:r w:rsidR="005D6C98">
        <w:rPr>
          <w:rFonts w:ascii="Times New Roman" w:hAnsi="Times New Roman" w:cs="Times New Roman"/>
          <w:b/>
          <w:bCs/>
          <w:sz w:val="24"/>
          <w:szCs w:val="24"/>
        </w:rPr>
        <w:t xml:space="preserve"> </w:t>
      </w:r>
      <w:r w:rsidR="005D6C98" w:rsidRPr="005D6C98">
        <w:rPr>
          <w:rFonts w:ascii="Times New Roman" w:hAnsi="Times New Roman" w:cs="Times New Roman"/>
          <w:sz w:val="24"/>
          <w:szCs w:val="24"/>
        </w:rPr>
        <w:t>To determine the effect of TBI on the development of NPDs</w:t>
      </w:r>
      <w:r w:rsidR="005D6C98">
        <w:rPr>
          <w:rFonts w:ascii="Times New Roman" w:hAnsi="Times New Roman" w:cs="Times New Roman"/>
          <w:b/>
          <w:bCs/>
          <w:sz w:val="24"/>
          <w:szCs w:val="24"/>
        </w:rPr>
        <w:t>.</w:t>
      </w:r>
    </w:p>
    <w:p w14:paraId="1F8583A6" w14:textId="0C144063" w:rsidR="00675DE2" w:rsidRPr="000B5D6B" w:rsidRDefault="00C23D25" w:rsidP="00675DE2">
      <w:pPr>
        <w:spacing w:line="360" w:lineRule="auto"/>
        <w:jc w:val="both"/>
        <w:rPr>
          <w:rFonts w:ascii="Times New Roman" w:hAnsi="Times New Roman" w:cs="Times New Roman"/>
          <w:sz w:val="24"/>
          <w:szCs w:val="24"/>
        </w:rPr>
      </w:pPr>
      <w:r w:rsidRPr="000B5D6B">
        <w:rPr>
          <w:rFonts w:ascii="Times New Roman" w:hAnsi="Times New Roman" w:cs="Times New Roman"/>
          <w:b/>
          <w:bCs/>
          <w:sz w:val="24"/>
          <w:szCs w:val="24"/>
        </w:rPr>
        <w:t>Data elements:</w:t>
      </w:r>
      <w:r w:rsidR="005D6C98">
        <w:rPr>
          <w:rFonts w:ascii="Times New Roman" w:hAnsi="Times New Roman" w:cs="Times New Roman"/>
          <w:b/>
          <w:bCs/>
          <w:sz w:val="24"/>
          <w:szCs w:val="24"/>
        </w:rPr>
        <w:t xml:space="preserve"> </w:t>
      </w:r>
      <w:r w:rsidR="00AB3E66" w:rsidRPr="000B5D6B">
        <w:rPr>
          <w:rFonts w:ascii="Times New Roman" w:hAnsi="Times New Roman" w:cs="Times New Roman"/>
          <w:sz w:val="24"/>
          <w:szCs w:val="24"/>
        </w:rPr>
        <w:t>Age (± 2 years) at index date</w:t>
      </w:r>
      <w:r w:rsidR="000B5D6B">
        <w:rPr>
          <w:rFonts w:ascii="Times New Roman" w:hAnsi="Times New Roman" w:cs="Times New Roman"/>
          <w:sz w:val="24"/>
          <w:szCs w:val="24"/>
        </w:rPr>
        <w:t xml:space="preserve">, </w:t>
      </w:r>
      <w:r w:rsidR="00295FE1">
        <w:rPr>
          <w:rFonts w:ascii="Times New Roman" w:hAnsi="Times New Roman" w:cs="Times New Roman"/>
          <w:sz w:val="24"/>
          <w:szCs w:val="24"/>
        </w:rPr>
        <w:t>s</w:t>
      </w:r>
      <w:r w:rsidR="00295FE1" w:rsidRPr="000B5D6B">
        <w:rPr>
          <w:rFonts w:ascii="Times New Roman" w:hAnsi="Times New Roman" w:cs="Times New Roman"/>
          <w:sz w:val="24"/>
          <w:szCs w:val="24"/>
        </w:rPr>
        <w:t>ex</w:t>
      </w:r>
      <w:r w:rsidR="00295FE1">
        <w:rPr>
          <w:rFonts w:ascii="Times New Roman" w:hAnsi="Times New Roman" w:cs="Times New Roman"/>
          <w:sz w:val="24"/>
          <w:szCs w:val="24"/>
        </w:rPr>
        <w:t xml:space="preserve">, </w:t>
      </w:r>
      <w:r w:rsidR="00295FE1" w:rsidRPr="000B5D6B">
        <w:rPr>
          <w:rFonts w:ascii="Times New Roman" w:hAnsi="Times New Roman" w:cs="Times New Roman"/>
          <w:sz w:val="24"/>
          <w:szCs w:val="24"/>
        </w:rPr>
        <w:t>Charlson</w:t>
      </w:r>
      <w:r w:rsidR="00AB3E66" w:rsidRPr="000B5D6B">
        <w:rPr>
          <w:rFonts w:ascii="Times New Roman" w:hAnsi="Times New Roman" w:cs="Times New Roman"/>
          <w:sz w:val="24"/>
          <w:szCs w:val="24"/>
        </w:rPr>
        <w:t xml:space="preserve"> Comorbidities Index (CCI) </w:t>
      </w:r>
      <w:r w:rsidR="00295FE1">
        <w:rPr>
          <w:rFonts w:ascii="Times New Roman" w:hAnsi="Times New Roman" w:cs="Times New Roman"/>
          <w:sz w:val="24"/>
          <w:szCs w:val="24"/>
        </w:rPr>
        <w:t>g</w:t>
      </w:r>
      <w:r w:rsidR="00AB3E66" w:rsidRPr="000B5D6B">
        <w:rPr>
          <w:rFonts w:ascii="Times New Roman" w:hAnsi="Times New Roman" w:cs="Times New Roman"/>
          <w:sz w:val="24"/>
          <w:szCs w:val="24"/>
        </w:rPr>
        <w:t>roup: no comorbidities (0), mild (1- 2), moderate (3-4), and severe (≥5), calculated in two years lookback from index date</w:t>
      </w:r>
      <w:r w:rsidR="000B5D6B">
        <w:rPr>
          <w:rFonts w:ascii="Times New Roman" w:hAnsi="Times New Roman" w:cs="Times New Roman"/>
          <w:sz w:val="24"/>
          <w:szCs w:val="24"/>
        </w:rPr>
        <w:t>, m</w:t>
      </w:r>
      <w:r w:rsidR="00AB3E66" w:rsidRPr="000B5D6B">
        <w:rPr>
          <w:rFonts w:ascii="Times New Roman" w:hAnsi="Times New Roman" w:cs="Times New Roman"/>
          <w:sz w:val="24"/>
          <w:szCs w:val="24"/>
        </w:rPr>
        <w:t>ental health diagnoses (ICD9:290-319, ICD10: F04-F99)</w:t>
      </w:r>
      <w:r w:rsidR="0075041C" w:rsidRPr="000B5D6B">
        <w:rPr>
          <w:rFonts w:ascii="Times New Roman" w:hAnsi="Times New Roman" w:cs="Times New Roman"/>
          <w:sz w:val="24"/>
          <w:szCs w:val="24"/>
        </w:rPr>
        <w:t xml:space="preserve"> categories.</w:t>
      </w:r>
      <w:r w:rsidR="00675DE2">
        <w:rPr>
          <w:rFonts w:ascii="Times New Roman" w:hAnsi="Times New Roman" w:cs="Times New Roman"/>
          <w:sz w:val="24"/>
          <w:szCs w:val="24"/>
        </w:rPr>
        <w:t xml:space="preserve"> </w:t>
      </w:r>
    </w:p>
    <w:p w14:paraId="1863699A" w14:textId="601836EB" w:rsidR="00AB3E66" w:rsidRDefault="00AB3E66" w:rsidP="00AA1C81">
      <w:pPr>
        <w:spacing w:line="360" w:lineRule="auto"/>
        <w:jc w:val="both"/>
        <w:rPr>
          <w:rFonts w:ascii="Times New Roman" w:hAnsi="Times New Roman" w:cs="Times New Roman"/>
          <w:sz w:val="24"/>
          <w:szCs w:val="24"/>
        </w:rPr>
      </w:pPr>
    </w:p>
    <w:p w14:paraId="60D4A5C1" w14:textId="77777777" w:rsidR="00A97AA9" w:rsidRDefault="00A97AA9" w:rsidP="00AA1C81">
      <w:pPr>
        <w:spacing w:line="360" w:lineRule="auto"/>
        <w:jc w:val="both"/>
        <w:rPr>
          <w:rFonts w:ascii="Times New Roman" w:hAnsi="Times New Roman" w:cs="Times New Roman"/>
          <w:sz w:val="24"/>
          <w:szCs w:val="24"/>
        </w:rPr>
      </w:pPr>
    </w:p>
    <w:p w14:paraId="4CC9FBA8" w14:textId="77777777" w:rsidR="00A97AA9" w:rsidRPr="000B5D6B" w:rsidRDefault="00A97AA9" w:rsidP="00AA1C81">
      <w:pPr>
        <w:spacing w:line="360" w:lineRule="auto"/>
        <w:jc w:val="both"/>
        <w:rPr>
          <w:rFonts w:ascii="Times New Roman" w:hAnsi="Times New Roman" w:cs="Times New Roman"/>
          <w:b/>
          <w:bCs/>
          <w:sz w:val="24"/>
          <w:szCs w:val="24"/>
        </w:rPr>
      </w:pPr>
    </w:p>
    <w:p w14:paraId="25FA269C" w14:textId="162F3515" w:rsidR="00C23D25" w:rsidRPr="000B5D6B" w:rsidRDefault="006E7447" w:rsidP="00AA1C81">
      <w:pPr>
        <w:spacing w:line="360" w:lineRule="auto"/>
        <w:jc w:val="both"/>
        <w:rPr>
          <w:rFonts w:ascii="Times New Roman" w:hAnsi="Times New Roman" w:cs="Times New Roman"/>
          <w:b/>
          <w:bCs/>
          <w:sz w:val="24"/>
          <w:szCs w:val="24"/>
        </w:rPr>
      </w:pPr>
      <w:r w:rsidRPr="000B5D6B">
        <w:rPr>
          <w:rFonts w:ascii="Times New Roman" w:hAnsi="Times New Roman" w:cs="Times New Roman"/>
          <w:b/>
          <w:bCs/>
          <w:sz w:val="24"/>
          <w:szCs w:val="24"/>
        </w:rPr>
        <w:t>Methodology</w:t>
      </w:r>
      <w:r w:rsidR="00C23D25" w:rsidRPr="000B5D6B">
        <w:rPr>
          <w:rFonts w:ascii="Times New Roman" w:hAnsi="Times New Roman" w:cs="Times New Roman"/>
          <w:b/>
          <w:bCs/>
          <w:sz w:val="24"/>
          <w:szCs w:val="24"/>
        </w:rPr>
        <w:t>:</w:t>
      </w:r>
    </w:p>
    <w:p w14:paraId="571F4B6F" w14:textId="5D595C95" w:rsidR="00C64CD6" w:rsidRPr="000B5D6B" w:rsidRDefault="00C64CD6"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u w:val="single"/>
        </w:rPr>
        <w:lastRenderedPageBreak/>
        <w:t>Dataset Creation:</w:t>
      </w:r>
      <w:r w:rsidRPr="000B5D6B">
        <w:rPr>
          <w:rFonts w:ascii="Times New Roman" w:hAnsi="Times New Roman" w:cs="Times New Roman"/>
          <w:sz w:val="24"/>
          <w:szCs w:val="24"/>
        </w:rPr>
        <w:t xml:space="preserve"> The study cohort include</w:t>
      </w:r>
      <w:r w:rsidR="000B5D6B">
        <w:rPr>
          <w:rFonts w:ascii="Times New Roman" w:hAnsi="Times New Roman" w:cs="Times New Roman"/>
          <w:sz w:val="24"/>
          <w:szCs w:val="24"/>
        </w:rPr>
        <w:t>d</w:t>
      </w:r>
      <w:r w:rsidRPr="000B5D6B">
        <w:rPr>
          <w:rFonts w:ascii="Times New Roman" w:hAnsi="Times New Roman" w:cs="Times New Roman"/>
          <w:sz w:val="24"/>
          <w:szCs w:val="24"/>
        </w:rPr>
        <w:t xml:space="preserve"> patients diagnosed with TBI and controls matched on age, sex, </w:t>
      </w:r>
      <w:proofErr w:type="gramStart"/>
      <w:r w:rsidRPr="000B5D6B">
        <w:rPr>
          <w:rFonts w:ascii="Times New Roman" w:hAnsi="Times New Roman" w:cs="Times New Roman"/>
          <w:sz w:val="24"/>
          <w:szCs w:val="24"/>
        </w:rPr>
        <w:t>past history</w:t>
      </w:r>
      <w:proofErr w:type="gramEnd"/>
      <w:r w:rsidRPr="000B5D6B">
        <w:rPr>
          <w:rFonts w:ascii="Times New Roman" w:hAnsi="Times New Roman" w:cs="Times New Roman"/>
          <w:sz w:val="24"/>
          <w:szCs w:val="24"/>
        </w:rPr>
        <w:t xml:space="preserve"> of mental health disorders and comorbidities.</w:t>
      </w:r>
      <w:r w:rsidR="009167FE">
        <w:rPr>
          <w:rFonts w:ascii="Times New Roman" w:hAnsi="Times New Roman" w:cs="Times New Roman"/>
          <w:sz w:val="24"/>
          <w:szCs w:val="24"/>
        </w:rPr>
        <w:t xml:space="preserve"> Medical comorbidities were derived from CIHI-DAD and physician billing diagnostic codes.</w:t>
      </w:r>
    </w:p>
    <w:p w14:paraId="5D0B5F27" w14:textId="52857F8E" w:rsidR="000B5D6B" w:rsidRDefault="00BE786D" w:rsidP="00AA1C81">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g">
            <w:drawing>
              <wp:inline distT="0" distB="0" distL="0" distR="0" wp14:anchorId="1BA667F3" wp14:editId="2F971821">
                <wp:extent cx="5168900" cy="1428750"/>
                <wp:effectExtent l="9525" t="0" r="3175" b="1270"/>
                <wp:docPr id="2040222325"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68900" cy="1428750"/>
                          <a:chOff x="2520" y="6168"/>
                          <a:chExt cx="6516" cy="1550"/>
                        </a:xfrm>
                      </wpg:grpSpPr>
                      <wps:wsp>
                        <wps:cNvPr id="1381567409" name="Line 40"/>
                        <wps:cNvCnPr>
                          <a:cxnSpLocks noChangeShapeType="1"/>
                        </wps:cNvCnPr>
                        <wps:spPr bwMode="auto">
                          <a:xfrm>
                            <a:off x="2520" y="6816"/>
                            <a:ext cx="6408" cy="0"/>
                          </a:xfrm>
                          <a:prstGeom prst="line">
                            <a:avLst/>
                          </a:prstGeom>
                          <a:noFill/>
                          <a:ln w="9525">
                            <a:solidFill>
                              <a:srgbClr val="000000"/>
                            </a:solidFill>
                            <a:round/>
                            <a:headEnd/>
                            <a:tailEnd type="triangle" w="med" len="sm"/>
                          </a:ln>
                          <a:extLst>
                            <a:ext uri="{909E8E84-426E-40DD-AFC4-6F175D3DCCD1}">
                              <a14:hiddenFill xmlns:a14="http://schemas.microsoft.com/office/drawing/2010/main">
                                <a:noFill/>
                              </a14:hiddenFill>
                            </a:ext>
                          </a:extLst>
                        </wps:spPr>
                        <wps:bodyPr/>
                      </wps:wsp>
                      <wps:wsp>
                        <wps:cNvPr id="1935240711" name="AutoShape 41"/>
                        <wps:cNvSpPr>
                          <a:spLocks/>
                        </wps:cNvSpPr>
                        <wps:spPr bwMode="auto">
                          <a:xfrm rot="-5400000">
                            <a:off x="3744" y="6264"/>
                            <a:ext cx="192" cy="1440"/>
                          </a:xfrm>
                          <a:prstGeom prst="leftBrace">
                            <a:avLst>
                              <a:gd name="adj1" fmla="val 25486"/>
                              <a:gd name="adj2" fmla="val 49685"/>
                            </a:avLst>
                          </a:prstGeom>
                          <a:noFill/>
                          <a:ln w="9525">
                            <a:solidFill>
                              <a:srgbClr val="000000"/>
                            </a:solidFill>
                            <a:round/>
                            <a:headEnd/>
                            <a:tailEnd/>
                          </a:ln>
                          <a:extLst>
                            <a:ext uri="{909E8E84-426E-40DD-AFC4-6F175D3DCCD1}">
                              <a14:hiddenFill xmlns:a14="http://schemas.microsoft.com/office/drawing/2010/main">
                                <a:solidFill>
                                  <a:srgbClr val="00CC99"/>
                                </a:solidFill>
                              </a14:hiddenFill>
                            </a:ext>
                          </a:extLst>
                        </wps:spPr>
                        <wps:bodyPr rot="0" vert="horz" wrap="square" lIns="91440" tIns="45720" rIns="91440" bIns="45720" anchor="ctr" anchorCtr="0" upright="1">
                          <a:noAutofit/>
                        </wps:bodyPr>
                      </wps:wsp>
                      <wps:wsp>
                        <wps:cNvPr id="268356786" name="AutoShape 42"/>
                        <wps:cNvSpPr>
                          <a:spLocks/>
                        </wps:cNvSpPr>
                        <wps:spPr bwMode="auto">
                          <a:xfrm rot="-5400000">
                            <a:off x="6114" y="5658"/>
                            <a:ext cx="144" cy="2628"/>
                          </a:xfrm>
                          <a:prstGeom prst="leftBrace">
                            <a:avLst>
                              <a:gd name="adj1" fmla="val 62016"/>
                              <a:gd name="adj2" fmla="val 49685"/>
                            </a:avLst>
                          </a:prstGeom>
                          <a:noFill/>
                          <a:ln w="9525">
                            <a:solidFill>
                              <a:srgbClr val="000000"/>
                            </a:solidFill>
                            <a:round/>
                            <a:headEnd/>
                            <a:tailEnd/>
                          </a:ln>
                          <a:extLst>
                            <a:ext uri="{909E8E84-426E-40DD-AFC4-6F175D3DCCD1}">
                              <a14:hiddenFill xmlns:a14="http://schemas.microsoft.com/office/drawing/2010/main">
                                <a:solidFill>
                                  <a:srgbClr val="00CC99"/>
                                </a:solidFill>
                              </a14:hiddenFill>
                            </a:ext>
                          </a:extLst>
                        </wps:spPr>
                        <wps:bodyPr rot="0" vert="horz" wrap="square" lIns="91440" tIns="45720" rIns="91440" bIns="45720" anchor="ctr" anchorCtr="0" upright="1">
                          <a:noAutofit/>
                        </wps:bodyPr>
                      </wps:wsp>
                      <wps:wsp>
                        <wps:cNvPr id="1371836785" name="Line 44"/>
                        <wps:cNvCnPr>
                          <a:cxnSpLocks noChangeShapeType="1"/>
                        </wps:cNvCnPr>
                        <wps:spPr bwMode="auto">
                          <a:xfrm>
                            <a:off x="4692" y="6900"/>
                            <a:ext cx="0" cy="432"/>
                          </a:xfrm>
                          <a:prstGeom prst="line">
                            <a:avLst/>
                          </a:prstGeom>
                          <a:noFill/>
                          <a:ln w="12700">
                            <a:solidFill>
                              <a:srgbClr val="000000"/>
                            </a:solidFill>
                            <a:round/>
                            <a:headEnd type="triangle" w="med" len="sm"/>
                            <a:tailEnd/>
                          </a:ln>
                          <a:extLst>
                            <a:ext uri="{909E8E84-426E-40DD-AFC4-6F175D3DCCD1}">
                              <a14:hiddenFill xmlns:a14="http://schemas.microsoft.com/office/drawing/2010/main">
                                <a:noFill/>
                              </a14:hiddenFill>
                            </a:ext>
                          </a:extLst>
                        </wps:spPr>
                        <wps:bodyPr/>
                      </wps:wsp>
                      <wps:wsp>
                        <wps:cNvPr id="1591585512" name="Line 45"/>
                        <wps:cNvCnPr>
                          <a:cxnSpLocks noChangeShapeType="1"/>
                        </wps:cNvCnPr>
                        <wps:spPr bwMode="auto">
                          <a:xfrm>
                            <a:off x="8136" y="6456"/>
                            <a:ext cx="0" cy="288"/>
                          </a:xfrm>
                          <a:prstGeom prst="line">
                            <a:avLst/>
                          </a:prstGeom>
                          <a:noFill/>
                          <a:ln w="12700">
                            <a:solidFill>
                              <a:srgbClr val="000000"/>
                            </a:solidFill>
                            <a:round/>
                            <a:headEnd/>
                            <a:tailEnd type="triangle" w="med" len="sm"/>
                          </a:ln>
                          <a:extLst>
                            <a:ext uri="{909E8E84-426E-40DD-AFC4-6F175D3DCCD1}">
                              <a14:hiddenFill xmlns:a14="http://schemas.microsoft.com/office/drawing/2010/main">
                                <a:noFill/>
                              </a14:hiddenFill>
                            </a:ext>
                          </a:extLst>
                        </wps:spPr>
                        <wps:bodyPr/>
                      </wps:wsp>
                      <wps:wsp>
                        <wps:cNvPr id="665844295" name="Text Box 46"/>
                        <wps:cNvSpPr txBox="1">
                          <a:spLocks noChangeArrowheads="1"/>
                        </wps:cNvSpPr>
                        <wps:spPr bwMode="auto">
                          <a:xfrm>
                            <a:off x="2952" y="7032"/>
                            <a:ext cx="1788" cy="337"/>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20917" w14:textId="77777777" w:rsidR="000B5D6B" w:rsidRDefault="000B5D6B" w:rsidP="000B5D6B">
                              <w:pPr>
                                <w:autoSpaceDE w:val="0"/>
                                <w:autoSpaceDN w:val="0"/>
                                <w:adjustRightInd w:val="0"/>
                                <w:jc w:val="center"/>
                                <w:rPr>
                                  <w:rFonts w:ascii="Arial" w:hAnsi="Arial"/>
                                  <w:color w:val="000000"/>
                                  <w:sz w:val="16"/>
                                  <w:szCs w:val="16"/>
                                </w:rPr>
                              </w:pPr>
                              <w:r>
                                <w:rPr>
                                  <w:rFonts w:ascii="Arial" w:hAnsi="Arial"/>
                                  <w:color w:val="000000"/>
                                  <w:sz w:val="16"/>
                                  <w:szCs w:val="16"/>
                                </w:rPr>
                                <w:t xml:space="preserve">Look-back </w:t>
                              </w:r>
                              <w:proofErr w:type="gramStart"/>
                              <w:r>
                                <w:rPr>
                                  <w:rFonts w:ascii="Arial" w:hAnsi="Arial"/>
                                  <w:color w:val="000000"/>
                                  <w:sz w:val="16"/>
                                  <w:szCs w:val="16"/>
                                </w:rPr>
                                <w:t>Window</w:t>
                              </w:r>
                              <w:proofErr w:type="gramEnd"/>
                            </w:p>
                          </w:txbxContent>
                        </wps:txbx>
                        <wps:bodyPr rot="0" vert="horz" wrap="square" lIns="91440" tIns="45720" rIns="91440" bIns="45720" anchor="t" anchorCtr="0" upright="1">
                          <a:noAutofit/>
                        </wps:bodyPr>
                      </wps:wsp>
                      <wps:wsp>
                        <wps:cNvPr id="508560173" name="Text Box 47"/>
                        <wps:cNvSpPr txBox="1">
                          <a:spLocks noChangeArrowheads="1"/>
                        </wps:cNvSpPr>
                        <wps:spPr bwMode="auto">
                          <a:xfrm>
                            <a:off x="4740" y="7008"/>
                            <a:ext cx="3024" cy="349"/>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E26499" w14:textId="77777777" w:rsidR="000B5D6B" w:rsidRDefault="000B5D6B" w:rsidP="000B5D6B">
                              <w:pPr>
                                <w:autoSpaceDE w:val="0"/>
                                <w:autoSpaceDN w:val="0"/>
                                <w:adjustRightInd w:val="0"/>
                                <w:jc w:val="center"/>
                                <w:rPr>
                                  <w:rFonts w:ascii="Arial" w:hAnsi="Arial"/>
                                  <w:color w:val="000000"/>
                                  <w:sz w:val="16"/>
                                  <w:szCs w:val="16"/>
                                </w:rPr>
                              </w:pPr>
                              <w:r>
                                <w:rPr>
                                  <w:rFonts w:ascii="Arial" w:hAnsi="Arial"/>
                                  <w:color w:val="000000"/>
                                  <w:sz w:val="16"/>
                                  <w:szCs w:val="16"/>
                                </w:rPr>
                                <w:t>Observation Window</w:t>
                              </w:r>
                            </w:p>
                          </w:txbxContent>
                        </wps:txbx>
                        <wps:bodyPr rot="0" vert="horz" wrap="square" lIns="91440" tIns="45720" rIns="91440" bIns="45720" anchor="t" anchorCtr="0" upright="1">
                          <a:noAutofit/>
                        </wps:bodyPr>
                      </wps:wsp>
                      <wps:wsp>
                        <wps:cNvPr id="1139588872" name="Text Box 48"/>
                        <wps:cNvSpPr txBox="1">
                          <a:spLocks noChangeArrowheads="1"/>
                        </wps:cNvSpPr>
                        <wps:spPr bwMode="auto">
                          <a:xfrm>
                            <a:off x="3780" y="7381"/>
                            <a:ext cx="1800" cy="337"/>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157197" w14:textId="77777777" w:rsidR="000B5D6B" w:rsidRDefault="000B5D6B" w:rsidP="000B5D6B">
                              <w:pPr>
                                <w:autoSpaceDE w:val="0"/>
                                <w:autoSpaceDN w:val="0"/>
                                <w:adjustRightInd w:val="0"/>
                                <w:jc w:val="center"/>
                                <w:rPr>
                                  <w:rFonts w:ascii="Arial" w:hAnsi="Arial"/>
                                  <w:b/>
                                  <w:bCs/>
                                  <w:color w:val="000000"/>
                                  <w:sz w:val="16"/>
                                  <w:szCs w:val="16"/>
                                </w:rPr>
                              </w:pPr>
                              <w:r>
                                <w:rPr>
                                  <w:rFonts w:ascii="Arial" w:hAnsi="Arial"/>
                                  <w:b/>
                                  <w:bCs/>
                                  <w:color w:val="000000"/>
                                  <w:sz w:val="16"/>
                                  <w:szCs w:val="16"/>
                                </w:rPr>
                                <w:t>Index Event Date</w:t>
                              </w:r>
                            </w:p>
                          </w:txbxContent>
                        </wps:txbx>
                        <wps:bodyPr rot="0" vert="horz" wrap="square" lIns="91440" tIns="45720" rIns="91440" bIns="45720" anchor="t" anchorCtr="0" upright="1">
                          <a:noAutofit/>
                        </wps:bodyPr>
                      </wps:wsp>
                      <wps:wsp>
                        <wps:cNvPr id="1762674697" name="Text Box 50"/>
                        <wps:cNvSpPr txBox="1">
                          <a:spLocks noChangeArrowheads="1"/>
                        </wps:cNvSpPr>
                        <wps:spPr bwMode="auto">
                          <a:xfrm>
                            <a:off x="7212" y="6168"/>
                            <a:ext cx="1824" cy="337"/>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E01213" w14:textId="77777777" w:rsidR="000B5D6B" w:rsidRDefault="000B5D6B" w:rsidP="000B5D6B">
                              <w:pPr>
                                <w:autoSpaceDE w:val="0"/>
                                <w:autoSpaceDN w:val="0"/>
                                <w:adjustRightInd w:val="0"/>
                                <w:jc w:val="center"/>
                                <w:rPr>
                                  <w:rFonts w:ascii="Arial" w:hAnsi="Arial"/>
                                  <w:color w:val="000000"/>
                                  <w:sz w:val="16"/>
                                  <w:szCs w:val="16"/>
                                </w:rPr>
                              </w:pPr>
                              <w:r>
                                <w:rPr>
                                  <w:rFonts w:ascii="Arial" w:hAnsi="Arial"/>
                                  <w:color w:val="000000"/>
                                  <w:sz w:val="16"/>
                                  <w:szCs w:val="16"/>
                                </w:rPr>
                                <w:t>Max Follow-up Date</w:t>
                              </w:r>
                            </w:p>
                          </w:txbxContent>
                        </wps:txbx>
                        <wps:bodyPr rot="0" vert="horz" wrap="square" lIns="91440" tIns="45720" rIns="91440" bIns="45720" anchor="t" anchorCtr="0" upright="1">
                          <a:noAutofit/>
                        </wps:bodyPr>
                      </wps:wsp>
                    </wpg:wgp>
                  </a:graphicData>
                </a:graphic>
              </wp:inline>
            </w:drawing>
          </mc:Choice>
          <mc:Fallback>
            <w:pict>
              <v:group w14:anchorId="1BA667F3" id="Group 43" o:spid="_x0000_s1026" style="width:407pt;height:112.5pt;mso-position-horizontal-relative:char;mso-position-vertical-relative:line" coordorigin="2520,6168" coordsize="6516,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">
                <v:line id="Line 40" o:spid="_x0000_s1027" style="position:absolute;visibility:visible;mso-wrap-style:square" from="2520,6816" to="8928,6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">
                  <v:stroke endarrow="block" endarrowlength="short"/>
                </v:lin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41" o:spid="_x0000_s1028" type="#_x0000_t87" style="position:absolute;left:3744;top:6264;width:192;height:144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" adj="734,10732" fillcolor="#0c9"/>
                <v:shape id="AutoShape 42" o:spid="_x0000_s1029" type="#_x0000_t87" style="position:absolute;left:6114;top:5658;width:144;height:26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" adj="734,10732" fillcolor="#0c9"/>
                <v:line id="Line 44" o:spid="_x0000_s1030" style="position:absolute;visibility:visible;mso-wrap-style:square" from="4692,6900" to="4692,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" strokeweight="1pt">
                  <v:stroke startarrow="block" startarrowlength="short"/>
                </v:line>
                <v:line id="Line 45" o:spid="_x0000_s1031" style="position:absolute;visibility:visible;mso-wrap-style:square" from="8136,6456" to="8136,6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" strokeweight="1pt">
                  <v:stroke endarrow="block" endarrowlength="short"/>
                </v:line>
                <v:shapetype id="_x0000_t202" coordsize="21600,21600" o:spt="202" path="m,l,21600r21600,l21600,xe">
                  <v:stroke joinstyle="miter"/>
                  <v:path gradientshapeok="t" o:connecttype="rect"/>
                </v:shapetype>
                <v:shape id="Text Box 46" o:spid="_x0000_s1032" type="#_x0000_t202" style="position:absolute;left:2952;top:7032;width:1788;height: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" filled="f" fillcolor="#0c9" stroked="f">
                  <v:textbox>
                    <w:txbxContent>
                      <w:p w14:paraId="6F420917" w14:textId="77777777" w:rsidR="000B5D6B" w:rsidRDefault="000B5D6B" w:rsidP="000B5D6B">
                        <w:pPr>
                          <w:autoSpaceDE w:val="0"/>
                          <w:autoSpaceDN w:val="0"/>
                          <w:adjustRightInd w:val="0"/>
                          <w:jc w:val="center"/>
                          <w:rPr>
                            <w:rFonts w:ascii="Arial" w:hAnsi="Arial"/>
                            <w:color w:val="000000"/>
                            <w:sz w:val="16"/>
                            <w:szCs w:val="16"/>
                          </w:rPr>
                        </w:pPr>
                        <w:r>
                          <w:rPr>
                            <w:rFonts w:ascii="Arial" w:hAnsi="Arial"/>
                            <w:color w:val="000000"/>
                            <w:sz w:val="16"/>
                            <w:szCs w:val="16"/>
                          </w:rPr>
                          <w:t xml:space="preserve">Look-back </w:t>
                        </w:r>
                        <w:proofErr w:type="gramStart"/>
                        <w:r>
                          <w:rPr>
                            <w:rFonts w:ascii="Arial" w:hAnsi="Arial"/>
                            <w:color w:val="000000"/>
                            <w:sz w:val="16"/>
                            <w:szCs w:val="16"/>
                          </w:rPr>
                          <w:t>Window</w:t>
                        </w:r>
                        <w:proofErr w:type="gramEnd"/>
                      </w:p>
                    </w:txbxContent>
                  </v:textbox>
                </v:shape>
                <v:shape id="Text Box 47" o:spid="_x0000_s1033" type="#_x0000_t202" style="position:absolute;left:4740;top:7008;width:302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" filled="f" fillcolor="#0c9" stroked="f">
                  <v:textbox>
                    <w:txbxContent>
                      <w:p w14:paraId="2FE26499" w14:textId="77777777" w:rsidR="000B5D6B" w:rsidRDefault="000B5D6B" w:rsidP="000B5D6B">
                        <w:pPr>
                          <w:autoSpaceDE w:val="0"/>
                          <w:autoSpaceDN w:val="0"/>
                          <w:adjustRightInd w:val="0"/>
                          <w:jc w:val="center"/>
                          <w:rPr>
                            <w:rFonts w:ascii="Arial" w:hAnsi="Arial"/>
                            <w:color w:val="000000"/>
                            <w:sz w:val="16"/>
                            <w:szCs w:val="16"/>
                          </w:rPr>
                        </w:pPr>
                        <w:r>
                          <w:rPr>
                            <w:rFonts w:ascii="Arial" w:hAnsi="Arial"/>
                            <w:color w:val="000000"/>
                            <w:sz w:val="16"/>
                            <w:szCs w:val="16"/>
                          </w:rPr>
                          <w:t>Observation Window</w:t>
                        </w:r>
                      </w:p>
                    </w:txbxContent>
                  </v:textbox>
                </v:shape>
                <v:shape id="Text Box 48" o:spid="_x0000_s1034" type="#_x0000_t202" style="position:absolute;left:3780;top:7381;width:1800;height: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" filled="f" fillcolor="#0c9" stroked="f">
                  <v:textbox>
                    <w:txbxContent>
                      <w:p w14:paraId="1F157197" w14:textId="77777777" w:rsidR="000B5D6B" w:rsidRDefault="000B5D6B" w:rsidP="000B5D6B">
                        <w:pPr>
                          <w:autoSpaceDE w:val="0"/>
                          <w:autoSpaceDN w:val="0"/>
                          <w:adjustRightInd w:val="0"/>
                          <w:jc w:val="center"/>
                          <w:rPr>
                            <w:rFonts w:ascii="Arial" w:hAnsi="Arial"/>
                            <w:b/>
                            <w:bCs/>
                            <w:color w:val="000000"/>
                            <w:sz w:val="16"/>
                            <w:szCs w:val="16"/>
                          </w:rPr>
                        </w:pPr>
                        <w:r>
                          <w:rPr>
                            <w:rFonts w:ascii="Arial" w:hAnsi="Arial"/>
                            <w:b/>
                            <w:bCs/>
                            <w:color w:val="000000"/>
                            <w:sz w:val="16"/>
                            <w:szCs w:val="16"/>
                          </w:rPr>
                          <w:t>Index Event Date</w:t>
                        </w:r>
                      </w:p>
                    </w:txbxContent>
                  </v:textbox>
                </v:shape>
                <v:shape id="Text Box 50" o:spid="_x0000_s1035" type="#_x0000_t202" style="position:absolute;left:7212;top:6168;width:1824;height: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" filled="f" fillcolor="#0c9" stroked="f">
                  <v:textbox>
                    <w:txbxContent>
                      <w:p w14:paraId="42E01213" w14:textId="77777777" w:rsidR="000B5D6B" w:rsidRDefault="000B5D6B" w:rsidP="000B5D6B">
                        <w:pPr>
                          <w:autoSpaceDE w:val="0"/>
                          <w:autoSpaceDN w:val="0"/>
                          <w:adjustRightInd w:val="0"/>
                          <w:jc w:val="center"/>
                          <w:rPr>
                            <w:rFonts w:ascii="Arial" w:hAnsi="Arial"/>
                            <w:color w:val="000000"/>
                            <w:sz w:val="16"/>
                            <w:szCs w:val="16"/>
                          </w:rPr>
                        </w:pPr>
                        <w:r>
                          <w:rPr>
                            <w:rFonts w:ascii="Arial" w:hAnsi="Arial"/>
                            <w:color w:val="000000"/>
                            <w:sz w:val="16"/>
                            <w:szCs w:val="16"/>
                          </w:rPr>
                          <w:t>Max Follow-up Date</w:t>
                        </w:r>
                      </w:p>
                    </w:txbxContent>
                  </v:textbox>
                </v:shape>
                <w10:anchorlock/>
              </v:group>
            </w:pict>
          </mc:Fallback>
        </mc:AlternateContent>
      </w:r>
    </w:p>
    <w:p w14:paraId="4B6386B5" w14:textId="7AA977F5" w:rsidR="00C64CD6" w:rsidRPr="000B5D6B" w:rsidRDefault="00C64CD6"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rPr>
        <w:t xml:space="preserve">The </w:t>
      </w:r>
      <w:r w:rsidR="000B5D6B">
        <w:rPr>
          <w:rFonts w:ascii="Times New Roman" w:hAnsi="Times New Roman" w:cs="Times New Roman"/>
          <w:sz w:val="24"/>
          <w:szCs w:val="24"/>
        </w:rPr>
        <w:t>O</w:t>
      </w:r>
      <w:r w:rsidRPr="000B5D6B">
        <w:rPr>
          <w:rFonts w:ascii="Times New Roman" w:hAnsi="Times New Roman" w:cs="Times New Roman"/>
          <w:sz w:val="24"/>
          <w:szCs w:val="24"/>
        </w:rPr>
        <w:t xml:space="preserve">bservation </w:t>
      </w:r>
      <w:r w:rsidR="000B5D6B">
        <w:rPr>
          <w:rFonts w:ascii="Times New Roman" w:hAnsi="Times New Roman" w:cs="Times New Roman"/>
          <w:sz w:val="24"/>
          <w:szCs w:val="24"/>
        </w:rPr>
        <w:t>W</w:t>
      </w:r>
      <w:r w:rsidRPr="000B5D6B">
        <w:rPr>
          <w:rFonts w:ascii="Times New Roman" w:hAnsi="Times New Roman" w:cs="Times New Roman"/>
          <w:sz w:val="24"/>
          <w:szCs w:val="24"/>
        </w:rPr>
        <w:t>indow terminate</w:t>
      </w:r>
      <w:r w:rsidR="00295FE1">
        <w:rPr>
          <w:rFonts w:ascii="Times New Roman" w:hAnsi="Times New Roman" w:cs="Times New Roman"/>
          <w:sz w:val="24"/>
          <w:szCs w:val="24"/>
        </w:rPr>
        <w:t>d at</w:t>
      </w:r>
      <w:r w:rsidRPr="000B5D6B">
        <w:rPr>
          <w:rFonts w:ascii="Times New Roman" w:hAnsi="Times New Roman" w:cs="Times New Roman"/>
          <w:sz w:val="24"/>
          <w:szCs w:val="24"/>
        </w:rPr>
        <w:t xml:space="preserve"> a) End of </w:t>
      </w:r>
      <w:r w:rsidR="00295FE1">
        <w:rPr>
          <w:rFonts w:ascii="Times New Roman" w:hAnsi="Times New Roman" w:cs="Times New Roman"/>
          <w:sz w:val="24"/>
          <w:szCs w:val="24"/>
        </w:rPr>
        <w:t xml:space="preserve">the </w:t>
      </w:r>
      <w:r w:rsidRPr="000B5D6B">
        <w:rPr>
          <w:rFonts w:ascii="Times New Roman" w:hAnsi="Times New Roman" w:cs="Times New Roman"/>
          <w:sz w:val="24"/>
          <w:szCs w:val="24"/>
        </w:rPr>
        <w:t>follow-up period (2 years from index date) b) Death of a person</w:t>
      </w:r>
      <w:r w:rsidR="000B5D6B">
        <w:rPr>
          <w:rFonts w:ascii="Times New Roman" w:hAnsi="Times New Roman" w:cs="Times New Roman"/>
          <w:sz w:val="24"/>
          <w:szCs w:val="24"/>
        </w:rPr>
        <w:t>. The L</w:t>
      </w:r>
      <w:r w:rsidRPr="000B5D6B">
        <w:rPr>
          <w:rFonts w:ascii="Times New Roman" w:hAnsi="Times New Roman" w:cs="Times New Roman"/>
          <w:sz w:val="24"/>
          <w:szCs w:val="24"/>
        </w:rPr>
        <w:t xml:space="preserve">ookback </w:t>
      </w:r>
      <w:r w:rsidR="000B5D6B">
        <w:rPr>
          <w:rFonts w:ascii="Times New Roman" w:hAnsi="Times New Roman" w:cs="Times New Roman"/>
          <w:sz w:val="24"/>
          <w:szCs w:val="24"/>
        </w:rPr>
        <w:t>W</w:t>
      </w:r>
      <w:r w:rsidRPr="000B5D6B">
        <w:rPr>
          <w:rFonts w:ascii="Times New Roman" w:hAnsi="Times New Roman" w:cs="Times New Roman"/>
          <w:sz w:val="24"/>
          <w:szCs w:val="24"/>
        </w:rPr>
        <w:t xml:space="preserve">indow </w:t>
      </w:r>
      <w:r w:rsidR="00295FE1">
        <w:rPr>
          <w:rFonts w:ascii="Times New Roman" w:hAnsi="Times New Roman" w:cs="Times New Roman"/>
          <w:sz w:val="24"/>
          <w:szCs w:val="24"/>
        </w:rPr>
        <w:t>was</w:t>
      </w:r>
      <w:r w:rsidR="000B5D6B">
        <w:rPr>
          <w:rFonts w:ascii="Times New Roman" w:hAnsi="Times New Roman" w:cs="Times New Roman"/>
          <w:sz w:val="24"/>
          <w:szCs w:val="24"/>
        </w:rPr>
        <w:t xml:space="preserve"> defined as </w:t>
      </w:r>
      <w:r w:rsidRPr="000B5D6B">
        <w:rPr>
          <w:rFonts w:ascii="Times New Roman" w:hAnsi="Times New Roman" w:cs="Times New Roman"/>
          <w:sz w:val="24"/>
          <w:szCs w:val="24"/>
        </w:rPr>
        <w:t xml:space="preserve">2 years prior to index date to assess mental health diagnoses and CCI. </w:t>
      </w:r>
      <w:r w:rsidR="000B5D6B">
        <w:rPr>
          <w:rFonts w:ascii="Times New Roman" w:hAnsi="Times New Roman" w:cs="Times New Roman"/>
          <w:sz w:val="24"/>
          <w:szCs w:val="24"/>
        </w:rPr>
        <w:t xml:space="preserve">The </w:t>
      </w:r>
      <w:r w:rsidRPr="000B5D6B">
        <w:rPr>
          <w:rFonts w:ascii="Times New Roman" w:hAnsi="Times New Roman" w:cs="Times New Roman"/>
          <w:sz w:val="24"/>
          <w:szCs w:val="24"/>
        </w:rPr>
        <w:t>Maximum Follow-up Date</w:t>
      </w:r>
      <w:r w:rsidR="000B5D6B">
        <w:rPr>
          <w:rFonts w:ascii="Times New Roman" w:hAnsi="Times New Roman" w:cs="Times New Roman"/>
          <w:sz w:val="24"/>
          <w:szCs w:val="24"/>
        </w:rPr>
        <w:t xml:space="preserve"> was</w:t>
      </w:r>
      <w:r w:rsidRPr="000B5D6B">
        <w:rPr>
          <w:rFonts w:ascii="Times New Roman" w:hAnsi="Times New Roman" w:cs="Times New Roman"/>
          <w:sz w:val="24"/>
          <w:szCs w:val="24"/>
        </w:rPr>
        <w:t xml:space="preserve"> March 31,20</w:t>
      </w:r>
      <w:r w:rsidR="000B5D6B">
        <w:rPr>
          <w:rFonts w:ascii="Times New Roman" w:hAnsi="Times New Roman" w:cs="Times New Roman"/>
          <w:sz w:val="24"/>
          <w:szCs w:val="24"/>
        </w:rPr>
        <w:t>21</w:t>
      </w:r>
      <w:r w:rsidRPr="000B5D6B">
        <w:rPr>
          <w:rFonts w:ascii="Times New Roman" w:hAnsi="Times New Roman" w:cs="Times New Roman"/>
          <w:sz w:val="24"/>
          <w:szCs w:val="24"/>
        </w:rPr>
        <w:t xml:space="preserve">. </w:t>
      </w:r>
    </w:p>
    <w:p w14:paraId="683E4E72" w14:textId="0C4704B7" w:rsidR="00C64CD6" w:rsidRPr="000B5D6B" w:rsidRDefault="00C64CD6" w:rsidP="00AA1C81">
      <w:pPr>
        <w:spacing w:line="360" w:lineRule="auto"/>
        <w:jc w:val="both"/>
        <w:rPr>
          <w:rFonts w:ascii="Times New Roman" w:hAnsi="Times New Roman" w:cs="Times New Roman"/>
          <w:sz w:val="24"/>
          <w:szCs w:val="24"/>
          <w:u w:val="single"/>
        </w:rPr>
      </w:pPr>
      <w:r w:rsidRPr="000B5D6B">
        <w:rPr>
          <w:rFonts w:ascii="Times New Roman" w:hAnsi="Times New Roman" w:cs="Times New Roman"/>
          <w:sz w:val="24"/>
          <w:szCs w:val="24"/>
          <w:u w:val="single"/>
        </w:rPr>
        <w:t xml:space="preserve">Study </w:t>
      </w:r>
      <w:proofErr w:type="gramStart"/>
      <w:r w:rsidRPr="000B5D6B">
        <w:rPr>
          <w:rFonts w:ascii="Times New Roman" w:hAnsi="Times New Roman" w:cs="Times New Roman"/>
          <w:sz w:val="24"/>
          <w:szCs w:val="24"/>
          <w:u w:val="single"/>
        </w:rPr>
        <w:t>cohort</w:t>
      </w:r>
      <w:proofErr w:type="gramEnd"/>
    </w:p>
    <w:p w14:paraId="078415F6" w14:textId="2B21B8D9" w:rsidR="00C64CD6" w:rsidRPr="000B5D6B" w:rsidRDefault="00C64CD6"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rPr>
        <w:t xml:space="preserve">Case pool: All individuals diagnosed with TBI between April 1, 2002 - March 31, 2019, </w:t>
      </w:r>
      <w:r w:rsidR="000B5D6B">
        <w:rPr>
          <w:rFonts w:ascii="Times New Roman" w:hAnsi="Times New Roman" w:cs="Times New Roman"/>
          <w:sz w:val="24"/>
          <w:szCs w:val="24"/>
        </w:rPr>
        <w:t>were</w:t>
      </w:r>
      <w:r w:rsidRPr="000B5D6B">
        <w:rPr>
          <w:rFonts w:ascii="Times New Roman" w:hAnsi="Times New Roman" w:cs="Times New Roman"/>
          <w:sz w:val="24"/>
          <w:szCs w:val="24"/>
        </w:rPr>
        <w:t xml:space="preserve"> provided from Nova Scotia Trauma Registry (NSTR). </w:t>
      </w:r>
      <w:r w:rsidR="00295FE1">
        <w:rPr>
          <w:rFonts w:ascii="Times New Roman" w:hAnsi="Times New Roman" w:cs="Times New Roman"/>
          <w:sz w:val="24"/>
          <w:szCs w:val="24"/>
        </w:rPr>
        <w:t>The i</w:t>
      </w:r>
      <w:r w:rsidRPr="000B5D6B">
        <w:rPr>
          <w:rFonts w:ascii="Times New Roman" w:hAnsi="Times New Roman" w:cs="Times New Roman"/>
          <w:sz w:val="24"/>
          <w:szCs w:val="24"/>
        </w:rPr>
        <w:t>ndex date for cases</w:t>
      </w:r>
      <w:r w:rsidR="000B5D6B">
        <w:rPr>
          <w:rFonts w:ascii="Times New Roman" w:hAnsi="Times New Roman" w:cs="Times New Roman"/>
          <w:sz w:val="24"/>
          <w:szCs w:val="24"/>
        </w:rPr>
        <w:t xml:space="preserve"> was th</w:t>
      </w:r>
      <w:r w:rsidRPr="000B5D6B">
        <w:rPr>
          <w:rFonts w:ascii="Times New Roman" w:hAnsi="Times New Roman" w:cs="Times New Roman"/>
          <w:sz w:val="24"/>
          <w:szCs w:val="24"/>
        </w:rPr>
        <w:t xml:space="preserve">e month/year of TBI </w:t>
      </w:r>
      <w:r w:rsidR="000B5D6B">
        <w:rPr>
          <w:rFonts w:ascii="Times New Roman" w:hAnsi="Times New Roman" w:cs="Times New Roman"/>
          <w:sz w:val="24"/>
          <w:szCs w:val="24"/>
        </w:rPr>
        <w:t>as</w:t>
      </w:r>
      <w:r w:rsidRPr="000B5D6B">
        <w:rPr>
          <w:rFonts w:ascii="Times New Roman" w:hAnsi="Times New Roman" w:cs="Times New Roman"/>
          <w:sz w:val="24"/>
          <w:szCs w:val="24"/>
        </w:rPr>
        <w:t xml:space="preserve"> provided through the trauma registry data. </w:t>
      </w:r>
    </w:p>
    <w:p w14:paraId="1591539F" w14:textId="32FAA430" w:rsidR="00C64CD6" w:rsidRPr="000B5D6B" w:rsidRDefault="00C64CD6"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rPr>
        <w:t xml:space="preserve">Control pool: All individuals from </w:t>
      </w:r>
      <w:r w:rsidR="000B5D6B">
        <w:rPr>
          <w:rFonts w:ascii="Times New Roman" w:hAnsi="Times New Roman" w:cs="Times New Roman"/>
          <w:sz w:val="24"/>
          <w:szCs w:val="24"/>
        </w:rPr>
        <w:t xml:space="preserve">the </w:t>
      </w:r>
      <w:r w:rsidR="009167FE">
        <w:rPr>
          <w:rFonts w:ascii="Times New Roman" w:hAnsi="Times New Roman" w:cs="Times New Roman"/>
          <w:sz w:val="24"/>
          <w:szCs w:val="24"/>
        </w:rPr>
        <w:t xml:space="preserve">insured </w:t>
      </w:r>
      <w:r w:rsidRPr="000B5D6B">
        <w:rPr>
          <w:rFonts w:ascii="Times New Roman" w:hAnsi="Times New Roman" w:cs="Times New Roman"/>
          <w:sz w:val="24"/>
          <w:szCs w:val="24"/>
        </w:rPr>
        <w:t>patient registry who d</w:t>
      </w:r>
      <w:r w:rsidR="000B5D6B">
        <w:rPr>
          <w:rFonts w:ascii="Times New Roman" w:hAnsi="Times New Roman" w:cs="Times New Roman"/>
          <w:sz w:val="24"/>
          <w:szCs w:val="24"/>
        </w:rPr>
        <w:t>id</w:t>
      </w:r>
      <w:r w:rsidRPr="000B5D6B">
        <w:rPr>
          <w:rFonts w:ascii="Times New Roman" w:hAnsi="Times New Roman" w:cs="Times New Roman"/>
          <w:sz w:val="24"/>
          <w:szCs w:val="24"/>
        </w:rPr>
        <w:t xml:space="preserve"> not have </w:t>
      </w:r>
      <w:r w:rsidR="000B5D6B">
        <w:rPr>
          <w:rFonts w:ascii="Times New Roman" w:hAnsi="Times New Roman" w:cs="Times New Roman"/>
          <w:sz w:val="24"/>
          <w:szCs w:val="24"/>
        </w:rPr>
        <w:t xml:space="preserve">a </w:t>
      </w:r>
      <w:r w:rsidRPr="000B5D6B">
        <w:rPr>
          <w:rFonts w:ascii="Times New Roman" w:hAnsi="Times New Roman" w:cs="Times New Roman"/>
          <w:sz w:val="24"/>
          <w:szCs w:val="24"/>
        </w:rPr>
        <w:t>TBI diagnosis between April 1, 2002 - March 31, 2019, and follow-up period (see above).</w:t>
      </w:r>
      <w:r w:rsidR="009167FE">
        <w:rPr>
          <w:rFonts w:ascii="Times New Roman" w:hAnsi="Times New Roman" w:cs="Times New Roman"/>
          <w:sz w:val="24"/>
          <w:szCs w:val="24"/>
        </w:rPr>
        <w:t xml:space="preserve"> The insured patient registry comprises </w:t>
      </w:r>
      <w:r w:rsidR="009167FE" w:rsidRPr="009167FE">
        <w:rPr>
          <w:rFonts w:ascii="Times New Roman" w:hAnsi="Times New Roman" w:cs="Times New Roman"/>
          <w:sz w:val="24"/>
          <w:szCs w:val="24"/>
        </w:rPr>
        <w:t>individual registered as a beneficiary of provincial healthcare services.</w:t>
      </w:r>
    </w:p>
    <w:p w14:paraId="564474D1" w14:textId="598B6C35" w:rsidR="000B5D6B" w:rsidRDefault="00C64CD6"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rPr>
        <w:t>Eligibility of controls: Alive at index date</w:t>
      </w:r>
      <w:r w:rsidR="000B5D6B">
        <w:rPr>
          <w:rFonts w:ascii="Times New Roman" w:hAnsi="Times New Roman" w:cs="Times New Roman"/>
          <w:sz w:val="24"/>
          <w:szCs w:val="24"/>
        </w:rPr>
        <w:t>,</w:t>
      </w:r>
      <w:r w:rsidRPr="000B5D6B">
        <w:rPr>
          <w:rFonts w:ascii="Times New Roman" w:hAnsi="Times New Roman" w:cs="Times New Roman"/>
          <w:sz w:val="24"/>
          <w:szCs w:val="24"/>
        </w:rPr>
        <w:t xml:space="preserve"> Nova Scotia resident</w:t>
      </w:r>
      <w:r w:rsidR="000B5D6B">
        <w:rPr>
          <w:rFonts w:ascii="Times New Roman" w:hAnsi="Times New Roman" w:cs="Times New Roman"/>
          <w:sz w:val="24"/>
          <w:szCs w:val="24"/>
        </w:rPr>
        <w:t>.</w:t>
      </w:r>
    </w:p>
    <w:p w14:paraId="313C052F" w14:textId="5BE233A3" w:rsidR="00C64CD6" w:rsidRDefault="00C64CD6"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rPr>
        <w:t xml:space="preserve">Exclusion of controls: </w:t>
      </w:r>
      <w:r w:rsidR="00B150E4">
        <w:rPr>
          <w:rFonts w:ascii="Times New Roman" w:hAnsi="Times New Roman" w:cs="Times New Roman"/>
          <w:sz w:val="24"/>
          <w:szCs w:val="24"/>
        </w:rPr>
        <w:t>M</w:t>
      </w:r>
      <w:r w:rsidRPr="000B5D6B">
        <w:rPr>
          <w:rFonts w:ascii="Times New Roman" w:hAnsi="Times New Roman" w:cs="Times New Roman"/>
          <w:sz w:val="24"/>
          <w:szCs w:val="24"/>
        </w:rPr>
        <w:t>issing values for all matching variables</w:t>
      </w:r>
      <w:r w:rsidR="000B5D6B">
        <w:rPr>
          <w:rFonts w:ascii="Times New Roman" w:hAnsi="Times New Roman" w:cs="Times New Roman"/>
          <w:sz w:val="24"/>
          <w:szCs w:val="24"/>
        </w:rPr>
        <w:t xml:space="preserve">, </w:t>
      </w:r>
      <w:r w:rsidRPr="000B5D6B">
        <w:rPr>
          <w:rFonts w:ascii="Times New Roman" w:hAnsi="Times New Roman" w:cs="Times New Roman"/>
          <w:sz w:val="24"/>
          <w:szCs w:val="24"/>
        </w:rPr>
        <w:t>TBI diagnosis for duration of study period (April 1, 2002-March 31, 2019) as well as follow up period (2 years after index date)</w:t>
      </w:r>
      <w:r w:rsidR="00295FE1">
        <w:rPr>
          <w:rFonts w:ascii="Times New Roman" w:hAnsi="Times New Roman" w:cs="Times New Roman"/>
          <w:sz w:val="24"/>
          <w:szCs w:val="24"/>
        </w:rPr>
        <w:t>, or h</w:t>
      </w:r>
      <w:r w:rsidRPr="000B5D6B">
        <w:rPr>
          <w:rFonts w:ascii="Times New Roman" w:hAnsi="Times New Roman" w:cs="Times New Roman"/>
          <w:sz w:val="24"/>
          <w:szCs w:val="24"/>
        </w:rPr>
        <w:t>istory of hospitalization 12 weeks prior to index date.</w:t>
      </w:r>
    </w:p>
    <w:p w14:paraId="2EBFCAC0" w14:textId="08DBD6A0" w:rsidR="004428B7" w:rsidRPr="000B5D6B" w:rsidRDefault="004428B7" w:rsidP="004428B7">
      <w:pPr>
        <w:spacing w:line="360" w:lineRule="auto"/>
        <w:jc w:val="both"/>
        <w:rPr>
          <w:rFonts w:ascii="Times New Roman" w:hAnsi="Times New Roman" w:cs="Times New Roman"/>
          <w:b/>
          <w:bCs/>
          <w:sz w:val="24"/>
          <w:szCs w:val="24"/>
        </w:rPr>
      </w:pPr>
      <w:r w:rsidRPr="000B5D6B">
        <w:rPr>
          <w:rFonts w:ascii="Times New Roman" w:hAnsi="Times New Roman" w:cs="Times New Roman"/>
          <w:b/>
          <w:bCs/>
          <w:i/>
          <w:iCs/>
          <w:sz w:val="24"/>
          <w:szCs w:val="24"/>
        </w:rPr>
        <w:t xml:space="preserve">Sample size </w:t>
      </w:r>
      <w:proofErr w:type="gramStart"/>
      <w:r w:rsidRPr="000B5D6B">
        <w:rPr>
          <w:rFonts w:ascii="Times New Roman" w:hAnsi="Times New Roman" w:cs="Times New Roman"/>
          <w:b/>
          <w:bCs/>
          <w:i/>
          <w:iCs/>
          <w:sz w:val="24"/>
          <w:szCs w:val="24"/>
        </w:rPr>
        <w:t>calculation</w:t>
      </w:r>
      <w:proofErr w:type="gramEnd"/>
    </w:p>
    <w:p w14:paraId="0ED1FD03" w14:textId="36E77C35" w:rsidR="004428B7" w:rsidRPr="000B5D6B" w:rsidRDefault="004428B7" w:rsidP="004428B7">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rPr>
        <w:t xml:space="preserve">A sample size calculation was performed </w:t>
      </w:r>
      <w:r w:rsidRPr="000B5D6B">
        <w:rPr>
          <w:rFonts w:ascii="Times New Roman" w:hAnsi="Times New Roman" w:cs="Times New Roman"/>
          <w:i/>
          <w:iCs/>
          <w:sz w:val="24"/>
          <w:szCs w:val="24"/>
        </w:rPr>
        <w:t xml:space="preserve">a priori </w:t>
      </w:r>
      <w:r w:rsidRPr="000B5D6B">
        <w:rPr>
          <w:rFonts w:ascii="Times New Roman" w:hAnsi="Times New Roman" w:cs="Times New Roman"/>
          <w:sz w:val="24"/>
          <w:szCs w:val="24"/>
        </w:rPr>
        <w:t>to ensure the feasibility of this study using data available in the NSTR. The sample size calculation is based on a comparison of NPD rates</w:t>
      </w:r>
      <w:r w:rsidR="0005531F">
        <w:rPr>
          <w:rFonts w:ascii="Times New Roman" w:hAnsi="Times New Roman" w:cs="Times New Roman"/>
          <w:sz w:val="24"/>
          <w:szCs w:val="24"/>
        </w:rPr>
        <w:t xml:space="preserve"> among participants with TBI and controls</w:t>
      </w:r>
      <w:r w:rsidRPr="000B5D6B">
        <w:rPr>
          <w:rFonts w:ascii="Times New Roman" w:hAnsi="Times New Roman" w:cs="Times New Roman"/>
          <w:sz w:val="24"/>
          <w:szCs w:val="24"/>
        </w:rPr>
        <w:t xml:space="preserve"> from previous studies </w:t>
      </w:r>
      <w:r w:rsidRPr="000B5D6B">
        <w:rPr>
          <w:rFonts w:ascii="Times New Roman" w:hAnsi="Times New Roman" w:cs="Times New Roman"/>
          <w:sz w:val="24"/>
          <w:szCs w:val="24"/>
        </w:rPr>
        <w:fldChar w:fldCharType="begin"/>
      </w:r>
      <w:r w:rsidRPr="000B5D6B">
        <w:rPr>
          <w:rFonts w:ascii="Times New Roman" w:hAnsi="Times New Roman" w:cs="Times New Roman"/>
          <w:sz w:val="24"/>
          <w:szCs w:val="24"/>
        </w:rPr>
        <w:instrText xml:space="preserve"> ADDIN ZOTERO_ITEM CSL_CITATION {"citationID":"uCxX6sD0","properties":{"formattedCitation":"(Arif et al., 2021)","plainCitation":"(Arif et al., 2021)","noteIndex":0},"citationItems":[{"id":1647,"uris":["http://zotero.org/users/8295376/items/JWMFCFAT"],"itemData":{"id":1647,"type":"article-journal","abstract":"The objective of the study was to compare psychiatric outcomes in adults with and without history of pediatric traumatic brain injury (TBI). Youth ages 6 to 14 years hospitalized for TBI from 1992 to 1994 were assessed at baseline and at 3, 6, 12, and 24 months post-injury. In the current study, psychiatric assessments were repeated at 24 years post-injury with the same cohort, now adults ages 29 to 39 years. A control group of healthy adults also was recruited for one-time cross-sectional assessments. Outcome measures included: 1) presence of a psychiatric disorder since the 24-month assessment not present before the TBI (“novel psychiatric disorder,” NPD), or in the control group, the presence of a psychiatric disorder that developed after the mean age of injury of the TBI group plus 2 years; and 2) Time-to-Event for onset of an NPD during the same time periods. In the TBI group, NPDs were significantly more common, and presence of a current NPD was significantly predicted by presence of a pre-injury lifetime psychiatric disorder and by abnormal day-of-injury computed tomography (CT) scan. Compared with controls, the TBI group also had significantly shorter Time-to-Event for onset of any NPD. These findings demonstrate that long-term psychiatric outcomes in adults previously hospitalized for pediatric TBI are significantly worse when compared with adult controls without history of pediatric TBI, both in terms of prevalence and earlier onset of NPD. Further, in the TBI group, long-term NPD outcome is predicted independently by presence of pre-injury psychiatric disorder and abnormal day-of-injury CT scan.","container-title":"Journal of Neurotrauma","DOI":"10.1089/neu.2020.7238","ISSN":"0897-7151","issue":"11","note":"publisher: Mary Ann Liebert, Inc., publishers","page":"1515-1525","source":"www-liebertpub-com.ezproxy.library.dal.ca (Atypon)","title":"Long-Term Psychiatric Outcomes in Adults with History of Pediatric Traumatic Brain Injury","volume":"38","author":[{"family":"Arif","given":"Hattan"},{"family":"Troyer","given":"Emily A."},{"family":"Paulsen","given":"Jane S."},{"family":"Vaida","given":"Florin"},{"family":"Wilde","given":"Elisabeth A."},{"family":"Bigler","given":"Erin D."},{"family":"Hesselink","given":"John R."},{"family":"Yang","given":"Tony T."},{"family":"Tymofiyeva","given":"Olga"},{"family":"Wade","given":"Owen"},{"family":"Max","given":"Jeffrey E."}],"issued":{"date-parts":[["2021",6]]}}}],"schema":"https://github.com/citation-style-language/schema/raw/master/csl-citation.json"} </w:instrText>
      </w:r>
      <w:r w:rsidRPr="000B5D6B">
        <w:rPr>
          <w:rFonts w:ascii="Times New Roman" w:hAnsi="Times New Roman" w:cs="Times New Roman"/>
          <w:sz w:val="24"/>
          <w:szCs w:val="24"/>
        </w:rPr>
        <w:fldChar w:fldCharType="separate"/>
      </w:r>
      <w:r w:rsidRPr="000B5D6B">
        <w:rPr>
          <w:rFonts w:ascii="Times New Roman" w:hAnsi="Times New Roman" w:cs="Times New Roman"/>
          <w:sz w:val="24"/>
          <w:szCs w:val="24"/>
        </w:rPr>
        <w:t>(Arif et al., 2021)</w:t>
      </w:r>
      <w:r w:rsidRPr="000B5D6B">
        <w:rPr>
          <w:rFonts w:ascii="Times New Roman" w:hAnsi="Times New Roman" w:cs="Times New Roman"/>
          <w:sz w:val="24"/>
          <w:szCs w:val="24"/>
        </w:rPr>
        <w:fldChar w:fldCharType="end"/>
      </w:r>
      <w:r w:rsidRPr="000B5D6B">
        <w:rPr>
          <w:rFonts w:ascii="Times New Roman" w:hAnsi="Times New Roman" w:cs="Times New Roman"/>
          <w:sz w:val="24"/>
          <w:szCs w:val="24"/>
        </w:rPr>
        <w:t xml:space="preserve">. Assuming an NPD rate </w:t>
      </w:r>
      <w:r w:rsidRPr="000B5D6B">
        <w:rPr>
          <w:rFonts w:ascii="Times New Roman" w:hAnsi="Times New Roman" w:cs="Times New Roman"/>
          <w:sz w:val="24"/>
          <w:szCs w:val="24"/>
        </w:rPr>
        <w:lastRenderedPageBreak/>
        <w:t>of 53% in controls compared with an assumed NPD rate of 82% for those with TBI, an alpha value of 0.05, and a power of 0.9, a total of 165 patients were required.</w:t>
      </w:r>
    </w:p>
    <w:p w14:paraId="28458EA0" w14:textId="77777777" w:rsidR="0071626F" w:rsidRPr="000B5D6B" w:rsidRDefault="0071626F" w:rsidP="00AA1C81">
      <w:pPr>
        <w:spacing w:line="360" w:lineRule="auto"/>
        <w:jc w:val="both"/>
        <w:rPr>
          <w:rFonts w:ascii="Times New Roman" w:hAnsi="Times New Roman" w:cs="Times New Roman"/>
          <w:sz w:val="24"/>
          <w:szCs w:val="24"/>
        </w:rPr>
      </w:pPr>
    </w:p>
    <w:p w14:paraId="47A44BBB" w14:textId="7D7C9BEB" w:rsidR="00044155" w:rsidRPr="000B5D6B" w:rsidRDefault="00A56E86" w:rsidP="004531F7">
      <w:pPr>
        <w:spacing w:line="360" w:lineRule="auto"/>
        <w:jc w:val="center"/>
        <w:rPr>
          <w:rFonts w:ascii="Times New Roman" w:hAnsi="Times New Roman" w:cs="Times New Roman"/>
          <w:b/>
          <w:bCs/>
          <w:sz w:val="24"/>
          <w:szCs w:val="24"/>
        </w:rPr>
      </w:pPr>
      <w:r w:rsidRPr="000B5D6B">
        <w:rPr>
          <w:rFonts w:ascii="Times New Roman" w:hAnsi="Times New Roman" w:cs="Times New Roman"/>
          <w:b/>
          <w:bCs/>
          <w:sz w:val="24"/>
          <w:szCs w:val="24"/>
        </w:rPr>
        <w:t>Latent Class Analysis</w:t>
      </w:r>
    </w:p>
    <w:p w14:paraId="3C3E5917" w14:textId="393EF61A" w:rsidR="00E74BAC" w:rsidRPr="005D6C98" w:rsidRDefault="007E6636" w:rsidP="00AA1C81">
      <w:pPr>
        <w:spacing w:line="360" w:lineRule="auto"/>
        <w:jc w:val="both"/>
        <w:rPr>
          <w:rStyle w:val="cf01"/>
          <w:rFonts w:ascii="Times New Roman" w:hAnsi="Times New Roman" w:cs="Times New Roman"/>
          <w:b/>
          <w:bCs/>
          <w:sz w:val="24"/>
          <w:szCs w:val="24"/>
        </w:rPr>
      </w:pPr>
      <w:r w:rsidRPr="000B5D6B">
        <w:rPr>
          <w:rFonts w:ascii="Times New Roman" w:hAnsi="Times New Roman" w:cs="Times New Roman"/>
          <w:b/>
          <w:bCs/>
          <w:sz w:val="24"/>
          <w:szCs w:val="24"/>
        </w:rPr>
        <w:t>Objective:</w:t>
      </w:r>
      <w:r w:rsidR="003D1315" w:rsidRPr="000B5D6B">
        <w:rPr>
          <w:rFonts w:ascii="Times New Roman" w:hAnsi="Times New Roman" w:cs="Times New Roman"/>
          <w:b/>
          <w:bCs/>
          <w:sz w:val="24"/>
          <w:szCs w:val="24"/>
        </w:rPr>
        <w:t xml:space="preserve"> </w:t>
      </w:r>
      <w:r w:rsidR="005D6C98" w:rsidRPr="005D6C98">
        <w:rPr>
          <w:rFonts w:ascii="Times New Roman" w:hAnsi="Times New Roman" w:cs="Times New Roman"/>
          <w:sz w:val="24"/>
          <w:szCs w:val="24"/>
        </w:rPr>
        <w:t>To determine</w:t>
      </w:r>
      <w:r w:rsidR="005D6C98">
        <w:rPr>
          <w:rFonts w:ascii="Times New Roman" w:hAnsi="Times New Roman" w:cs="Times New Roman"/>
          <w:b/>
          <w:bCs/>
          <w:sz w:val="24"/>
          <w:szCs w:val="24"/>
        </w:rPr>
        <w:t xml:space="preserve"> </w:t>
      </w:r>
      <w:r w:rsidR="005D6C98" w:rsidRPr="00450A97">
        <w:rPr>
          <w:rFonts w:ascii="Times New Roman" w:hAnsi="Times New Roman" w:cs="Times New Roman"/>
          <w:sz w:val="24"/>
          <w:szCs w:val="24"/>
        </w:rPr>
        <w:t>specific</w:t>
      </w:r>
      <w:r w:rsidR="005D6C98">
        <w:rPr>
          <w:rFonts w:ascii="Times New Roman" w:hAnsi="Times New Roman" w:cs="Times New Roman"/>
          <w:sz w:val="24"/>
          <w:szCs w:val="24"/>
        </w:rPr>
        <w:t xml:space="preserve"> TBI</w:t>
      </w:r>
      <w:r w:rsidR="005D6C98" w:rsidRPr="00450A97">
        <w:rPr>
          <w:rFonts w:ascii="Times New Roman" w:hAnsi="Times New Roman" w:cs="Times New Roman"/>
          <w:sz w:val="24"/>
          <w:szCs w:val="24"/>
        </w:rPr>
        <w:t xml:space="preserve"> phenotypes which differ with respect to demographics, injury variables, and pre-injury psychiatric conditions</w:t>
      </w:r>
      <w:r w:rsidR="003D1315" w:rsidRPr="000B5D6B">
        <w:rPr>
          <w:rStyle w:val="cf01"/>
          <w:rFonts w:ascii="Times New Roman" w:hAnsi="Times New Roman" w:cs="Times New Roman"/>
          <w:sz w:val="24"/>
          <w:szCs w:val="24"/>
        </w:rPr>
        <w:t xml:space="preserve"> </w:t>
      </w:r>
    </w:p>
    <w:p w14:paraId="372537AD" w14:textId="2CA7C150" w:rsidR="00E74BAC" w:rsidRPr="000B5D6B" w:rsidRDefault="00E74BAC" w:rsidP="00AA1C81">
      <w:pPr>
        <w:spacing w:line="360" w:lineRule="auto"/>
        <w:jc w:val="both"/>
        <w:rPr>
          <w:rStyle w:val="cf01"/>
          <w:rFonts w:ascii="Times New Roman" w:hAnsi="Times New Roman" w:cs="Times New Roman"/>
          <w:sz w:val="24"/>
          <w:szCs w:val="24"/>
        </w:rPr>
      </w:pPr>
      <w:r w:rsidRPr="000B5D6B">
        <w:rPr>
          <w:rStyle w:val="cf01"/>
          <w:rFonts w:ascii="Times New Roman" w:hAnsi="Times New Roman" w:cs="Times New Roman"/>
          <w:sz w:val="24"/>
          <w:szCs w:val="24"/>
        </w:rPr>
        <w:t>We specify the following definitions:</w:t>
      </w:r>
    </w:p>
    <w:p w14:paraId="292E04EA" w14:textId="2E54685E" w:rsidR="00E74BAC" w:rsidRPr="000B5D6B" w:rsidRDefault="00E74BAC" w:rsidP="00AA1C81">
      <w:pPr>
        <w:spacing w:line="360" w:lineRule="auto"/>
        <w:jc w:val="both"/>
        <w:rPr>
          <w:rStyle w:val="cf01"/>
          <w:rFonts w:ascii="Times New Roman" w:hAnsi="Times New Roman" w:cs="Times New Roman"/>
          <w:sz w:val="24"/>
          <w:szCs w:val="24"/>
        </w:rPr>
      </w:pPr>
      <w:r w:rsidRPr="005D6C98">
        <w:rPr>
          <w:rStyle w:val="cf01"/>
          <w:rFonts w:ascii="Times New Roman" w:hAnsi="Times New Roman" w:cs="Times New Roman"/>
          <w:i/>
          <w:iCs/>
          <w:sz w:val="24"/>
          <w:szCs w:val="24"/>
        </w:rPr>
        <w:t>Phenotype:</w:t>
      </w:r>
      <w:r w:rsidRPr="000B5D6B">
        <w:rPr>
          <w:rStyle w:val="cf01"/>
          <w:rFonts w:ascii="Times New Roman" w:hAnsi="Times New Roman" w:cs="Times New Roman"/>
          <w:sz w:val="24"/>
          <w:szCs w:val="24"/>
        </w:rPr>
        <w:t xml:space="preserve"> a vector of distinguishing variable values/covariates that identify a specific entity, such as an individual.</w:t>
      </w:r>
    </w:p>
    <w:p w14:paraId="62FEDBD6" w14:textId="2898E5D3" w:rsidR="007E6636" w:rsidRPr="000B5D6B" w:rsidRDefault="00E74BAC" w:rsidP="00AA1C81">
      <w:pPr>
        <w:spacing w:line="360" w:lineRule="auto"/>
        <w:jc w:val="both"/>
        <w:rPr>
          <w:rStyle w:val="cf01"/>
          <w:rFonts w:ascii="Times New Roman" w:hAnsi="Times New Roman" w:cs="Times New Roman"/>
          <w:sz w:val="24"/>
          <w:szCs w:val="24"/>
        </w:rPr>
      </w:pPr>
      <w:r w:rsidRPr="005D6C98">
        <w:rPr>
          <w:rStyle w:val="cf01"/>
          <w:rFonts w:ascii="Times New Roman" w:hAnsi="Times New Roman" w:cs="Times New Roman"/>
          <w:i/>
          <w:iCs/>
          <w:sz w:val="24"/>
          <w:szCs w:val="24"/>
        </w:rPr>
        <w:t>Phenotyping:</w:t>
      </w:r>
      <w:r w:rsidRPr="000B5D6B">
        <w:rPr>
          <w:rStyle w:val="cf01"/>
          <w:rFonts w:ascii="Times New Roman" w:hAnsi="Times New Roman" w:cs="Times New Roman"/>
          <w:sz w:val="24"/>
          <w:szCs w:val="24"/>
        </w:rPr>
        <w:t xml:space="preserve"> </w:t>
      </w:r>
      <w:r w:rsidR="003D1315" w:rsidRPr="000B5D6B">
        <w:rPr>
          <w:rStyle w:val="cf01"/>
          <w:rFonts w:ascii="Times New Roman" w:hAnsi="Times New Roman" w:cs="Times New Roman"/>
          <w:sz w:val="24"/>
          <w:szCs w:val="24"/>
        </w:rPr>
        <w:t>An unsupervised process of partitioning a heterogeneous population into homogeneous sub-populations, where each group has similar characteristics in terms of the predicting variables/covariates</w:t>
      </w:r>
    </w:p>
    <w:p w14:paraId="5CFDD969" w14:textId="0777AA3B" w:rsidR="00C23D25" w:rsidRPr="000B5D6B" w:rsidRDefault="00C23D25" w:rsidP="00C23D25">
      <w:pPr>
        <w:spacing w:line="360" w:lineRule="auto"/>
        <w:jc w:val="both"/>
        <w:rPr>
          <w:rFonts w:ascii="Times New Roman" w:hAnsi="Times New Roman" w:cs="Times New Roman"/>
          <w:b/>
          <w:bCs/>
          <w:sz w:val="24"/>
          <w:szCs w:val="24"/>
        </w:rPr>
      </w:pPr>
      <w:r w:rsidRPr="000B5D6B">
        <w:rPr>
          <w:rFonts w:ascii="Times New Roman" w:hAnsi="Times New Roman" w:cs="Times New Roman"/>
          <w:b/>
          <w:bCs/>
          <w:sz w:val="24"/>
          <w:szCs w:val="24"/>
        </w:rPr>
        <w:t>Data elements:</w:t>
      </w:r>
      <w:r w:rsidR="005D6C98">
        <w:rPr>
          <w:rFonts w:ascii="Times New Roman" w:hAnsi="Times New Roman" w:cs="Times New Roman"/>
          <w:b/>
          <w:bCs/>
          <w:sz w:val="24"/>
          <w:szCs w:val="24"/>
        </w:rPr>
        <w:t xml:space="preserve"> </w:t>
      </w:r>
      <w:r w:rsidR="005D6C98" w:rsidRPr="00450A97">
        <w:rPr>
          <w:rStyle w:val="cf01"/>
          <w:rFonts w:ascii="Times New Roman" w:hAnsi="Times New Roman" w:cs="Times New Roman"/>
          <w:sz w:val="24"/>
          <w:szCs w:val="24"/>
        </w:rPr>
        <w:t>For those without psychiatric history, indicators included</w:t>
      </w:r>
      <w:r w:rsidR="005D6C98" w:rsidRPr="00450A97">
        <w:rPr>
          <w:rFonts w:ascii="Times New Roman" w:hAnsi="Times New Roman" w:cs="Times New Roman"/>
          <w:b/>
          <w:bCs/>
          <w:sz w:val="24"/>
          <w:szCs w:val="24"/>
        </w:rPr>
        <w:t xml:space="preserve"> </w:t>
      </w:r>
      <w:r w:rsidR="005D6C98" w:rsidRPr="00450A97">
        <w:rPr>
          <w:rFonts w:ascii="Times New Roman" w:hAnsi="Times New Roman" w:cs="Times New Roman"/>
          <w:sz w:val="24"/>
          <w:szCs w:val="24"/>
        </w:rPr>
        <w:t>sex, categories of age, categories of CCI, injury mechanism, injury severity (maximum AIS Head), prolonged LOS, and discharge destination were used as indicators. For those with pre-injury psychiatric disorders, indicators included, past psychiatric conditions were added to the previously described indicators.</w:t>
      </w:r>
      <w:r w:rsidR="005D6C98">
        <w:rPr>
          <w:rFonts w:ascii="Times New Roman" w:hAnsi="Times New Roman" w:cs="Times New Roman"/>
          <w:sz w:val="24"/>
          <w:szCs w:val="24"/>
        </w:rPr>
        <w:t xml:space="preserve"> See Supplementary Table 1 for details.</w:t>
      </w:r>
    </w:p>
    <w:p w14:paraId="441D13C1" w14:textId="4C0F1E8D" w:rsidR="001F1F4C" w:rsidRPr="005D6C98" w:rsidRDefault="00061E48" w:rsidP="00AA1C81">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Methodology:</w:t>
      </w:r>
      <w:r w:rsidR="005D6C98">
        <w:rPr>
          <w:rFonts w:ascii="Times New Roman" w:hAnsi="Times New Roman" w:cs="Times New Roman"/>
          <w:b/>
          <w:bCs/>
          <w:sz w:val="24"/>
          <w:szCs w:val="24"/>
        </w:rPr>
        <w:t xml:space="preserve"> </w:t>
      </w:r>
      <w:r w:rsidR="001F1F4C" w:rsidRPr="000B5D6B">
        <w:rPr>
          <w:rFonts w:ascii="Times New Roman" w:hAnsi="Times New Roman" w:cs="Times New Roman"/>
          <w:sz w:val="24"/>
          <w:szCs w:val="24"/>
        </w:rPr>
        <w:t xml:space="preserve">LCA was conducted in R version 4.2 using the </w:t>
      </w:r>
      <w:proofErr w:type="spellStart"/>
      <w:r w:rsidR="001F1F4C" w:rsidRPr="000B5D6B">
        <w:rPr>
          <w:rFonts w:ascii="Times New Roman" w:hAnsi="Times New Roman" w:cs="Times New Roman"/>
          <w:i/>
          <w:iCs/>
          <w:sz w:val="24"/>
          <w:szCs w:val="24"/>
        </w:rPr>
        <w:t>poLCA</w:t>
      </w:r>
      <w:proofErr w:type="spellEnd"/>
      <w:r w:rsidR="001F1F4C" w:rsidRPr="000B5D6B">
        <w:rPr>
          <w:rFonts w:ascii="Times New Roman" w:hAnsi="Times New Roman" w:cs="Times New Roman"/>
          <w:sz w:val="24"/>
          <w:szCs w:val="24"/>
        </w:rPr>
        <w:t xml:space="preserve"> package. Relative fit was evaluated using the Bayesian </w:t>
      </w:r>
      <w:r w:rsidR="000B5040" w:rsidRPr="000B5D6B">
        <w:rPr>
          <w:rFonts w:ascii="Times New Roman" w:hAnsi="Times New Roman" w:cs="Times New Roman"/>
          <w:sz w:val="24"/>
          <w:szCs w:val="24"/>
        </w:rPr>
        <w:t>I</w:t>
      </w:r>
      <w:r w:rsidR="001F1F4C" w:rsidRPr="000B5D6B">
        <w:rPr>
          <w:rFonts w:ascii="Times New Roman" w:hAnsi="Times New Roman" w:cs="Times New Roman"/>
          <w:sz w:val="24"/>
          <w:szCs w:val="24"/>
        </w:rPr>
        <w:t xml:space="preserve">nformation </w:t>
      </w:r>
      <w:r w:rsidR="000B5040" w:rsidRPr="000B5D6B">
        <w:rPr>
          <w:rFonts w:ascii="Times New Roman" w:hAnsi="Times New Roman" w:cs="Times New Roman"/>
          <w:sz w:val="24"/>
          <w:szCs w:val="24"/>
        </w:rPr>
        <w:t xml:space="preserve">Criterion </w:t>
      </w:r>
      <w:r w:rsidR="001F1F4C" w:rsidRPr="000B5D6B">
        <w:rPr>
          <w:rFonts w:ascii="Times New Roman" w:hAnsi="Times New Roman" w:cs="Times New Roman"/>
          <w:sz w:val="24"/>
          <w:szCs w:val="24"/>
        </w:rPr>
        <w:t xml:space="preserve">(BIC), the sample-size adjusted BIC (SABIC), and Vuong-Lo-Mendell-Rubin adjusted likelihood ratio test (VLMR-LRT). The VLMR-LRT was calculated using the </w:t>
      </w:r>
      <w:proofErr w:type="spellStart"/>
      <w:r w:rsidR="001F1F4C" w:rsidRPr="000B5D6B">
        <w:rPr>
          <w:rFonts w:ascii="Times New Roman" w:hAnsi="Times New Roman" w:cs="Times New Roman"/>
          <w:i/>
          <w:iCs/>
          <w:sz w:val="24"/>
          <w:szCs w:val="24"/>
        </w:rPr>
        <w:t>tidyLPA</w:t>
      </w:r>
      <w:proofErr w:type="spellEnd"/>
      <w:r w:rsidR="001F1F4C" w:rsidRPr="000B5D6B">
        <w:rPr>
          <w:rFonts w:ascii="Times New Roman" w:hAnsi="Times New Roman" w:cs="Times New Roman"/>
          <w:sz w:val="24"/>
          <w:szCs w:val="24"/>
        </w:rPr>
        <w:t xml:space="preserve"> package in R. Lower values for BIC and SABIC indicate relatively better balance between parsimony and model fit. Emphasis was placed on BIC and VLMR-LRT given evidence showing their unique strength in identifying the ideal number of classes </w:t>
      </w:r>
      <w:r w:rsidR="001F1F4C" w:rsidRPr="000B5D6B">
        <w:rPr>
          <w:rFonts w:ascii="Times New Roman" w:hAnsi="Times New Roman" w:cs="Times New Roman"/>
          <w:sz w:val="24"/>
          <w:szCs w:val="24"/>
        </w:rPr>
        <w:fldChar w:fldCharType="begin"/>
      </w:r>
      <w:r w:rsidR="001F1F4C" w:rsidRPr="000B5D6B">
        <w:rPr>
          <w:rFonts w:ascii="Times New Roman" w:hAnsi="Times New Roman" w:cs="Times New Roman"/>
          <w:sz w:val="24"/>
          <w:szCs w:val="24"/>
        </w:rPr>
        <w:instrText xml:space="preserve"> ADDIN ZOTERO_ITEM CSL_CITATION {"citationID":"eurZvqwx","properties":{"formattedCitation":"(Nylund et al., 2007)","plainCitation":"(Nylund et al., 2007)","noteIndex":0},"citationItems":[{"id":1967,"uris":["http://zotero.org/users/8295376/items/6RQUP2WQ"],"itemData":{"id":1967,"type":"article-journal","abstract":"Mixture modeling is a widely applied data analysis technique used to identify unobserved heterogeneity in a population. Despite mixture models' usefulness in practice, one unresolved issue in the application of mixture models is that there is not one commonly accepted statistical indicator for deciding on the number of classes in a study population. This article presents the results of a simulation study that examines the performance of likelihood-based tests and the traditionally used Information Criterion (ICs) used for determining the number of classes in mixture modeling. We look at the performance of these tests and indexes for 3 types of mixture models: latent class analysis (LCA), a factor mixture model (FMA), and a growth mixture models (GMM). We evaluate the ability of the tests and indexes to correctly identify the number of classes at three different sample sizes (n = 200, 500, 1,000). Whereas the Bayesian Information Criterion performed the best of the ICs, the bootstrap likelihood ratio test proved to be a very consistent indicator of classes across all of the models considered.","container-title":"Structural Equation Modeling: A Multidisciplinary Journal","DOI":"10.1080/10705510701575396","ISSN":"1070-5511","issue":"4","note":"publisher: Routledge\n_eprint: https://doi.org/10.1080/10705510701575396","page":"535-569","source":"Taylor and Francis+NEJM","title":"Deciding on the Number of Classes in Latent Class Analysis and Growth Mixture Modeling: A Monte Carlo Simulation Study","title-short":"Deciding on the Number of Classes in Latent Class Analysis and Growth Mixture Modeling","volume":"14","author":[{"family":"Nylund","given":"Karen L."},{"family":"Asparouhov","given":"Tihomir"},{"family":"Muthén","given":"Bengt O."}],"issued":{"date-parts":[["2007",10,23]]}}}],"schema":"https://github.com/citation-style-language/schema/raw/master/csl-citation.json"} </w:instrText>
      </w:r>
      <w:r w:rsidR="001F1F4C" w:rsidRPr="000B5D6B">
        <w:rPr>
          <w:rFonts w:ascii="Times New Roman" w:hAnsi="Times New Roman" w:cs="Times New Roman"/>
          <w:sz w:val="24"/>
          <w:szCs w:val="24"/>
        </w:rPr>
        <w:fldChar w:fldCharType="separate"/>
      </w:r>
      <w:r w:rsidR="001F1F4C" w:rsidRPr="000B5D6B">
        <w:rPr>
          <w:rFonts w:ascii="Times New Roman" w:hAnsi="Times New Roman" w:cs="Times New Roman"/>
          <w:sz w:val="24"/>
          <w:szCs w:val="24"/>
        </w:rPr>
        <w:t>(Nylund et al., 2007)</w:t>
      </w:r>
      <w:r w:rsidR="001F1F4C" w:rsidRPr="000B5D6B">
        <w:rPr>
          <w:rFonts w:ascii="Times New Roman" w:hAnsi="Times New Roman" w:cs="Times New Roman"/>
          <w:sz w:val="24"/>
          <w:szCs w:val="24"/>
        </w:rPr>
        <w:fldChar w:fldCharType="end"/>
      </w:r>
      <w:r w:rsidR="001F1F4C" w:rsidRPr="000B5D6B">
        <w:rPr>
          <w:rFonts w:ascii="Times New Roman" w:hAnsi="Times New Roman" w:cs="Times New Roman"/>
          <w:sz w:val="24"/>
          <w:szCs w:val="24"/>
        </w:rPr>
        <w:t xml:space="preserve">. </w:t>
      </w:r>
      <w:bookmarkStart w:id="0" w:name="_Hlk141441133"/>
      <w:r w:rsidR="001F1F4C" w:rsidRPr="000B5D6B">
        <w:rPr>
          <w:rFonts w:ascii="Times New Roman" w:hAnsi="Times New Roman" w:cs="Times New Roman"/>
          <w:sz w:val="24"/>
          <w:szCs w:val="24"/>
        </w:rPr>
        <w:t xml:space="preserve">The VLMR-LRT compares the fit between two neighboring class models, where a nonsignificant </w:t>
      </w:r>
      <w:r w:rsidR="001F1F4C" w:rsidRPr="000B5D6B">
        <w:rPr>
          <w:rFonts w:ascii="Times New Roman" w:hAnsi="Times New Roman" w:cs="Times New Roman"/>
          <w:i/>
          <w:iCs/>
          <w:sz w:val="24"/>
          <w:szCs w:val="24"/>
        </w:rPr>
        <w:t>p</w:t>
      </w:r>
      <w:r w:rsidR="001F1F4C" w:rsidRPr="000B5D6B">
        <w:rPr>
          <w:rFonts w:ascii="Times New Roman" w:hAnsi="Times New Roman" w:cs="Times New Roman"/>
          <w:sz w:val="24"/>
          <w:szCs w:val="24"/>
        </w:rPr>
        <w:t xml:space="preserve"> value indicates that the model with one fewer class provides a more parsimonious fit to the data.</w:t>
      </w:r>
      <w:bookmarkEnd w:id="0"/>
    </w:p>
    <w:p w14:paraId="5E76C6F7" w14:textId="6ED57123" w:rsidR="003E5EAC" w:rsidRPr="000B5D6B" w:rsidRDefault="003E5EAC" w:rsidP="00AA1C81">
      <w:pPr>
        <w:spacing w:line="360" w:lineRule="auto"/>
        <w:jc w:val="both"/>
        <w:rPr>
          <w:rFonts w:ascii="Times New Roman" w:hAnsi="Times New Roman" w:cs="Times New Roman"/>
          <w:sz w:val="24"/>
          <w:szCs w:val="24"/>
        </w:rPr>
      </w:pPr>
      <w:r w:rsidRPr="000B5D6B">
        <w:rPr>
          <w:rFonts w:ascii="Times New Roman" w:hAnsi="Times New Roman" w:cs="Times New Roman"/>
          <w:sz w:val="24"/>
          <w:szCs w:val="24"/>
        </w:rPr>
        <w:t xml:space="preserve">After class enumeration, the classification accuracy of the models was evaluated using the matrix of average posterior probability of correct classification for each class. This classification metric </w:t>
      </w:r>
      <w:r w:rsidRPr="000B5D6B">
        <w:rPr>
          <w:rFonts w:ascii="Times New Roman" w:hAnsi="Times New Roman" w:cs="Times New Roman"/>
          <w:sz w:val="24"/>
          <w:szCs w:val="24"/>
        </w:rPr>
        <w:lastRenderedPageBreak/>
        <w:t xml:space="preserve">describes the proportion in each class that is correctly classified in each of the classes, where high diagonal and low off-diagonal values reflect better classification. The assessment of empirical robustness was complemented by an emphasis on interpretability and theoretical utility during the process of model selection </w:t>
      </w:r>
      <w:r w:rsidRPr="000B5D6B">
        <w:rPr>
          <w:rFonts w:ascii="Times New Roman" w:hAnsi="Times New Roman" w:cs="Times New Roman"/>
          <w:sz w:val="24"/>
          <w:szCs w:val="24"/>
        </w:rPr>
        <w:fldChar w:fldCharType="begin"/>
      </w:r>
      <w:r w:rsidRPr="000B5D6B">
        <w:rPr>
          <w:rFonts w:ascii="Times New Roman" w:hAnsi="Times New Roman" w:cs="Times New Roman"/>
          <w:sz w:val="24"/>
          <w:szCs w:val="24"/>
        </w:rPr>
        <w:instrText xml:space="preserve"> ADDIN ZOTERO_ITEM CSL_CITATION {"citationID":"tKqOz14u","properties":{"formattedCitation":"(Muth\\uc0\\u233{}n, 2003)","plainCitation":"(Muthén, 2003)","noteIndex":0},"citationItems":[{"id":1971,"uris":["http://zotero.org/users/8295376/items/SAE9JA3Z"],"itemData":{"id":1971,"type":"article-journal","abstract":"This commentary discusses the D. J. Bauer and P. J. Curran (2003) investigation of growth mixture modeling. Single-class modeling of nonnormal outcomes is compared with modeling with multiple latent trajectory classes. New statistical tests of multiple-class models are discussed. Principles for substantive investigation of growth mixture model results are presented and illustrated by an example of high school dropout predicted by low mathematics achievement development in Grades 7-10.","container-title":"Psychological Methods","DOI":"10.1037/1082-989X.8.3.369","ISSN":"1082-989X","issue":"3","journalAbbreviation":"Psychol Methods","language":"eng","note":"PMID: 14596497","page":"369-377; discussion 384-393","source":"PubMed","title":"Statistical and substantive checking in growth mixture modeling: comment on Bauer and Curran (2003)","title-short":"Statistical and substantive checking in growth mixture modeling","volume":"8","author":[{"family":"Muthén","given":"Bengt"}],"issued":{"date-parts":[["2003",9]]}}}],"schema":"https://github.com/citation-style-language/schema/raw/master/csl-citation.json"} </w:instrText>
      </w:r>
      <w:r w:rsidRPr="000B5D6B">
        <w:rPr>
          <w:rFonts w:ascii="Times New Roman" w:hAnsi="Times New Roman" w:cs="Times New Roman"/>
          <w:sz w:val="24"/>
          <w:szCs w:val="24"/>
        </w:rPr>
        <w:fldChar w:fldCharType="separate"/>
      </w:r>
      <w:r w:rsidRPr="000B5D6B">
        <w:rPr>
          <w:rFonts w:ascii="Times New Roman" w:hAnsi="Times New Roman" w:cs="Times New Roman"/>
          <w:sz w:val="24"/>
          <w:szCs w:val="24"/>
        </w:rPr>
        <w:t>(Muthén, 2003)</w:t>
      </w:r>
      <w:r w:rsidRPr="000B5D6B">
        <w:rPr>
          <w:rFonts w:ascii="Times New Roman" w:hAnsi="Times New Roman" w:cs="Times New Roman"/>
          <w:sz w:val="24"/>
          <w:szCs w:val="24"/>
        </w:rPr>
        <w:fldChar w:fldCharType="end"/>
      </w:r>
      <w:r w:rsidRPr="000B5D6B">
        <w:rPr>
          <w:rFonts w:ascii="Times New Roman" w:hAnsi="Times New Roman" w:cs="Times New Roman"/>
          <w:sz w:val="24"/>
          <w:szCs w:val="24"/>
        </w:rPr>
        <w:t>. Final evaluation of model</w:t>
      </w:r>
      <w:r w:rsidR="00AA1C81" w:rsidRPr="000B5D6B">
        <w:rPr>
          <w:rFonts w:ascii="Times New Roman" w:hAnsi="Times New Roman" w:cs="Times New Roman"/>
          <w:sz w:val="24"/>
          <w:szCs w:val="24"/>
        </w:rPr>
        <w:t>s</w:t>
      </w:r>
      <w:r w:rsidRPr="000B5D6B">
        <w:rPr>
          <w:rFonts w:ascii="Times New Roman" w:hAnsi="Times New Roman" w:cs="Times New Roman"/>
          <w:sz w:val="24"/>
          <w:szCs w:val="24"/>
        </w:rPr>
        <w:t xml:space="preserve"> considered whether the </w:t>
      </w:r>
      <w:r w:rsidR="00AA1C81" w:rsidRPr="000B5D6B">
        <w:rPr>
          <w:rFonts w:ascii="Times New Roman" w:hAnsi="Times New Roman" w:cs="Times New Roman"/>
          <w:sz w:val="24"/>
          <w:szCs w:val="24"/>
        </w:rPr>
        <w:t xml:space="preserve">final </w:t>
      </w:r>
      <w:r w:rsidRPr="000B5D6B">
        <w:rPr>
          <w:rFonts w:ascii="Times New Roman" w:hAnsi="Times New Roman" w:cs="Times New Roman"/>
          <w:sz w:val="24"/>
          <w:szCs w:val="24"/>
        </w:rPr>
        <w:t xml:space="preserve">solution reflected </w:t>
      </w:r>
      <w:r w:rsidR="00AA1C81" w:rsidRPr="000B5D6B">
        <w:rPr>
          <w:rFonts w:ascii="Times New Roman" w:hAnsi="Times New Roman" w:cs="Times New Roman"/>
          <w:sz w:val="24"/>
          <w:szCs w:val="24"/>
        </w:rPr>
        <w:t>distinct</w:t>
      </w:r>
      <w:r w:rsidRPr="000B5D6B">
        <w:rPr>
          <w:rFonts w:ascii="Times New Roman" w:hAnsi="Times New Roman" w:cs="Times New Roman"/>
          <w:sz w:val="24"/>
          <w:szCs w:val="24"/>
        </w:rPr>
        <w:t xml:space="preserve"> and </w:t>
      </w:r>
      <w:r w:rsidR="00AA1C81" w:rsidRPr="000B5D6B">
        <w:rPr>
          <w:rFonts w:ascii="Times New Roman" w:hAnsi="Times New Roman" w:cs="Times New Roman"/>
          <w:sz w:val="24"/>
          <w:szCs w:val="24"/>
        </w:rPr>
        <w:t>interpretable</w:t>
      </w:r>
      <w:r w:rsidRPr="000B5D6B">
        <w:rPr>
          <w:rFonts w:ascii="Times New Roman" w:hAnsi="Times New Roman" w:cs="Times New Roman"/>
          <w:sz w:val="24"/>
          <w:szCs w:val="24"/>
        </w:rPr>
        <w:t xml:space="preserve"> groups. The classes were named in a way that best represented the most notable discoveries in the data, however, names are only for ease of presentation and do not necessarily reflect all differences between classes.</w:t>
      </w:r>
    </w:p>
    <w:p w14:paraId="0374AA68" w14:textId="77777777" w:rsidR="00A56E86" w:rsidRPr="000B5D6B" w:rsidRDefault="00A56E86" w:rsidP="00AA1C81">
      <w:pPr>
        <w:spacing w:line="360" w:lineRule="auto"/>
        <w:jc w:val="both"/>
        <w:rPr>
          <w:rFonts w:ascii="Times New Roman" w:hAnsi="Times New Roman" w:cs="Times New Roman"/>
          <w:sz w:val="24"/>
          <w:szCs w:val="24"/>
        </w:rPr>
      </w:pPr>
    </w:p>
    <w:p w14:paraId="0630F12F" w14:textId="77777777" w:rsidR="002453E8" w:rsidRPr="000B5D6B" w:rsidRDefault="002453E8" w:rsidP="00AA1C81">
      <w:pPr>
        <w:spacing w:line="360" w:lineRule="auto"/>
        <w:jc w:val="both"/>
        <w:rPr>
          <w:rFonts w:ascii="Times New Roman" w:hAnsi="Times New Roman" w:cs="Times New Roman"/>
          <w:sz w:val="24"/>
          <w:szCs w:val="24"/>
          <w:lang w:val="en-US"/>
        </w:rPr>
      </w:pPr>
    </w:p>
    <w:sectPr w:rsidR="002453E8" w:rsidRPr="000B5D6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3E8"/>
    <w:rsid w:val="00001510"/>
    <w:rsid w:val="00001B8A"/>
    <w:rsid w:val="000024E1"/>
    <w:rsid w:val="0000391A"/>
    <w:rsid w:val="00003CA8"/>
    <w:rsid w:val="000041EC"/>
    <w:rsid w:val="00006938"/>
    <w:rsid w:val="00010315"/>
    <w:rsid w:val="00012944"/>
    <w:rsid w:val="000152BC"/>
    <w:rsid w:val="000160C1"/>
    <w:rsid w:val="00016F79"/>
    <w:rsid w:val="0002185A"/>
    <w:rsid w:val="00022B63"/>
    <w:rsid w:val="000232E5"/>
    <w:rsid w:val="000244D6"/>
    <w:rsid w:val="000301C1"/>
    <w:rsid w:val="000316FC"/>
    <w:rsid w:val="00032347"/>
    <w:rsid w:val="00033B50"/>
    <w:rsid w:val="00035268"/>
    <w:rsid w:val="00035687"/>
    <w:rsid w:val="00037C63"/>
    <w:rsid w:val="00042DB0"/>
    <w:rsid w:val="00043700"/>
    <w:rsid w:val="00044155"/>
    <w:rsid w:val="00045186"/>
    <w:rsid w:val="00050727"/>
    <w:rsid w:val="00051A4B"/>
    <w:rsid w:val="00052436"/>
    <w:rsid w:val="0005531F"/>
    <w:rsid w:val="00057282"/>
    <w:rsid w:val="00061E48"/>
    <w:rsid w:val="000629DD"/>
    <w:rsid w:val="00062A53"/>
    <w:rsid w:val="00064807"/>
    <w:rsid w:val="00064A09"/>
    <w:rsid w:val="000651F5"/>
    <w:rsid w:val="000676E1"/>
    <w:rsid w:val="00070FDF"/>
    <w:rsid w:val="00072847"/>
    <w:rsid w:val="000746DF"/>
    <w:rsid w:val="00075F15"/>
    <w:rsid w:val="0007757B"/>
    <w:rsid w:val="00082928"/>
    <w:rsid w:val="00082AF5"/>
    <w:rsid w:val="00082C25"/>
    <w:rsid w:val="00084058"/>
    <w:rsid w:val="0008426C"/>
    <w:rsid w:val="0008437A"/>
    <w:rsid w:val="00087458"/>
    <w:rsid w:val="00092725"/>
    <w:rsid w:val="00094A3F"/>
    <w:rsid w:val="000A016B"/>
    <w:rsid w:val="000A16DC"/>
    <w:rsid w:val="000A65E1"/>
    <w:rsid w:val="000A7F8A"/>
    <w:rsid w:val="000B05E4"/>
    <w:rsid w:val="000B1D3A"/>
    <w:rsid w:val="000B3336"/>
    <w:rsid w:val="000B5040"/>
    <w:rsid w:val="000B5D6B"/>
    <w:rsid w:val="000B63A4"/>
    <w:rsid w:val="000C2140"/>
    <w:rsid w:val="000C4540"/>
    <w:rsid w:val="000C5C34"/>
    <w:rsid w:val="000C7CC7"/>
    <w:rsid w:val="000D007C"/>
    <w:rsid w:val="000D02FF"/>
    <w:rsid w:val="000D065D"/>
    <w:rsid w:val="000D1C82"/>
    <w:rsid w:val="000D7BDA"/>
    <w:rsid w:val="000E35D1"/>
    <w:rsid w:val="000E5C6D"/>
    <w:rsid w:val="000F095F"/>
    <w:rsid w:val="000F32E1"/>
    <w:rsid w:val="000F5045"/>
    <w:rsid w:val="000F5CD3"/>
    <w:rsid w:val="000F7627"/>
    <w:rsid w:val="00100BA4"/>
    <w:rsid w:val="001033D1"/>
    <w:rsid w:val="001038A8"/>
    <w:rsid w:val="0010677E"/>
    <w:rsid w:val="0011057D"/>
    <w:rsid w:val="0011098F"/>
    <w:rsid w:val="00110D80"/>
    <w:rsid w:val="0011234E"/>
    <w:rsid w:val="001202F7"/>
    <w:rsid w:val="001213AB"/>
    <w:rsid w:val="00123616"/>
    <w:rsid w:val="001251FD"/>
    <w:rsid w:val="00125701"/>
    <w:rsid w:val="00127E1C"/>
    <w:rsid w:val="001337ED"/>
    <w:rsid w:val="00133A98"/>
    <w:rsid w:val="00133C1B"/>
    <w:rsid w:val="00133C8F"/>
    <w:rsid w:val="001372D9"/>
    <w:rsid w:val="0013737F"/>
    <w:rsid w:val="00145FEE"/>
    <w:rsid w:val="0015020A"/>
    <w:rsid w:val="001513E0"/>
    <w:rsid w:val="00154E08"/>
    <w:rsid w:val="00156CB1"/>
    <w:rsid w:val="00162243"/>
    <w:rsid w:val="00165565"/>
    <w:rsid w:val="00167BAD"/>
    <w:rsid w:val="00170254"/>
    <w:rsid w:val="00174163"/>
    <w:rsid w:val="00174F3C"/>
    <w:rsid w:val="00177434"/>
    <w:rsid w:val="00177A07"/>
    <w:rsid w:val="00177DA7"/>
    <w:rsid w:val="00180549"/>
    <w:rsid w:val="00180646"/>
    <w:rsid w:val="00187E13"/>
    <w:rsid w:val="00190763"/>
    <w:rsid w:val="0019173D"/>
    <w:rsid w:val="00191781"/>
    <w:rsid w:val="00192AE0"/>
    <w:rsid w:val="00193B4E"/>
    <w:rsid w:val="00197A0B"/>
    <w:rsid w:val="001A0AD5"/>
    <w:rsid w:val="001A1BFE"/>
    <w:rsid w:val="001A2E53"/>
    <w:rsid w:val="001A379F"/>
    <w:rsid w:val="001A4B0D"/>
    <w:rsid w:val="001A5313"/>
    <w:rsid w:val="001A6E95"/>
    <w:rsid w:val="001B009E"/>
    <w:rsid w:val="001B0BAF"/>
    <w:rsid w:val="001B0F66"/>
    <w:rsid w:val="001B1568"/>
    <w:rsid w:val="001B5211"/>
    <w:rsid w:val="001B63DC"/>
    <w:rsid w:val="001C2451"/>
    <w:rsid w:val="001D1780"/>
    <w:rsid w:val="001D182E"/>
    <w:rsid w:val="001D5B8D"/>
    <w:rsid w:val="001E04AC"/>
    <w:rsid w:val="001E17C9"/>
    <w:rsid w:val="001E2311"/>
    <w:rsid w:val="001F1F4C"/>
    <w:rsid w:val="001F764E"/>
    <w:rsid w:val="00201B01"/>
    <w:rsid w:val="00202ADE"/>
    <w:rsid w:val="00204A4C"/>
    <w:rsid w:val="00205002"/>
    <w:rsid w:val="00210146"/>
    <w:rsid w:val="00211CA4"/>
    <w:rsid w:val="0021291F"/>
    <w:rsid w:val="00217384"/>
    <w:rsid w:val="0022181D"/>
    <w:rsid w:val="00222FBE"/>
    <w:rsid w:val="00224BAA"/>
    <w:rsid w:val="00226055"/>
    <w:rsid w:val="002263D7"/>
    <w:rsid w:val="002316EF"/>
    <w:rsid w:val="00231D6D"/>
    <w:rsid w:val="0023200D"/>
    <w:rsid w:val="00235C63"/>
    <w:rsid w:val="00235DC1"/>
    <w:rsid w:val="002453E8"/>
    <w:rsid w:val="00247CB5"/>
    <w:rsid w:val="002501F2"/>
    <w:rsid w:val="00251F31"/>
    <w:rsid w:val="00252D19"/>
    <w:rsid w:val="00253AF9"/>
    <w:rsid w:val="00255D34"/>
    <w:rsid w:val="00256E39"/>
    <w:rsid w:val="00257F82"/>
    <w:rsid w:val="002616A9"/>
    <w:rsid w:val="00261A48"/>
    <w:rsid w:val="002623B0"/>
    <w:rsid w:val="002650F0"/>
    <w:rsid w:val="00266DF0"/>
    <w:rsid w:val="00273DEB"/>
    <w:rsid w:val="00276B2F"/>
    <w:rsid w:val="002771CB"/>
    <w:rsid w:val="00277611"/>
    <w:rsid w:val="00277671"/>
    <w:rsid w:val="00277AB1"/>
    <w:rsid w:val="002801ED"/>
    <w:rsid w:val="002832E4"/>
    <w:rsid w:val="00283FE0"/>
    <w:rsid w:val="00285EA5"/>
    <w:rsid w:val="00287247"/>
    <w:rsid w:val="00287A32"/>
    <w:rsid w:val="00292556"/>
    <w:rsid w:val="00295FE1"/>
    <w:rsid w:val="0029740A"/>
    <w:rsid w:val="00297CEA"/>
    <w:rsid w:val="002A11ED"/>
    <w:rsid w:val="002A198B"/>
    <w:rsid w:val="002A1F24"/>
    <w:rsid w:val="002A6C2B"/>
    <w:rsid w:val="002B035C"/>
    <w:rsid w:val="002B0F5A"/>
    <w:rsid w:val="002B3984"/>
    <w:rsid w:val="002B4C3A"/>
    <w:rsid w:val="002B50CB"/>
    <w:rsid w:val="002B700F"/>
    <w:rsid w:val="002B7191"/>
    <w:rsid w:val="002C34CD"/>
    <w:rsid w:val="002C44CE"/>
    <w:rsid w:val="002C53A4"/>
    <w:rsid w:val="002C7C18"/>
    <w:rsid w:val="002D6F8F"/>
    <w:rsid w:val="002E0F90"/>
    <w:rsid w:val="002E55E6"/>
    <w:rsid w:val="002E615A"/>
    <w:rsid w:val="002E6F13"/>
    <w:rsid w:val="002F4A6E"/>
    <w:rsid w:val="002F5894"/>
    <w:rsid w:val="003020F6"/>
    <w:rsid w:val="00304A59"/>
    <w:rsid w:val="00306C8D"/>
    <w:rsid w:val="00307638"/>
    <w:rsid w:val="0031307E"/>
    <w:rsid w:val="00313ECF"/>
    <w:rsid w:val="00316415"/>
    <w:rsid w:val="003170EF"/>
    <w:rsid w:val="0032408D"/>
    <w:rsid w:val="00325972"/>
    <w:rsid w:val="00325E71"/>
    <w:rsid w:val="00326195"/>
    <w:rsid w:val="00326746"/>
    <w:rsid w:val="0032688C"/>
    <w:rsid w:val="00327C66"/>
    <w:rsid w:val="00334F4C"/>
    <w:rsid w:val="00336E4B"/>
    <w:rsid w:val="00337108"/>
    <w:rsid w:val="00343913"/>
    <w:rsid w:val="00345FB9"/>
    <w:rsid w:val="003468AD"/>
    <w:rsid w:val="0034768A"/>
    <w:rsid w:val="003479B0"/>
    <w:rsid w:val="00350130"/>
    <w:rsid w:val="003501E1"/>
    <w:rsid w:val="003514C8"/>
    <w:rsid w:val="003538F1"/>
    <w:rsid w:val="003563FE"/>
    <w:rsid w:val="00357F29"/>
    <w:rsid w:val="003621D8"/>
    <w:rsid w:val="00362F62"/>
    <w:rsid w:val="003643F1"/>
    <w:rsid w:val="00371BA6"/>
    <w:rsid w:val="00372C4B"/>
    <w:rsid w:val="00373045"/>
    <w:rsid w:val="00373086"/>
    <w:rsid w:val="00376175"/>
    <w:rsid w:val="003768C2"/>
    <w:rsid w:val="003820D7"/>
    <w:rsid w:val="00382303"/>
    <w:rsid w:val="00383029"/>
    <w:rsid w:val="00384EC6"/>
    <w:rsid w:val="00387A5A"/>
    <w:rsid w:val="00391F35"/>
    <w:rsid w:val="0039202B"/>
    <w:rsid w:val="00394059"/>
    <w:rsid w:val="00394910"/>
    <w:rsid w:val="003960CF"/>
    <w:rsid w:val="003A0568"/>
    <w:rsid w:val="003A24A1"/>
    <w:rsid w:val="003A4874"/>
    <w:rsid w:val="003A595E"/>
    <w:rsid w:val="003A7157"/>
    <w:rsid w:val="003A7EE2"/>
    <w:rsid w:val="003B4239"/>
    <w:rsid w:val="003B7DA5"/>
    <w:rsid w:val="003C30E3"/>
    <w:rsid w:val="003C73E4"/>
    <w:rsid w:val="003D03C8"/>
    <w:rsid w:val="003D0D9E"/>
    <w:rsid w:val="003D1315"/>
    <w:rsid w:val="003D38D0"/>
    <w:rsid w:val="003D39A9"/>
    <w:rsid w:val="003D3AE2"/>
    <w:rsid w:val="003D6A23"/>
    <w:rsid w:val="003E0574"/>
    <w:rsid w:val="003E064F"/>
    <w:rsid w:val="003E0C58"/>
    <w:rsid w:val="003E45AE"/>
    <w:rsid w:val="003E49AF"/>
    <w:rsid w:val="003E50E4"/>
    <w:rsid w:val="003E5EAC"/>
    <w:rsid w:val="003E6401"/>
    <w:rsid w:val="003E77F6"/>
    <w:rsid w:val="003F389C"/>
    <w:rsid w:val="003F4211"/>
    <w:rsid w:val="00402325"/>
    <w:rsid w:val="004050A3"/>
    <w:rsid w:val="004059D5"/>
    <w:rsid w:val="00406F36"/>
    <w:rsid w:val="0041182E"/>
    <w:rsid w:val="00411E0E"/>
    <w:rsid w:val="004138A2"/>
    <w:rsid w:val="00416B6E"/>
    <w:rsid w:val="00416F8C"/>
    <w:rsid w:val="00417215"/>
    <w:rsid w:val="0042022D"/>
    <w:rsid w:val="00420269"/>
    <w:rsid w:val="004213D5"/>
    <w:rsid w:val="0042328F"/>
    <w:rsid w:val="00423917"/>
    <w:rsid w:val="00424F0E"/>
    <w:rsid w:val="004254FE"/>
    <w:rsid w:val="004255FD"/>
    <w:rsid w:val="0042561D"/>
    <w:rsid w:val="00426A0D"/>
    <w:rsid w:val="004276F0"/>
    <w:rsid w:val="00433CD0"/>
    <w:rsid w:val="004428B3"/>
    <w:rsid w:val="004428B7"/>
    <w:rsid w:val="00452DAC"/>
    <w:rsid w:val="00452E44"/>
    <w:rsid w:val="004531F7"/>
    <w:rsid w:val="00461528"/>
    <w:rsid w:val="00463AFD"/>
    <w:rsid w:val="00463FFA"/>
    <w:rsid w:val="00464EBE"/>
    <w:rsid w:val="00467D75"/>
    <w:rsid w:val="004704DB"/>
    <w:rsid w:val="00472354"/>
    <w:rsid w:val="004732DE"/>
    <w:rsid w:val="004745F3"/>
    <w:rsid w:val="00474B29"/>
    <w:rsid w:val="004816A6"/>
    <w:rsid w:val="004818E9"/>
    <w:rsid w:val="00483680"/>
    <w:rsid w:val="00491398"/>
    <w:rsid w:val="00493542"/>
    <w:rsid w:val="00493AE6"/>
    <w:rsid w:val="00494898"/>
    <w:rsid w:val="00494B60"/>
    <w:rsid w:val="004953A0"/>
    <w:rsid w:val="00495F07"/>
    <w:rsid w:val="004A0133"/>
    <w:rsid w:val="004A08EE"/>
    <w:rsid w:val="004A0C01"/>
    <w:rsid w:val="004A1279"/>
    <w:rsid w:val="004A371C"/>
    <w:rsid w:val="004A5647"/>
    <w:rsid w:val="004B11BD"/>
    <w:rsid w:val="004B4244"/>
    <w:rsid w:val="004B5DFF"/>
    <w:rsid w:val="004B6420"/>
    <w:rsid w:val="004C1B56"/>
    <w:rsid w:val="004C1F7D"/>
    <w:rsid w:val="004C2E97"/>
    <w:rsid w:val="004C5B88"/>
    <w:rsid w:val="004C5BC1"/>
    <w:rsid w:val="004C5BEE"/>
    <w:rsid w:val="004D0BCA"/>
    <w:rsid w:val="004D1F0E"/>
    <w:rsid w:val="004D4DE6"/>
    <w:rsid w:val="004E5506"/>
    <w:rsid w:val="004F0FEB"/>
    <w:rsid w:val="004F75FF"/>
    <w:rsid w:val="00507229"/>
    <w:rsid w:val="005104BE"/>
    <w:rsid w:val="005117EF"/>
    <w:rsid w:val="00512623"/>
    <w:rsid w:val="00512B63"/>
    <w:rsid w:val="005162C2"/>
    <w:rsid w:val="00522826"/>
    <w:rsid w:val="00522F61"/>
    <w:rsid w:val="005235F7"/>
    <w:rsid w:val="00523C08"/>
    <w:rsid w:val="00527120"/>
    <w:rsid w:val="00527A1B"/>
    <w:rsid w:val="00531D3D"/>
    <w:rsid w:val="00532EF1"/>
    <w:rsid w:val="00534658"/>
    <w:rsid w:val="00537C66"/>
    <w:rsid w:val="00542612"/>
    <w:rsid w:val="005438D3"/>
    <w:rsid w:val="00545666"/>
    <w:rsid w:val="00563B83"/>
    <w:rsid w:val="0056601A"/>
    <w:rsid w:val="00566E3A"/>
    <w:rsid w:val="005679C5"/>
    <w:rsid w:val="0057014E"/>
    <w:rsid w:val="005745CE"/>
    <w:rsid w:val="005761EC"/>
    <w:rsid w:val="00580B88"/>
    <w:rsid w:val="0058203F"/>
    <w:rsid w:val="00582F72"/>
    <w:rsid w:val="0058350E"/>
    <w:rsid w:val="0058588B"/>
    <w:rsid w:val="00585D2A"/>
    <w:rsid w:val="00587ABF"/>
    <w:rsid w:val="00587C97"/>
    <w:rsid w:val="0059224B"/>
    <w:rsid w:val="005923F2"/>
    <w:rsid w:val="00593215"/>
    <w:rsid w:val="00594941"/>
    <w:rsid w:val="00594A61"/>
    <w:rsid w:val="00596B31"/>
    <w:rsid w:val="005970CD"/>
    <w:rsid w:val="00597BDA"/>
    <w:rsid w:val="005A2E5A"/>
    <w:rsid w:val="005A3CE1"/>
    <w:rsid w:val="005A53B8"/>
    <w:rsid w:val="005A5EF0"/>
    <w:rsid w:val="005A7271"/>
    <w:rsid w:val="005B090B"/>
    <w:rsid w:val="005B5D40"/>
    <w:rsid w:val="005C0DD3"/>
    <w:rsid w:val="005C4B87"/>
    <w:rsid w:val="005C5C41"/>
    <w:rsid w:val="005C6622"/>
    <w:rsid w:val="005C7B5D"/>
    <w:rsid w:val="005D2220"/>
    <w:rsid w:val="005D2BD4"/>
    <w:rsid w:val="005D612B"/>
    <w:rsid w:val="005D6C98"/>
    <w:rsid w:val="005D6DD1"/>
    <w:rsid w:val="005D7CA8"/>
    <w:rsid w:val="005E05E9"/>
    <w:rsid w:val="005E07EE"/>
    <w:rsid w:val="005E286A"/>
    <w:rsid w:val="005E61A3"/>
    <w:rsid w:val="005E6C71"/>
    <w:rsid w:val="005F0798"/>
    <w:rsid w:val="005F0CC3"/>
    <w:rsid w:val="005F1440"/>
    <w:rsid w:val="005F3546"/>
    <w:rsid w:val="005F6097"/>
    <w:rsid w:val="005F6DB0"/>
    <w:rsid w:val="005F7604"/>
    <w:rsid w:val="00602D84"/>
    <w:rsid w:val="00603F49"/>
    <w:rsid w:val="00604997"/>
    <w:rsid w:val="00604AEB"/>
    <w:rsid w:val="00606A59"/>
    <w:rsid w:val="00607B52"/>
    <w:rsid w:val="00613613"/>
    <w:rsid w:val="006178BD"/>
    <w:rsid w:val="006203B1"/>
    <w:rsid w:val="00620B1F"/>
    <w:rsid w:val="00621659"/>
    <w:rsid w:val="006223BA"/>
    <w:rsid w:val="006260FC"/>
    <w:rsid w:val="00626A6F"/>
    <w:rsid w:val="006276D4"/>
    <w:rsid w:val="0063339D"/>
    <w:rsid w:val="00633BE8"/>
    <w:rsid w:val="00640A6E"/>
    <w:rsid w:val="00641F3D"/>
    <w:rsid w:val="00642929"/>
    <w:rsid w:val="00642E08"/>
    <w:rsid w:val="00646756"/>
    <w:rsid w:val="00650B29"/>
    <w:rsid w:val="00651073"/>
    <w:rsid w:val="00651839"/>
    <w:rsid w:val="0065202A"/>
    <w:rsid w:val="00652905"/>
    <w:rsid w:val="0065397B"/>
    <w:rsid w:val="006605AC"/>
    <w:rsid w:val="0066160D"/>
    <w:rsid w:val="006624C4"/>
    <w:rsid w:val="00663468"/>
    <w:rsid w:val="006643A2"/>
    <w:rsid w:val="00664566"/>
    <w:rsid w:val="00666096"/>
    <w:rsid w:val="00667ACA"/>
    <w:rsid w:val="006717C5"/>
    <w:rsid w:val="0067300B"/>
    <w:rsid w:val="00675DE2"/>
    <w:rsid w:val="00676513"/>
    <w:rsid w:val="0067656D"/>
    <w:rsid w:val="00676764"/>
    <w:rsid w:val="006770AF"/>
    <w:rsid w:val="00684326"/>
    <w:rsid w:val="0068438D"/>
    <w:rsid w:val="00684FF3"/>
    <w:rsid w:val="00685A7D"/>
    <w:rsid w:val="00687DE4"/>
    <w:rsid w:val="00693A62"/>
    <w:rsid w:val="006973AE"/>
    <w:rsid w:val="006A064B"/>
    <w:rsid w:val="006A1991"/>
    <w:rsid w:val="006A2372"/>
    <w:rsid w:val="006A49C4"/>
    <w:rsid w:val="006A540D"/>
    <w:rsid w:val="006A580C"/>
    <w:rsid w:val="006A7E5F"/>
    <w:rsid w:val="006B1449"/>
    <w:rsid w:val="006B2AF9"/>
    <w:rsid w:val="006B656A"/>
    <w:rsid w:val="006B6A5B"/>
    <w:rsid w:val="006C084E"/>
    <w:rsid w:val="006C2989"/>
    <w:rsid w:val="006C2FE6"/>
    <w:rsid w:val="006C43A3"/>
    <w:rsid w:val="006C5FF5"/>
    <w:rsid w:val="006C7109"/>
    <w:rsid w:val="006C7A1D"/>
    <w:rsid w:val="006D059C"/>
    <w:rsid w:val="006D0FFF"/>
    <w:rsid w:val="006D5A62"/>
    <w:rsid w:val="006E3461"/>
    <w:rsid w:val="006E4238"/>
    <w:rsid w:val="006E6FA7"/>
    <w:rsid w:val="006E7447"/>
    <w:rsid w:val="006F2A84"/>
    <w:rsid w:val="006F595E"/>
    <w:rsid w:val="006F720E"/>
    <w:rsid w:val="00703A09"/>
    <w:rsid w:val="0070420C"/>
    <w:rsid w:val="00704ECE"/>
    <w:rsid w:val="00705083"/>
    <w:rsid w:val="00705179"/>
    <w:rsid w:val="00705562"/>
    <w:rsid w:val="00707EF4"/>
    <w:rsid w:val="00711F0D"/>
    <w:rsid w:val="00712ACE"/>
    <w:rsid w:val="0071626F"/>
    <w:rsid w:val="00716A8E"/>
    <w:rsid w:val="00721D46"/>
    <w:rsid w:val="007233B0"/>
    <w:rsid w:val="00726DCA"/>
    <w:rsid w:val="00727072"/>
    <w:rsid w:val="007336A3"/>
    <w:rsid w:val="00734300"/>
    <w:rsid w:val="0073651E"/>
    <w:rsid w:val="007449E9"/>
    <w:rsid w:val="0075041C"/>
    <w:rsid w:val="007541F3"/>
    <w:rsid w:val="00756913"/>
    <w:rsid w:val="0076276C"/>
    <w:rsid w:val="00763165"/>
    <w:rsid w:val="00765689"/>
    <w:rsid w:val="00770403"/>
    <w:rsid w:val="00770BD8"/>
    <w:rsid w:val="00770E42"/>
    <w:rsid w:val="007728B1"/>
    <w:rsid w:val="00772E80"/>
    <w:rsid w:val="00774246"/>
    <w:rsid w:val="00775CE0"/>
    <w:rsid w:val="00776582"/>
    <w:rsid w:val="007804CB"/>
    <w:rsid w:val="00780E7C"/>
    <w:rsid w:val="007816AB"/>
    <w:rsid w:val="007822EA"/>
    <w:rsid w:val="0078274F"/>
    <w:rsid w:val="00782CF3"/>
    <w:rsid w:val="0078529C"/>
    <w:rsid w:val="0079355E"/>
    <w:rsid w:val="007A5870"/>
    <w:rsid w:val="007A6F38"/>
    <w:rsid w:val="007B2D45"/>
    <w:rsid w:val="007B53AF"/>
    <w:rsid w:val="007B5CF9"/>
    <w:rsid w:val="007B7738"/>
    <w:rsid w:val="007C1B55"/>
    <w:rsid w:val="007C77D4"/>
    <w:rsid w:val="007D69B2"/>
    <w:rsid w:val="007E0B43"/>
    <w:rsid w:val="007E1C52"/>
    <w:rsid w:val="007E1E7D"/>
    <w:rsid w:val="007E5BB3"/>
    <w:rsid w:val="007E6636"/>
    <w:rsid w:val="007E79A9"/>
    <w:rsid w:val="007F09AC"/>
    <w:rsid w:val="007F5131"/>
    <w:rsid w:val="007F5639"/>
    <w:rsid w:val="007F5867"/>
    <w:rsid w:val="007F5FEA"/>
    <w:rsid w:val="007F642E"/>
    <w:rsid w:val="0080045F"/>
    <w:rsid w:val="00806BE9"/>
    <w:rsid w:val="00807864"/>
    <w:rsid w:val="008102DD"/>
    <w:rsid w:val="008141E4"/>
    <w:rsid w:val="00814489"/>
    <w:rsid w:val="00815CE5"/>
    <w:rsid w:val="008169D3"/>
    <w:rsid w:val="00817088"/>
    <w:rsid w:val="00817152"/>
    <w:rsid w:val="0082090C"/>
    <w:rsid w:val="00821ED2"/>
    <w:rsid w:val="00822012"/>
    <w:rsid w:val="00822BB6"/>
    <w:rsid w:val="008236AB"/>
    <w:rsid w:val="00823726"/>
    <w:rsid w:val="00825154"/>
    <w:rsid w:val="00832260"/>
    <w:rsid w:val="00832DFE"/>
    <w:rsid w:val="00833CEB"/>
    <w:rsid w:val="00836EE7"/>
    <w:rsid w:val="00837053"/>
    <w:rsid w:val="008421B5"/>
    <w:rsid w:val="008422DF"/>
    <w:rsid w:val="008434E9"/>
    <w:rsid w:val="008460EC"/>
    <w:rsid w:val="00851B30"/>
    <w:rsid w:val="008550AF"/>
    <w:rsid w:val="00855C98"/>
    <w:rsid w:val="00856776"/>
    <w:rsid w:val="00861997"/>
    <w:rsid w:val="00866673"/>
    <w:rsid w:val="00866D6F"/>
    <w:rsid w:val="00866E8A"/>
    <w:rsid w:val="00867799"/>
    <w:rsid w:val="0086795C"/>
    <w:rsid w:val="00870725"/>
    <w:rsid w:val="00870DC3"/>
    <w:rsid w:val="00874353"/>
    <w:rsid w:val="008752C3"/>
    <w:rsid w:val="00877AA9"/>
    <w:rsid w:val="008826F6"/>
    <w:rsid w:val="00883B95"/>
    <w:rsid w:val="00883D58"/>
    <w:rsid w:val="00890C48"/>
    <w:rsid w:val="00894363"/>
    <w:rsid w:val="008947F7"/>
    <w:rsid w:val="00895BFB"/>
    <w:rsid w:val="008A0274"/>
    <w:rsid w:val="008A18A7"/>
    <w:rsid w:val="008A5A3D"/>
    <w:rsid w:val="008A692C"/>
    <w:rsid w:val="008A793E"/>
    <w:rsid w:val="008B067C"/>
    <w:rsid w:val="008B0FDD"/>
    <w:rsid w:val="008B44D7"/>
    <w:rsid w:val="008B60B7"/>
    <w:rsid w:val="008B61CA"/>
    <w:rsid w:val="008B63B4"/>
    <w:rsid w:val="008C011B"/>
    <w:rsid w:val="008C1771"/>
    <w:rsid w:val="008C3DAC"/>
    <w:rsid w:val="008C60E4"/>
    <w:rsid w:val="008C6131"/>
    <w:rsid w:val="008C7241"/>
    <w:rsid w:val="008D11B2"/>
    <w:rsid w:val="008D1C95"/>
    <w:rsid w:val="008D2628"/>
    <w:rsid w:val="008D3CBD"/>
    <w:rsid w:val="008E0E1A"/>
    <w:rsid w:val="008E32B3"/>
    <w:rsid w:val="008E46D1"/>
    <w:rsid w:val="008F2FA1"/>
    <w:rsid w:val="008F4406"/>
    <w:rsid w:val="008F7251"/>
    <w:rsid w:val="00900596"/>
    <w:rsid w:val="00902DA8"/>
    <w:rsid w:val="009040E7"/>
    <w:rsid w:val="00904117"/>
    <w:rsid w:val="00906BA4"/>
    <w:rsid w:val="009118F8"/>
    <w:rsid w:val="00912A3F"/>
    <w:rsid w:val="009167FE"/>
    <w:rsid w:val="0091730C"/>
    <w:rsid w:val="00917A4B"/>
    <w:rsid w:val="00920562"/>
    <w:rsid w:val="009205D6"/>
    <w:rsid w:val="00927A51"/>
    <w:rsid w:val="00932215"/>
    <w:rsid w:val="00937129"/>
    <w:rsid w:val="009426E9"/>
    <w:rsid w:val="00944740"/>
    <w:rsid w:val="00945476"/>
    <w:rsid w:val="0094648D"/>
    <w:rsid w:val="009520E5"/>
    <w:rsid w:val="00956357"/>
    <w:rsid w:val="00956A32"/>
    <w:rsid w:val="009608AF"/>
    <w:rsid w:val="0096482A"/>
    <w:rsid w:val="0096643C"/>
    <w:rsid w:val="00966B1A"/>
    <w:rsid w:val="00967435"/>
    <w:rsid w:val="00974BBC"/>
    <w:rsid w:val="00975C34"/>
    <w:rsid w:val="00981710"/>
    <w:rsid w:val="00984852"/>
    <w:rsid w:val="00987B52"/>
    <w:rsid w:val="009910FB"/>
    <w:rsid w:val="00991F2B"/>
    <w:rsid w:val="009922AA"/>
    <w:rsid w:val="00992757"/>
    <w:rsid w:val="009927E9"/>
    <w:rsid w:val="00993CFF"/>
    <w:rsid w:val="009942F1"/>
    <w:rsid w:val="00994FF4"/>
    <w:rsid w:val="00996250"/>
    <w:rsid w:val="00996B03"/>
    <w:rsid w:val="009A0C89"/>
    <w:rsid w:val="009A1499"/>
    <w:rsid w:val="009A23C8"/>
    <w:rsid w:val="009A2E13"/>
    <w:rsid w:val="009B17E0"/>
    <w:rsid w:val="009B1B89"/>
    <w:rsid w:val="009B4068"/>
    <w:rsid w:val="009B5831"/>
    <w:rsid w:val="009B5C3C"/>
    <w:rsid w:val="009B659B"/>
    <w:rsid w:val="009B6D76"/>
    <w:rsid w:val="009C285E"/>
    <w:rsid w:val="009C3800"/>
    <w:rsid w:val="009C4AAC"/>
    <w:rsid w:val="009C6483"/>
    <w:rsid w:val="009C6F17"/>
    <w:rsid w:val="009C75B2"/>
    <w:rsid w:val="009C773D"/>
    <w:rsid w:val="009D0098"/>
    <w:rsid w:val="009D0E9D"/>
    <w:rsid w:val="009D1321"/>
    <w:rsid w:val="009D24FF"/>
    <w:rsid w:val="009D5C34"/>
    <w:rsid w:val="009D6221"/>
    <w:rsid w:val="009D63F0"/>
    <w:rsid w:val="009D6996"/>
    <w:rsid w:val="009E06A4"/>
    <w:rsid w:val="009E3E4B"/>
    <w:rsid w:val="009E5CD1"/>
    <w:rsid w:val="009E75BE"/>
    <w:rsid w:val="009F0699"/>
    <w:rsid w:val="009F14E8"/>
    <w:rsid w:val="009F35BE"/>
    <w:rsid w:val="009F3DB9"/>
    <w:rsid w:val="009F3F5D"/>
    <w:rsid w:val="009F4568"/>
    <w:rsid w:val="009F4612"/>
    <w:rsid w:val="00A00592"/>
    <w:rsid w:val="00A007FF"/>
    <w:rsid w:val="00A0130E"/>
    <w:rsid w:val="00A0329C"/>
    <w:rsid w:val="00A03E55"/>
    <w:rsid w:val="00A04483"/>
    <w:rsid w:val="00A05254"/>
    <w:rsid w:val="00A0564B"/>
    <w:rsid w:val="00A11077"/>
    <w:rsid w:val="00A130B7"/>
    <w:rsid w:val="00A13AF6"/>
    <w:rsid w:val="00A140ED"/>
    <w:rsid w:val="00A14651"/>
    <w:rsid w:val="00A15508"/>
    <w:rsid w:val="00A155BC"/>
    <w:rsid w:val="00A16194"/>
    <w:rsid w:val="00A16DE8"/>
    <w:rsid w:val="00A21A61"/>
    <w:rsid w:val="00A2378F"/>
    <w:rsid w:val="00A27F57"/>
    <w:rsid w:val="00A30711"/>
    <w:rsid w:val="00A308F9"/>
    <w:rsid w:val="00A31184"/>
    <w:rsid w:val="00A31634"/>
    <w:rsid w:val="00A32920"/>
    <w:rsid w:val="00A33C0D"/>
    <w:rsid w:val="00A34FD3"/>
    <w:rsid w:val="00A35DA0"/>
    <w:rsid w:val="00A41CC2"/>
    <w:rsid w:val="00A43728"/>
    <w:rsid w:val="00A46073"/>
    <w:rsid w:val="00A46926"/>
    <w:rsid w:val="00A46C8E"/>
    <w:rsid w:val="00A504F6"/>
    <w:rsid w:val="00A50A6A"/>
    <w:rsid w:val="00A50DA7"/>
    <w:rsid w:val="00A52616"/>
    <w:rsid w:val="00A52D11"/>
    <w:rsid w:val="00A5639C"/>
    <w:rsid w:val="00A56E86"/>
    <w:rsid w:val="00A578EC"/>
    <w:rsid w:val="00A601F5"/>
    <w:rsid w:val="00A63187"/>
    <w:rsid w:val="00A647F8"/>
    <w:rsid w:val="00A658CC"/>
    <w:rsid w:val="00A707EE"/>
    <w:rsid w:val="00A708DE"/>
    <w:rsid w:val="00A755FB"/>
    <w:rsid w:val="00A76C11"/>
    <w:rsid w:val="00A76C2A"/>
    <w:rsid w:val="00A77AA5"/>
    <w:rsid w:val="00A8327F"/>
    <w:rsid w:val="00A850A1"/>
    <w:rsid w:val="00A86675"/>
    <w:rsid w:val="00A906B4"/>
    <w:rsid w:val="00A91D30"/>
    <w:rsid w:val="00A940FE"/>
    <w:rsid w:val="00A94B95"/>
    <w:rsid w:val="00A95ED0"/>
    <w:rsid w:val="00A96B75"/>
    <w:rsid w:val="00A97AA9"/>
    <w:rsid w:val="00AA1215"/>
    <w:rsid w:val="00AA1C81"/>
    <w:rsid w:val="00AA1D96"/>
    <w:rsid w:val="00AA4F3B"/>
    <w:rsid w:val="00AA6198"/>
    <w:rsid w:val="00AB3984"/>
    <w:rsid w:val="00AB3E66"/>
    <w:rsid w:val="00AB6E80"/>
    <w:rsid w:val="00AC0729"/>
    <w:rsid w:val="00AC36EF"/>
    <w:rsid w:val="00AC5008"/>
    <w:rsid w:val="00AC6309"/>
    <w:rsid w:val="00AC6361"/>
    <w:rsid w:val="00AC6E66"/>
    <w:rsid w:val="00AD1F47"/>
    <w:rsid w:val="00AD2805"/>
    <w:rsid w:val="00AD2BC5"/>
    <w:rsid w:val="00AD37D7"/>
    <w:rsid w:val="00AD3959"/>
    <w:rsid w:val="00AD404C"/>
    <w:rsid w:val="00AD4208"/>
    <w:rsid w:val="00AD4514"/>
    <w:rsid w:val="00AD5D2A"/>
    <w:rsid w:val="00AD731F"/>
    <w:rsid w:val="00AD7A03"/>
    <w:rsid w:val="00AD7E0F"/>
    <w:rsid w:val="00AE2322"/>
    <w:rsid w:val="00AE5D9B"/>
    <w:rsid w:val="00AE7569"/>
    <w:rsid w:val="00AF2C63"/>
    <w:rsid w:val="00AF53DB"/>
    <w:rsid w:val="00B00ACD"/>
    <w:rsid w:val="00B0306F"/>
    <w:rsid w:val="00B04558"/>
    <w:rsid w:val="00B0498F"/>
    <w:rsid w:val="00B04B71"/>
    <w:rsid w:val="00B07A7A"/>
    <w:rsid w:val="00B1074C"/>
    <w:rsid w:val="00B10B0D"/>
    <w:rsid w:val="00B1186D"/>
    <w:rsid w:val="00B12085"/>
    <w:rsid w:val="00B150E4"/>
    <w:rsid w:val="00B20481"/>
    <w:rsid w:val="00B26D74"/>
    <w:rsid w:val="00B32CB3"/>
    <w:rsid w:val="00B331AC"/>
    <w:rsid w:val="00B36213"/>
    <w:rsid w:val="00B37029"/>
    <w:rsid w:val="00B51A86"/>
    <w:rsid w:val="00B5431F"/>
    <w:rsid w:val="00B54822"/>
    <w:rsid w:val="00B577E6"/>
    <w:rsid w:val="00B651A9"/>
    <w:rsid w:val="00B67EC7"/>
    <w:rsid w:val="00B73E41"/>
    <w:rsid w:val="00B74067"/>
    <w:rsid w:val="00B742A3"/>
    <w:rsid w:val="00B744DF"/>
    <w:rsid w:val="00B752C9"/>
    <w:rsid w:val="00B82BF8"/>
    <w:rsid w:val="00B86E7D"/>
    <w:rsid w:val="00B90EE5"/>
    <w:rsid w:val="00B91849"/>
    <w:rsid w:val="00B92449"/>
    <w:rsid w:val="00B95074"/>
    <w:rsid w:val="00B9512A"/>
    <w:rsid w:val="00B95A09"/>
    <w:rsid w:val="00BA00D3"/>
    <w:rsid w:val="00BA4F03"/>
    <w:rsid w:val="00BA7D6D"/>
    <w:rsid w:val="00BB3465"/>
    <w:rsid w:val="00BB34C6"/>
    <w:rsid w:val="00BB4227"/>
    <w:rsid w:val="00BB4369"/>
    <w:rsid w:val="00BB4D56"/>
    <w:rsid w:val="00BB53E2"/>
    <w:rsid w:val="00BB7CE9"/>
    <w:rsid w:val="00BC1FD5"/>
    <w:rsid w:val="00BC6283"/>
    <w:rsid w:val="00BC777E"/>
    <w:rsid w:val="00BD079D"/>
    <w:rsid w:val="00BD3C0D"/>
    <w:rsid w:val="00BD5801"/>
    <w:rsid w:val="00BE5B18"/>
    <w:rsid w:val="00BE7164"/>
    <w:rsid w:val="00BE786D"/>
    <w:rsid w:val="00BF2467"/>
    <w:rsid w:val="00BF2800"/>
    <w:rsid w:val="00BF29CC"/>
    <w:rsid w:val="00BF48CF"/>
    <w:rsid w:val="00C01461"/>
    <w:rsid w:val="00C01639"/>
    <w:rsid w:val="00C03FD5"/>
    <w:rsid w:val="00C05689"/>
    <w:rsid w:val="00C06107"/>
    <w:rsid w:val="00C07050"/>
    <w:rsid w:val="00C1020A"/>
    <w:rsid w:val="00C14426"/>
    <w:rsid w:val="00C23256"/>
    <w:rsid w:val="00C2379C"/>
    <w:rsid w:val="00C23D25"/>
    <w:rsid w:val="00C27CE0"/>
    <w:rsid w:val="00C3073D"/>
    <w:rsid w:val="00C31E4E"/>
    <w:rsid w:val="00C31F93"/>
    <w:rsid w:val="00C3222C"/>
    <w:rsid w:val="00C330CD"/>
    <w:rsid w:val="00C3483B"/>
    <w:rsid w:val="00C35CAD"/>
    <w:rsid w:val="00C364C9"/>
    <w:rsid w:val="00C4121A"/>
    <w:rsid w:val="00C4161C"/>
    <w:rsid w:val="00C424A9"/>
    <w:rsid w:val="00C432DD"/>
    <w:rsid w:val="00C4369F"/>
    <w:rsid w:val="00C44567"/>
    <w:rsid w:val="00C4637B"/>
    <w:rsid w:val="00C5028B"/>
    <w:rsid w:val="00C50DDC"/>
    <w:rsid w:val="00C5184C"/>
    <w:rsid w:val="00C55DE8"/>
    <w:rsid w:val="00C56DA9"/>
    <w:rsid w:val="00C577B6"/>
    <w:rsid w:val="00C61C70"/>
    <w:rsid w:val="00C630BC"/>
    <w:rsid w:val="00C635E3"/>
    <w:rsid w:val="00C63DF6"/>
    <w:rsid w:val="00C64206"/>
    <w:rsid w:val="00C64CD6"/>
    <w:rsid w:val="00C663B2"/>
    <w:rsid w:val="00C667A5"/>
    <w:rsid w:val="00C67040"/>
    <w:rsid w:val="00C6790E"/>
    <w:rsid w:val="00C715BD"/>
    <w:rsid w:val="00C74124"/>
    <w:rsid w:val="00C749AE"/>
    <w:rsid w:val="00C80A5B"/>
    <w:rsid w:val="00C80B07"/>
    <w:rsid w:val="00C82E46"/>
    <w:rsid w:val="00C838DE"/>
    <w:rsid w:val="00C83931"/>
    <w:rsid w:val="00C8481D"/>
    <w:rsid w:val="00C86AC8"/>
    <w:rsid w:val="00C9119D"/>
    <w:rsid w:val="00C9258C"/>
    <w:rsid w:val="00C928DC"/>
    <w:rsid w:val="00C92F31"/>
    <w:rsid w:val="00C938CA"/>
    <w:rsid w:val="00C957A8"/>
    <w:rsid w:val="00C9637C"/>
    <w:rsid w:val="00C96653"/>
    <w:rsid w:val="00C97BBF"/>
    <w:rsid w:val="00CA1B92"/>
    <w:rsid w:val="00CA4F5F"/>
    <w:rsid w:val="00CA7C3B"/>
    <w:rsid w:val="00CB2AC6"/>
    <w:rsid w:val="00CB4270"/>
    <w:rsid w:val="00CB7870"/>
    <w:rsid w:val="00CC25BE"/>
    <w:rsid w:val="00CC27E6"/>
    <w:rsid w:val="00CC4AA1"/>
    <w:rsid w:val="00CD2482"/>
    <w:rsid w:val="00CD2D8E"/>
    <w:rsid w:val="00CD33FD"/>
    <w:rsid w:val="00CD47A6"/>
    <w:rsid w:val="00CE0D77"/>
    <w:rsid w:val="00CE18E5"/>
    <w:rsid w:val="00CE26AF"/>
    <w:rsid w:val="00CE5F1D"/>
    <w:rsid w:val="00CF0735"/>
    <w:rsid w:val="00CF2040"/>
    <w:rsid w:val="00CF3E0C"/>
    <w:rsid w:val="00CF5434"/>
    <w:rsid w:val="00CF5F47"/>
    <w:rsid w:val="00CF687D"/>
    <w:rsid w:val="00CF70DD"/>
    <w:rsid w:val="00D00849"/>
    <w:rsid w:val="00D00C0D"/>
    <w:rsid w:val="00D018D6"/>
    <w:rsid w:val="00D01E04"/>
    <w:rsid w:val="00D039D7"/>
    <w:rsid w:val="00D03F14"/>
    <w:rsid w:val="00D0416E"/>
    <w:rsid w:val="00D076DC"/>
    <w:rsid w:val="00D07E0A"/>
    <w:rsid w:val="00D10C48"/>
    <w:rsid w:val="00D117CB"/>
    <w:rsid w:val="00D14DBE"/>
    <w:rsid w:val="00D15D5E"/>
    <w:rsid w:val="00D231E1"/>
    <w:rsid w:val="00D313B7"/>
    <w:rsid w:val="00D333ED"/>
    <w:rsid w:val="00D339A2"/>
    <w:rsid w:val="00D372CB"/>
    <w:rsid w:val="00D40334"/>
    <w:rsid w:val="00D409E5"/>
    <w:rsid w:val="00D41B3C"/>
    <w:rsid w:val="00D44913"/>
    <w:rsid w:val="00D479F9"/>
    <w:rsid w:val="00D51469"/>
    <w:rsid w:val="00D62389"/>
    <w:rsid w:val="00D6404D"/>
    <w:rsid w:val="00D71266"/>
    <w:rsid w:val="00D759BD"/>
    <w:rsid w:val="00D8031A"/>
    <w:rsid w:val="00D80E93"/>
    <w:rsid w:val="00D81D3A"/>
    <w:rsid w:val="00D82067"/>
    <w:rsid w:val="00D82347"/>
    <w:rsid w:val="00D84054"/>
    <w:rsid w:val="00D84CB6"/>
    <w:rsid w:val="00D92E18"/>
    <w:rsid w:val="00D95EFC"/>
    <w:rsid w:val="00DA1777"/>
    <w:rsid w:val="00DA27FF"/>
    <w:rsid w:val="00DA5265"/>
    <w:rsid w:val="00DA5535"/>
    <w:rsid w:val="00DA5E0D"/>
    <w:rsid w:val="00DA707A"/>
    <w:rsid w:val="00DA70A6"/>
    <w:rsid w:val="00DB19C4"/>
    <w:rsid w:val="00DB31DF"/>
    <w:rsid w:val="00DB4CF3"/>
    <w:rsid w:val="00DB6509"/>
    <w:rsid w:val="00DC48DD"/>
    <w:rsid w:val="00DC61B8"/>
    <w:rsid w:val="00DC7BC3"/>
    <w:rsid w:val="00DD095F"/>
    <w:rsid w:val="00DD2442"/>
    <w:rsid w:val="00DD4395"/>
    <w:rsid w:val="00DD49E6"/>
    <w:rsid w:val="00DD6BE7"/>
    <w:rsid w:val="00DD707B"/>
    <w:rsid w:val="00DE047D"/>
    <w:rsid w:val="00DE4453"/>
    <w:rsid w:val="00DE6C98"/>
    <w:rsid w:val="00DE7E7A"/>
    <w:rsid w:val="00DF027A"/>
    <w:rsid w:val="00DF05A7"/>
    <w:rsid w:val="00DF198D"/>
    <w:rsid w:val="00DF3632"/>
    <w:rsid w:val="00DF6C4D"/>
    <w:rsid w:val="00DF6C90"/>
    <w:rsid w:val="00E0059E"/>
    <w:rsid w:val="00E020FF"/>
    <w:rsid w:val="00E02C57"/>
    <w:rsid w:val="00E02DBA"/>
    <w:rsid w:val="00E078D7"/>
    <w:rsid w:val="00E10DFF"/>
    <w:rsid w:val="00E11622"/>
    <w:rsid w:val="00E129BC"/>
    <w:rsid w:val="00E12B19"/>
    <w:rsid w:val="00E13C34"/>
    <w:rsid w:val="00E1527B"/>
    <w:rsid w:val="00E2306C"/>
    <w:rsid w:val="00E23A09"/>
    <w:rsid w:val="00E24237"/>
    <w:rsid w:val="00E2747C"/>
    <w:rsid w:val="00E304E3"/>
    <w:rsid w:val="00E317B5"/>
    <w:rsid w:val="00E338D3"/>
    <w:rsid w:val="00E36C0C"/>
    <w:rsid w:val="00E37F9F"/>
    <w:rsid w:val="00E40005"/>
    <w:rsid w:val="00E431E3"/>
    <w:rsid w:val="00E43660"/>
    <w:rsid w:val="00E45B9E"/>
    <w:rsid w:val="00E5063B"/>
    <w:rsid w:val="00E50F3B"/>
    <w:rsid w:val="00E513F1"/>
    <w:rsid w:val="00E51585"/>
    <w:rsid w:val="00E52789"/>
    <w:rsid w:val="00E5359D"/>
    <w:rsid w:val="00E5396C"/>
    <w:rsid w:val="00E56FE6"/>
    <w:rsid w:val="00E57981"/>
    <w:rsid w:val="00E65188"/>
    <w:rsid w:val="00E658EC"/>
    <w:rsid w:val="00E67BB5"/>
    <w:rsid w:val="00E70D93"/>
    <w:rsid w:val="00E70F2E"/>
    <w:rsid w:val="00E726FA"/>
    <w:rsid w:val="00E74BAC"/>
    <w:rsid w:val="00E76F29"/>
    <w:rsid w:val="00E815E8"/>
    <w:rsid w:val="00E82772"/>
    <w:rsid w:val="00E85500"/>
    <w:rsid w:val="00E86A1D"/>
    <w:rsid w:val="00E90693"/>
    <w:rsid w:val="00E90B07"/>
    <w:rsid w:val="00E91011"/>
    <w:rsid w:val="00E9176E"/>
    <w:rsid w:val="00E92DA0"/>
    <w:rsid w:val="00E93790"/>
    <w:rsid w:val="00EA17AC"/>
    <w:rsid w:val="00EA2552"/>
    <w:rsid w:val="00EA265D"/>
    <w:rsid w:val="00EA48DB"/>
    <w:rsid w:val="00EA501F"/>
    <w:rsid w:val="00EA78C2"/>
    <w:rsid w:val="00EA7B80"/>
    <w:rsid w:val="00EB1FFD"/>
    <w:rsid w:val="00EB30BA"/>
    <w:rsid w:val="00EB4286"/>
    <w:rsid w:val="00EB4A14"/>
    <w:rsid w:val="00EC1703"/>
    <w:rsid w:val="00EC3866"/>
    <w:rsid w:val="00EC5C08"/>
    <w:rsid w:val="00ED03F2"/>
    <w:rsid w:val="00ED0418"/>
    <w:rsid w:val="00ED0680"/>
    <w:rsid w:val="00ED287A"/>
    <w:rsid w:val="00ED31C8"/>
    <w:rsid w:val="00ED5A8D"/>
    <w:rsid w:val="00ED6152"/>
    <w:rsid w:val="00EE175C"/>
    <w:rsid w:val="00EE2118"/>
    <w:rsid w:val="00EE2C9C"/>
    <w:rsid w:val="00EE4045"/>
    <w:rsid w:val="00EE59A4"/>
    <w:rsid w:val="00EE5AAF"/>
    <w:rsid w:val="00EF0BA2"/>
    <w:rsid w:val="00EF1E7D"/>
    <w:rsid w:val="00EF4AC9"/>
    <w:rsid w:val="00EF6E00"/>
    <w:rsid w:val="00F00179"/>
    <w:rsid w:val="00F01675"/>
    <w:rsid w:val="00F020A0"/>
    <w:rsid w:val="00F02976"/>
    <w:rsid w:val="00F03F77"/>
    <w:rsid w:val="00F044FE"/>
    <w:rsid w:val="00F1571E"/>
    <w:rsid w:val="00F22A54"/>
    <w:rsid w:val="00F364E6"/>
    <w:rsid w:val="00F413F2"/>
    <w:rsid w:val="00F43A2B"/>
    <w:rsid w:val="00F447C7"/>
    <w:rsid w:val="00F50732"/>
    <w:rsid w:val="00F52051"/>
    <w:rsid w:val="00F55067"/>
    <w:rsid w:val="00F62DA0"/>
    <w:rsid w:val="00F66F04"/>
    <w:rsid w:val="00F70D70"/>
    <w:rsid w:val="00F70F1B"/>
    <w:rsid w:val="00F73C39"/>
    <w:rsid w:val="00F74CDD"/>
    <w:rsid w:val="00F753B9"/>
    <w:rsid w:val="00F81703"/>
    <w:rsid w:val="00F850A3"/>
    <w:rsid w:val="00F850DC"/>
    <w:rsid w:val="00F86585"/>
    <w:rsid w:val="00F92ECF"/>
    <w:rsid w:val="00F977AD"/>
    <w:rsid w:val="00F97965"/>
    <w:rsid w:val="00FA3BB4"/>
    <w:rsid w:val="00FB07A5"/>
    <w:rsid w:val="00FB37CB"/>
    <w:rsid w:val="00FB3E08"/>
    <w:rsid w:val="00FB4B97"/>
    <w:rsid w:val="00FB59C8"/>
    <w:rsid w:val="00FB7C4C"/>
    <w:rsid w:val="00FC40A9"/>
    <w:rsid w:val="00FC48E2"/>
    <w:rsid w:val="00FC4A76"/>
    <w:rsid w:val="00FC5684"/>
    <w:rsid w:val="00FC57DE"/>
    <w:rsid w:val="00FC648B"/>
    <w:rsid w:val="00FC64C9"/>
    <w:rsid w:val="00FC7265"/>
    <w:rsid w:val="00FC7972"/>
    <w:rsid w:val="00FD1B34"/>
    <w:rsid w:val="00FD6EAD"/>
    <w:rsid w:val="00FD7CB5"/>
    <w:rsid w:val="00FE0F70"/>
    <w:rsid w:val="00FE1621"/>
    <w:rsid w:val="00FE2484"/>
    <w:rsid w:val="00FE3B6D"/>
    <w:rsid w:val="00FE5F38"/>
    <w:rsid w:val="00FE7C72"/>
    <w:rsid w:val="00FF2711"/>
    <w:rsid w:val="00FF785B"/>
    <w:rsid w:val="00FF7F22"/>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B6A1E"/>
  <w15:docId w15:val="{112D3A6E-F5E8-4664-9072-A05A0EA5A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0B5040"/>
    <w:pPr>
      <w:spacing w:after="0" w:line="240" w:lineRule="auto"/>
    </w:pPr>
  </w:style>
  <w:style w:type="character" w:customStyle="1" w:styleId="cf01">
    <w:name w:val="cf01"/>
    <w:basedOn w:val="DefaultParagraphFont"/>
    <w:rsid w:val="003D1315"/>
    <w:rPr>
      <w:rFonts w:ascii="Segoe UI" w:hAnsi="Segoe UI" w:cs="Segoe UI" w:hint="default"/>
      <w:sz w:val="18"/>
      <w:szCs w:val="18"/>
    </w:rPr>
  </w:style>
  <w:style w:type="character" w:styleId="CommentReference">
    <w:name w:val="annotation reference"/>
    <w:basedOn w:val="DefaultParagraphFont"/>
    <w:uiPriority w:val="99"/>
    <w:semiHidden/>
    <w:unhideWhenUsed/>
    <w:rsid w:val="004428B7"/>
    <w:rPr>
      <w:sz w:val="16"/>
      <w:szCs w:val="16"/>
    </w:rPr>
  </w:style>
  <w:style w:type="paragraph" w:styleId="CommentText">
    <w:name w:val="annotation text"/>
    <w:basedOn w:val="Normal"/>
    <w:link w:val="CommentTextChar"/>
    <w:uiPriority w:val="99"/>
    <w:unhideWhenUsed/>
    <w:rsid w:val="004428B7"/>
    <w:pPr>
      <w:spacing w:line="240" w:lineRule="auto"/>
    </w:pPr>
    <w:rPr>
      <w:rFonts w:eastAsiaTheme="minorEastAsia"/>
      <w:kern w:val="0"/>
      <w:sz w:val="20"/>
      <w:szCs w:val="20"/>
      <w:lang w:val="en-AU"/>
    </w:rPr>
  </w:style>
  <w:style w:type="character" w:customStyle="1" w:styleId="CommentTextChar">
    <w:name w:val="Comment Text Char"/>
    <w:basedOn w:val="DefaultParagraphFont"/>
    <w:link w:val="CommentText"/>
    <w:uiPriority w:val="99"/>
    <w:rsid w:val="004428B7"/>
    <w:rPr>
      <w:rFonts w:eastAsiaTheme="minorEastAsia"/>
      <w:kern w:val="0"/>
      <w:sz w:val="20"/>
      <w:szCs w:val="20"/>
      <w:lang w:val="en-AU"/>
    </w:rPr>
  </w:style>
  <w:style w:type="paragraph" w:styleId="CommentSubject">
    <w:name w:val="annotation subject"/>
    <w:basedOn w:val="CommentText"/>
    <w:next w:val="CommentText"/>
    <w:link w:val="CommentSubjectChar"/>
    <w:uiPriority w:val="99"/>
    <w:semiHidden/>
    <w:unhideWhenUsed/>
    <w:rsid w:val="006F595E"/>
    <w:rPr>
      <w:rFonts w:eastAsiaTheme="minorHAnsi"/>
      <w:b/>
      <w:bCs/>
      <w:kern w:val="2"/>
      <w:lang w:val="en-CA"/>
    </w:rPr>
  </w:style>
  <w:style w:type="character" w:customStyle="1" w:styleId="CommentSubjectChar">
    <w:name w:val="Comment Subject Char"/>
    <w:basedOn w:val="CommentTextChar"/>
    <w:link w:val="CommentSubject"/>
    <w:uiPriority w:val="99"/>
    <w:semiHidden/>
    <w:rsid w:val="006F595E"/>
    <w:rPr>
      <w:rFonts w:eastAsiaTheme="minorEastAsia"/>
      <w:b/>
      <w:bCs/>
      <w:kern w:val="0"/>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1884</Words>
  <Characters>10739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Nelofar Kureshi</dc:creator>
  <cp:keywords/>
  <dc:description/>
  <cp:lastModifiedBy>Nelofar Kureshi</cp:lastModifiedBy>
  <cp:revision>2</cp:revision>
  <dcterms:created xsi:type="dcterms:W3CDTF">2024-05-06T16:42:00Z</dcterms:created>
  <dcterms:modified xsi:type="dcterms:W3CDTF">2024-05-06T16:42:00Z</dcterms:modified>
</cp:coreProperties>
</file>