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A3F760" w14:textId="77777777" w:rsidR="00C9642A" w:rsidRDefault="00C9642A" w:rsidP="00C9642A">
      <w:pPr>
        <w:widowControl/>
        <w:ind w:firstLine="0"/>
        <w:rPr>
          <w:rFonts w:ascii="DengXian" w:eastAsia="DengXian" w:hAnsi="DengXian"/>
          <w:b/>
          <w:bCs/>
          <w:sz w:val="22"/>
        </w:rPr>
      </w:pPr>
      <w:r>
        <w:rPr>
          <w:rFonts w:ascii="DengXian" w:eastAsia="DengXian" w:hAnsi="DengXian" w:hint="eastAsia"/>
          <w:b/>
          <w:bCs/>
          <w:sz w:val="22"/>
        </w:rPr>
        <w:t>Supplementary Figure Legends</w:t>
      </w:r>
    </w:p>
    <w:p w14:paraId="5755F970"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Supplementary Fig. 1. Study Design and the Basic Quality Control</w:t>
      </w:r>
    </w:p>
    <w:p w14:paraId="184F162E"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 xml:space="preserve">A. Schematic diagram of sample characteristics and the experimental workflow. Patient groups categorized by anti-PD-1 response (responder and non-responder) are shown. Samples were evaluated by IHC staining prior to the Xenium analysis. The basic principle of the Xenium platform is depicted, and samples were subjected to H&amp;E staining post-Xenium workflow. B. Total cell counts for individual samples before quality control. C. Signal-to-noise at the gene level for individual samples. Genes in the Xenium panel are indicated in dark red, negative control probes in blue, and negative control codewords in green. The total transcripts of each gene are plotted on the x-axis, with the mean calibrated quality of genes on the y-axis. D. Number of genes </w:t>
      </w:r>
      <w:proofErr w:type="gramStart"/>
      <w:r>
        <w:rPr>
          <w:rFonts w:ascii="DengXian" w:eastAsia="DengXian" w:hAnsi="DengXian" w:hint="eastAsia"/>
          <w:sz w:val="22"/>
        </w:rPr>
        <w:t>detected</w:t>
      </w:r>
      <w:proofErr w:type="gramEnd"/>
      <w:r>
        <w:rPr>
          <w:rFonts w:ascii="DengXian" w:eastAsia="DengXian" w:hAnsi="DengXian" w:hint="eastAsia"/>
          <w:sz w:val="22"/>
        </w:rPr>
        <w:t xml:space="preserve"> and cell counts post-QC. The total number of distinct genes detected across individual samples is shown on the left. Cell counts after quality control are presented on the right.</w:t>
      </w:r>
    </w:p>
    <w:p w14:paraId="2D12AA0B" w14:textId="77777777" w:rsidR="00C9642A" w:rsidRDefault="00C9642A" w:rsidP="00C9642A">
      <w:pPr>
        <w:widowControl/>
        <w:ind w:firstLine="0"/>
        <w:rPr>
          <w:rFonts w:ascii="DengXian" w:eastAsia="DengXian" w:hAnsi="DengXian" w:hint="eastAsia"/>
          <w:sz w:val="22"/>
        </w:rPr>
      </w:pPr>
    </w:p>
    <w:p w14:paraId="40123ED7"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 xml:space="preserve">Supplementary Fig. 2. Full Scan of ERα IHC expression Across Samples. Scale bars are shown. </w:t>
      </w:r>
    </w:p>
    <w:p w14:paraId="17018597" w14:textId="77777777" w:rsidR="00C9642A" w:rsidRDefault="00C9642A" w:rsidP="00C9642A">
      <w:pPr>
        <w:widowControl/>
        <w:ind w:firstLine="0"/>
        <w:rPr>
          <w:rFonts w:ascii="DengXian" w:eastAsia="DengXian" w:hAnsi="DengXian" w:hint="eastAsia"/>
          <w:sz w:val="22"/>
        </w:rPr>
      </w:pPr>
    </w:p>
    <w:p w14:paraId="306EB046" w14:textId="77777777" w:rsidR="00C9642A" w:rsidRDefault="00C9642A" w:rsidP="00C9642A">
      <w:pPr>
        <w:ind w:firstLine="0"/>
        <w:rPr>
          <w:rFonts w:ascii="DengXian" w:eastAsia="DengXian" w:hAnsi="DengXian" w:hint="eastAsia"/>
          <w:sz w:val="22"/>
        </w:rPr>
      </w:pPr>
      <w:r>
        <w:rPr>
          <w:rFonts w:ascii="DengXian" w:eastAsia="DengXian" w:hAnsi="DengXian" w:hint="eastAsia"/>
          <w:sz w:val="22"/>
        </w:rPr>
        <w:t>Supplementary Fig. 3. Comparison of Cell Proportions Across Breast Cancer Samples</w:t>
      </w:r>
    </w:p>
    <w:p w14:paraId="216D2CAC"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Alterations in different cell type proportions across four BC samples.</w:t>
      </w:r>
      <w:r>
        <w:t xml:space="preserve"> </w:t>
      </w:r>
      <w:r>
        <w:rPr>
          <w:rFonts w:ascii="DengXian" w:eastAsia="DengXian" w:hAnsi="DengXian" w:hint="eastAsia"/>
          <w:sz w:val="22"/>
        </w:rPr>
        <w:t>Quantitative measures are presented as percentages of the total, depicted on the y-axis. P-values indicating statistical significance are marked with asterisks.</w:t>
      </w:r>
    </w:p>
    <w:p w14:paraId="745781A5" w14:textId="77777777" w:rsidR="00C9642A" w:rsidRDefault="00C9642A" w:rsidP="00C9642A">
      <w:pPr>
        <w:widowControl/>
        <w:ind w:firstLine="0"/>
        <w:rPr>
          <w:rFonts w:ascii="DengXian" w:eastAsia="DengXian" w:hAnsi="DengXian" w:hint="eastAsia"/>
          <w:sz w:val="22"/>
        </w:rPr>
      </w:pPr>
    </w:p>
    <w:p w14:paraId="5C159BDD" w14:textId="77777777" w:rsidR="00C9642A" w:rsidRDefault="00C9642A" w:rsidP="00C9642A">
      <w:pPr>
        <w:ind w:firstLine="0"/>
        <w:rPr>
          <w:rFonts w:ascii="DengXian" w:eastAsia="DengXian" w:hAnsi="DengXian" w:hint="eastAsia"/>
          <w:sz w:val="22"/>
        </w:rPr>
      </w:pPr>
      <w:r>
        <w:rPr>
          <w:rFonts w:ascii="DengXian" w:eastAsia="DengXian" w:hAnsi="DengXian" w:hint="eastAsia"/>
          <w:sz w:val="22"/>
        </w:rPr>
        <w:t>Supplementary Fig. 4. Definition of Cell Neighborhoods Across Breast Cancer Samples</w:t>
      </w:r>
    </w:p>
    <w:p w14:paraId="4409501E"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The definition of 10 distinct cell neighborhoods (CNs), each color-annotated for visual clarity. The selected tumor regions of interest (ROIs) analyzed are highlighted with black circles or irregular shapes.</w:t>
      </w:r>
    </w:p>
    <w:p w14:paraId="345358C7" w14:textId="77777777" w:rsidR="00C9642A" w:rsidRDefault="00C9642A" w:rsidP="00C9642A">
      <w:pPr>
        <w:widowControl/>
        <w:ind w:firstLine="0"/>
        <w:rPr>
          <w:rFonts w:ascii="DengXian" w:eastAsia="DengXian" w:hAnsi="DengXian" w:hint="eastAsia"/>
          <w:sz w:val="22"/>
        </w:rPr>
      </w:pPr>
    </w:p>
    <w:p w14:paraId="7C81A7E0"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 xml:space="preserve">Supplementary Fig. 5. Spatial Enrichment of Predefined Cell Types Across Individual Samples (ICI Responder and Non-Responder) Spatial enrichment of predefined cell types (anchor cells) over individual samples (ICI responder and non-responder). </w:t>
      </w:r>
    </w:p>
    <w:p w14:paraId="1512378F"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lastRenderedPageBreak/>
        <w:t xml:space="preserve">Anchor cells are shown on separate plots (Effector T cells, proliferative T, macrophages). Spatial enrichment scores between any pairs of cell types are presented on separate boxplots. Enrichment score is computed as </w:t>
      </w:r>
      <w:proofErr w:type="gramStart"/>
      <w:r>
        <w:rPr>
          <w:rFonts w:ascii="DengXian" w:eastAsia="DengXian" w:hAnsi="DengXian" w:hint="eastAsia"/>
          <w:sz w:val="22"/>
        </w:rPr>
        <w:t>Log(</w:t>
      </w:r>
      <w:proofErr w:type="spellStart"/>
      <w:proofErr w:type="gramEnd"/>
      <w:r>
        <w:rPr>
          <w:rFonts w:ascii="DengXian" w:eastAsia="DengXian" w:hAnsi="DengXian" w:hint="eastAsia"/>
          <w:sz w:val="22"/>
        </w:rPr>
        <w:t>ESscore</w:t>
      </w:r>
      <w:proofErr w:type="spellEnd"/>
      <w:r>
        <w:rPr>
          <w:rFonts w:ascii="DengXian" w:eastAsia="DengXian" w:hAnsi="DengXian" w:hint="eastAsia"/>
          <w:sz w:val="22"/>
        </w:rPr>
        <w:t>): Log</w:t>
      </w:r>
      <w:r>
        <w:rPr>
          <w:rFonts w:ascii="DengXian" w:eastAsia="DengXian" w:hAnsi="DengXian" w:hint="eastAsia"/>
          <w:sz w:val="22"/>
          <w:vertAlign w:val="subscript"/>
        </w:rPr>
        <w:t>10</w:t>
      </w:r>
      <w:r>
        <w:rPr>
          <w:rFonts w:ascii="DengXian" w:eastAsia="DengXian" w:hAnsi="DengXian" w:hint="eastAsia"/>
          <w:sz w:val="22"/>
        </w:rPr>
        <w:t>(</w:t>
      </w:r>
      <w:proofErr w:type="spellStart"/>
      <w:r>
        <w:rPr>
          <w:rFonts w:ascii="DengXian" w:eastAsia="DengXian" w:hAnsi="DengXian" w:hint="eastAsia"/>
          <w:sz w:val="22"/>
        </w:rPr>
        <w:t>MeanProps</w:t>
      </w:r>
      <w:proofErr w:type="spellEnd"/>
      <w:r>
        <w:rPr>
          <w:rFonts w:ascii="DengXian" w:eastAsia="DengXian" w:hAnsi="DengXian" w:hint="eastAsia"/>
          <w:sz w:val="22"/>
        </w:rPr>
        <w:t xml:space="preserve">-in-ROI/Prop-in-slide. Red dashed lines indicate </w:t>
      </w:r>
      <w:proofErr w:type="gramStart"/>
      <w:r>
        <w:rPr>
          <w:rFonts w:ascii="DengXian" w:eastAsia="DengXian" w:hAnsi="DengXian" w:hint="eastAsia"/>
          <w:sz w:val="22"/>
        </w:rPr>
        <w:t>Log(</w:t>
      </w:r>
      <w:proofErr w:type="spellStart"/>
      <w:proofErr w:type="gramEnd"/>
      <w:r>
        <w:rPr>
          <w:rFonts w:ascii="DengXian" w:eastAsia="DengXian" w:hAnsi="DengXian" w:hint="eastAsia"/>
          <w:sz w:val="22"/>
        </w:rPr>
        <w:t>ESscore</w:t>
      </w:r>
      <w:proofErr w:type="spellEnd"/>
      <w:r>
        <w:rPr>
          <w:rFonts w:ascii="DengXian" w:eastAsia="DengXian" w:hAnsi="DengXian" w:hint="eastAsia"/>
          <w:sz w:val="22"/>
        </w:rPr>
        <w:t xml:space="preserve">)=0. The X-axis represents individual cell types under evaluation with anchor cells. y-axis shows </w:t>
      </w:r>
      <w:proofErr w:type="gramStart"/>
      <w:r>
        <w:rPr>
          <w:rFonts w:ascii="DengXian" w:eastAsia="DengXian" w:hAnsi="DengXian" w:hint="eastAsia"/>
          <w:sz w:val="22"/>
        </w:rPr>
        <w:t>Log(</w:t>
      </w:r>
      <w:proofErr w:type="spellStart"/>
      <w:proofErr w:type="gramEnd"/>
      <w:r>
        <w:rPr>
          <w:rFonts w:ascii="DengXian" w:eastAsia="DengXian" w:hAnsi="DengXian" w:hint="eastAsia"/>
          <w:sz w:val="22"/>
        </w:rPr>
        <w:t>ESscore</w:t>
      </w:r>
      <w:proofErr w:type="spellEnd"/>
      <w:r>
        <w:rPr>
          <w:rFonts w:ascii="DengXian" w:eastAsia="DengXian" w:hAnsi="DengXian" w:hint="eastAsia"/>
          <w:sz w:val="22"/>
        </w:rPr>
        <w:t>) values. Higher values indicate higher enrichment between cell types.</w:t>
      </w:r>
    </w:p>
    <w:p w14:paraId="76EA3419" w14:textId="77777777" w:rsidR="00C9642A" w:rsidRDefault="00C9642A" w:rsidP="00C9642A">
      <w:pPr>
        <w:widowControl/>
        <w:ind w:firstLine="0"/>
        <w:rPr>
          <w:rFonts w:ascii="DengXian" w:eastAsia="DengXian" w:hAnsi="DengXian" w:hint="eastAsia"/>
          <w:sz w:val="22"/>
        </w:rPr>
      </w:pPr>
    </w:p>
    <w:p w14:paraId="11DDAA68" w14:textId="77777777" w:rsidR="00C9642A" w:rsidRDefault="00C9642A" w:rsidP="00C9642A">
      <w:pPr>
        <w:ind w:firstLine="0"/>
        <w:rPr>
          <w:rFonts w:ascii="DengXian" w:eastAsia="DengXian" w:hAnsi="DengXian" w:hint="eastAsia"/>
          <w:sz w:val="22"/>
        </w:rPr>
      </w:pPr>
      <w:r>
        <w:rPr>
          <w:rFonts w:ascii="DengXian" w:eastAsia="DengXian" w:hAnsi="DengXian" w:hint="eastAsia"/>
          <w:sz w:val="22"/>
        </w:rPr>
        <w:t>Supplementary Fig. 6 Ligand-Receptor Interaction between Tumor Cells and Other Cells</w:t>
      </w:r>
    </w:p>
    <w:p w14:paraId="7FDF0D0D"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 xml:space="preserve">Ligand-receptor Interactions are shown between tumor cells and other cell types in 3 out of 4 samples. The y-axis lists the ligand-receptor pairs, and the x-axis shows cell types as sender/receiver pairs. Color intensity indicates the -log10(p-value), highlighting the strength of each interaction. </w:t>
      </w:r>
    </w:p>
    <w:p w14:paraId="2B04B18C" w14:textId="77777777" w:rsidR="00C9642A" w:rsidRDefault="00C9642A" w:rsidP="00C9642A">
      <w:pPr>
        <w:widowControl/>
        <w:ind w:firstLine="0"/>
        <w:rPr>
          <w:rFonts w:ascii="DengXian" w:eastAsia="DengXian" w:hAnsi="DengXian" w:hint="eastAsia"/>
          <w:sz w:val="22"/>
        </w:rPr>
      </w:pPr>
    </w:p>
    <w:p w14:paraId="6E1C0B38"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Supplementary Fig. 7 Gene Expression Comparison in Tumor ROIs</w:t>
      </w:r>
    </w:p>
    <w:p w14:paraId="44E7487F"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The expression levels of PDCD1LG2, CD80, and NKG7 in tumor ROIs between responder (R) and non-responder (NR) groups. Statistical significance is indicated (p-value&lt;0.00001, Wilcoxon ranked sum test).</w:t>
      </w:r>
    </w:p>
    <w:p w14:paraId="77D5125D" w14:textId="77777777" w:rsidR="00C9642A" w:rsidRDefault="00C9642A" w:rsidP="00C9642A">
      <w:pPr>
        <w:widowControl/>
        <w:ind w:firstLine="0"/>
        <w:rPr>
          <w:rFonts w:ascii="DengXian" w:eastAsia="DengXian" w:hAnsi="DengXian" w:hint="eastAsia"/>
          <w:sz w:val="22"/>
        </w:rPr>
      </w:pPr>
    </w:p>
    <w:p w14:paraId="442E7F02"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Supplementary Fig. 8 Gene Imputation using SpaGE and Tangram</w:t>
      </w:r>
    </w:p>
    <w:p w14:paraId="46CB4811" w14:textId="77777777" w:rsidR="00C9642A" w:rsidRDefault="00C9642A" w:rsidP="00C9642A">
      <w:pPr>
        <w:widowControl/>
        <w:ind w:firstLine="0"/>
        <w:rPr>
          <w:rFonts w:ascii="DengXian" w:eastAsia="DengXian" w:hAnsi="DengXian" w:hint="eastAsia"/>
          <w:sz w:val="22"/>
        </w:rPr>
      </w:pPr>
      <w:r>
        <w:rPr>
          <w:rFonts w:ascii="DengXian" w:eastAsia="DengXian" w:hAnsi="DengXian" w:hint="eastAsia"/>
          <w:sz w:val="22"/>
        </w:rPr>
        <w:t xml:space="preserve">The upper panels show the correlation between true Xenium expression data and predicted gene expression by Tangram or SpaGE. The lower panels plot the R² values of correlations of each gene across different samples. </w:t>
      </w:r>
    </w:p>
    <w:p w14:paraId="500F1606" w14:textId="77777777" w:rsidR="00222F56" w:rsidRDefault="00222F56"/>
    <w:sectPr w:rsidR="00222F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42A"/>
    <w:rsid w:val="00222F56"/>
    <w:rsid w:val="004049A6"/>
    <w:rsid w:val="00C96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E759F"/>
  <w15:chartTrackingRefBased/>
  <w15:docId w15:val="{02466A36-89F4-4A2F-9DD5-9F99D6BA4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42A"/>
    <w:pPr>
      <w:widowControl w:val="0"/>
      <w:suppressAutoHyphens/>
      <w:spacing w:after="0" w:line="360" w:lineRule="auto"/>
      <w:ind w:firstLine="200"/>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C9642A"/>
    <w:pPr>
      <w:keepNext/>
      <w:keepLines/>
      <w:widowControl/>
      <w:suppressAutoHyphens w:val="0"/>
      <w:spacing w:before="360" w:after="80" w:line="259" w:lineRule="auto"/>
      <w:ind w:firstLine="0"/>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C9642A"/>
    <w:pPr>
      <w:keepNext/>
      <w:keepLines/>
      <w:widowControl/>
      <w:suppressAutoHyphens w:val="0"/>
      <w:spacing w:before="160" w:after="80" w:line="259" w:lineRule="auto"/>
      <w:ind w:firstLine="0"/>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C9642A"/>
    <w:pPr>
      <w:keepNext/>
      <w:keepLines/>
      <w:widowControl/>
      <w:suppressAutoHyphens w:val="0"/>
      <w:spacing w:before="160" w:after="80" w:line="259" w:lineRule="auto"/>
      <w:ind w:firstLine="0"/>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C9642A"/>
    <w:pPr>
      <w:keepNext/>
      <w:keepLines/>
      <w:widowControl/>
      <w:suppressAutoHyphens w:val="0"/>
      <w:spacing w:before="80" w:after="40" w:line="259" w:lineRule="auto"/>
      <w:ind w:firstLine="0"/>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C9642A"/>
    <w:pPr>
      <w:keepNext/>
      <w:keepLines/>
      <w:widowControl/>
      <w:suppressAutoHyphens w:val="0"/>
      <w:spacing w:before="80" w:after="40" w:line="259" w:lineRule="auto"/>
      <w:ind w:firstLine="0"/>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C9642A"/>
    <w:pPr>
      <w:keepNext/>
      <w:keepLines/>
      <w:widowControl/>
      <w:suppressAutoHyphens w:val="0"/>
      <w:spacing w:before="40" w:line="259" w:lineRule="auto"/>
      <w:ind w:firstLine="0"/>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C9642A"/>
    <w:pPr>
      <w:keepNext/>
      <w:keepLines/>
      <w:widowControl/>
      <w:suppressAutoHyphens w:val="0"/>
      <w:spacing w:before="40" w:line="259" w:lineRule="auto"/>
      <w:ind w:firstLine="0"/>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C9642A"/>
    <w:pPr>
      <w:keepNext/>
      <w:keepLines/>
      <w:widowControl/>
      <w:suppressAutoHyphens w:val="0"/>
      <w:spacing w:line="259" w:lineRule="auto"/>
      <w:ind w:firstLine="0"/>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C9642A"/>
    <w:pPr>
      <w:keepNext/>
      <w:keepLines/>
      <w:widowControl/>
      <w:suppressAutoHyphens w:val="0"/>
      <w:spacing w:line="259" w:lineRule="auto"/>
      <w:ind w:firstLine="0"/>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64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64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64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64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64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64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64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64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642A"/>
    <w:rPr>
      <w:rFonts w:eastAsiaTheme="majorEastAsia" w:cstheme="majorBidi"/>
      <w:color w:val="272727" w:themeColor="text1" w:themeTint="D8"/>
    </w:rPr>
  </w:style>
  <w:style w:type="paragraph" w:styleId="Title">
    <w:name w:val="Title"/>
    <w:basedOn w:val="Normal"/>
    <w:next w:val="Normal"/>
    <w:link w:val="TitleChar"/>
    <w:uiPriority w:val="10"/>
    <w:qFormat/>
    <w:rsid w:val="00C9642A"/>
    <w:pPr>
      <w:widowControl/>
      <w:suppressAutoHyphens w:val="0"/>
      <w:spacing w:after="80" w:line="240" w:lineRule="auto"/>
      <w:ind w:firstLine="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C964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642A"/>
    <w:pPr>
      <w:widowControl/>
      <w:numPr>
        <w:ilvl w:val="1"/>
      </w:numPr>
      <w:suppressAutoHyphens w:val="0"/>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C964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642A"/>
    <w:pPr>
      <w:widowControl/>
      <w:suppressAutoHyphens w:val="0"/>
      <w:spacing w:before="160" w:after="160" w:line="259" w:lineRule="auto"/>
      <w:ind w:firstLine="0"/>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C9642A"/>
    <w:rPr>
      <w:i/>
      <w:iCs/>
      <w:color w:val="404040" w:themeColor="text1" w:themeTint="BF"/>
    </w:rPr>
  </w:style>
  <w:style w:type="paragraph" w:styleId="ListParagraph">
    <w:name w:val="List Paragraph"/>
    <w:basedOn w:val="Normal"/>
    <w:uiPriority w:val="34"/>
    <w:qFormat/>
    <w:rsid w:val="00C9642A"/>
    <w:pPr>
      <w:widowControl/>
      <w:suppressAutoHyphens w:val="0"/>
      <w:spacing w:after="160" w:line="259" w:lineRule="auto"/>
      <w:ind w:left="720" w:firstLine="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C9642A"/>
    <w:rPr>
      <w:i/>
      <w:iCs/>
      <w:color w:val="0F4761" w:themeColor="accent1" w:themeShade="BF"/>
    </w:rPr>
  </w:style>
  <w:style w:type="paragraph" w:styleId="IntenseQuote">
    <w:name w:val="Intense Quote"/>
    <w:basedOn w:val="Normal"/>
    <w:next w:val="Normal"/>
    <w:link w:val="IntenseQuoteChar"/>
    <w:uiPriority w:val="30"/>
    <w:qFormat/>
    <w:rsid w:val="00C9642A"/>
    <w:pPr>
      <w:widowControl/>
      <w:pBdr>
        <w:top w:val="single" w:sz="4" w:space="10" w:color="0F4761" w:themeColor="accent1" w:themeShade="BF"/>
        <w:bottom w:val="single" w:sz="4" w:space="10" w:color="0F4761" w:themeColor="accent1" w:themeShade="BF"/>
      </w:pBdr>
      <w:suppressAutoHyphens w:val="0"/>
      <w:spacing w:before="360" w:after="360" w:line="259" w:lineRule="auto"/>
      <w:ind w:left="864" w:right="864" w:firstLine="0"/>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C9642A"/>
    <w:rPr>
      <w:i/>
      <w:iCs/>
      <w:color w:val="0F4761" w:themeColor="accent1" w:themeShade="BF"/>
    </w:rPr>
  </w:style>
  <w:style w:type="character" w:styleId="IntenseReference">
    <w:name w:val="Intense Reference"/>
    <w:basedOn w:val="DefaultParagraphFont"/>
    <w:uiPriority w:val="32"/>
    <w:qFormat/>
    <w:rsid w:val="00C964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9632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507</Words>
  <Characters>2890</Characters>
  <Application>Microsoft Office Word</Application>
  <DocSecurity>0</DocSecurity>
  <Lines>24</Lines>
  <Paragraphs>6</Paragraphs>
  <ScaleCrop>false</ScaleCrop>
  <Company>Springer Nature</Company>
  <LinksUpToDate>false</LinksUpToDate>
  <CharactersWithSpaces>3391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2024-06-17T20:06:00Z</dcterms:created>
  <dcterms:modified xsi:type="dcterms:W3CDTF">2024-06-17T20:06:00Z</dcterms:modified>
</cp:coreProperties>
</file>