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DF9D" w14:textId="77777777" w:rsidR="00536509" w:rsidRPr="000E1B1B" w:rsidRDefault="00536509" w:rsidP="00536509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72C2B20A" wp14:editId="32352BEF">
            <wp:extent cx="6205220" cy="3493770"/>
            <wp:effectExtent l="0" t="0" r="5080" b="0"/>
            <wp:docPr id="2377797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6CDE" w14:textId="77777777" w:rsidR="00536509" w:rsidRDefault="00536509" w:rsidP="00536509">
      <w:pPr>
        <w:rPr>
          <w:rFonts w:cs="Times New Roman"/>
          <w:lang w:eastAsia="zh-CN"/>
        </w:rPr>
      </w:pPr>
      <w:r w:rsidRPr="000E1B1B">
        <w:rPr>
          <w:rFonts w:cs="Times New Roman"/>
          <w:b/>
          <w:bCs/>
        </w:rPr>
        <w:t xml:space="preserve">Fig. </w:t>
      </w:r>
      <w:r w:rsidRPr="000E1B1B">
        <w:rPr>
          <w:rFonts w:cs="Times New Roman"/>
          <w:b/>
          <w:bCs/>
          <w:lang w:eastAsia="zh-CN"/>
        </w:rPr>
        <w:t>S</w:t>
      </w:r>
      <w:r>
        <w:rPr>
          <w:rFonts w:cs="Times New Roman" w:hint="eastAsia"/>
          <w:b/>
          <w:bCs/>
          <w:lang w:eastAsia="zh-CN"/>
        </w:rPr>
        <w:t>1</w:t>
      </w:r>
      <w:r w:rsidRPr="000E1B1B">
        <w:rPr>
          <w:rFonts w:cs="Times New Roman"/>
          <w:b/>
          <w:bCs/>
        </w:rPr>
        <w:t xml:space="preserve"> </w:t>
      </w:r>
      <w:r w:rsidRPr="000E1B1B">
        <w:rPr>
          <w:rFonts w:cs="Times New Roman"/>
        </w:rPr>
        <w:t xml:space="preserve">The prognosis and clinical features of </w:t>
      </w:r>
      <w:r w:rsidRPr="000E1B1B">
        <w:rPr>
          <w:rFonts w:cs="Times New Roman"/>
          <w:lang w:eastAsia="zh-CN"/>
        </w:rPr>
        <w:t>samples</w:t>
      </w:r>
      <w:r w:rsidRPr="000E1B1B">
        <w:rPr>
          <w:rFonts w:cs="Times New Roman"/>
        </w:rPr>
        <w:t xml:space="preserve"> </w:t>
      </w:r>
      <w:r w:rsidRPr="000E1B1B">
        <w:rPr>
          <w:rFonts w:cs="Times New Roman"/>
          <w:lang w:eastAsia="zh-CN"/>
        </w:rPr>
        <w:t>in the validation subtype</w:t>
      </w:r>
      <w:r w:rsidRPr="000E1B1B">
        <w:rPr>
          <w:rFonts w:cs="Times New Roman"/>
        </w:rPr>
        <w:t xml:space="preserve">. </w:t>
      </w:r>
      <w:r w:rsidRPr="000E1B1B">
        <w:rPr>
          <w:rFonts w:cs="Times New Roman"/>
          <w:b/>
          <w:bCs/>
        </w:rPr>
        <w:t>A</w:t>
      </w:r>
      <w:r w:rsidRPr="000E1B1B">
        <w:rPr>
          <w:rFonts w:cs="Times New Roman"/>
        </w:rPr>
        <w:t xml:space="preserve"> relative </w:t>
      </w:r>
      <w:r w:rsidRPr="000E1B1B">
        <w:rPr>
          <w:rFonts w:cs="Times New Roman"/>
          <w:lang w:eastAsia="zh-CN"/>
        </w:rPr>
        <w:t>variation</w:t>
      </w:r>
      <w:r w:rsidRPr="000E1B1B">
        <w:rPr>
          <w:rFonts w:cs="Times New Roman"/>
        </w:rPr>
        <w:t xml:space="preserve"> in the CDF curve's area under k = 2</w:t>
      </w:r>
      <w:r w:rsidRPr="000E1B1B">
        <w:rPr>
          <w:rFonts w:cs="Times New Roman"/>
          <w:lang w:eastAsia="zh-CN"/>
        </w:rPr>
        <w:t>-</w:t>
      </w:r>
      <w:r w:rsidRPr="000E1B1B">
        <w:rPr>
          <w:rFonts w:cs="Times New Roman"/>
        </w:rPr>
        <w:t xml:space="preserve">9. </w:t>
      </w:r>
      <w:r w:rsidRPr="000E1B1B">
        <w:rPr>
          <w:rFonts w:cs="Times New Roman"/>
          <w:b/>
          <w:bCs/>
        </w:rPr>
        <w:t>B</w:t>
      </w:r>
      <w:r w:rsidRPr="000E1B1B">
        <w:rPr>
          <w:rFonts w:cs="Times New Roman"/>
        </w:rPr>
        <w:t xml:space="preserve"> C</w:t>
      </w:r>
      <w:r w:rsidRPr="000E1B1B">
        <w:rPr>
          <w:rFonts w:cs="Times New Roman"/>
          <w:lang w:eastAsia="zh-CN"/>
        </w:rPr>
        <w:t>DF curve</w:t>
      </w:r>
      <w:r w:rsidRPr="000E1B1B">
        <w:rPr>
          <w:rFonts w:cs="Times New Roman"/>
        </w:rPr>
        <w:t xml:space="preserve"> for k = 2</w:t>
      </w:r>
      <w:r w:rsidRPr="000E1B1B">
        <w:rPr>
          <w:rFonts w:cs="Times New Roman"/>
          <w:lang w:eastAsia="zh-CN"/>
        </w:rPr>
        <w:t>-</w:t>
      </w:r>
      <w:r w:rsidRPr="000E1B1B">
        <w:rPr>
          <w:rFonts w:cs="Times New Roman"/>
        </w:rPr>
        <w:t xml:space="preserve">9. </w:t>
      </w:r>
      <w:r w:rsidRPr="000E1B1B">
        <w:rPr>
          <w:rFonts w:cs="Times New Roman"/>
          <w:b/>
          <w:bCs/>
        </w:rPr>
        <w:t>C</w:t>
      </w:r>
      <w:r w:rsidRPr="000E1B1B">
        <w:rPr>
          <w:rFonts w:cs="Times New Roman"/>
        </w:rPr>
        <w:t xml:space="preserve"> Mapping of consensus clustering for k = 2. </w:t>
      </w:r>
      <w:r w:rsidRPr="000E1B1B">
        <w:rPr>
          <w:rFonts w:cs="Times New Roman"/>
          <w:b/>
          <w:bCs/>
        </w:rPr>
        <w:t>D</w:t>
      </w:r>
      <w:r w:rsidRPr="000E1B1B">
        <w:rPr>
          <w:rFonts w:cs="Times New Roman"/>
        </w:rPr>
        <w:t xml:space="preserve"> The cluster 1 OS was much shorter than cluster 2</w:t>
      </w:r>
      <w:r w:rsidRPr="000E1B1B">
        <w:rPr>
          <w:rFonts w:cs="Times New Roman"/>
          <w:lang w:eastAsia="zh-CN"/>
        </w:rPr>
        <w:t>.</w:t>
      </w:r>
      <w:r w:rsidRPr="000E1B1B">
        <w:rPr>
          <w:rFonts w:cs="Times New Roman"/>
        </w:rPr>
        <w:t xml:space="preserve"> </w:t>
      </w:r>
      <w:r w:rsidRPr="000E1B1B">
        <w:rPr>
          <w:rFonts w:cs="Times New Roman"/>
          <w:b/>
          <w:bCs/>
        </w:rPr>
        <w:t>E</w:t>
      </w:r>
      <w:r w:rsidRPr="000E1B1B">
        <w:rPr>
          <w:rFonts w:cs="Times New Roman"/>
        </w:rPr>
        <w:t xml:space="preserve"> Clinicopathologic characteristics and a heatmap of the two </w:t>
      </w:r>
      <w:r w:rsidRPr="000E1B1B">
        <w:rPr>
          <w:rFonts w:cs="Times New Roman"/>
          <w:lang w:eastAsia="zh-CN"/>
        </w:rPr>
        <w:t>subtype</w:t>
      </w:r>
      <w:r w:rsidRPr="000E1B1B">
        <w:rPr>
          <w:rFonts w:cs="Times New Roman"/>
        </w:rPr>
        <w:t>s based on the expression of SEs. ***p &lt; 0.001</w:t>
      </w:r>
    </w:p>
    <w:p w14:paraId="6DD94A86" w14:textId="77777777" w:rsidR="00536509" w:rsidRPr="000E1B1B" w:rsidRDefault="00536509" w:rsidP="00536509">
      <w:pPr>
        <w:widowControl w:val="0"/>
        <w:autoSpaceDE w:val="0"/>
        <w:autoSpaceDN w:val="0"/>
        <w:adjustRightInd w:val="0"/>
        <w:spacing w:before="0" w:after="0"/>
        <w:rPr>
          <w:rFonts w:cs="Times New Roman"/>
          <w:lang w:eastAsia="zh-CN"/>
        </w:rPr>
      </w:pPr>
      <w:r>
        <w:rPr>
          <w:rFonts w:cs="Times New Roman"/>
          <w:noProof/>
        </w:rPr>
        <w:drawing>
          <wp:inline distT="0" distB="0" distL="0" distR="0" wp14:anchorId="3CE344DE" wp14:editId="75D5D8B4">
            <wp:extent cx="6205220" cy="2780030"/>
            <wp:effectExtent l="0" t="0" r="5080" b="1270"/>
            <wp:docPr id="12303654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CFAA1" w14:textId="77777777" w:rsidR="00536509" w:rsidRDefault="00536509" w:rsidP="00536509">
      <w:pPr>
        <w:rPr>
          <w:rFonts w:cs="Times New Roman"/>
        </w:rPr>
      </w:pPr>
      <w:r w:rsidRPr="000E1B1B">
        <w:rPr>
          <w:rFonts w:cs="Times New Roman"/>
          <w:b/>
          <w:bCs/>
        </w:rPr>
        <w:t xml:space="preserve">Fig. </w:t>
      </w:r>
      <w:r w:rsidRPr="000E1B1B">
        <w:rPr>
          <w:rFonts w:cs="Times New Roman"/>
          <w:b/>
          <w:bCs/>
          <w:lang w:eastAsia="zh-CN"/>
        </w:rPr>
        <w:t>S</w:t>
      </w:r>
      <w:r>
        <w:rPr>
          <w:rFonts w:cs="Times New Roman" w:hint="eastAsia"/>
          <w:b/>
          <w:bCs/>
          <w:lang w:eastAsia="zh-CN"/>
        </w:rPr>
        <w:t>2</w:t>
      </w:r>
      <w:r w:rsidRPr="000E1B1B">
        <w:rPr>
          <w:rFonts w:cs="Times New Roman"/>
          <w:b/>
          <w:bCs/>
        </w:rPr>
        <w:t xml:space="preserve"> </w:t>
      </w:r>
      <w:r w:rsidRPr="000E1B1B">
        <w:rPr>
          <w:rFonts w:cs="Times New Roman"/>
          <w:lang w:eastAsia="zh-CN"/>
        </w:rPr>
        <w:t>V</w:t>
      </w:r>
      <w:r w:rsidRPr="000E1B1B">
        <w:rPr>
          <w:rFonts w:cs="Times New Roman"/>
        </w:rPr>
        <w:t>erifying the risk model</w:t>
      </w:r>
      <w:r w:rsidRPr="000E1B1B">
        <w:rPr>
          <w:rFonts w:cs="Times New Roman"/>
          <w:lang w:eastAsia="zh-CN"/>
        </w:rPr>
        <w:t xml:space="preserve"> in </w:t>
      </w:r>
      <w:r>
        <w:rPr>
          <w:rFonts w:cs="Times New Roman" w:hint="eastAsia"/>
          <w:lang w:eastAsia="zh-CN"/>
        </w:rPr>
        <w:t xml:space="preserve">the </w:t>
      </w:r>
      <w:r w:rsidRPr="000E1B1B">
        <w:rPr>
          <w:rFonts w:cs="Times New Roman"/>
          <w:lang w:eastAsia="zh-CN"/>
        </w:rPr>
        <w:t>TCGA subtype</w:t>
      </w:r>
      <w:r w:rsidRPr="000E1B1B">
        <w:rPr>
          <w:rFonts w:cs="Times New Roman"/>
        </w:rPr>
        <w:t xml:space="preserve">. </w:t>
      </w:r>
      <w:r w:rsidRPr="000E1B1B">
        <w:rPr>
          <w:rFonts w:cs="Times New Roman"/>
          <w:b/>
          <w:bCs/>
        </w:rPr>
        <w:t>A</w:t>
      </w:r>
      <w:r w:rsidRPr="000E1B1B">
        <w:rPr>
          <w:rFonts w:cs="Times New Roman"/>
        </w:rPr>
        <w:t xml:space="preserve"> </w:t>
      </w:r>
      <w:r w:rsidRPr="000E1B1B">
        <w:rPr>
          <w:rFonts w:cs="Times New Roman"/>
          <w:lang w:eastAsia="zh-CN"/>
        </w:rPr>
        <w:t xml:space="preserve">10 </w:t>
      </w:r>
      <w:r w:rsidRPr="000E1B1B">
        <w:rPr>
          <w:rFonts w:cs="Times New Roman"/>
        </w:rPr>
        <w:t xml:space="preserve">SE-associated gene expression levels </w:t>
      </w:r>
      <w:r w:rsidRPr="000E1B1B">
        <w:rPr>
          <w:rFonts w:cs="Times New Roman"/>
          <w:lang w:eastAsia="zh-CN"/>
        </w:rPr>
        <w:t>and</w:t>
      </w:r>
      <w:r w:rsidRPr="000E1B1B">
        <w:rPr>
          <w:rFonts w:cs="Times New Roman"/>
        </w:rPr>
        <w:t xml:space="preserve"> the distribution of clinicopathological traits. </w:t>
      </w:r>
      <w:r w:rsidRPr="000E1B1B">
        <w:rPr>
          <w:rFonts w:cs="Times New Roman"/>
          <w:b/>
          <w:bCs/>
        </w:rPr>
        <w:t>B–</w:t>
      </w:r>
      <w:r w:rsidRPr="000E1B1B">
        <w:rPr>
          <w:rFonts w:cs="Times New Roman"/>
          <w:b/>
          <w:bCs/>
          <w:lang w:eastAsia="zh-CN"/>
        </w:rPr>
        <w:t>D</w:t>
      </w:r>
      <w:r w:rsidRPr="000E1B1B">
        <w:rPr>
          <w:rFonts w:cs="Times New Roman"/>
        </w:rPr>
        <w:t xml:space="preserve"> Various risk </w:t>
      </w:r>
      <w:r w:rsidRPr="000E1B1B">
        <w:rPr>
          <w:rFonts w:cs="Times New Roman"/>
          <w:lang w:eastAsia="zh-CN"/>
        </w:rPr>
        <w:t>degree</w:t>
      </w:r>
      <w:r w:rsidRPr="000E1B1B">
        <w:rPr>
          <w:rFonts w:cs="Times New Roman"/>
        </w:rPr>
        <w:t xml:space="preserve">s for glioma patients </w:t>
      </w:r>
      <w:r w:rsidRPr="000E1B1B">
        <w:rPr>
          <w:rFonts w:cs="Times New Roman"/>
          <w:lang w:eastAsia="zh-CN"/>
        </w:rPr>
        <w:t>clarified</w:t>
      </w:r>
      <w:r w:rsidRPr="000E1B1B">
        <w:rPr>
          <w:rFonts w:cs="Times New Roman"/>
        </w:rPr>
        <w:t xml:space="preserve"> by WHO grade, age,</w:t>
      </w:r>
      <w:r w:rsidRPr="000E1B1B">
        <w:rPr>
          <w:rFonts w:cs="Times New Roman"/>
          <w:lang w:eastAsia="zh-CN"/>
        </w:rPr>
        <w:t xml:space="preserve"> </w:t>
      </w:r>
      <w:r w:rsidRPr="000E1B1B">
        <w:rPr>
          <w:rFonts w:cs="Times New Roman"/>
        </w:rPr>
        <w:t xml:space="preserve">survival status. </w:t>
      </w:r>
      <w:r w:rsidRPr="000E1B1B">
        <w:rPr>
          <w:rFonts w:cs="Times New Roman"/>
          <w:b/>
          <w:bCs/>
          <w:lang w:eastAsia="zh-CN"/>
        </w:rPr>
        <w:t>E-F</w:t>
      </w:r>
      <w:r w:rsidRPr="000E1B1B">
        <w:rPr>
          <w:rFonts w:cs="Times New Roman"/>
        </w:rPr>
        <w:t xml:space="preserve"> The </w:t>
      </w:r>
      <w:r w:rsidRPr="000E1B1B">
        <w:rPr>
          <w:rFonts w:cs="Times New Roman"/>
          <w:lang w:eastAsia="zh-CN"/>
        </w:rPr>
        <w:t>validation</w:t>
      </w:r>
      <w:r w:rsidRPr="000E1B1B">
        <w:rPr>
          <w:rFonts w:cs="Times New Roman"/>
        </w:rPr>
        <w:t xml:space="preserve"> </w:t>
      </w:r>
      <w:r w:rsidRPr="000E1B1B">
        <w:rPr>
          <w:rFonts w:cs="Times New Roman"/>
          <w:lang w:eastAsia="zh-CN"/>
        </w:rPr>
        <w:t>subtype</w:t>
      </w:r>
      <w:r w:rsidRPr="000E1B1B">
        <w:rPr>
          <w:rFonts w:cs="Times New Roman"/>
        </w:rPr>
        <w:t xml:space="preserve">'s risk score </w:t>
      </w:r>
      <w:r w:rsidRPr="000E1B1B">
        <w:rPr>
          <w:rFonts w:cs="Times New Roman"/>
        </w:rPr>
        <w:lastRenderedPageBreak/>
        <w:t xml:space="preserve">and survival status distribution </w:t>
      </w:r>
      <w:r w:rsidRPr="000E1B1B">
        <w:rPr>
          <w:rFonts w:cs="Times New Roman"/>
          <w:lang w:eastAsia="zh-CN"/>
        </w:rPr>
        <w:t>plot</w:t>
      </w:r>
      <w:r w:rsidRPr="000E1B1B">
        <w:rPr>
          <w:rFonts w:cs="Times New Roman"/>
        </w:rPr>
        <w:t xml:space="preserve">s. </w:t>
      </w:r>
      <w:r w:rsidRPr="000E1B1B">
        <w:rPr>
          <w:rFonts w:cs="Times New Roman"/>
          <w:b/>
          <w:bCs/>
          <w:lang w:eastAsia="zh-CN"/>
        </w:rPr>
        <w:t>G</w:t>
      </w:r>
      <w:r w:rsidRPr="000E1B1B">
        <w:rPr>
          <w:rFonts w:cs="Times New Roman"/>
          <w:b/>
          <w:bCs/>
        </w:rPr>
        <w:t>–</w:t>
      </w:r>
      <w:r w:rsidRPr="000E1B1B">
        <w:rPr>
          <w:rFonts w:cs="Times New Roman"/>
          <w:b/>
          <w:bCs/>
          <w:lang w:eastAsia="zh-CN"/>
        </w:rPr>
        <w:t>H</w:t>
      </w:r>
      <w:r w:rsidRPr="000E1B1B">
        <w:rPr>
          <w:rFonts w:cs="Times New Roman"/>
        </w:rPr>
        <w:t xml:space="preserve"> The calibration curve </w:t>
      </w:r>
      <w:r w:rsidRPr="000E1B1B">
        <w:rPr>
          <w:rFonts w:cs="Times New Roman"/>
          <w:lang w:eastAsia="zh-CN"/>
        </w:rPr>
        <w:t>predict</w:t>
      </w:r>
      <w:r w:rsidRPr="000E1B1B">
        <w:rPr>
          <w:rFonts w:cs="Times New Roman"/>
        </w:rPr>
        <w:t>ed OS</w:t>
      </w:r>
      <w:r w:rsidRPr="000E1B1B">
        <w:rPr>
          <w:rFonts w:cs="Times New Roman"/>
          <w:lang w:eastAsia="zh-CN"/>
        </w:rPr>
        <w:t xml:space="preserve"> and AUC value</w:t>
      </w:r>
      <w:r>
        <w:rPr>
          <w:rFonts w:cs="Times New Roman" w:hint="eastAsia"/>
          <w:lang w:eastAsia="zh-CN"/>
        </w:rPr>
        <w:t>s</w:t>
      </w:r>
      <w:r w:rsidRPr="000E1B1B">
        <w:rPr>
          <w:rFonts w:cs="Times New Roman"/>
        </w:rPr>
        <w:t>.</w:t>
      </w:r>
      <w:r w:rsidRPr="000E1B1B">
        <w:rPr>
          <w:rFonts w:cs="Times New Roman"/>
          <w:lang w:eastAsia="zh-CN"/>
        </w:rPr>
        <w:t xml:space="preserve"> </w:t>
      </w:r>
      <w:r w:rsidRPr="000E1B1B">
        <w:rPr>
          <w:rFonts w:cs="Times New Roman"/>
          <w:b/>
          <w:bCs/>
          <w:lang w:eastAsia="zh-CN"/>
        </w:rPr>
        <w:t>I-J</w:t>
      </w:r>
      <w:r w:rsidRPr="000E1B1B">
        <w:rPr>
          <w:rFonts w:cs="Times New Roman"/>
        </w:rPr>
        <w:t xml:space="preserve"> Univariate </w:t>
      </w:r>
      <w:r w:rsidRPr="000E1B1B">
        <w:rPr>
          <w:rFonts w:cs="Times New Roman"/>
          <w:lang w:eastAsia="zh-CN"/>
        </w:rPr>
        <w:t xml:space="preserve">and </w:t>
      </w:r>
      <w:r w:rsidRPr="000E1B1B">
        <w:rPr>
          <w:rFonts w:cs="Times New Roman"/>
        </w:rPr>
        <w:t>Multivariate Cox regression algorithm of clinic</w:t>
      </w:r>
      <w:r w:rsidRPr="000E1B1B">
        <w:rPr>
          <w:rFonts w:cs="Times New Roman"/>
          <w:lang w:eastAsia="zh-CN"/>
        </w:rPr>
        <w:t>o</w:t>
      </w:r>
      <w:r w:rsidRPr="000E1B1B">
        <w:rPr>
          <w:rFonts w:cs="Times New Roman"/>
        </w:rPr>
        <w:t>pathological feature difference. ***p &lt; 0.001</w:t>
      </w:r>
    </w:p>
    <w:p w14:paraId="40F7C762" w14:textId="77777777" w:rsidR="00536509" w:rsidRPr="000E1B1B" w:rsidRDefault="00536509" w:rsidP="00536509">
      <w:pPr>
        <w:rPr>
          <w:rFonts w:cs="Times New Roman"/>
          <w:lang w:eastAsia="zh-C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7E76C5A" wp14:editId="74346F04">
            <wp:extent cx="4841875" cy="8609965"/>
            <wp:effectExtent l="0" t="0" r="0" b="635"/>
            <wp:docPr id="20693193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860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CCB8" w14:textId="77777777" w:rsidR="00536509" w:rsidRPr="000E1B1B" w:rsidRDefault="00536509" w:rsidP="00536509">
      <w:pPr>
        <w:rPr>
          <w:rFonts w:cs="Times New Roman"/>
          <w:lang w:eastAsia="zh-CN"/>
        </w:rPr>
      </w:pPr>
      <w:r w:rsidRPr="000E1B1B">
        <w:rPr>
          <w:rFonts w:cs="Times New Roman"/>
          <w:b/>
          <w:bCs/>
          <w:lang w:eastAsia="zh-CN"/>
        </w:rPr>
        <w:lastRenderedPageBreak/>
        <w:t xml:space="preserve">Fig. S3 </w:t>
      </w:r>
      <w:r w:rsidRPr="000E1B1B">
        <w:rPr>
          <w:rFonts w:cs="Times New Roman"/>
          <w:lang w:eastAsia="zh-CN"/>
        </w:rPr>
        <w:t>Prognosis and expression for SE-associated genes.</w:t>
      </w:r>
      <w:r w:rsidRPr="000E1B1B">
        <w:rPr>
          <w:rFonts w:cs="Times New Roman"/>
          <w:b/>
          <w:bCs/>
          <w:lang w:eastAsia="zh-CN"/>
        </w:rPr>
        <w:t xml:space="preserve"> A-E </w:t>
      </w:r>
      <w:r w:rsidRPr="000E1B1B">
        <w:rPr>
          <w:rFonts w:cs="Times New Roman"/>
          <w:lang w:eastAsia="zh-CN"/>
        </w:rPr>
        <w:t>E</w:t>
      </w:r>
      <w:r w:rsidRPr="000E1B1B">
        <w:rPr>
          <w:rFonts w:cs="Times New Roman"/>
        </w:rPr>
        <w:t xml:space="preserve">xpression </w:t>
      </w:r>
      <w:r w:rsidRPr="000E1B1B">
        <w:rPr>
          <w:rFonts w:cs="Times New Roman"/>
          <w:lang w:eastAsia="zh-CN"/>
        </w:rPr>
        <w:t>d</w:t>
      </w:r>
      <w:r w:rsidRPr="000E1B1B">
        <w:rPr>
          <w:rFonts w:cs="Times New Roman"/>
        </w:rPr>
        <w:t>ifferen</w:t>
      </w:r>
      <w:r w:rsidRPr="000E1B1B">
        <w:rPr>
          <w:rFonts w:cs="Times New Roman"/>
          <w:lang w:eastAsia="zh-CN"/>
        </w:rPr>
        <w:t>ce</w:t>
      </w:r>
      <w:r w:rsidRPr="000E1B1B">
        <w:rPr>
          <w:rFonts w:cs="Times New Roman"/>
        </w:rPr>
        <w:t xml:space="preserve"> and survival </w:t>
      </w:r>
      <w:r w:rsidRPr="000E1B1B">
        <w:rPr>
          <w:rFonts w:cs="Times New Roman"/>
          <w:lang w:eastAsia="zh-CN"/>
        </w:rPr>
        <w:t>prognosis</w:t>
      </w:r>
      <w:r w:rsidRPr="000E1B1B">
        <w:rPr>
          <w:rFonts w:cs="Times New Roman"/>
        </w:rPr>
        <w:t xml:space="preserve"> of </w:t>
      </w:r>
      <w:r w:rsidRPr="000E1B1B">
        <w:rPr>
          <w:rFonts w:cs="Times New Roman"/>
          <w:lang w:eastAsia="zh-CN"/>
        </w:rPr>
        <w:t xml:space="preserve">SE-associated gene </w:t>
      </w:r>
      <w:r w:rsidRPr="000E1B1B">
        <w:rPr>
          <w:rFonts w:cs="Times New Roman"/>
        </w:rPr>
        <w:t>FCGR2</w:t>
      </w:r>
      <w:r w:rsidRPr="000E1B1B">
        <w:rPr>
          <w:rFonts w:cs="Times New Roman"/>
          <w:lang w:eastAsia="zh-CN"/>
        </w:rPr>
        <w:t>A (</w:t>
      </w:r>
      <w:r w:rsidRPr="000E1B1B">
        <w:rPr>
          <w:rFonts w:cs="Times New Roman"/>
          <w:b/>
          <w:bCs/>
          <w:lang w:eastAsia="zh-CN"/>
        </w:rPr>
        <w:t>A</w:t>
      </w:r>
      <w:r w:rsidRPr="000E1B1B">
        <w:rPr>
          <w:rFonts w:cs="Times New Roman"/>
          <w:lang w:eastAsia="zh-CN"/>
        </w:rPr>
        <w:t>), HOXA3 (</w:t>
      </w:r>
      <w:r w:rsidRPr="000E1B1B">
        <w:rPr>
          <w:rFonts w:cs="Times New Roman"/>
          <w:b/>
          <w:bCs/>
          <w:lang w:eastAsia="zh-CN"/>
        </w:rPr>
        <w:t>B</w:t>
      </w:r>
      <w:r w:rsidRPr="000E1B1B">
        <w:rPr>
          <w:rFonts w:cs="Times New Roman"/>
          <w:lang w:eastAsia="zh-CN"/>
        </w:rPr>
        <w:t>), HOXA5 (</w:t>
      </w:r>
      <w:r w:rsidRPr="000E1B1B">
        <w:rPr>
          <w:rFonts w:cs="Times New Roman"/>
          <w:b/>
          <w:bCs/>
          <w:lang w:eastAsia="zh-CN"/>
        </w:rPr>
        <w:t>C</w:t>
      </w:r>
      <w:r w:rsidRPr="000E1B1B">
        <w:rPr>
          <w:rFonts w:cs="Times New Roman"/>
          <w:lang w:eastAsia="zh-CN"/>
        </w:rPr>
        <w:t>), HOXA7 (</w:t>
      </w:r>
      <w:r w:rsidRPr="000E1B1B">
        <w:rPr>
          <w:rFonts w:cs="Times New Roman"/>
          <w:b/>
          <w:bCs/>
          <w:lang w:eastAsia="zh-CN"/>
        </w:rPr>
        <w:t>D</w:t>
      </w:r>
      <w:r w:rsidRPr="000E1B1B">
        <w:rPr>
          <w:rFonts w:cs="Times New Roman"/>
          <w:lang w:eastAsia="zh-CN"/>
        </w:rPr>
        <w:t>), HSPA6 (</w:t>
      </w:r>
      <w:r w:rsidRPr="000E1B1B">
        <w:rPr>
          <w:rFonts w:cs="Times New Roman"/>
          <w:b/>
          <w:bCs/>
          <w:lang w:eastAsia="zh-CN"/>
        </w:rPr>
        <w:t>E</w:t>
      </w:r>
      <w:r w:rsidRPr="000E1B1B">
        <w:rPr>
          <w:rFonts w:cs="Times New Roman"/>
          <w:lang w:eastAsia="zh-CN"/>
        </w:rPr>
        <w:t>) among</w:t>
      </w:r>
      <w:r w:rsidRPr="000E1B1B">
        <w:rPr>
          <w:rFonts w:cs="Times New Roman"/>
        </w:rPr>
        <w:t xml:space="preserve"> the</w:t>
      </w:r>
      <w:r w:rsidRPr="000E1B1B">
        <w:rPr>
          <w:rFonts w:cs="Times New Roman"/>
          <w:lang w:eastAsia="zh-CN"/>
        </w:rPr>
        <w:t xml:space="preserve"> </w:t>
      </w:r>
      <w:r w:rsidRPr="000E1B1B">
        <w:rPr>
          <w:rFonts w:cs="Times New Roman"/>
        </w:rPr>
        <w:t>Normal, LGG and GBM from the GTEX and TCGA databases.</w:t>
      </w:r>
      <w:r w:rsidRPr="000E1B1B">
        <w:rPr>
          <w:rFonts w:eastAsia="MyriadPro-Light" w:cs="Times New Roman"/>
          <w:sz w:val="16"/>
          <w:szCs w:val="16"/>
        </w:rPr>
        <w:t xml:space="preserve"> </w:t>
      </w:r>
      <w:r w:rsidRPr="000E1B1B">
        <w:rPr>
          <w:rFonts w:cs="Times New Roman"/>
        </w:rPr>
        <w:t>*p &lt; 0.0</w:t>
      </w:r>
      <w:r w:rsidRPr="000E1B1B">
        <w:rPr>
          <w:rFonts w:cs="Times New Roman"/>
          <w:lang w:eastAsia="zh-CN"/>
        </w:rPr>
        <w:t>5</w:t>
      </w:r>
    </w:p>
    <w:p w14:paraId="560192C1" w14:textId="77777777" w:rsidR="009002C6" w:rsidRDefault="009002C6"/>
    <w:sectPr w:rsidR="00900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Microsoft YaHei"/>
    <w:panose1 w:val="00000000000000000000"/>
    <w:charset w:val="86"/>
    <w:family w:val="swiss"/>
    <w:notTrueType/>
    <w:pitch w:val="default"/>
    <w:sig w:usb0="00000001" w:usb1="080F0000" w:usb2="00000010" w:usb3="00000000" w:csb0="000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09"/>
    <w:rsid w:val="00536509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E858"/>
  <w15:chartTrackingRefBased/>
  <w15:docId w15:val="{2B770E07-4AD6-4661-9106-12169643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509"/>
    <w:pPr>
      <w:spacing w:before="120" w:after="240" w:line="24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963</Characters>
  <Application>Microsoft Office Word</Application>
  <DocSecurity>0</DocSecurity>
  <Lines>8</Lines>
  <Paragraphs>2</Paragraphs>
  <ScaleCrop>false</ScaleCrop>
  <Company>Springer Nature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2024-05-14T18:00:00Z</dcterms:created>
  <dcterms:modified xsi:type="dcterms:W3CDTF">2024-05-14T18:00:00Z</dcterms:modified>
</cp:coreProperties>
</file>