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2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8"/>
          <w:lang w:val="en-GB"/>
        </w:rPr>
        <w:t>Accumulation of potentially toxic trace elements (PTEs) by native plant species growing in a typical gold mining area located in the northeast of Qinghai-Tibet Plateau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lang w:val="en-GB"/>
        </w:rPr>
      </w:pPr>
      <w:r>
        <w:rPr>
          <w:rFonts w:hint="default" w:ascii="Times New Roman" w:hAnsi="Times New Roman" w:cs="Times New Roman"/>
          <w:lang w:val="en-GB"/>
        </w:rPr>
        <w:t>Lei Wang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lang w:val="en-GB"/>
        </w:rPr>
        <w:t>, Xiaorong Xie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lang w:val="en-GB"/>
        </w:rPr>
        <w:t>, Qifeng Li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lang w:val="en-GB"/>
        </w:rPr>
        <w:t>, Zhifeng Yu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lang w:val="en-GB"/>
        </w:rPr>
        <w:t>, Guangde Hu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lang w:val="en-GB"/>
        </w:rPr>
        <w:t>, XiXi Wang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lang w:val="en-GB"/>
        </w:rPr>
        <w:t>, Jinrong Liu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lang w:val="en-GB"/>
        </w:rPr>
        <w:t>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lang w:val="en-GB"/>
        </w:rPr>
      </w:pPr>
      <w:r>
        <w:rPr>
          <w:rFonts w:hint="default" w:ascii="Times New Roman" w:hAnsi="Times New Roman" w:cs="Times New Roman"/>
          <w:b w:val="0"/>
          <w:bCs w:val="0"/>
          <w:vertAlign w:val="superscript"/>
          <w:lang w:val="en-GB"/>
        </w:rPr>
        <w:t>a</w:t>
      </w:r>
      <w:r>
        <w:rPr>
          <w:rFonts w:hint="default" w:ascii="Times New Roman" w:hAnsi="Times New Roman" w:cs="Times New Roman"/>
          <w:b w:val="0"/>
          <w:bCs w:val="0"/>
          <w:lang w:val="en-GB"/>
        </w:rPr>
        <w:t xml:space="preserve"> State Key Laboratory of Grassland Agro-ecosystems; Engineering Research Center of Grassland Industry, Ministry of Education, Gansu Tech Innovation Center of Western China Grassland Industry; College of Pastoral Agriculture Science and Technology, Lanzhou University, Lanzhou 730000, Gansu, P. R.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vertAlign w:val="superscript"/>
          <w:lang w:val="en-US" w:eastAsia="zh-CN"/>
        </w:rPr>
        <w:t xml:space="preserve">b </w:t>
      </w:r>
      <w:r>
        <w:rPr>
          <w:rFonts w:hint="default" w:ascii="Times New Roman" w:hAnsi="Times New Roman" w:cs="Times New Roman"/>
          <w:b w:val="0"/>
          <w:bCs w:val="0"/>
          <w:lang w:val="en-GB"/>
        </w:rPr>
        <w:t>Basic Medical College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lang w:val="en-GB"/>
        </w:rPr>
        <w:t>Gansu University of Chinese Medicine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lang w:val="en-GB"/>
        </w:rPr>
        <w:t>Lanzhou 730000, Gansu, P. R. China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lang w:val="en-GB"/>
        </w:rPr>
      </w:pPr>
      <w:r>
        <w:rPr>
          <w:rFonts w:hint="eastAsia" w:ascii="Times New Roman" w:hAnsi="Times New Roman" w:cs="Times New Roman"/>
          <w:b w:val="0"/>
          <w:bCs w:val="0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lang w:val="en-GB"/>
        </w:rPr>
        <w:t xml:space="preserve"> Third Institute Geological and Mineral Exploration of Gansu Provincial Bureau of Geology and Mineral Resources, Lanzhou 730030, Gansu, P. R. China</w:t>
      </w:r>
    </w:p>
    <w:p>
      <w:pPr>
        <w:spacing w:line="480" w:lineRule="auto"/>
        <w:rPr>
          <w:rFonts w:hint="default" w:ascii="Times New Roman" w:hAnsi="Times New Roman" w:cs="Times New Roman"/>
          <w:color w:val="auto"/>
          <w:szCs w:val="21"/>
        </w:rPr>
      </w:pPr>
      <w:r>
        <w:rPr>
          <w:rFonts w:hint="default" w:ascii="Times New Roman" w:hAnsi="Times New Roman" w:cs="Times New Roman"/>
          <w:color w:val="auto"/>
          <w:lang w:val="en-GB"/>
        </w:rPr>
        <w:t>*</w:t>
      </w:r>
      <w:r>
        <w:rPr>
          <w:rFonts w:hint="default" w:ascii="Times New Roman" w:hAnsi="Times New Roman" w:cs="Times New Roman"/>
          <w:b/>
          <w:bCs/>
          <w:color w:val="auto"/>
          <w:lang w:val="en-GB"/>
        </w:rPr>
        <w:t>Corresponding author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21"/>
          <w:u w:val="none"/>
        </w:rPr>
        <w:t xml:space="preserve">E-mail address: </w:t>
      </w:r>
      <w:r>
        <w:rPr>
          <w:rFonts w:hint="default" w:ascii="Times New Roman" w:hAnsi="Times New Roman" w:cs="Times New Roman"/>
          <w:color w:val="auto"/>
          <w:szCs w:val="21"/>
          <w:u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Cs w:val="21"/>
          <w:u w:val="none"/>
        </w:rPr>
        <w:instrText xml:space="preserve"> HYPERLINK "mailto:Liujinr@lzu.edu.cn" </w:instrText>
      </w:r>
      <w:r>
        <w:rPr>
          <w:rFonts w:hint="default" w:ascii="Times New Roman" w:hAnsi="Times New Roman" w:cs="Times New Roman"/>
          <w:color w:val="auto"/>
          <w:szCs w:val="21"/>
          <w:u w:val="none"/>
        </w:rPr>
        <w:fldChar w:fldCharType="separate"/>
      </w:r>
      <w:r>
        <w:rPr>
          <w:rStyle w:val="7"/>
          <w:rFonts w:hint="default" w:ascii="Times New Roman" w:hAnsi="Times New Roman" w:cs="Times New Roman"/>
          <w:color w:val="auto"/>
          <w:szCs w:val="21"/>
          <w:u w:val="none"/>
        </w:rPr>
        <w:t>liujinr@lzu.edu.cn</w:t>
      </w:r>
      <w:r>
        <w:rPr>
          <w:rFonts w:hint="default" w:ascii="Times New Roman" w:hAnsi="Times New Roman" w:cs="Times New Roman"/>
          <w:color w:val="auto"/>
          <w:szCs w:val="21"/>
          <w:u w:val="none"/>
        </w:rPr>
        <w:fldChar w:fldCharType="end"/>
      </w:r>
      <w:r>
        <w:rPr>
          <w:rFonts w:hint="default" w:ascii="Times New Roman" w:hAnsi="Times New Roman" w:cs="Times New Roman"/>
          <w:color w:val="auto"/>
          <w:szCs w:val="21"/>
          <w:u w:val="none"/>
        </w:rPr>
        <w:t xml:space="preserve"> (Jinrong Liu)</w:t>
      </w:r>
    </w:p>
    <w:p>
      <w:pPr>
        <w:spacing w:line="480" w:lineRule="auto"/>
        <w:jc w:val="center"/>
        <w:rPr>
          <w:rFonts w:hint="eastAsia" w:ascii="Times New Roman" w:hAnsi="Times New Roman" w:cs="Times New Roman"/>
          <w:lang w:val="en-GB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/>
          <w:lang w:val="en-GB"/>
        </w:rPr>
      </w:pPr>
    </w:p>
    <w:p/>
    <w:p/>
    <w:p/>
    <w:p>
      <w:pP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</w:pPr>
    </w:p>
    <w:p>
      <w:pP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  <w:t xml:space="preserve">Table S1. </w:t>
      </w:r>
      <w: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  <w:t xml:space="preserve">Pearson correlation coefficients among 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  <w:t>root As</w:t>
      </w:r>
      <w: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  <w:t>root Cd</w:t>
      </w:r>
      <w: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  <w:t>root Zn</w:t>
      </w:r>
      <w: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  <w:t>Root Pb</w:t>
      </w:r>
      <w: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  <w:t>shoot As,</w:t>
      </w:r>
      <w: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  <w:t>shoot Cd, Shoot Zn, shoot Pb</w:t>
      </w:r>
      <w: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  <w:t>EC, pH, TP, TN, SOM</w:t>
      </w:r>
      <w: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  <w:t xml:space="preserve"> in the soil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  <w:t xml:space="preserve">s </w:t>
      </w:r>
      <w: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  <w:t>(n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/>
        </w:rPr>
        <w:t xml:space="preserve"> = 36</w:t>
      </w:r>
      <w: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  <w:t>). Meanwhile, * and ** represent significant correlations at level p &lt; 0.05 and p &lt; 0.01, respectively.</w:t>
      </w:r>
    </w:p>
    <w:p>
      <w:pPr>
        <w:rPr>
          <w:rFonts w:hint="default" w:ascii="Times New Roman" w:hAnsi="Times New Roman" w:eastAsia="MingLiU" w:cs="Times New Roman"/>
          <w:color w:val="000000"/>
          <w:kern w:val="0"/>
          <w:sz w:val="18"/>
          <w:szCs w:val="18"/>
        </w:rPr>
      </w:pPr>
    </w:p>
    <w:p/>
    <w:tbl>
      <w:tblPr>
        <w:tblStyle w:val="4"/>
        <w:tblpPr w:leftFromText="180" w:rightFromText="180" w:vertAnchor="page" w:horzAnchor="page" w:tblpX="1613" w:tblpY="3090"/>
        <w:tblW w:w="134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84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4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6" w:type="dxa"/>
            <w:tcBorders>
              <w:top w:val="single" w:color="000000" w:sz="12" w:space="0"/>
              <w:left w:val="nil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Root As</w:t>
            </w:r>
          </w:p>
        </w:tc>
        <w:tc>
          <w:tcPr>
            <w:tcW w:w="96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Root Cd</w:t>
            </w:r>
          </w:p>
        </w:tc>
        <w:tc>
          <w:tcPr>
            <w:tcW w:w="96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Root Zn</w:t>
            </w:r>
          </w:p>
        </w:tc>
        <w:tc>
          <w:tcPr>
            <w:tcW w:w="96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Root Pb</w:t>
            </w:r>
          </w:p>
        </w:tc>
        <w:tc>
          <w:tcPr>
            <w:tcW w:w="96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Shoot As</w:t>
            </w:r>
          </w:p>
        </w:tc>
        <w:tc>
          <w:tcPr>
            <w:tcW w:w="96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Shoot Cd</w:t>
            </w:r>
          </w:p>
        </w:tc>
        <w:tc>
          <w:tcPr>
            <w:tcW w:w="96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Shoot Zn</w:t>
            </w:r>
          </w:p>
        </w:tc>
        <w:tc>
          <w:tcPr>
            <w:tcW w:w="96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Shoot Pb</w:t>
            </w:r>
          </w:p>
        </w:tc>
        <w:tc>
          <w:tcPr>
            <w:tcW w:w="96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EC</w:t>
            </w:r>
          </w:p>
        </w:tc>
        <w:tc>
          <w:tcPr>
            <w:tcW w:w="96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TP</w:t>
            </w:r>
          </w:p>
        </w:tc>
        <w:tc>
          <w:tcPr>
            <w:tcW w:w="96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SOM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4" w:type="dxa"/>
            <w:tcBorders>
              <w:top w:val="single" w:color="000000" w:sz="12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Root As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Root Cd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0.846**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Root Zn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0.145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-0.088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Root Pb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-0.158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-0.092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-0.112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Shoot As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0.707**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0.669*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-0.206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-0.219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Shoot Cd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0.735**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0.872**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-0.177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-0.020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0.576*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Shoot Zn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-0.217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-0.005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-0.166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0.234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-0.151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Shoot Pb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-0.302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-0.199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-0.258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0.527*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-0.102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-0.013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0.444*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EC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0.100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0.236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0.105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-0.083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0.273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0.157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-0.078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0.178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0.112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0.335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0.229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-0.263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0.357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TP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0.382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0.295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0.061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-0.104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0.297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0.256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-0.080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-0.214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-0.313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0.161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-0.037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-0.241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0.060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0.010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-0.285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-0.356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0.203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0.197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4" w:type="dxa"/>
            <w:tcBorders>
              <w:bottom w:val="single" w:color="000000" w:sz="12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SOM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0.153</w:t>
            </w:r>
          </w:p>
        </w:tc>
        <w:tc>
          <w:tcPr>
            <w:tcW w:w="960" w:type="dxa"/>
            <w:tcBorders>
              <w:top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-0.026</w:t>
            </w:r>
          </w:p>
        </w:tc>
        <w:tc>
          <w:tcPr>
            <w:tcW w:w="960" w:type="dxa"/>
            <w:tcBorders>
              <w:top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0.190</w:t>
            </w:r>
          </w:p>
        </w:tc>
        <w:tc>
          <w:tcPr>
            <w:tcW w:w="960" w:type="dxa"/>
            <w:tcBorders>
              <w:top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-0.105</w:t>
            </w:r>
          </w:p>
        </w:tc>
        <w:tc>
          <w:tcPr>
            <w:tcW w:w="960" w:type="dxa"/>
            <w:tcBorders>
              <w:top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960" w:type="dxa"/>
            <w:tcBorders>
              <w:top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-0.010</w:t>
            </w:r>
          </w:p>
        </w:tc>
        <w:tc>
          <w:tcPr>
            <w:tcW w:w="960" w:type="dxa"/>
            <w:tcBorders>
              <w:top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-0.411</w:t>
            </w:r>
          </w:p>
        </w:tc>
        <w:tc>
          <w:tcPr>
            <w:tcW w:w="960" w:type="dxa"/>
            <w:tcBorders>
              <w:top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-0.221</w:t>
            </w:r>
          </w:p>
        </w:tc>
        <w:tc>
          <w:tcPr>
            <w:tcW w:w="960" w:type="dxa"/>
            <w:tcBorders>
              <w:top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0.069</w:t>
            </w:r>
          </w:p>
        </w:tc>
        <w:tc>
          <w:tcPr>
            <w:tcW w:w="960" w:type="dxa"/>
            <w:tcBorders>
              <w:top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-0.167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-0.015</w:t>
            </w:r>
          </w:p>
        </w:tc>
        <w:tc>
          <w:tcPr>
            <w:tcW w:w="960" w:type="dxa"/>
            <w:tcBorders>
              <w:top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0.744**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MingLiU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/>
    <w:p/>
    <w:p/>
    <w:p/>
    <w:p/>
    <w:p/>
    <w:p/>
    <w:p/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553B68"/>
    <w:rsid w:val="0F5B7638"/>
    <w:rsid w:val="1DE20E5D"/>
    <w:rsid w:val="216C4347"/>
    <w:rsid w:val="2AE33BFB"/>
    <w:rsid w:val="2DB86593"/>
    <w:rsid w:val="2EB12514"/>
    <w:rsid w:val="2F3C6A83"/>
    <w:rsid w:val="35215DC8"/>
    <w:rsid w:val="3CFB39B6"/>
    <w:rsid w:val="3FCF2C44"/>
    <w:rsid w:val="41947CE9"/>
    <w:rsid w:val="4E7408C1"/>
    <w:rsid w:val="5041349C"/>
    <w:rsid w:val="50A376F8"/>
    <w:rsid w:val="528C3F2F"/>
    <w:rsid w:val="53006DAF"/>
    <w:rsid w:val="54344896"/>
    <w:rsid w:val="59C07DF0"/>
    <w:rsid w:val="5CCA4E60"/>
    <w:rsid w:val="619B149F"/>
    <w:rsid w:val="6BA02F28"/>
    <w:rsid w:val="6D997DCC"/>
    <w:rsid w:val="773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8">
    <w:name w:val="Resim Yazısı1"/>
    <w:basedOn w:val="1"/>
    <w:next w:val="1"/>
    <w:unhideWhenUsed/>
    <w:qFormat/>
    <w:uiPriority w:val="35"/>
    <w:pPr>
      <w:widowControl/>
      <w:spacing w:after="200"/>
      <w:jc w:val="left"/>
    </w:pPr>
    <w:rPr>
      <w:rFonts w:ascii="Calibri" w:hAnsi="Calibri" w:eastAsia="Calibri" w:cs="Times New Roman"/>
      <w:i/>
      <w:iCs/>
      <w:color w:val="44546A"/>
      <w:kern w:val="0"/>
      <w:sz w:val="18"/>
      <w:szCs w:val="18"/>
      <w:lang w:val="tr-TR"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Chen L</cp:lastModifiedBy>
  <dcterms:modified xsi:type="dcterms:W3CDTF">2021-04-08T08:47:43Z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DFF237BB8071478680B45A1A8FDDE8A7</vt:lpwstr>
  </property>
</Properties>
</file>