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16985" w14:textId="16860596" w:rsidR="00C47E14" w:rsidRPr="00C47E14" w:rsidRDefault="00C47E14" w:rsidP="00CE5F4B">
      <w:pPr>
        <w:pStyle w:val="Head"/>
        <w:tabs>
          <w:tab w:val="left" w:pos="2070"/>
        </w:tabs>
        <w:spacing w:line="480" w:lineRule="auto"/>
        <w:rPr>
          <w:lang w:val="en-AU"/>
        </w:rPr>
      </w:pPr>
      <w:r>
        <w:rPr>
          <w:lang w:val="en-AU"/>
        </w:rPr>
        <w:t xml:space="preserve">Supplementary material </w:t>
      </w:r>
    </w:p>
    <w:p w14:paraId="1160C441" w14:textId="2A997226" w:rsidR="001C5FE4" w:rsidRPr="005357BA" w:rsidRDefault="001C5FE4" w:rsidP="001C5FE4">
      <w:pPr>
        <w:pStyle w:val="CaptionAbove"/>
        <w:keepNext w:val="0"/>
        <w:keepLines w:val="0"/>
        <w:widowControl w:val="0"/>
        <w:spacing w:line="480" w:lineRule="auto"/>
        <w:jc w:val="both"/>
        <w:rPr>
          <w:rFonts w:ascii="Times New Roman" w:hAnsi="Times New Roman"/>
          <w:b w:val="0"/>
          <w:szCs w:val="24"/>
        </w:rPr>
      </w:pPr>
      <w:r w:rsidRPr="001C5FE4">
        <w:rPr>
          <w:rFonts w:ascii="Times New Roman" w:hAnsi="Times New Roman"/>
          <w:szCs w:val="24"/>
        </w:rPr>
        <w:t>Table S</w:t>
      </w:r>
      <w:r w:rsidR="00EA12B2">
        <w:rPr>
          <w:rFonts w:ascii="Times New Roman" w:hAnsi="Times New Roman"/>
          <w:szCs w:val="24"/>
        </w:rPr>
        <w:t>1</w:t>
      </w:r>
      <w:r w:rsidRPr="001C5FE4">
        <w:rPr>
          <w:rFonts w:ascii="Times New Roman" w:hAnsi="Times New Roman"/>
          <w:szCs w:val="24"/>
        </w:rPr>
        <w:t>.</w:t>
      </w:r>
      <w:r w:rsidRPr="001C5FE4">
        <w:rPr>
          <w:rFonts w:ascii="Times New Roman" w:hAnsi="Times New Roman"/>
          <w:szCs w:val="24"/>
        </w:rPr>
        <w:tab/>
        <w:t>Receptors of select respiratory viruses.</w:t>
      </w:r>
      <w:r w:rsidRPr="00564A3A">
        <w:rPr>
          <w:rFonts w:ascii="Times New Roman" w:hAnsi="Times New Roman"/>
          <w:b w:val="0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5"/>
        <w:gridCol w:w="3267"/>
        <w:gridCol w:w="2808"/>
      </w:tblGrid>
      <w:tr w:rsidR="00C75CB8" w14:paraId="3C9BB99D" w14:textId="223C271B" w:rsidTr="00C75CB8">
        <w:tc>
          <w:tcPr>
            <w:tcW w:w="3275" w:type="dxa"/>
            <w:shd w:val="clear" w:color="auto" w:fill="D9D9D9" w:themeFill="background1" w:themeFillShade="D9"/>
          </w:tcPr>
          <w:p w14:paraId="26BF5BD6" w14:textId="3B4B4934" w:rsidR="00C75CB8" w:rsidRPr="009402D7" w:rsidRDefault="00C75CB8" w:rsidP="001C5FE4">
            <w:pPr>
              <w:spacing w:line="480" w:lineRule="auto"/>
              <w:rPr>
                <w:b/>
              </w:rPr>
            </w:pPr>
            <w:r>
              <w:rPr>
                <w:b/>
              </w:rPr>
              <w:t>Virus of interest</w:t>
            </w:r>
          </w:p>
        </w:tc>
        <w:tc>
          <w:tcPr>
            <w:tcW w:w="3267" w:type="dxa"/>
            <w:shd w:val="clear" w:color="auto" w:fill="D9D9D9" w:themeFill="background1" w:themeFillShade="D9"/>
          </w:tcPr>
          <w:p w14:paraId="1632F989" w14:textId="5B808C38" w:rsidR="00C75CB8" w:rsidRDefault="00C75CB8" w:rsidP="001C5FE4">
            <w:pPr>
              <w:spacing w:line="480" w:lineRule="auto"/>
              <w:rPr>
                <w:b/>
              </w:rPr>
            </w:pPr>
            <w:r>
              <w:rPr>
                <w:b/>
              </w:rPr>
              <w:t>Virus receptors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78B4EF74" w14:textId="1F59FE4F" w:rsidR="00C75CB8" w:rsidRDefault="00C75CB8" w:rsidP="001C5FE4">
            <w:pPr>
              <w:spacing w:line="480" w:lineRule="auto"/>
              <w:rPr>
                <w:b/>
              </w:rPr>
            </w:pPr>
            <w:r>
              <w:rPr>
                <w:b/>
              </w:rPr>
              <w:t>Virus receptors abbreviated</w:t>
            </w:r>
          </w:p>
        </w:tc>
      </w:tr>
      <w:tr w:rsidR="00C75CB8" w14:paraId="76B97452" w14:textId="50531B44" w:rsidTr="00C75CB8">
        <w:tc>
          <w:tcPr>
            <w:tcW w:w="3275" w:type="dxa"/>
          </w:tcPr>
          <w:p w14:paraId="1B93354F" w14:textId="4C016AB6" w:rsidR="00C75CB8" w:rsidRPr="009402D7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 xml:space="preserve">Rhinovirus </w:t>
            </w:r>
          </w:p>
        </w:tc>
        <w:tc>
          <w:tcPr>
            <w:tcW w:w="3267" w:type="dxa"/>
          </w:tcPr>
          <w:p w14:paraId="34F3C47B" w14:textId="77777777" w:rsidR="00183DBB" w:rsidRDefault="00722E55" w:rsidP="00722E55">
            <w:pPr>
              <w:rPr>
                <w:bCs/>
              </w:rPr>
            </w:pPr>
            <w:r w:rsidRPr="00722E55">
              <w:rPr>
                <w:bCs/>
              </w:rPr>
              <w:t>Intercellular Adhesion Molecule 1</w:t>
            </w:r>
            <w:r>
              <w:rPr>
                <w:bCs/>
              </w:rPr>
              <w:t xml:space="preserve">, </w:t>
            </w:r>
          </w:p>
          <w:p w14:paraId="5E24F66F" w14:textId="77777777" w:rsidR="00183DBB" w:rsidRDefault="00722E55" w:rsidP="00722E55">
            <w:pPr>
              <w:rPr>
                <w:bCs/>
              </w:rPr>
            </w:pPr>
            <w:r w:rsidRPr="00722E55">
              <w:rPr>
                <w:bCs/>
              </w:rPr>
              <w:t>Low-density lipoprotein receptor</w:t>
            </w:r>
            <w:r>
              <w:rPr>
                <w:bCs/>
              </w:rPr>
              <w:t xml:space="preserve">, </w:t>
            </w:r>
          </w:p>
          <w:p w14:paraId="7970C81A" w14:textId="06C5679F" w:rsidR="00C75CB8" w:rsidRPr="005A359D" w:rsidRDefault="00722E55" w:rsidP="00722E55">
            <w:pPr>
              <w:rPr>
                <w:bCs/>
              </w:rPr>
            </w:pPr>
            <w:r w:rsidRPr="00722E55">
              <w:rPr>
                <w:bCs/>
              </w:rPr>
              <w:t>Cadherin related family member 3</w:t>
            </w:r>
          </w:p>
        </w:tc>
        <w:tc>
          <w:tcPr>
            <w:tcW w:w="2808" w:type="dxa"/>
          </w:tcPr>
          <w:p w14:paraId="1397F1A6" w14:textId="77777777" w:rsidR="00183DBB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 xml:space="preserve">ICAM-1, </w:t>
            </w:r>
          </w:p>
          <w:p w14:paraId="6B43BA29" w14:textId="77777777" w:rsidR="00183DBB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 xml:space="preserve">LDLR. </w:t>
            </w:r>
          </w:p>
          <w:p w14:paraId="1F49EFB9" w14:textId="471E2A25" w:rsidR="00C75CB8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 xml:space="preserve">CDHR3 </w:t>
            </w:r>
          </w:p>
        </w:tc>
      </w:tr>
      <w:tr w:rsidR="00C75CB8" w14:paraId="53E9B7A9" w14:textId="727E54E2" w:rsidTr="00C75CB8">
        <w:tc>
          <w:tcPr>
            <w:tcW w:w="3275" w:type="dxa"/>
          </w:tcPr>
          <w:p w14:paraId="6622B069" w14:textId="6C9CD529" w:rsidR="00C75CB8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>Respiratory Syncytial Virus</w:t>
            </w:r>
          </w:p>
        </w:tc>
        <w:tc>
          <w:tcPr>
            <w:tcW w:w="3267" w:type="dxa"/>
          </w:tcPr>
          <w:p w14:paraId="1ABEAD40" w14:textId="77777777" w:rsidR="00183DBB" w:rsidRDefault="00722E55" w:rsidP="00722E55">
            <w:pPr>
              <w:rPr>
                <w:bCs/>
              </w:rPr>
            </w:pPr>
            <w:proofErr w:type="spellStart"/>
            <w:r>
              <w:rPr>
                <w:bCs/>
              </w:rPr>
              <w:t>Nucleolin</w:t>
            </w:r>
            <w:proofErr w:type="spellEnd"/>
            <w:r>
              <w:rPr>
                <w:bCs/>
              </w:rPr>
              <w:t xml:space="preserve">, </w:t>
            </w:r>
          </w:p>
          <w:p w14:paraId="1B6FB3F1" w14:textId="77777777" w:rsidR="00183DBB" w:rsidRDefault="00183DBB" w:rsidP="00722E55">
            <w:pPr>
              <w:rPr>
                <w:bCs/>
              </w:rPr>
            </w:pPr>
          </w:p>
          <w:p w14:paraId="5BD6A0F5" w14:textId="20092F7E" w:rsidR="00C75CB8" w:rsidRPr="005A359D" w:rsidRDefault="00722E55" w:rsidP="00722E55">
            <w:pPr>
              <w:rPr>
                <w:bCs/>
              </w:rPr>
            </w:pPr>
            <w:r w:rsidRPr="00722E55">
              <w:rPr>
                <w:bCs/>
              </w:rPr>
              <w:t>C-X3-C Motif Chemokine Receptor 1</w:t>
            </w:r>
          </w:p>
        </w:tc>
        <w:tc>
          <w:tcPr>
            <w:tcW w:w="2808" w:type="dxa"/>
          </w:tcPr>
          <w:p w14:paraId="447B4901" w14:textId="77777777" w:rsidR="00183DBB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 xml:space="preserve">NCL, </w:t>
            </w:r>
          </w:p>
          <w:p w14:paraId="738B69A5" w14:textId="2049A63E" w:rsidR="00C75CB8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>CX3CR1</w:t>
            </w:r>
          </w:p>
        </w:tc>
      </w:tr>
      <w:tr w:rsidR="00C75CB8" w14:paraId="6BE91FB1" w14:textId="4660CF69" w:rsidTr="00C75CB8">
        <w:tc>
          <w:tcPr>
            <w:tcW w:w="3275" w:type="dxa"/>
          </w:tcPr>
          <w:p w14:paraId="6BBE1CBC" w14:textId="276CFAFC" w:rsidR="00C75CB8" w:rsidRDefault="00C75CB8" w:rsidP="00722E55">
            <w:pPr>
              <w:rPr>
                <w:bCs/>
              </w:rPr>
            </w:pPr>
            <w:r>
              <w:rPr>
                <w:bCs/>
              </w:rPr>
              <w:t>SARS-CoV-2</w:t>
            </w:r>
          </w:p>
        </w:tc>
        <w:tc>
          <w:tcPr>
            <w:tcW w:w="3267" w:type="dxa"/>
          </w:tcPr>
          <w:p w14:paraId="2531A883" w14:textId="77777777" w:rsidR="00183DBB" w:rsidRDefault="00722E55" w:rsidP="00722E55">
            <w:pPr>
              <w:rPr>
                <w:bCs/>
              </w:rPr>
            </w:pPr>
            <w:r w:rsidRPr="00722E55">
              <w:rPr>
                <w:bCs/>
              </w:rPr>
              <w:t>Transmembrane protease, serine 2</w:t>
            </w:r>
            <w:r>
              <w:rPr>
                <w:bCs/>
              </w:rPr>
              <w:t xml:space="preserve">, </w:t>
            </w:r>
          </w:p>
          <w:p w14:paraId="7761543A" w14:textId="4A0E647B" w:rsidR="00C75CB8" w:rsidRPr="005A359D" w:rsidRDefault="00722E55" w:rsidP="00722E55">
            <w:pPr>
              <w:rPr>
                <w:bCs/>
              </w:rPr>
            </w:pPr>
            <w:r w:rsidRPr="00722E55">
              <w:rPr>
                <w:bCs/>
              </w:rPr>
              <w:t>Angiotensin-converting enzyme 2</w:t>
            </w:r>
          </w:p>
        </w:tc>
        <w:tc>
          <w:tcPr>
            <w:tcW w:w="2808" w:type="dxa"/>
          </w:tcPr>
          <w:p w14:paraId="4A5F6E11" w14:textId="77777777" w:rsidR="00183DBB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 xml:space="preserve">TMPRSS2, </w:t>
            </w:r>
          </w:p>
          <w:p w14:paraId="0B01BB5A" w14:textId="2756DCC0" w:rsidR="00C75CB8" w:rsidRDefault="00C75CB8" w:rsidP="00C75CB8">
            <w:pPr>
              <w:spacing w:line="480" w:lineRule="auto"/>
              <w:rPr>
                <w:bCs/>
              </w:rPr>
            </w:pPr>
            <w:r>
              <w:rPr>
                <w:bCs/>
              </w:rPr>
              <w:t>ACE2</w:t>
            </w:r>
          </w:p>
        </w:tc>
      </w:tr>
    </w:tbl>
    <w:p w14:paraId="0CABF518" w14:textId="37E10A38" w:rsidR="001C5FE4" w:rsidRPr="001C5FE4" w:rsidRDefault="00C47E14" w:rsidP="001C5FE4">
      <w:pPr>
        <w:spacing w:line="480" w:lineRule="auto"/>
        <w:rPr>
          <w:b/>
        </w:rPr>
      </w:pPr>
      <w:r w:rsidRPr="00F21649">
        <w:rPr>
          <w:b/>
        </w:rPr>
        <w:br w:type="page"/>
      </w:r>
    </w:p>
    <w:p w14:paraId="420D74A6" w14:textId="7AD8103B" w:rsidR="00C47E14" w:rsidRPr="00437E8E" w:rsidRDefault="00C47E14" w:rsidP="00C47E14">
      <w:pPr>
        <w:pStyle w:val="CaptionAbove"/>
        <w:keepNext w:val="0"/>
        <w:keepLines w:val="0"/>
        <w:widowControl w:val="0"/>
        <w:spacing w:line="480" w:lineRule="auto"/>
        <w:jc w:val="both"/>
        <w:rPr>
          <w:rFonts w:ascii="Times New Roman" w:hAnsi="Times New Roman"/>
          <w:b w:val="0"/>
          <w:szCs w:val="24"/>
        </w:rPr>
      </w:pPr>
      <w:bookmarkStart w:id="0" w:name="_Toc491946231"/>
      <w:r w:rsidRPr="00437E8E">
        <w:rPr>
          <w:rFonts w:ascii="Times New Roman" w:hAnsi="Times New Roman"/>
          <w:szCs w:val="24"/>
        </w:rPr>
        <w:lastRenderedPageBreak/>
        <w:t>Table S</w:t>
      </w:r>
      <w:r w:rsidR="00EA12B2">
        <w:rPr>
          <w:rFonts w:ascii="Times New Roman" w:hAnsi="Times New Roman"/>
          <w:szCs w:val="24"/>
        </w:rPr>
        <w:t>2</w:t>
      </w:r>
      <w:r w:rsidRPr="00437E8E">
        <w:rPr>
          <w:rFonts w:ascii="Times New Roman" w:hAnsi="Times New Roman"/>
          <w:szCs w:val="24"/>
        </w:rPr>
        <w:t>.</w:t>
      </w:r>
      <w:r w:rsidRPr="00437E8E">
        <w:rPr>
          <w:rFonts w:ascii="Times New Roman" w:hAnsi="Times New Roman"/>
          <w:szCs w:val="24"/>
        </w:rPr>
        <w:tab/>
        <w:t xml:space="preserve">Details of </w:t>
      </w:r>
      <w:r>
        <w:rPr>
          <w:rFonts w:ascii="Times New Roman" w:hAnsi="Times New Roman"/>
          <w:szCs w:val="24"/>
        </w:rPr>
        <w:t>TaqMan</w:t>
      </w:r>
      <w:r w:rsidRPr="00676D91">
        <w:rPr>
          <w:rFonts w:ascii="Times New Roman" w:hAnsi="Times New Roman"/>
          <w:szCs w:val="24"/>
          <w:vertAlign w:val="superscript"/>
        </w:rPr>
        <w:t>®</w:t>
      </w:r>
      <w:r w:rsidRPr="008E2548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qPCR primer probes.</w:t>
      </w:r>
      <w:r w:rsidRPr="00437E8E">
        <w:rPr>
          <w:rFonts w:ascii="Times New Roman" w:hAnsi="Times New Roman"/>
          <w:b w:val="0"/>
          <w:szCs w:val="24"/>
        </w:rPr>
        <w:t xml:space="preserve"> </w:t>
      </w:r>
      <w:bookmarkEnd w:id="0"/>
    </w:p>
    <w:tbl>
      <w:tblPr>
        <w:tblStyle w:val="TableGrid"/>
        <w:tblW w:w="9445" w:type="dxa"/>
        <w:tblLayout w:type="fixed"/>
        <w:tblLook w:val="06A0" w:firstRow="1" w:lastRow="0" w:firstColumn="1" w:lastColumn="0" w:noHBand="1" w:noVBand="1"/>
      </w:tblPr>
      <w:tblGrid>
        <w:gridCol w:w="1271"/>
        <w:gridCol w:w="1985"/>
        <w:gridCol w:w="1417"/>
        <w:gridCol w:w="992"/>
        <w:gridCol w:w="3780"/>
      </w:tblGrid>
      <w:tr w:rsidR="00C47E14" w:rsidRPr="008E2548" w14:paraId="050F8FB1" w14:textId="77777777" w:rsidTr="00A77F5C">
        <w:tc>
          <w:tcPr>
            <w:tcW w:w="1271" w:type="dxa"/>
            <w:shd w:val="clear" w:color="auto" w:fill="D9D9D9" w:themeFill="background1" w:themeFillShade="D9"/>
          </w:tcPr>
          <w:p w14:paraId="1940EDBB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>Gene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6AECE836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>ID*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D95522F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 xml:space="preserve">Amplicon length </w:t>
            </w:r>
            <w:r w:rsidRPr="008E2548">
              <w:rPr>
                <w:rFonts w:eastAsia="Times New Roman"/>
                <w:b/>
                <w:bCs/>
              </w:rPr>
              <w:t>(bp)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47EA494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>Exon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097C6A88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 xml:space="preserve">Supplier </w:t>
            </w:r>
          </w:p>
        </w:tc>
      </w:tr>
      <w:tr w:rsidR="00C47E14" w:rsidRPr="008E2548" w14:paraId="2892557D" w14:textId="77777777" w:rsidTr="00A77F5C">
        <w:tc>
          <w:tcPr>
            <w:tcW w:w="1271" w:type="dxa"/>
          </w:tcPr>
          <w:p w14:paraId="41083A3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ACE2</w:t>
            </w:r>
          </w:p>
        </w:tc>
        <w:tc>
          <w:tcPr>
            <w:tcW w:w="1985" w:type="dxa"/>
          </w:tcPr>
          <w:p w14:paraId="73AD28D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Hs00222343_m1</w:t>
            </w:r>
          </w:p>
        </w:tc>
        <w:tc>
          <w:tcPr>
            <w:tcW w:w="1417" w:type="dxa"/>
          </w:tcPr>
          <w:p w14:paraId="5503AA8C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89</w:t>
            </w:r>
          </w:p>
        </w:tc>
        <w:tc>
          <w:tcPr>
            <w:tcW w:w="992" w:type="dxa"/>
          </w:tcPr>
          <w:p w14:paraId="08B2A7C9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7-8</w:t>
            </w:r>
          </w:p>
        </w:tc>
        <w:tc>
          <w:tcPr>
            <w:tcW w:w="3780" w:type="dxa"/>
          </w:tcPr>
          <w:p w14:paraId="48DB853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3609F08E" w14:textId="77777777" w:rsidTr="00A77F5C">
        <w:tc>
          <w:tcPr>
            <w:tcW w:w="1271" w:type="dxa"/>
          </w:tcPr>
          <w:p w14:paraId="10E6735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CDHR3</w:t>
            </w:r>
          </w:p>
        </w:tc>
        <w:tc>
          <w:tcPr>
            <w:tcW w:w="1985" w:type="dxa"/>
          </w:tcPr>
          <w:p w14:paraId="73E32BF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Hs00541677_m1</w:t>
            </w:r>
          </w:p>
        </w:tc>
        <w:tc>
          <w:tcPr>
            <w:tcW w:w="1417" w:type="dxa"/>
          </w:tcPr>
          <w:p w14:paraId="6D1A8363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124</w:t>
            </w:r>
          </w:p>
        </w:tc>
        <w:tc>
          <w:tcPr>
            <w:tcW w:w="992" w:type="dxa"/>
          </w:tcPr>
          <w:p w14:paraId="2D2F5318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16-17</w:t>
            </w:r>
          </w:p>
        </w:tc>
        <w:tc>
          <w:tcPr>
            <w:tcW w:w="3780" w:type="dxa"/>
          </w:tcPr>
          <w:p w14:paraId="0B93896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32B4FFBF" w14:textId="77777777" w:rsidTr="00A77F5C">
        <w:tc>
          <w:tcPr>
            <w:tcW w:w="1271" w:type="dxa"/>
          </w:tcPr>
          <w:p w14:paraId="365E58C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CX3CR1</w:t>
            </w:r>
          </w:p>
        </w:tc>
        <w:tc>
          <w:tcPr>
            <w:tcW w:w="1985" w:type="dxa"/>
          </w:tcPr>
          <w:p w14:paraId="5C804798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Hs00365842_m1</w:t>
            </w:r>
          </w:p>
        </w:tc>
        <w:tc>
          <w:tcPr>
            <w:tcW w:w="1417" w:type="dxa"/>
          </w:tcPr>
          <w:p w14:paraId="40477DBE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84</w:t>
            </w:r>
          </w:p>
        </w:tc>
        <w:tc>
          <w:tcPr>
            <w:tcW w:w="992" w:type="dxa"/>
          </w:tcPr>
          <w:p w14:paraId="11AFAE9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1-2</w:t>
            </w:r>
          </w:p>
        </w:tc>
        <w:tc>
          <w:tcPr>
            <w:tcW w:w="3780" w:type="dxa"/>
          </w:tcPr>
          <w:p w14:paraId="1BCA15D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0EAC8033" w14:textId="77777777" w:rsidTr="00A77F5C">
        <w:tc>
          <w:tcPr>
            <w:tcW w:w="1271" w:type="dxa"/>
          </w:tcPr>
          <w:p w14:paraId="64C41B0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ICAM-1</w:t>
            </w:r>
          </w:p>
        </w:tc>
        <w:tc>
          <w:tcPr>
            <w:tcW w:w="1985" w:type="dxa"/>
          </w:tcPr>
          <w:p w14:paraId="524DB0D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Hs00164932_m1</w:t>
            </w:r>
          </w:p>
        </w:tc>
        <w:tc>
          <w:tcPr>
            <w:tcW w:w="1417" w:type="dxa"/>
          </w:tcPr>
          <w:p w14:paraId="0984EA2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87</w:t>
            </w:r>
          </w:p>
        </w:tc>
        <w:tc>
          <w:tcPr>
            <w:tcW w:w="992" w:type="dxa"/>
          </w:tcPr>
          <w:p w14:paraId="4B18157D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2-3</w:t>
            </w:r>
          </w:p>
        </w:tc>
        <w:tc>
          <w:tcPr>
            <w:tcW w:w="3780" w:type="dxa"/>
          </w:tcPr>
          <w:p w14:paraId="75FD3A24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5B6F0678" w14:textId="77777777" w:rsidTr="00A77F5C">
        <w:tc>
          <w:tcPr>
            <w:tcW w:w="1271" w:type="dxa"/>
          </w:tcPr>
          <w:p w14:paraId="0ABEE797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LDLR</w:t>
            </w:r>
          </w:p>
        </w:tc>
        <w:tc>
          <w:tcPr>
            <w:tcW w:w="1985" w:type="dxa"/>
          </w:tcPr>
          <w:p w14:paraId="58C75522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Hs00181192_m1</w:t>
            </w:r>
          </w:p>
        </w:tc>
        <w:tc>
          <w:tcPr>
            <w:tcW w:w="1417" w:type="dxa"/>
          </w:tcPr>
          <w:p w14:paraId="7219EBE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61</w:t>
            </w:r>
          </w:p>
        </w:tc>
        <w:tc>
          <w:tcPr>
            <w:tcW w:w="992" w:type="dxa"/>
          </w:tcPr>
          <w:p w14:paraId="677C65CB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15-16</w:t>
            </w:r>
          </w:p>
        </w:tc>
        <w:tc>
          <w:tcPr>
            <w:tcW w:w="3780" w:type="dxa"/>
          </w:tcPr>
          <w:p w14:paraId="2A5A0B44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5450207C" w14:textId="77777777" w:rsidTr="00A77F5C">
        <w:tc>
          <w:tcPr>
            <w:tcW w:w="1271" w:type="dxa"/>
          </w:tcPr>
          <w:p w14:paraId="4D581078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NCL</w:t>
            </w:r>
          </w:p>
        </w:tc>
        <w:tc>
          <w:tcPr>
            <w:tcW w:w="1985" w:type="dxa"/>
          </w:tcPr>
          <w:p w14:paraId="467CB47E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Hs01066668_m1</w:t>
            </w:r>
          </w:p>
        </w:tc>
        <w:tc>
          <w:tcPr>
            <w:tcW w:w="1417" w:type="dxa"/>
          </w:tcPr>
          <w:p w14:paraId="39252B01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120</w:t>
            </w:r>
          </w:p>
        </w:tc>
        <w:tc>
          <w:tcPr>
            <w:tcW w:w="992" w:type="dxa"/>
          </w:tcPr>
          <w:p w14:paraId="61EF880C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2-3</w:t>
            </w:r>
          </w:p>
        </w:tc>
        <w:tc>
          <w:tcPr>
            <w:tcW w:w="3780" w:type="dxa"/>
          </w:tcPr>
          <w:p w14:paraId="3D43278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71046498" w14:textId="77777777" w:rsidTr="00A77F5C">
        <w:tc>
          <w:tcPr>
            <w:tcW w:w="1271" w:type="dxa"/>
          </w:tcPr>
          <w:p w14:paraId="20FB28F7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PPIA</w:t>
            </w:r>
          </w:p>
        </w:tc>
        <w:tc>
          <w:tcPr>
            <w:tcW w:w="1985" w:type="dxa"/>
          </w:tcPr>
          <w:p w14:paraId="5E5F3F21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Hs99999904_m1</w:t>
            </w:r>
          </w:p>
        </w:tc>
        <w:tc>
          <w:tcPr>
            <w:tcW w:w="1417" w:type="dxa"/>
          </w:tcPr>
          <w:p w14:paraId="0705C60F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94</w:t>
            </w:r>
          </w:p>
        </w:tc>
        <w:tc>
          <w:tcPr>
            <w:tcW w:w="992" w:type="dxa"/>
          </w:tcPr>
          <w:p w14:paraId="038BE49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5</w:t>
            </w:r>
          </w:p>
        </w:tc>
        <w:tc>
          <w:tcPr>
            <w:tcW w:w="3780" w:type="dxa"/>
          </w:tcPr>
          <w:p w14:paraId="28CD8F6F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449904F0" w14:textId="77777777" w:rsidTr="00A77F5C">
        <w:tc>
          <w:tcPr>
            <w:tcW w:w="1271" w:type="dxa"/>
          </w:tcPr>
          <w:p w14:paraId="5094222A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TMPRSS2</w:t>
            </w:r>
          </w:p>
        </w:tc>
        <w:tc>
          <w:tcPr>
            <w:tcW w:w="1985" w:type="dxa"/>
          </w:tcPr>
          <w:p w14:paraId="5DEF8457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  <w:color w:val="000000"/>
              </w:rPr>
              <w:t>Hs00237175_m1</w:t>
            </w:r>
          </w:p>
        </w:tc>
        <w:tc>
          <w:tcPr>
            <w:tcW w:w="1417" w:type="dxa"/>
          </w:tcPr>
          <w:p w14:paraId="48B4EAB3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112</w:t>
            </w:r>
          </w:p>
        </w:tc>
        <w:tc>
          <w:tcPr>
            <w:tcW w:w="992" w:type="dxa"/>
          </w:tcPr>
          <w:p w14:paraId="5F9CC0D9" w14:textId="77777777" w:rsidR="00C47E14" w:rsidRPr="008E2548" w:rsidRDefault="00C47E14" w:rsidP="00A77F5C">
            <w:pPr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5-6</w:t>
            </w:r>
          </w:p>
        </w:tc>
        <w:tc>
          <w:tcPr>
            <w:tcW w:w="3780" w:type="dxa"/>
          </w:tcPr>
          <w:p w14:paraId="1B9F2D49" w14:textId="77777777" w:rsidR="00C47E14" w:rsidRPr="008E2548" w:rsidRDefault="00C47E14" w:rsidP="00A77F5C">
            <w:pPr>
              <w:spacing w:line="276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</w:tbl>
    <w:p w14:paraId="3D5F469A" w14:textId="77777777" w:rsidR="00C47E14" w:rsidRDefault="00C47E14" w:rsidP="00C47E14">
      <w:pPr>
        <w:pStyle w:val="BodyText"/>
        <w:rPr>
          <w:b/>
          <w:bCs/>
        </w:rPr>
      </w:pPr>
    </w:p>
    <w:p w14:paraId="0B244C81" w14:textId="52835FDA" w:rsidR="00C47E14" w:rsidRDefault="00C47E14" w:rsidP="00C47E14">
      <w:pPr>
        <w:pStyle w:val="BodyText"/>
      </w:pPr>
      <w:r w:rsidRPr="00B72677">
        <w:rPr>
          <w:b/>
          <w:bCs/>
        </w:rPr>
        <w:t>*</w:t>
      </w:r>
      <w:r w:rsidRPr="008720F6">
        <w:t>All primer/probes were commercially purchased from Thermo Fisher Scientific</w:t>
      </w:r>
      <w:r>
        <w:t xml:space="preserve"> (</w:t>
      </w:r>
      <w:r w:rsidRPr="008720F6">
        <w:t>Waltham, MA, USA). Sequences are proprietary information. All primer/probe</w:t>
      </w:r>
      <w:r w:rsidR="00183DBB">
        <w:t xml:space="preserve"> set</w:t>
      </w:r>
      <w:r w:rsidRPr="008720F6">
        <w:t xml:space="preserve">s were FAM labelled. </w:t>
      </w:r>
    </w:p>
    <w:p w14:paraId="0A979A14" w14:textId="77777777" w:rsidR="00C47E14" w:rsidRDefault="00C47E14" w:rsidP="00C47E14">
      <w:pPr>
        <w:rPr>
          <w:rFonts w:eastAsia="Times New Roman"/>
          <w:i/>
          <w:iCs/>
          <w:lang w:val="en-AU"/>
        </w:rPr>
      </w:pPr>
      <w:r>
        <w:rPr>
          <w:i/>
          <w:iCs/>
          <w:lang w:val="en-AU"/>
        </w:rPr>
        <w:br w:type="page"/>
      </w:r>
    </w:p>
    <w:p w14:paraId="67732529" w14:textId="176D2A39" w:rsidR="00C47E14" w:rsidRPr="00317DB5" w:rsidRDefault="00C47E14" w:rsidP="00C47E14">
      <w:pPr>
        <w:pStyle w:val="SOMContent"/>
        <w:spacing w:line="480" w:lineRule="auto"/>
        <w:jc w:val="both"/>
        <w:rPr>
          <w:b/>
          <w:bCs/>
          <w:lang w:val="en-AU"/>
        </w:rPr>
      </w:pPr>
      <w:r w:rsidRPr="00317DB5">
        <w:rPr>
          <w:b/>
          <w:bCs/>
          <w:lang w:val="en-AU"/>
        </w:rPr>
        <w:lastRenderedPageBreak/>
        <w:t>Table S</w:t>
      </w:r>
      <w:r w:rsidR="00EA12B2">
        <w:rPr>
          <w:b/>
          <w:bCs/>
          <w:lang w:val="en-AU"/>
        </w:rPr>
        <w:t>3</w:t>
      </w:r>
      <w:r w:rsidRPr="00317DB5">
        <w:rPr>
          <w:b/>
          <w:bCs/>
          <w:lang w:val="en-AU"/>
        </w:rPr>
        <w:t xml:space="preserve">. </w:t>
      </w:r>
      <w:r w:rsidRPr="00317DB5">
        <w:rPr>
          <w:b/>
          <w:bCs/>
          <w:lang w:val="en-AU"/>
        </w:rPr>
        <w:tab/>
      </w:r>
      <w:r>
        <w:rPr>
          <w:b/>
          <w:bCs/>
          <w:lang w:val="en-AU"/>
        </w:rPr>
        <w:t>P</w:t>
      </w:r>
      <w:r w:rsidRPr="00317DB5">
        <w:rPr>
          <w:b/>
          <w:bCs/>
          <w:lang w:val="en-AU"/>
        </w:rPr>
        <w:t>rimary antibodies used for western blot and immunohistochemistry.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72"/>
        <w:gridCol w:w="2010"/>
        <w:gridCol w:w="1734"/>
        <w:gridCol w:w="3649"/>
      </w:tblGrid>
      <w:tr w:rsidR="00C47E14" w:rsidRPr="008E2548" w14:paraId="7333F713" w14:textId="77777777" w:rsidTr="00A77F5C">
        <w:tc>
          <w:tcPr>
            <w:tcW w:w="1872" w:type="dxa"/>
            <w:shd w:val="clear" w:color="auto" w:fill="D9D9D9" w:themeFill="background1" w:themeFillShade="D9"/>
          </w:tcPr>
          <w:p w14:paraId="47657D8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>Antibody</w:t>
            </w:r>
          </w:p>
        </w:tc>
        <w:tc>
          <w:tcPr>
            <w:tcW w:w="2010" w:type="dxa"/>
            <w:shd w:val="clear" w:color="auto" w:fill="D9D9D9" w:themeFill="background1" w:themeFillShade="D9"/>
          </w:tcPr>
          <w:p w14:paraId="1B8D392D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 xml:space="preserve">Stock Concentration </w:t>
            </w:r>
          </w:p>
        </w:tc>
        <w:tc>
          <w:tcPr>
            <w:tcW w:w="1734" w:type="dxa"/>
            <w:shd w:val="clear" w:color="auto" w:fill="D9D9D9" w:themeFill="background1" w:themeFillShade="D9"/>
          </w:tcPr>
          <w:p w14:paraId="13D72F5E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>Dilutions</w:t>
            </w:r>
          </w:p>
        </w:tc>
        <w:tc>
          <w:tcPr>
            <w:tcW w:w="3649" w:type="dxa"/>
            <w:shd w:val="clear" w:color="auto" w:fill="D9D9D9" w:themeFill="background1" w:themeFillShade="D9"/>
          </w:tcPr>
          <w:p w14:paraId="4140EF9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  <w:b/>
              </w:rPr>
              <w:t>Details/Providers</w:t>
            </w:r>
          </w:p>
        </w:tc>
      </w:tr>
      <w:tr w:rsidR="00C47E14" w:rsidRPr="008E2548" w14:paraId="641A1AAF" w14:textId="77777777" w:rsidTr="00A77F5C">
        <w:tc>
          <w:tcPr>
            <w:tcW w:w="1872" w:type="dxa"/>
          </w:tcPr>
          <w:p w14:paraId="2B9A8CD7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ACE2</w:t>
            </w:r>
          </w:p>
        </w:tc>
        <w:tc>
          <w:tcPr>
            <w:tcW w:w="2010" w:type="dxa"/>
          </w:tcPr>
          <w:p w14:paraId="6319CE2C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 mg/mL</w:t>
            </w:r>
          </w:p>
        </w:tc>
        <w:tc>
          <w:tcPr>
            <w:tcW w:w="1734" w:type="dxa"/>
          </w:tcPr>
          <w:p w14:paraId="7007656B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IHC-P: 1:250</w:t>
            </w:r>
          </w:p>
          <w:p w14:paraId="66CAA83D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1:2000</w:t>
            </w:r>
          </w:p>
        </w:tc>
        <w:tc>
          <w:tcPr>
            <w:tcW w:w="3649" w:type="dxa"/>
          </w:tcPr>
          <w:p w14:paraId="07A51B6F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Abcam, Cambridge, UK</w:t>
            </w:r>
          </w:p>
        </w:tc>
      </w:tr>
      <w:tr w:rsidR="00C47E14" w:rsidRPr="008E2548" w14:paraId="42D6DB6A" w14:textId="77777777" w:rsidTr="00A77F5C">
        <w:tc>
          <w:tcPr>
            <w:tcW w:w="1872" w:type="dxa"/>
          </w:tcPr>
          <w:p w14:paraId="587E8F9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CDHR3</w:t>
            </w:r>
          </w:p>
        </w:tc>
        <w:tc>
          <w:tcPr>
            <w:tcW w:w="2010" w:type="dxa"/>
          </w:tcPr>
          <w:p w14:paraId="0A57F398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 mg/mL</w:t>
            </w:r>
          </w:p>
        </w:tc>
        <w:tc>
          <w:tcPr>
            <w:tcW w:w="1734" w:type="dxa"/>
          </w:tcPr>
          <w:p w14:paraId="6B28D03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IHC-P: 1:250</w:t>
            </w:r>
          </w:p>
          <w:p w14:paraId="17C9424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1:1000</w:t>
            </w:r>
          </w:p>
        </w:tc>
        <w:tc>
          <w:tcPr>
            <w:tcW w:w="3649" w:type="dxa"/>
          </w:tcPr>
          <w:p w14:paraId="1EFF4A6C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Abcam, Cambridge, UK</w:t>
            </w:r>
          </w:p>
        </w:tc>
      </w:tr>
      <w:tr w:rsidR="00C47E14" w:rsidRPr="008E2548" w14:paraId="1AC34CA3" w14:textId="77777777" w:rsidTr="00A77F5C">
        <w:tc>
          <w:tcPr>
            <w:tcW w:w="1872" w:type="dxa"/>
          </w:tcPr>
          <w:p w14:paraId="47AC449A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CX3CR1</w:t>
            </w:r>
          </w:p>
        </w:tc>
        <w:tc>
          <w:tcPr>
            <w:tcW w:w="2010" w:type="dxa"/>
          </w:tcPr>
          <w:p w14:paraId="36D0B2A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 mg/mL</w:t>
            </w:r>
          </w:p>
        </w:tc>
        <w:tc>
          <w:tcPr>
            <w:tcW w:w="1734" w:type="dxa"/>
          </w:tcPr>
          <w:p w14:paraId="7F623097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IHC-P: 1:250</w:t>
            </w:r>
          </w:p>
          <w:p w14:paraId="74EF0A1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1:1000</w:t>
            </w:r>
          </w:p>
        </w:tc>
        <w:tc>
          <w:tcPr>
            <w:tcW w:w="3649" w:type="dxa"/>
          </w:tcPr>
          <w:p w14:paraId="1162EA4D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2574C5AA" w14:textId="77777777" w:rsidTr="00A77F5C">
        <w:tc>
          <w:tcPr>
            <w:tcW w:w="1872" w:type="dxa"/>
          </w:tcPr>
          <w:p w14:paraId="515FD9B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ICAM-1</w:t>
            </w:r>
          </w:p>
        </w:tc>
        <w:tc>
          <w:tcPr>
            <w:tcW w:w="2010" w:type="dxa"/>
          </w:tcPr>
          <w:p w14:paraId="652F11EC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0.11 mg/mL</w:t>
            </w:r>
          </w:p>
        </w:tc>
        <w:tc>
          <w:tcPr>
            <w:tcW w:w="1734" w:type="dxa"/>
          </w:tcPr>
          <w:p w14:paraId="59CF7488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IHC-P: 1:250</w:t>
            </w:r>
          </w:p>
          <w:p w14:paraId="06B67188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1:500</w:t>
            </w:r>
          </w:p>
        </w:tc>
        <w:tc>
          <w:tcPr>
            <w:tcW w:w="3649" w:type="dxa"/>
          </w:tcPr>
          <w:p w14:paraId="202E2601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Abcam, Cambridge, UK</w:t>
            </w:r>
          </w:p>
        </w:tc>
      </w:tr>
      <w:tr w:rsidR="00C47E14" w:rsidRPr="008E2548" w14:paraId="7D8BD9B7" w14:textId="77777777" w:rsidTr="00A77F5C">
        <w:tc>
          <w:tcPr>
            <w:tcW w:w="1872" w:type="dxa"/>
          </w:tcPr>
          <w:p w14:paraId="0BCFC14F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LDLR</w:t>
            </w:r>
          </w:p>
        </w:tc>
        <w:tc>
          <w:tcPr>
            <w:tcW w:w="2010" w:type="dxa"/>
          </w:tcPr>
          <w:p w14:paraId="3C37B02B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0.67 mg/mL</w:t>
            </w:r>
          </w:p>
        </w:tc>
        <w:tc>
          <w:tcPr>
            <w:tcW w:w="1734" w:type="dxa"/>
          </w:tcPr>
          <w:p w14:paraId="3F6E2B8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IHC-P: 1:250</w:t>
            </w:r>
          </w:p>
          <w:p w14:paraId="0087AB17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1:1000</w:t>
            </w:r>
          </w:p>
        </w:tc>
        <w:tc>
          <w:tcPr>
            <w:tcW w:w="3649" w:type="dxa"/>
          </w:tcPr>
          <w:p w14:paraId="6FBB3FCF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Novus biologicals, Colorado, USA</w:t>
            </w:r>
          </w:p>
        </w:tc>
      </w:tr>
      <w:tr w:rsidR="00C47E14" w:rsidRPr="008E2548" w14:paraId="10C7F61B" w14:textId="77777777" w:rsidTr="00A77F5C">
        <w:tc>
          <w:tcPr>
            <w:tcW w:w="1872" w:type="dxa"/>
          </w:tcPr>
          <w:p w14:paraId="792C2E0C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NCL</w:t>
            </w:r>
          </w:p>
        </w:tc>
        <w:tc>
          <w:tcPr>
            <w:tcW w:w="2010" w:type="dxa"/>
          </w:tcPr>
          <w:p w14:paraId="2EEF8A3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  <w:i/>
                <w:iCs/>
              </w:rPr>
            </w:pPr>
            <w:r w:rsidRPr="008E2548">
              <w:rPr>
                <w:rFonts w:eastAsia="Times New Roman"/>
                <w:i/>
                <w:iCs/>
              </w:rPr>
              <w:t>Not available</w:t>
            </w:r>
          </w:p>
        </w:tc>
        <w:tc>
          <w:tcPr>
            <w:tcW w:w="1734" w:type="dxa"/>
          </w:tcPr>
          <w:p w14:paraId="3695D2DE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IHC-P: 1:250</w:t>
            </w:r>
          </w:p>
          <w:p w14:paraId="2CC770A8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1:2000</w:t>
            </w:r>
          </w:p>
        </w:tc>
        <w:tc>
          <w:tcPr>
            <w:tcW w:w="3649" w:type="dxa"/>
          </w:tcPr>
          <w:p w14:paraId="7A39A6FB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Cell Signaling Technology, Massachusetts, USA</w:t>
            </w:r>
          </w:p>
        </w:tc>
      </w:tr>
      <w:tr w:rsidR="00C47E14" w:rsidRPr="008E2548" w14:paraId="3E6C50D0" w14:textId="77777777" w:rsidTr="00A77F5C">
        <w:tc>
          <w:tcPr>
            <w:tcW w:w="1872" w:type="dxa"/>
          </w:tcPr>
          <w:p w14:paraId="6239144B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TMPRSS2</w:t>
            </w:r>
          </w:p>
        </w:tc>
        <w:tc>
          <w:tcPr>
            <w:tcW w:w="2010" w:type="dxa"/>
          </w:tcPr>
          <w:p w14:paraId="42CC5AB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0.53 mg/mL</w:t>
            </w:r>
          </w:p>
        </w:tc>
        <w:tc>
          <w:tcPr>
            <w:tcW w:w="1734" w:type="dxa"/>
          </w:tcPr>
          <w:p w14:paraId="34C0CD5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 xml:space="preserve">IHC-P: 1:250 </w:t>
            </w:r>
          </w:p>
          <w:p w14:paraId="63913DB1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1:1000</w:t>
            </w:r>
          </w:p>
        </w:tc>
        <w:tc>
          <w:tcPr>
            <w:tcW w:w="3649" w:type="dxa"/>
          </w:tcPr>
          <w:p w14:paraId="55F8A204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Thermo Fisher Scientific, Waltham, MA, USA</w:t>
            </w:r>
          </w:p>
        </w:tc>
      </w:tr>
      <w:tr w:rsidR="00C47E14" w:rsidRPr="008E2548" w14:paraId="47FF8B92" w14:textId="77777777" w:rsidTr="00A77F5C">
        <w:tc>
          <w:tcPr>
            <w:tcW w:w="1872" w:type="dxa"/>
          </w:tcPr>
          <w:p w14:paraId="5C6521D7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β-actin</w:t>
            </w:r>
          </w:p>
        </w:tc>
        <w:tc>
          <w:tcPr>
            <w:tcW w:w="2010" w:type="dxa"/>
          </w:tcPr>
          <w:p w14:paraId="2ED00CA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0.8 mg/mL</w:t>
            </w:r>
          </w:p>
        </w:tc>
        <w:tc>
          <w:tcPr>
            <w:tcW w:w="1734" w:type="dxa"/>
          </w:tcPr>
          <w:p w14:paraId="7E810F97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 xml:space="preserve">IHC-P: 1:250 </w:t>
            </w:r>
          </w:p>
          <w:p w14:paraId="3840204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WB: 1:2500</w:t>
            </w:r>
          </w:p>
        </w:tc>
        <w:tc>
          <w:tcPr>
            <w:tcW w:w="3649" w:type="dxa"/>
          </w:tcPr>
          <w:p w14:paraId="0F22E032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Sigma-Aldrich, Missouri, USA</w:t>
            </w:r>
          </w:p>
        </w:tc>
      </w:tr>
    </w:tbl>
    <w:p w14:paraId="319A3CBA" w14:textId="016028E1" w:rsidR="00C47E14" w:rsidRDefault="00183DBB" w:rsidP="00C47E14">
      <w:pPr>
        <w:pStyle w:val="SOMContent"/>
        <w:spacing w:line="480" w:lineRule="auto"/>
        <w:jc w:val="both"/>
        <w:rPr>
          <w:lang w:val="en-AU"/>
        </w:rPr>
      </w:pPr>
      <w:r>
        <w:rPr>
          <w:lang w:val="en-AU"/>
        </w:rPr>
        <w:t>IHC-P: immunohistochemistry-paraffin, WB: western blot</w:t>
      </w:r>
    </w:p>
    <w:p w14:paraId="05187980" w14:textId="77777777" w:rsidR="00C47E14" w:rsidRDefault="00C47E14" w:rsidP="00C47E14">
      <w:pPr>
        <w:rPr>
          <w:rFonts w:eastAsia="Times New Roman"/>
          <w:b/>
          <w:bCs/>
          <w:i/>
          <w:iCs/>
          <w:lang w:val="en-AU"/>
        </w:rPr>
      </w:pPr>
      <w:r>
        <w:rPr>
          <w:b/>
          <w:bCs/>
          <w:i/>
          <w:iCs/>
          <w:lang w:val="en-AU"/>
        </w:rPr>
        <w:br w:type="page"/>
      </w:r>
    </w:p>
    <w:p w14:paraId="16F9D362" w14:textId="6DEDA344" w:rsidR="00C47E14" w:rsidRDefault="00C47E14" w:rsidP="00C47E14">
      <w:pPr>
        <w:pStyle w:val="SOMContent"/>
        <w:spacing w:line="480" w:lineRule="auto"/>
        <w:jc w:val="both"/>
        <w:rPr>
          <w:b/>
          <w:bCs/>
          <w:i/>
          <w:iCs/>
          <w:lang w:val="en-AU"/>
        </w:rPr>
      </w:pPr>
      <w:r>
        <w:rPr>
          <w:b/>
          <w:bCs/>
          <w:i/>
          <w:iCs/>
          <w:lang w:val="en-AU"/>
        </w:rPr>
        <w:lastRenderedPageBreak/>
        <w:t xml:space="preserve">Table </w:t>
      </w:r>
      <w:r w:rsidR="001C5FE4">
        <w:rPr>
          <w:b/>
          <w:bCs/>
          <w:i/>
          <w:iCs/>
          <w:lang w:val="en-AU"/>
        </w:rPr>
        <w:t>S</w:t>
      </w:r>
      <w:r w:rsidR="00EA12B2">
        <w:rPr>
          <w:b/>
          <w:bCs/>
          <w:i/>
          <w:iCs/>
          <w:lang w:val="en-AU"/>
        </w:rPr>
        <w:t>4</w:t>
      </w:r>
      <w:r>
        <w:rPr>
          <w:b/>
          <w:bCs/>
          <w:i/>
          <w:iCs/>
          <w:lang w:val="en-AU"/>
        </w:rPr>
        <w:t xml:space="preserve">. </w:t>
      </w:r>
      <w:r>
        <w:rPr>
          <w:b/>
          <w:bCs/>
          <w:i/>
          <w:iCs/>
          <w:lang w:val="en-AU"/>
        </w:rPr>
        <w:tab/>
        <w:t>Details of secondary antibodies used for western blot experiments.</w:t>
      </w:r>
    </w:p>
    <w:tbl>
      <w:tblPr>
        <w:tblStyle w:val="TableGrid"/>
        <w:tblW w:w="9445" w:type="dxa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701"/>
        <w:gridCol w:w="3921"/>
      </w:tblGrid>
      <w:tr w:rsidR="00C47E14" w:rsidRPr="008E2548" w14:paraId="214706F1" w14:textId="77777777" w:rsidTr="00A77F5C">
        <w:tc>
          <w:tcPr>
            <w:tcW w:w="1980" w:type="dxa"/>
            <w:shd w:val="clear" w:color="auto" w:fill="D9D9D9" w:themeFill="background1" w:themeFillShade="D9"/>
          </w:tcPr>
          <w:p w14:paraId="092F0CB4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  <w:b/>
              </w:rPr>
            </w:pPr>
            <w:r w:rsidRPr="008E2548">
              <w:rPr>
                <w:rFonts w:eastAsia="Times New Roman"/>
                <w:b/>
              </w:rPr>
              <w:t xml:space="preserve">Antibody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D070E69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  <w:b/>
              </w:rPr>
            </w:pPr>
            <w:r w:rsidRPr="008E2548">
              <w:rPr>
                <w:rFonts w:eastAsia="Times New Roman"/>
                <w:b/>
                <w:bCs/>
              </w:rPr>
              <w:t>Stock</w:t>
            </w:r>
            <w:r w:rsidRPr="008E2548">
              <w:rPr>
                <w:rFonts w:eastAsia="Times New Roman"/>
                <w:b/>
              </w:rPr>
              <w:t xml:space="preserve"> Concentration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2C0B4C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  <w:b/>
              </w:rPr>
            </w:pPr>
            <w:r w:rsidRPr="008E2548">
              <w:rPr>
                <w:rFonts w:eastAsia="Times New Roman"/>
                <w:b/>
              </w:rPr>
              <w:t xml:space="preserve">Dilution(s) </w:t>
            </w:r>
          </w:p>
        </w:tc>
        <w:tc>
          <w:tcPr>
            <w:tcW w:w="3921" w:type="dxa"/>
            <w:shd w:val="clear" w:color="auto" w:fill="D9D9D9" w:themeFill="background1" w:themeFillShade="D9"/>
          </w:tcPr>
          <w:p w14:paraId="75E30516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  <w:b/>
              </w:rPr>
            </w:pPr>
            <w:r w:rsidRPr="008E2548">
              <w:rPr>
                <w:rFonts w:eastAsia="Times New Roman"/>
                <w:b/>
              </w:rPr>
              <w:t xml:space="preserve">Details/Providers </w:t>
            </w:r>
          </w:p>
        </w:tc>
      </w:tr>
      <w:tr w:rsidR="00C47E14" w:rsidRPr="008E2548" w14:paraId="7E3CC3D1" w14:textId="77777777" w:rsidTr="00A77F5C">
        <w:tc>
          <w:tcPr>
            <w:tcW w:w="1980" w:type="dxa"/>
          </w:tcPr>
          <w:p w14:paraId="3CE21F6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 xml:space="preserve">Goat anti-Rabbit </w:t>
            </w:r>
            <w:proofErr w:type="spellStart"/>
            <w:r w:rsidRPr="008E2548">
              <w:rPr>
                <w:rFonts w:eastAsia="Times New Roman"/>
              </w:rPr>
              <w:t>IRDye</w:t>
            </w:r>
            <w:proofErr w:type="spellEnd"/>
            <w:r w:rsidRPr="008E2548">
              <w:rPr>
                <w:rFonts w:eastAsia="Times New Roman"/>
                <w:vertAlign w:val="superscript"/>
              </w:rPr>
              <w:t xml:space="preserve">® </w:t>
            </w:r>
            <w:r w:rsidRPr="008E2548">
              <w:rPr>
                <w:rFonts w:eastAsia="Times New Roman"/>
              </w:rPr>
              <w:t>800CW</w:t>
            </w:r>
          </w:p>
        </w:tc>
        <w:tc>
          <w:tcPr>
            <w:tcW w:w="1843" w:type="dxa"/>
          </w:tcPr>
          <w:p w14:paraId="49DB4959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0.1 mg/mL</w:t>
            </w:r>
          </w:p>
        </w:tc>
        <w:tc>
          <w:tcPr>
            <w:tcW w:w="1701" w:type="dxa"/>
          </w:tcPr>
          <w:p w14:paraId="7C99A522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1:5000</w:t>
            </w:r>
          </w:p>
        </w:tc>
        <w:tc>
          <w:tcPr>
            <w:tcW w:w="3921" w:type="dxa"/>
          </w:tcPr>
          <w:p w14:paraId="2D61065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LI-COR Biosciences, Lincoln, NE, USA</w:t>
            </w:r>
          </w:p>
        </w:tc>
      </w:tr>
      <w:tr w:rsidR="00C47E14" w:rsidRPr="008E2548" w14:paraId="0237339A" w14:textId="77777777" w:rsidTr="00A77F5C">
        <w:tc>
          <w:tcPr>
            <w:tcW w:w="1980" w:type="dxa"/>
          </w:tcPr>
          <w:p w14:paraId="7C311A10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 xml:space="preserve">Goat anti-Mouse </w:t>
            </w:r>
            <w:proofErr w:type="spellStart"/>
            <w:r w:rsidRPr="008E2548">
              <w:rPr>
                <w:rFonts w:eastAsia="Times New Roman"/>
              </w:rPr>
              <w:t>IRDye</w:t>
            </w:r>
            <w:proofErr w:type="spellEnd"/>
            <w:r w:rsidRPr="008E2548">
              <w:rPr>
                <w:rFonts w:eastAsia="Times New Roman"/>
                <w:vertAlign w:val="superscript"/>
              </w:rPr>
              <w:t xml:space="preserve">® </w:t>
            </w:r>
            <w:r w:rsidRPr="008E2548">
              <w:rPr>
                <w:rFonts w:eastAsia="Times New Roman"/>
              </w:rPr>
              <w:t>680RD</w:t>
            </w:r>
          </w:p>
        </w:tc>
        <w:tc>
          <w:tcPr>
            <w:tcW w:w="1843" w:type="dxa"/>
          </w:tcPr>
          <w:p w14:paraId="02C1E2CF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0.1 mg/mL</w:t>
            </w:r>
          </w:p>
          <w:p w14:paraId="6326D093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</w:p>
        </w:tc>
        <w:tc>
          <w:tcPr>
            <w:tcW w:w="1701" w:type="dxa"/>
          </w:tcPr>
          <w:p w14:paraId="631C8C24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1:5000</w:t>
            </w:r>
          </w:p>
        </w:tc>
        <w:tc>
          <w:tcPr>
            <w:tcW w:w="3921" w:type="dxa"/>
          </w:tcPr>
          <w:p w14:paraId="593931C5" w14:textId="77777777" w:rsidR="00C47E14" w:rsidRPr="008E2548" w:rsidRDefault="00C47E14" w:rsidP="00A77F5C">
            <w:pPr>
              <w:spacing w:line="480" w:lineRule="auto"/>
              <w:rPr>
                <w:rFonts w:eastAsia="Times New Roman"/>
              </w:rPr>
            </w:pPr>
            <w:r w:rsidRPr="008E2548">
              <w:rPr>
                <w:rFonts w:eastAsia="Times New Roman"/>
              </w:rPr>
              <w:t>LI-COR Biosciences, Lincoln, NE, USA</w:t>
            </w:r>
          </w:p>
        </w:tc>
      </w:tr>
    </w:tbl>
    <w:p w14:paraId="1AC3570A" w14:textId="77777777" w:rsidR="00C47E14" w:rsidRDefault="00C47E14" w:rsidP="00C47E14">
      <w:pPr>
        <w:pStyle w:val="SOMContent"/>
        <w:spacing w:line="480" w:lineRule="auto"/>
        <w:jc w:val="both"/>
        <w:rPr>
          <w:lang w:val="en-AU"/>
        </w:rPr>
      </w:pPr>
    </w:p>
    <w:p w14:paraId="50C5DD2D" w14:textId="40A82C9D" w:rsidR="001459CF" w:rsidRPr="00EA12B2" w:rsidRDefault="001459CF" w:rsidP="00EA12B2">
      <w:pPr>
        <w:pStyle w:val="SOMContent"/>
        <w:spacing w:line="480" w:lineRule="auto"/>
        <w:jc w:val="both"/>
        <w:rPr>
          <w:lang w:val="en-AU"/>
        </w:rPr>
      </w:pPr>
    </w:p>
    <w:sectPr w:rsidR="001459CF" w:rsidRPr="00EA12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E14"/>
    <w:rsid w:val="0009339C"/>
    <w:rsid w:val="001459CF"/>
    <w:rsid w:val="00183DBB"/>
    <w:rsid w:val="001C5FE4"/>
    <w:rsid w:val="00595574"/>
    <w:rsid w:val="005A359D"/>
    <w:rsid w:val="00722E55"/>
    <w:rsid w:val="007E290E"/>
    <w:rsid w:val="008F47D9"/>
    <w:rsid w:val="009402D7"/>
    <w:rsid w:val="00C47E14"/>
    <w:rsid w:val="00C75CB8"/>
    <w:rsid w:val="00CE5F4B"/>
    <w:rsid w:val="00EA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3293BF"/>
  <w14:defaultImageDpi w14:val="32767"/>
  <w15:chartTrackingRefBased/>
  <w15:docId w15:val="{61CAA524-277E-4C9A-AF6C-0803AAA28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E14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7E1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AU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7E1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AU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7E1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AU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7E1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AU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7E1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AU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E1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AU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7E1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AU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7E1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AU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7E1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AU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7E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7E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7E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7E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7E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7E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7E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7E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7E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7E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7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7E1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AU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7E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7E1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AU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7E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7E1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AU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7E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7E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AU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7E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7E14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link w:val="ParagraphChar"/>
    <w:rsid w:val="00C47E14"/>
    <w:pPr>
      <w:spacing w:before="120"/>
      <w:ind w:firstLine="720"/>
    </w:pPr>
    <w:rPr>
      <w:rFonts w:eastAsia="Times New Roman"/>
    </w:rPr>
  </w:style>
  <w:style w:type="paragraph" w:customStyle="1" w:styleId="SOMContent">
    <w:name w:val="SOMContent"/>
    <w:basedOn w:val="Normal"/>
    <w:rsid w:val="00C47E14"/>
    <w:pPr>
      <w:spacing w:before="120"/>
    </w:pPr>
    <w:rPr>
      <w:rFonts w:eastAsia="Times New Roman"/>
    </w:rPr>
  </w:style>
  <w:style w:type="paragraph" w:styleId="BodyText">
    <w:name w:val="Body Text"/>
    <w:basedOn w:val="Normal"/>
    <w:link w:val="BodyTextChar"/>
    <w:unhideWhenUsed/>
    <w:qFormat/>
    <w:rsid w:val="00C47E1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47E14"/>
    <w:rPr>
      <w:rFonts w:ascii="Times New Roman" w:eastAsia="Calibri" w:hAnsi="Times New Roman" w:cs="Times New Roman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59"/>
    <w:rsid w:val="00C47E14"/>
    <w:pPr>
      <w:spacing w:after="0" w:line="240" w:lineRule="auto"/>
    </w:pPr>
    <w:rPr>
      <w:rFonts w:ascii="Calibri" w:eastAsia="Calibri" w:hAnsi="Calibri" w:cs="Times New Roman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ptionAbove">
    <w:name w:val="Caption Above"/>
    <w:basedOn w:val="Caption"/>
    <w:next w:val="BodyText"/>
    <w:link w:val="CaptionAboveChar"/>
    <w:uiPriority w:val="5"/>
    <w:qFormat/>
    <w:rsid w:val="00C47E14"/>
    <w:pPr>
      <w:keepNext/>
      <w:keepLines/>
      <w:spacing w:after="120" w:line="276" w:lineRule="auto"/>
      <w:contextualSpacing/>
    </w:pPr>
    <w:rPr>
      <w:rFonts w:ascii="Arial" w:hAnsi="Arial"/>
      <w:b/>
      <w:i w:val="0"/>
      <w:color w:val="auto"/>
      <w:sz w:val="24"/>
      <w:lang w:val="en-AU"/>
    </w:rPr>
  </w:style>
  <w:style w:type="character" w:customStyle="1" w:styleId="CaptionAboveChar">
    <w:name w:val="Caption Above Char"/>
    <w:link w:val="CaptionAbove"/>
    <w:uiPriority w:val="5"/>
    <w:rsid w:val="00C47E14"/>
    <w:rPr>
      <w:rFonts w:ascii="Arial" w:eastAsia="Calibri" w:hAnsi="Arial" w:cs="Times New Roman"/>
      <w:b/>
      <w:iCs/>
      <w:kern w:val="0"/>
      <w:sz w:val="24"/>
      <w:szCs w:val="18"/>
      <w14:ligatures w14:val="none"/>
    </w:rPr>
  </w:style>
  <w:style w:type="character" w:customStyle="1" w:styleId="ParagraphChar">
    <w:name w:val="Paragraph Char"/>
    <w:link w:val="Paragraph"/>
    <w:rsid w:val="00C47E1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47E14"/>
    <w:pPr>
      <w:spacing w:after="200"/>
    </w:pPr>
    <w:rPr>
      <w:i/>
      <w:iCs/>
      <w:color w:val="0E2841" w:themeColor="text2"/>
      <w:sz w:val="18"/>
      <w:szCs w:val="18"/>
    </w:rPr>
  </w:style>
  <w:style w:type="paragraph" w:customStyle="1" w:styleId="Head">
    <w:name w:val="Head"/>
    <w:basedOn w:val="Normal"/>
    <w:rsid w:val="00C47E14"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Bailee Renouf</dc:creator>
  <cp:keywords/>
  <dc:description/>
  <cp:lastModifiedBy>Thomas Iosifidis</cp:lastModifiedBy>
  <cp:revision>10</cp:revision>
  <cp:lastPrinted>2024-02-08T10:56:00Z</cp:lastPrinted>
  <dcterms:created xsi:type="dcterms:W3CDTF">2024-01-12T02:41:00Z</dcterms:created>
  <dcterms:modified xsi:type="dcterms:W3CDTF">2024-02-08T10:56:00Z</dcterms:modified>
</cp:coreProperties>
</file>