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396A" w14:textId="77777777" w:rsidR="00BB2D23" w:rsidRPr="008D3587" w:rsidRDefault="00BB2D23" w:rsidP="00BB2D23">
      <w:pPr>
        <w:rPr>
          <w:rFonts w:ascii="Times New Roman" w:eastAsiaTheme="minorHAnsi" w:hAnsi="Times New Roman" w:cs="Times New Roman"/>
          <w:b/>
          <w:bCs/>
          <w:color w:val="2A2B2E"/>
          <w:kern w:val="0"/>
          <w:sz w:val="24"/>
          <w:szCs w:val="24"/>
        </w:rPr>
      </w:pPr>
      <w:r w:rsidRPr="008D3587">
        <w:rPr>
          <w:rFonts w:ascii="Times New Roman" w:eastAsiaTheme="minorHAnsi" w:hAnsi="Times New Roman" w:cs="Times New Roman"/>
          <w:b/>
          <w:bCs/>
          <w:color w:val="2A2B2E"/>
          <w:kern w:val="0"/>
          <w:sz w:val="24"/>
          <w:szCs w:val="24"/>
        </w:rPr>
        <w:t>Supplementary Figure 1</w:t>
      </w:r>
    </w:p>
    <w:p w14:paraId="1C4674DF" w14:textId="77777777" w:rsidR="00BB2D23" w:rsidRDefault="00BB2D23" w:rsidP="00BB2D23">
      <w:pPr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</w:pPr>
      <w:r w:rsidRPr="008D3587"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  <w:t>(A, B).</w:t>
      </w:r>
      <w:r w:rsidRPr="008D3587">
        <w:t xml:space="preserve"> </w:t>
      </w:r>
      <w:r w:rsidRPr="008D3587"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  <w:t>Analysis of somatic mutations in four different clusters. (C, D).</w:t>
      </w:r>
      <w:r w:rsidRPr="008D3587">
        <w:t xml:space="preserve"> </w:t>
      </w:r>
      <w:r w:rsidRPr="008D3587"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  <w:t>CNV analysis indicated ZNF146 as having the most frequent amplifications, while BAG3 and MED13L showed the highest deletion rates. (E).</w:t>
      </w:r>
      <w:r w:rsidRPr="008D3587">
        <w:t xml:space="preserve"> </w:t>
      </w:r>
      <w:r w:rsidRPr="008D3587"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  <w:t>The VORGs network reflect</w:t>
      </w:r>
      <w:r w:rsidRPr="008D3587">
        <w:rPr>
          <w:rFonts w:ascii="Times New Roman" w:eastAsiaTheme="minorHAnsi" w:hAnsi="Times New Roman" w:cs="Times New Roman" w:hint="eastAsia"/>
          <w:color w:val="2A2B2E"/>
          <w:kern w:val="0"/>
          <w:sz w:val="24"/>
          <w:szCs w:val="24"/>
        </w:rPr>
        <w:t>ed</w:t>
      </w:r>
      <w:r w:rsidRPr="008D3587">
        <w:rPr>
          <w:rFonts w:ascii="Times New Roman" w:eastAsiaTheme="minorHAnsi" w:hAnsi="Times New Roman" w:cs="Times New Roman"/>
          <w:color w:val="2A2B2E"/>
          <w:kern w:val="0"/>
          <w:sz w:val="24"/>
          <w:szCs w:val="24"/>
        </w:rPr>
        <w:t xml:space="preserve"> the relationship between VORGs and the OC prognostic model, with MARVELD1 occupying a central position in the network.</w:t>
      </w:r>
    </w:p>
    <w:p w14:paraId="565771FF" w14:textId="77777777" w:rsidR="007B60AD" w:rsidRPr="00BB2D23" w:rsidRDefault="007B60AD"/>
    <w:sectPr w:rsidR="007B60AD" w:rsidRPr="00BB2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3E13" w14:textId="77777777" w:rsidR="00C10797" w:rsidRDefault="00C10797" w:rsidP="00BB2D23">
      <w:r>
        <w:separator/>
      </w:r>
    </w:p>
  </w:endnote>
  <w:endnote w:type="continuationSeparator" w:id="0">
    <w:p w14:paraId="17E74CC5" w14:textId="77777777" w:rsidR="00C10797" w:rsidRDefault="00C10797" w:rsidP="00BB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17D6" w14:textId="77777777" w:rsidR="00C10797" w:rsidRDefault="00C10797" w:rsidP="00BB2D23">
      <w:r>
        <w:separator/>
      </w:r>
    </w:p>
  </w:footnote>
  <w:footnote w:type="continuationSeparator" w:id="0">
    <w:p w14:paraId="4F48D94A" w14:textId="77777777" w:rsidR="00C10797" w:rsidRDefault="00C10797" w:rsidP="00BB2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8C"/>
    <w:rsid w:val="001874D5"/>
    <w:rsid w:val="007B60AD"/>
    <w:rsid w:val="00BB2D23"/>
    <w:rsid w:val="00BC3C8C"/>
    <w:rsid w:val="00C1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26AB5B6-A9E5-46EB-829C-DFB83F63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D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D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2D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2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2D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A1317</dc:creator>
  <cp:keywords/>
  <dc:description/>
  <cp:lastModifiedBy>A1317</cp:lastModifiedBy>
  <cp:revision>2</cp:revision>
  <dcterms:created xsi:type="dcterms:W3CDTF">2024-01-12T01:24:00Z</dcterms:created>
  <dcterms:modified xsi:type="dcterms:W3CDTF">2024-01-12T01:24:00Z</dcterms:modified>
</cp:coreProperties>
</file>