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DAE0E6" w14:textId="77777777" w:rsidR="00E12921" w:rsidRPr="00034574" w:rsidRDefault="00E12921" w:rsidP="00E12921">
      <w:pPr>
        <w:jc w:val="center"/>
        <w:rPr>
          <w:rFonts w:ascii="Times New Roman" w:hAnsi="Times New Roman" w:cs="Times New Roman"/>
          <w:sz w:val="36"/>
          <w:szCs w:val="36"/>
        </w:rPr>
      </w:pPr>
      <w:r w:rsidRPr="00034574">
        <w:rPr>
          <w:rFonts w:ascii="Times New Roman" w:hAnsi="Times New Roman" w:cs="Times New Roman"/>
          <w:b/>
          <w:bCs/>
          <w:color w:val="000000" w:themeColor="text1"/>
          <w:sz w:val="36"/>
          <w:szCs w:val="36"/>
          <w:lang w:val="en-US"/>
        </w:rPr>
        <w:t>Exploring putative drug properties</w:t>
      </w:r>
      <w:r>
        <w:rPr>
          <w:rFonts w:ascii="Times New Roman" w:hAnsi="Times New Roman" w:cs="Times New Roman"/>
          <w:b/>
          <w:bCs/>
          <w:color w:val="000000" w:themeColor="text1"/>
          <w:sz w:val="36"/>
          <w:szCs w:val="36"/>
          <w:lang w:val="en-US"/>
        </w:rPr>
        <w:t xml:space="preserve"> </w:t>
      </w:r>
      <w:r w:rsidRPr="00034574">
        <w:rPr>
          <w:rFonts w:ascii="Times New Roman" w:hAnsi="Times New Roman" w:cs="Times New Roman"/>
          <w:b/>
          <w:bCs/>
          <w:color w:val="000000" w:themeColor="text1"/>
          <w:sz w:val="36"/>
          <w:szCs w:val="36"/>
          <w:lang w:val="en-US"/>
        </w:rPr>
        <w:t xml:space="preserve">associated with TNF-alpha inhibition </w:t>
      </w:r>
      <w:r>
        <w:rPr>
          <w:rFonts w:ascii="Times New Roman" w:hAnsi="Times New Roman" w:cs="Times New Roman"/>
          <w:b/>
          <w:bCs/>
          <w:color w:val="000000" w:themeColor="text1"/>
          <w:sz w:val="36"/>
          <w:szCs w:val="36"/>
          <w:lang w:val="en-US"/>
        </w:rPr>
        <w:t>and identification of potential targets</w:t>
      </w:r>
      <w:r w:rsidRPr="00034574">
        <w:rPr>
          <w:rFonts w:ascii="Times New Roman" w:hAnsi="Times New Roman" w:cs="Times New Roman"/>
          <w:b/>
          <w:bCs/>
          <w:color w:val="000000" w:themeColor="text1"/>
          <w:sz w:val="36"/>
          <w:szCs w:val="36"/>
          <w:lang w:val="en-US"/>
        </w:rPr>
        <w:t xml:space="preserve"> </w:t>
      </w:r>
      <w:r w:rsidRPr="00034574">
        <w:rPr>
          <w:rFonts w:ascii="Times New Roman" w:hAnsi="Times New Roman" w:cs="Times New Roman"/>
          <w:b/>
          <w:bCs/>
          <w:sz w:val="36"/>
          <w:szCs w:val="36"/>
          <w:lang w:val="en-US"/>
        </w:rPr>
        <w:t>in cardiovascular disease using Machine Learning-Assisted QSAR Modeling</w:t>
      </w:r>
      <w:r>
        <w:rPr>
          <w:rFonts w:ascii="Times New Roman" w:hAnsi="Times New Roman" w:cs="Times New Roman"/>
          <w:b/>
          <w:bCs/>
          <w:sz w:val="36"/>
          <w:szCs w:val="36"/>
          <w:lang w:val="en-US"/>
        </w:rPr>
        <w:t xml:space="preserve"> and Virtual Reverse Pharmacology approach</w:t>
      </w:r>
    </w:p>
    <w:p w14:paraId="5AF29CF0" w14:textId="77777777" w:rsidR="00E12921" w:rsidRDefault="00E12921" w:rsidP="00E12921">
      <w:pPr>
        <w:spacing w:line="360" w:lineRule="auto"/>
        <w:jc w:val="both"/>
        <w:rPr>
          <w:rFonts w:ascii="Times New Roman" w:hAnsi="Times New Roman" w:cs="Times New Roman"/>
          <w:bCs/>
          <w:sz w:val="24"/>
          <w:szCs w:val="24"/>
        </w:rPr>
      </w:pPr>
      <w:r>
        <w:rPr>
          <w:rFonts w:ascii="Times New Roman" w:hAnsi="Times New Roman" w:cs="Times New Roman"/>
          <w:sz w:val="24"/>
          <w:szCs w:val="24"/>
        </w:rPr>
        <w:t xml:space="preserve">                                                 </w:t>
      </w:r>
      <w:r w:rsidRPr="00034574">
        <w:rPr>
          <w:rFonts w:ascii="Times New Roman" w:hAnsi="Times New Roman" w:cs="Times New Roman"/>
          <w:bCs/>
          <w:sz w:val="24"/>
          <w:szCs w:val="24"/>
        </w:rPr>
        <w:t>Manisha Shah</w:t>
      </w:r>
      <w:r w:rsidRPr="00034574">
        <w:rPr>
          <w:rFonts w:ascii="Times New Roman" w:hAnsi="Times New Roman" w:cs="Times New Roman"/>
          <w:bCs/>
          <w:sz w:val="24"/>
          <w:szCs w:val="24"/>
          <w:vertAlign w:val="superscript"/>
        </w:rPr>
        <w:t>1</w:t>
      </w:r>
      <w:r w:rsidRPr="00034574">
        <w:rPr>
          <w:rFonts w:ascii="Times New Roman" w:hAnsi="Times New Roman" w:cs="Times New Roman"/>
          <w:bCs/>
          <w:sz w:val="24"/>
          <w:szCs w:val="24"/>
        </w:rPr>
        <w:t>, Sivakumar A</w:t>
      </w:r>
      <w:r w:rsidRPr="00034574">
        <w:rPr>
          <w:rFonts w:ascii="Times New Roman" w:hAnsi="Times New Roman" w:cs="Times New Roman"/>
          <w:bCs/>
          <w:sz w:val="24"/>
          <w:szCs w:val="24"/>
          <w:vertAlign w:val="superscript"/>
        </w:rPr>
        <w:t>1</w:t>
      </w:r>
      <w:r w:rsidRPr="00034574">
        <w:rPr>
          <w:rFonts w:ascii="Times New Roman" w:hAnsi="Times New Roman" w:cs="Times New Roman"/>
          <w:bCs/>
          <w:sz w:val="24"/>
          <w:szCs w:val="24"/>
        </w:rPr>
        <w:t>*</w:t>
      </w:r>
    </w:p>
    <w:p w14:paraId="287B84AC" w14:textId="77777777" w:rsidR="00E12921" w:rsidRPr="007C237C" w:rsidRDefault="00E12921" w:rsidP="00E12921">
      <w:pPr>
        <w:spacing w:line="360" w:lineRule="auto"/>
        <w:jc w:val="both"/>
        <w:rPr>
          <w:rFonts w:ascii="Times New Roman" w:hAnsi="Times New Roman" w:cs="Times New Roman"/>
          <w:bCs/>
          <w:sz w:val="24"/>
          <w:szCs w:val="24"/>
        </w:rPr>
      </w:pPr>
      <w:r>
        <w:rPr>
          <w:rFonts w:ascii="Times New Roman" w:hAnsi="Times New Roman" w:cs="Times New Roman"/>
          <w:sz w:val="20"/>
          <w:szCs w:val="20"/>
        </w:rPr>
        <w:t xml:space="preserve">                                                        *Correspondence: </w:t>
      </w:r>
      <w:hyperlink r:id="rId6" w:history="1">
        <w:r w:rsidRPr="00C60924">
          <w:rPr>
            <w:rStyle w:val="Hyperlink"/>
            <w:rFonts w:ascii="Times New Roman" w:hAnsi="Times New Roman" w:cs="Times New Roman"/>
            <w:sz w:val="20"/>
            <w:szCs w:val="20"/>
          </w:rPr>
          <w:t>siva_kumar.a@vit.ac.in</w:t>
        </w:r>
      </w:hyperlink>
    </w:p>
    <w:p w14:paraId="259D7A07" w14:textId="77777777" w:rsidR="00E12921" w:rsidRDefault="00E12921" w:rsidP="00E12921">
      <w:pPr>
        <w:rPr>
          <w:rFonts w:ascii="Times New Roman" w:hAnsi="Times New Roman" w:cs="Times New Roman"/>
          <w:sz w:val="20"/>
          <w:szCs w:val="20"/>
        </w:rPr>
      </w:pPr>
      <w:r>
        <w:rPr>
          <w:rFonts w:ascii="Times New Roman" w:hAnsi="Times New Roman" w:cs="Times New Roman"/>
          <w:sz w:val="20"/>
          <w:szCs w:val="20"/>
        </w:rPr>
        <w:t>1 Department</w:t>
      </w:r>
      <w:r w:rsidRPr="00A64CE3">
        <w:rPr>
          <w:rFonts w:ascii="Times New Roman" w:hAnsi="Times New Roman" w:cs="Times New Roman"/>
          <w:sz w:val="20"/>
          <w:szCs w:val="20"/>
        </w:rPr>
        <w:t xml:space="preserve"> of Bio</w:t>
      </w:r>
      <w:r>
        <w:rPr>
          <w:rFonts w:ascii="Times New Roman" w:hAnsi="Times New Roman" w:cs="Times New Roman"/>
          <w:sz w:val="20"/>
          <w:szCs w:val="20"/>
        </w:rPr>
        <w:t>-sciences</w:t>
      </w:r>
      <w:r w:rsidRPr="00A64CE3">
        <w:rPr>
          <w:rFonts w:ascii="Times New Roman" w:hAnsi="Times New Roman" w:cs="Times New Roman"/>
          <w:sz w:val="20"/>
          <w:szCs w:val="20"/>
        </w:rPr>
        <w:t>, School of Biosciences and Technology, Vellore I</w:t>
      </w:r>
      <w:r>
        <w:rPr>
          <w:rFonts w:ascii="Times New Roman" w:hAnsi="Times New Roman" w:cs="Times New Roman"/>
          <w:sz w:val="20"/>
          <w:szCs w:val="20"/>
        </w:rPr>
        <w:t xml:space="preserve">nstitute of Technology, Vellore, Tamil Nadu, </w:t>
      </w:r>
      <w:r w:rsidRPr="00A64CE3">
        <w:rPr>
          <w:rFonts w:ascii="Times New Roman" w:hAnsi="Times New Roman" w:cs="Times New Roman"/>
          <w:sz w:val="20"/>
          <w:szCs w:val="20"/>
        </w:rPr>
        <w:t>632014, India</w:t>
      </w:r>
    </w:p>
    <w:p w14:paraId="2F955B43" w14:textId="280A1871" w:rsidR="00E12921" w:rsidRDefault="00E12921" w:rsidP="00E12921">
      <w:pPr>
        <w:rPr>
          <w:rFonts w:ascii="Times New Roman" w:hAnsi="Times New Roman" w:cs="Times New Roman"/>
          <w:b/>
          <w:sz w:val="24"/>
          <w:szCs w:val="24"/>
          <w:u w:val="single"/>
        </w:rPr>
      </w:pPr>
    </w:p>
    <w:p w14:paraId="156B18C8" w14:textId="70D82877" w:rsidR="00B13C61" w:rsidRDefault="00F016A1" w:rsidP="00F016A1">
      <w:pPr>
        <w:jc w:val="center"/>
        <w:rPr>
          <w:rFonts w:ascii="Times New Roman" w:hAnsi="Times New Roman" w:cs="Times New Roman"/>
          <w:b/>
          <w:sz w:val="24"/>
          <w:szCs w:val="24"/>
          <w:u w:val="single"/>
        </w:rPr>
      </w:pPr>
      <w:r w:rsidRPr="00F016A1">
        <w:rPr>
          <w:rFonts w:ascii="Times New Roman" w:hAnsi="Times New Roman" w:cs="Times New Roman"/>
          <w:b/>
          <w:sz w:val="24"/>
          <w:szCs w:val="24"/>
          <w:u w:val="single"/>
        </w:rPr>
        <w:t>Supplementary Materials</w:t>
      </w:r>
    </w:p>
    <w:p w14:paraId="48A25F90" w14:textId="77777777" w:rsidR="00F016A1" w:rsidRDefault="00F016A1" w:rsidP="00F016A1">
      <w:pPr>
        <w:jc w:val="center"/>
        <w:rPr>
          <w:rFonts w:ascii="Times New Roman" w:hAnsi="Times New Roman" w:cs="Times New Roman"/>
          <w:b/>
          <w:sz w:val="24"/>
          <w:szCs w:val="24"/>
          <w:u w:val="single"/>
        </w:rPr>
      </w:pPr>
    </w:p>
    <w:p w14:paraId="1838E5EA" w14:textId="77777777" w:rsidR="00F63ECA" w:rsidRPr="00F63ECA" w:rsidRDefault="00F63ECA" w:rsidP="00F63ECA">
      <w:pPr>
        <w:spacing w:line="360" w:lineRule="auto"/>
        <w:jc w:val="both"/>
        <w:rPr>
          <w:rFonts w:ascii="Times New Roman" w:hAnsi="Times New Roman" w:cs="Times New Roman"/>
          <w:b/>
          <w:sz w:val="24"/>
          <w:szCs w:val="24"/>
        </w:rPr>
      </w:pPr>
      <w:r w:rsidRPr="00F63ECA">
        <w:rPr>
          <w:rFonts w:ascii="Times New Roman" w:hAnsi="Times New Roman" w:cs="Times New Roman"/>
          <w:b/>
          <w:sz w:val="24"/>
          <w:szCs w:val="24"/>
        </w:rPr>
        <w:t>3.3.1 Mechanistic interpretation of important features</w:t>
      </w:r>
    </w:p>
    <w:p w14:paraId="59D90A3D" w14:textId="77777777" w:rsidR="00F63ECA" w:rsidRPr="00F63ECA" w:rsidRDefault="00F63ECA" w:rsidP="00F63ECA">
      <w:pPr>
        <w:spacing w:line="360" w:lineRule="auto"/>
        <w:jc w:val="both"/>
        <w:rPr>
          <w:rFonts w:ascii="Times New Roman" w:hAnsi="Times New Roman" w:cs="Times New Roman"/>
          <w:b/>
          <w:sz w:val="24"/>
          <w:szCs w:val="24"/>
        </w:rPr>
      </w:pPr>
      <w:r w:rsidRPr="00F63ECA">
        <w:rPr>
          <w:rFonts w:ascii="Times New Roman" w:hAnsi="Times New Roman" w:cs="Times New Roman"/>
          <w:b/>
          <w:sz w:val="24"/>
          <w:szCs w:val="24"/>
        </w:rPr>
        <w:t>a. PubChem fingerprint and its association with bioactivity</w:t>
      </w:r>
    </w:p>
    <w:p w14:paraId="766AA3E4" w14:textId="77777777" w:rsidR="00F63ECA" w:rsidRPr="00F63ECA" w:rsidRDefault="00F63ECA" w:rsidP="00F63ECA">
      <w:pPr>
        <w:spacing w:line="360" w:lineRule="auto"/>
        <w:jc w:val="both"/>
        <w:rPr>
          <w:rFonts w:ascii="Times New Roman" w:hAnsi="Times New Roman" w:cs="Times New Roman"/>
          <w:sz w:val="24"/>
          <w:szCs w:val="24"/>
        </w:rPr>
      </w:pPr>
      <w:r w:rsidRPr="00F63ECA">
        <w:rPr>
          <w:rFonts w:ascii="Times New Roman" w:hAnsi="Times New Roman" w:cs="Times New Roman"/>
          <w:sz w:val="24"/>
          <w:szCs w:val="24"/>
        </w:rPr>
        <w:t>The first top-ranking feature of the PubChem fingerprint indicates the presence of "1 saturated or aromatic carbon only ring-sized 7" (PubFP214). After associating the identified compound (CHEMBL4648362) from our study with the given fingerprint, the aromatic carbon with a ring size of 7 is absent, indicating that the presence of single bond saturation imparts the increased pIC50 value, this suggests an increase in its activity. The second top-ranking feature is "4 aromatic rings" (PubFP261). Aromatic rings are extremely potent drug discovery motifs because they provide a variety of distinct and powerful modes of interaction with a target protein, such as the traditio</w:t>
      </w:r>
      <w:r w:rsidR="0053136D">
        <w:rPr>
          <w:rFonts w:ascii="Times New Roman" w:hAnsi="Times New Roman" w:cs="Times New Roman"/>
          <w:sz w:val="24"/>
          <w:szCs w:val="24"/>
        </w:rPr>
        <w:t xml:space="preserve">nal arene-arene (p stacking) interaction and arene—H bonding </w:t>
      </w:r>
      <w:r w:rsidR="0053136D">
        <w:rPr>
          <w:rFonts w:ascii="Times New Roman" w:hAnsi="Times New Roman" w:cs="Times New Roman"/>
          <w:sz w:val="24"/>
          <w:szCs w:val="24"/>
        </w:rPr>
        <w:fldChar w:fldCharType="begin"/>
      </w:r>
      <w:r w:rsidR="0053136D">
        <w:rPr>
          <w:rFonts w:ascii="Times New Roman" w:hAnsi="Times New Roman" w:cs="Times New Roman"/>
          <w:sz w:val="24"/>
          <w:szCs w:val="24"/>
        </w:rPr>
        <w:instrText xml:space="preserve"> ADDIN ZOTERO_ITEM CSL_CITATION {"citationID":"auq116jegg","properties":{"formattedCitation":"(1)","plainCitation":"(1)","noteIndex":0},"citationItems":[{"id":68,"uris":["http://zotero.org/users/local/CzjAiapM/items/634DXVX3"],"itemData":{"id":68,"type":"article-journal","container-title":"Angewandte Chemie International Edition","DOI":"10.1002/anie.200390319","ISSN":"14337851, 15213773","issue":"11","journalAbbreviation":"Angew. Chem. Int. Ed.","page":"1210-1250","source":"DOI.org (Crossref)","title":"Interactions with Aromatic Rings in Chemical and Biological Recognition","volume":"42","author":[{"family":"Meyer","given":"Emmanuel A."},{"family":"Castellano","given":"Ronald K."},{"family":"Diederich","given":"François"}],"issued":{"date-parts":[["2003",3,17]]}}}],"schema":"https://github.com/citation-style-language/schema/raw/master/csl-citation.json"} </w:instrText>
      </w:r>
      <w:r w:rsidR="0053136D">
        <w:rPr>
          <w:rFonts w:ascii="Times New Roman" w:hAnsi="Times New Roman" w:cs="Times New Roman"/>
          <w:sz w:val="24"/>
          <w:szCs w:val="24"/>
        </w:rPr>
        <w:fldChar w:fldCharType="separate"/>
      </w:r>
      <w:r w:rsidR="0053136D" w:rsidRPr="0053136D">
        <w:rPr>
          <w:rFonts w:ascii="Times New Roman" w:hAnsi="Times New Roman" w:cs="Times New Roman"/>
          <w:sz w:val="24"/>
          <w:szCs w:val="24"/>
        </w:rPr>
        <w:t>(1)</w:t>
      </w:r>
      <w:r w:rsidR="0053136D">
        <w:rPr>
          <w:rFonts w:ascii="Times New Roman" w:hAnsi="Times New Roman" w:cs="Times New Roman"/>
          <w:sz w:val="24"/>
          <w:szCs w:val="24"/>
        </w:rPr>
        <w:fldChar w:fldCharType="end"/>
      </w:r>
      <w:r w:rsidRPr="00F63ECA">
        <w:rPr>
          <w:rFonts w:ascii="Times New Roman" w:hAnsi="Times New Roman" w:cs="Times New Roman"/>
          <w:sz w:val="24"/>
          <w:szCs w:val="24"/>
        </w:rPr>
        <w:t>, presence of this feature improve its interaction with target protein (TNF-alpha)</w:t>
      </w:r>
      <w:r w:rsidR="00D34329">
        <w:rPr>
          <w:rFonts w:ascii="Times New Roman" w:hAnsi="Times New Roman" w:cs="Times New Roman"/>
          <w:sz w:val="24"/>
          <w:szCs w:val="24"/>
        </w:rPr>
        <w:t xml:space="preserve"> and results in perfect binding</w:t>
      </w:r>
      <w:r w:rsidRPr="00F63ECA">
        <w:rPr>
          <w:rFonts w:ascii="Times New Roman" w:hAnsi="Times New Roman" w:cs="Times New Roman"/>
          <w:sz w:val="24"/>
          <w:szCs w:val="24"/>
        </w:rPr>
        <w:t xml:space="preserve">. The third top-ranking feature is "any ring size 5" (PubFP150). This implies that the compound has five members and contains two heteroatoms at either size of the compound, at least one of which should be nitrogen, increasing the biological application of the compound. N-heterocyclic frameworks provide a substantial amount of structural variety. -lactam, pyrazole, imidazole, 1,2,4-triazole, pyrimidine, quinoline, and quinazoline derivatives are nitrogen-based heterocyclic molecules with highly promising biological properties, including </w:t>
      </w:r>
      <w:r w:rsidR="004D473A">
        <w:rPr>
          <w:rFonts w:ascii="Times New Roman" w:hAnsi="Times New Roman" w:cs="Times New Roman"/>
          <w:sz w:val="24"/>
          <w:szCs w:val="24"/>
        </w:rPr>
        <w:t xml:space="preserve"> antitubercular, antidiabetic, anticancer</w:t>
      </w:r>
      <w:r w:rsidRPr="00F63ECA">
        <w:rPr>
          <w:rFonts w:ascii="Times New Roman" w:hAnsi="Times New Roman" w:cs="Times New Roman"/>
          <w:sz w:val="24"/>
          <w:szCs w:val="24"/>
        </w:rPr>
        <w:t>, antibacterial,</w:t>
      </w:r>
      <w:r w:rsidR="004D473A">
        <w:rPr>
          <w:rFonts w:ascii="Times New Roman" w:hAnsi="Times New Roman" w:cs="Times New Roman"/>
          <w:sz w:val="24"/>
          <w:szCs w:val="24"/>
        </w:rPr>
        <w:t xml:space="preserve"> anti-inflammation,</w:t>
      </w:r>
      <w:r w:rsidRPr="00F63ECA">
        <w:rPr>
          <w:rFonts w:ascii="Times New Roman" w:hAnsi="Times New Roman" w:cs="Times New Roman"/>
          <w:sz w:val="24"/>
          <w:szCs w:val="24"/>
        </w:rPr>
        <w:t xml:space="preserve"> </w:t>
      </w:r>
      <w:r w:rsidR="004D473A" w:rsidRPr="00F63ECA">
        <w:rPr>
          <w:rFonts w:ascii="Times New Roman" w:hAnsi="Times New Roman" w:cs="Times New Roman"/>
          <w:sz w:val="24"/>
          <w:szCs w:val="24"/>
        </w:rPr>
        <w:t>anti-HIV</w:t>
      </w:r>
      <w:r w:rsidR="004D473A">
        <w:rPr>
          <w:rFonts w:ascii="Times New Roman" w:hAnsi="Times New Roman" w:cs="Times New Roman"/>
          <w:sz w:val="24"/>
          <w:szCs w:val="24"/>
        </w:rPr>
        <w:t>,</w:t>
      </w:r>
      <w:r w:rsidR="004D473A" w:rsidRPr="00F63ECA">
        <w:rPr>
          <w:rFonts w:ascii="Times New Roman" w:hAnsi="Times New Roman" w:cs="Times New Roman"/>
          <w:sz w:val="24"/>
          <w:szCs w:val="24"/>
        </w:rPr>
        <w:t xml:space="preserve"> </w:t>
      </w:r>
      <w:r w:rsidRPr="00F63ECA">
        <w:rPr>
          <w:rFonts w:ascii="Times New Roman" w:hAnsi="Times New Roman" w:cs="Times New Roman"/>
          <w:sz w:val="24"/>
          <w:szCs w:val="24"/>
        </w:rPr>
        <w:t xml:space="preserve">antifungal, </w:t>
      </w:r>
      <w:r w:rsidR="004D473A">
        <w:rPr>
          <w:rFonts w:ascii="Times New Roman" w:hAnsi="Times New Roman" w:cs="Times New Roman"/>
          <w:sz w:val="24"/>
          <w:szCs w:val="24"/>
        </w:rPr>
        <w:t xml:space="preserve">antioxidant </w:t>
      </w:r>
      <w:r w:rsidRPr="00F63ECA">
        <w:rPr>
          <w:rFonts w:ascii="Times New Roman" w:hAnsi="Times New Roman" w:cs="Times New Roman"/>
          <w:sz w:val="24"/>
          <w:szCs w:val="24"/>
        </w:rPr>
        <w:t xml:space="preserve">and </w:t>
      </w:r>
      <w:r w:rsidR="0053136D">
        <w:rPr>
          <w:rFonts w:ascii="Times New Roman" w:hAnsi="Times New Roman" w:cs="Times New Roman"/>
          <w:sz w:val="24"/>
          <w:szCs w:val="24"/>
        </w:rPr>
        <w:t xml:space="preserve">other therapeutic properties </w:t>
      </w:r>
      <w:r w:rsidR="0053136D">
        <w:rPr>
          <w:rFonts w:ascii="Times New Roman" w:hAnsi="Times New Roman" w:cs="Times New Roman"/>
          <w:sz w:val="24"/>
          <w:szCs w:val="24"/>
        </w:rPr>
        <w:fldChar w:fldCharType="begin"/>
      </w:r>
      <w:r w:rsidR="0053136D">
        <w:rPr>
          <w:rFonts w:ascii="Times New Roman" w:hAnsi="Times New Roman" w:cs="Times New Roman"/>
          <w:sz w:val="24"/>
          <w:szCs w:val="24"/>
        </w:rPr>
        <w:instrText xml:space="preserve"> ADDIN ZOTERO_ITEM CSL_CITATION {"citationID":"aln7225em9","properties":{"formattedCitation":"(2)","plainCitation":"(2)","noteIndex":0},"citationItems":[{"id":69,"uris":["http://zotero.org/users/local/CzjAiapM/items/HMYDDEZ6"],"itemData":{"id":69,"type":"article-journal","abstract":"The analogs of nitrogen-based heterocycles occupy an exclusive position as a valuable source of therapeutic agents in medicinal chemistry. More than 75% of drugs approved by the FDA and currently available in the market are nitrogen-containing heterocyclic moieties. In the forthcoming decade, a much greater share of new nitrogen-based pharmaceuticals is anticipated. Many new nitrogen-based heterocycles have been designed. The number of novel N-heterocyclic moieties with significant physiological properties and promising applications in medicinal chemistry is ever-growing. In this review, we consolidate the recent advances on novel nitrogen-containing heterocycles and their distinct biological activities, reported over the past one year (2019 to early 2020). This review highlights the trends in the use of nitrogen-based moieties in drug design and the development of different potent and competent candidates against various diseases.","container-title":"Molecules","DOI":"10.3390/molecules25081909","ISSN":"1420-3049","issue":"8","journalAbbreviation":"Molecules","language":"en","page":"1909","source":"DOI.org (Crossref)","title":"A Review on Recent Advances in Nitrogen-Containing Molecules and Their Biological Applications","volume":"25","author":[{"family":"Kerru","given":"Nagaraju"},{"family":"Gummidi","given":"Lalitha"},{"family":"Maddila","given":"Suresh"},{"family":"Gangu","given":"Kranthi Kumar"},{"family":"Jonnalagadda","given":"Sreekantha B."}],"issued":{"date-parts":[["2020",4,20]]}}}],"schema":"https://github.com/citation-style-language/schema/raw/master/csl-citation.json"} </w:instrText>
      </w:r>
      <w:r w:rsidR="0053136D">
        <w:rPr>
          <w:rFonts w:ascii="Times New Roman" w:hAnsi="Times New Roman" w:cs="Times New Roman"/>
          <w:sz w:val="24"/>
          <w:szCs w:val="24"/>
        </w:rPr>
        <w:fldChar w:fldCharType="separate"/>
      </w:r>
      <w:r w:rsidR="0053136D" w:rsidRPr="0053136D">
        <w:rPr>
          <w:rFonts w:ascii="Times New Roman" w:hAnsi="Times New Roman" w:cs="Times New Roman"/>
          <w:sz w:val="24"/>
          <w:szCs w:val="24"/>
        </w:rPr>
        <w:t>(2)</w:t>
      </w:r>
      <w:r w:rsidR="0053136D">
        <w:rPr>
          <w:rFonts w:ascii="Times New Roman" w:hAnsi="Times New Roman" w:cs="Times New Roman"/>
          <w:sz w:val="24"/>
          <w:szCs w:val="24"/>
        </w:rPr>
        <w:fldChar w:fldCharType="end"/>
      </w:r>
      <w:r w:rsidRPr="00F63ECA">
        <w:rPr>
          <w:rFonts w:ascii="Times New Roman" w:hAnsi="Times New Roman" w:cs="Times New Roman"/>
          <w:sz w:val="24"/>
          <w:szCs w:val="24"/>
        </w:rPr>
        <w:t xml:space="preserve">. The fourth-ranked feature is "any </w:t>
      </w:r>
      <w:r w:rsidRPr="00F63ECA">
        <w:rPr>
          <w:rFonts w:ascii="Times New Roman" w:hAnsi="Times New Roman" w:cs="Times New Roman"/>
          <w:sz w:val="24"/>
          <w:szCs w:val="24"/>
        </w:rPr>
        <w:lastRenderedPageBreak/>
        <w:t>ring size 6" (PubFP206). The fourth feature states the presence of a six-membered ring in a compound, especially when the compound is attached to a halogen ion (chlorine), which gives it a high binding affinity because every available Lewis base in the binding pocket can create halogen bon</w:t>
      </w:r>
      <w:r w:rsidR="008766EC">
        <w:rPr>
          <w:rFonts w:ascii="Times New Roman" w:hAnsi="Times New Roman" w:cs="Times New Roman"/>
          <w:sz w:val="24"/>
          <w:szCs w:val="24"/>
        </w:rPr>
        <w:t xml:space="preserve">ds with a halogenated ligand </w:t>
      </w:r>
      <w:r w:rsidR="008766EC">
        <w:rPr>
          <w:rFonts w:ascii="Times New Roman" w:hAnsi="Times New Roman" w:cs="Times New Roman"/>
          <w:sz w:val="24"/>
          <w:szCs w:val="24"/>
        </w:rPr>
        <w:fldChar w:fldCharType="begin"/>
      </w:r>
      <w:r w:rsidR="008766EC">
        <w:rPr>
          <w:rFonts w:ascii="Times New Roman" w:hAnsi="Times New Roman" w:cs="Times New Roman"/>
          <w:sz w:val="24"/>
          <w:szCs w:val="24"/>
        </w:rPr>
        <w:instrText xml:space="preserve"> ADDIN ZOTERO_ITEM CSL_CITATION {"citationID":"aa9h46vle4","properties":{"formattedCitation":"(3)","plainCitation":"(3)","noteIndex":0},"citationItems":[{"id":71,"uris":["http://zotero.org/users/local/CzjAiapM/items/QTQWZ4QS"],"itemData":{"id":71,"type":"article-journal","container-title":"Chemical Society Reviews","DOI":"10.1039/c0cs00177e","ISSN":"0306-0012, 1460-4744","issue":"5","journalAbbreviation":"Chem. Soc. Rev.","language":"en","page":"2267","source":"DOI.org (Crossref)","title":"Halogen bonding in halocarbon–protein complexes: a structural survey","title-short":"Halogen bonding in halocarbon–protein complexes","volume":"40","author":[{"family":"Parisini","given":"Emilio"},{"family":"Metrangolo","given":"Pierangelo"},{"family":"Pilati","given":"Tullio"},{"family":"Resnati","given":"Giuseppe"},{"family":"Terraneo","given":"Giancarlo"}],"issued":{"date-parts":[["2011"]]}}}],"schema":"https://github.com/citation-style-language/schema/raw/master/csl-citation.json"} </w:instrText>
      </w:r>
      <w:r w:rsidR="008766EC">
        <w:rPr>
          <w:rFonts w:ascii="Times New Roman" w:hAnsi="Times New Roman" w:cs="Times New Roman"/>
          <w:sz w:val="24"/>
          <w:szCs w:val="24"/>
        </w:rPr>
        <w:fldChar w:fldCharType="separate"/>
      </w:r>
      <w:r w:rsidR="008766EC" w:rsidRPr="008766EC">
        <w:rPr>
          <w:rFonts w:ascii="Times New Roman" w:hAnsi="Times New Roman" w:cs="Times New Roman"/>
          <w:sz w:val="24"/>
          <w:szCs w:val="24"/>
        </w:rPr>
        <w:t>(3)</w:t>
      </w:r>
      <w:r w:rsidR="008766EC">
        <w:rPr>
          <w:rFonts w:ascii="Times New Roman" w:hAnsi="Times New Roman" w:cs="Times New Roman"/>
          <w:sz w:val="24"/>
          <w:szCs w:val="24"/>
        </w:rPr>
        <w:fldChar w:fldCharType="end"/>
      </w:r>
      <w:r w:rsidRPr="00F63ECA">
        <w:rPr>
          <w:rFonts w:ascii="Times New Roman" w:hAnsi="Times New Roman" w:cs="Times New Roman"/>
          <w:sz w:val="24"/>
          <w:szCs w:val="24"/>
        </w:rPr>
        <w:t xml:space="preserve">. The fifth and sixth-ranked features are "C (#C) (-C) (PubFP427) and ‘C-C-C#C’ (PubChemFP460),  </w:t>
      </w:r>
    </w:p>
    <w:p w14:paraId="741E6AF2" w14:textId="2418576B" w:rsidR="00F016A1" w:rsidRDefault="00F63ECA" w:rsidP="00F63ECA">
      <w:pPr>
        <w:spacing w:line="360" w:lineRule="auto"/>
        <w:jc w:val="both"/>
        <w:rPr>
          <w:rFonts w:ascii="Times New Roman" w:hAnsi="Times New Roman" w:cs="Times New Roman"/>
          <w:sz w:val="24"/>
          <w:szCs w:val="24"/>
        </w:rPr>
      </w:pPr>
      <w:r w:rsidRPr="00F63ECA">
        <w:rPr>
          <w:rFonts w:ascii="Times New Roman" w:hAnsi="Times New Roman" w:cs="Times New Roman"/>
          <w:sz w:val="24"/>
          <w:szCs w:val="24"/>
        </w:rPr>
        <w:t>The seventh important feature is the presence of "Cl-C-C-N-C" (PubFP609); the presence of this fingerprint ensures excellent cellular potency and metabolic stabi</w:t>
      </w:r>
      <w:r w:rsidR="008766EC">
        <w:rPr>
          <w:rFonts w:ascii="Times New Roman" w:hAnsi="Times New Roman" w:cs="Times New Roman"/>
          <w:sz w:val="24"/>
          <w:szCs w:val="24"/>
        </w:rPr>
        <w:t xml:space="preserve">lity </w:t>
      </w:r>
      <w:r w:rsidR="008766EC">
        <w:rPr>
          <w:rFonts w:ascii="Times New Roman" w:hAnsi="Times New Roman" w:cs="Times New Roman"/>
          <w:sz w:val="24"/>
          <w:szCs w:val="24"/>
        </w:rPr>
        <w:fldChar w:fldCharType="begin"/>
      </w:r>
      <w:r w:rsidR="008766EC">
        <w:rPr>
          <w:rFonts w:ascii="Times New Roman" w:hAnsi="Times New Roman" w:cs="Times New Roman"/>
          <w:sz w:val="24"/>
          <w:szCs w:val="24"/>
        </w:rPr>
        <w:instrText xml:space="preserve"> ADDIN ZOTERO_ITEM CSL_CITATION {"citationID":"a2d3t8kkduf","properties":{"formattedCitation":"(4)","plainCitation":"(4)","noteIndex":0},"citationItems":[{"id":72,"uris":["http://zotero.org/users/local/CzjAiapM/items/88TI6WSL"],"itemData":{"id":72,"type":"article-journal","container-title":"Journal of Medicinal Chemistry","DOI":"10.1021/acs.jmedchem.0c01732","ISSN":"0022-2623, 1520-4804","issue":"23","journalAbbreviation":"J. Med. Chem.","language":"en","page":"15050-15071","source":"DOI.org (Crossref)","title":"Biologic-like In Vivo Efficacy with Small Molecule Inhibitors of TNFα Identified Using Scaffold Hopping and Structure-Based Drug Design Approaches","volume":"63","author":[{"family":"Xiao","given":"Hai-Yun"},{"family":"Li","given":"Ning"},{"family":"Duan","given":"James J.-W."},{"family":"Jiang","given":"Bin"},{"family":"Lu","given":"Zhonghui"},{"family":"Ngu","given":"Khehyong"},{"family":"Tino","given":"Joseph"},{"family":"Kopcho","given":"Lisa M."},{"family":"Lu","given":"Hao"},{"family":"Chen","given":"Jing"},{"family":"Tebben","given":"Andrew J."},{"family":"Sheriff","given":"Steven"},{"family":"Chang","given":"ChiehYing Y."},{"family":"Yanchunas","given":"Joseph"},{"family":"Calambur","given":"Deepa"},{"family":"Gao","given":"Mian"},{"family":"Shuster","given":"David J."},{"family":"Susulic","given":"Vojkan"},{"family":"Xie","given":"Jenny H."},{"family":"Guarino","given":"Victor R."},{"family":"Wu","given":"Dauh-Rurng"},{"family":"Gregor","given":"Kurt R."},{"family":"Goldstine","given":"Christine B."},{"family":"Hynes","given":"John"},{"family":"Macor","given":"John E."},{"family":"Salter-Cid","given":"Luisa"},{"family":"Burke","given":"James R."},{"family":"Shaw","given":"Patrick J."},{"family":"Dhar","given":"T. G. Murali"}],"issued":{"date-parts":[["2020",12,10]]}}}],"schema":"https://github.com/citation-style-language/schema/raw/master/csl-citation.json"} </w:instrText>
      </w:r>
      <w:r w:rsidR="008766EC">
        <w:rPr>
          <w:rFonts w:ascii="Times New Roman" w:hAnsi="Times New Roman" w:cs="Times New Roman"/>
          <w:sz w:val="24"/>
          <w:szCs w:val="24"/>
        </w:rPr>
        <w:fldChar w:fldCharType="separate"/>
      </w:r>
      <w:r w:rsidR="008766EC" w:rsidRPr="008766EC">
        <w:rPr>
          <w:rFonts w:ascii="Times New Roman" w:hAnsi="Times New Roman" w:cs="Times New Roman"/>
          <w:sz w:val="24"/>
          <w:szCs w:val="24"/>
        </w:rPr>
        <w:t>(4)</w:t>
      </w:r>
      <w:r w:rsidR="008766EC">
        <w:rPr>
          <w:rFonts w:ascii="Times New Roman" w:hAnsi="Times New Roman" w:cs="Times New Roman"/>
          <w:sz w:val="24"/>
          <w:szCs w:val="24"/>
        </w:rPr>
        <w:fldChar w:fldCharType="end"/>
      </w:r>
      <w:r w:rsidRPr="00F63ECA">
        <w:rPr>
          <w:rFonts w:ascii="Times New Roman" w:hAnsi="Times New Roman" w:cs="Times New Roman"/>
          <w:sz w:val="24"/>
          <w:szCs w:val="24"/>
        </w:rPr>
        <w:t>. The eighth important feature is "2 saturated or aromatic nitrogen-containing ring size 5," which indicates that the presence of either of these features increases the activity of the compound. In the above explanation, the presence of N-heterocyclic compounds increases the biological</w:t>
      </w:r>
      <w:r w:rsidR="008766EC">
        <w:rPr>
          <w:rFonts w:ascii="Times New Roman" w:hAnsi="Times New Roman" w:cs="Times New Roman"/>
          <w:sz w:val="24"/>
          <w:szCs w:val="24"/>
        </w:rPr>
        <w:t xml:space="preserve"> application of the compound </w:t>
      </w:r>
      <w:r w:rsidR="008766EC">
        <w:rPr>
          <w:rFonts w:ascii="Times New Roman" w:hAnsi="Times New Roman" w:cs="Times New Roman"/>
          <w:sz w:val="24"/>
          <w:szCs w:val="24"/>
        </w:rPr>
        <w:fldChar w:fldCharType="begin"/>
      </w:r>
      <w:r w:rsidR="008766EC">
        <w:rPr>
          <w:rFonts w:ascii="Times New Roman" w:hAnsi="Times New Roman" w:cs="Times New Roman"/>
          <w:sz w:val="24"/>
          <w:szCs w:val="24"/>
        </w:rPr>
        <w:instrText xml:space="preserve"> ADDIN ZOTERO_ITEM CSL_CITATION {"citationID":"atjm7n0k1q","properties":{"formattedCitation":"(2)","plainCitation":"(2)","noteIndex":0},"citationItems":[{"id":69,"uris":["http://zotero.org/users/local/CzjAiapM/items/HMYDDEZ6"],"itemData":{"id":69,"type":"article-journal","abstract":"The analogs of nitrogen-based heterocycles occupy an exclusive position as a valuable source of therapeutic agents in medicinal chemistry. More than 75% of drugs approved by the FDA and currently available in the market are nitrogen-containing heterocyclic moieties. In the forthcoming decade, a much greater share of new nitrogen-based pharmaceuticals is anticipated. Many new nitrogen-based heterocycles have been designed. The number of novel N-heterocyclic moieties with significant physiological properties and promising applications in medicinal chemistry is ever-growing. In this review, we consolidate the recent advances on novel nitrogen-containing heterocycles and their distinct biological activities, reported over the past one year (2019 to early 2020). This review highlights the trends in the use of nitrogen-based moieties in drug design and the development of different potent and competent candidates against various diseases.","container-title":"Molecules","DOI":"10.3390/molecules25081909","ISSN":"1420-3049","issue":"8","journalAbbreviation":"Molecules","language":"en","page":"1909","source":"DOI.org (Crossref)","title":"A Review on Recent Advances in Nitrogen-Containing Molecules and Their Biological Applications","volume":"25","author":[{"family":"Kerru","given":"Nagaraju"},{"family":"Gummidi","given":"Lalitha"},{"family":"Maddila","given":"Suresh"},{"family":"Gangu","given":"Kranthi Kumar"},{"family":"Jonnalagadda","given":"Sreekantha B."}],"issued":{"date-parts":[["2020",4,20]]}}}],"schema":"https://github.com/citation-style-language/schema/raw/master/csl-citation.json"} </w:instrText>
      </w:r>
      <w:r w:rsidR="008766EC">
        <w:rPr>
          <w:rFonts w:ascii="Times New Roman" w:hAnsi="Times New Roman" w:cs="Times New Roman"/>
          <w:sz w:val="24"/>
          <w:szCs w:val="24"/>
        </w:rPr>
        <w:fldChar w:fldCharType="separate"/>
      </w:r>
      <w:r w:rsidR="008766EC" w:rsidRPr="008766EC">
        <w:rPr>
          <w:rFonts w:ascii="Times New Roman" w:hAnsi="Times New Roman" w:cs="Times New Roman"/>
          <w:sz w:val="24"/>
          <w:szCs w:val="24"/>
        </w:rPr>
        <w:t>(2)</w:t>
      </w:r>
      <w:r w:rsidR="008766EC">
        <w:rPr>
          <w:rFonts w:ascii="Times New Roman" w:hAnsi="Times New Roman" w:cs="Times New Roman"/>
          <w:sz w:val="24"/>
          <w:szCs w:val="24"/>
        </w:rPr>
        <w:fldChar w:fldCharType="end"/>
      </w:r>
      <w:r w:rsidRPr="00F63ECA">
        <w:rPr>
          <w:rFonts w:ascii="Times New Roman" w:hAnsi="Times New Roman" w:cs="Times New Roman"/>
          <w:sz w:val="24"/>
          <w:szCs w:val="24"/>
        </w:rPr>
        <w:t>. "C(C) (C) (C) (N)" (PubChemFP336) and "C=C" (PubChemFP461) are the ninth and tenth most important features. Presence of any one or more than one of the aforementioned features in a compound can directly impact its activity against TNF-alpha</w:t>
      </w:r>
    </w:p>
    <w:p w14:paraId="4DF9AF56" w14:textId="79E0ADE0" w:rsidR="00F63ECA" w:rsidRDefault="00290D72" w:rsidP="00F63ECA">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4384" behindDoc="0" locked="0" layoutInCell="1" allowOverlap="1" wp14:anchorId="16615FC3" wp14:editId="716A7DF5">
            <wp:simplePos x="0" y="0"/>
            <wp:positionH relativeFrom="column">
              <wp:posOffset>-291465</wp:posOffset>
            </wp:positionH>
            <wp:positionV relativeFrom="paragraph">
              <wp:posOffset>362585</wp:posOffset>
            </wp:positionV>
            <wp:extent cx="6711315" cy="4336415"/>
            <wp:effectExtent l="0" t="0" r="0" b="6985"/>
            <wp:wrapSquare wrapText="bothSides"/>
            <wp:docPr id="318729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729152" name="Picture 31872915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11315" cy="4336415"/>
                    </a:xfrm>
                    <a:prstGeom prst="rect">
                      <a:avLst/>
                    </a:prstGeom>
                  </pic:spPr>
                </pic:pic>
              </a:graphicData>
            </a:graphic>
            <wp14:sizeRelH relativeFrom="margin">
              <wp14:pctWidth>0</wp14:pctWidth>
            </wp14:sizeRelH>
            <wp14:sizeRelV relativeFrom="margin">
              <wp14:pctHeight>0</wp14:pctHeight>
            </wp14:sizeRelV>
          </wp:anchor>
        </w:drawing>
      </w:r>
    </w:p>
    <w:p w14:paraId="7A24BDC7" w14:textId="77777777" w:rsidR="00290D72" w:rsidRDefault="00290D72" w:rsidP="00290D72">
      <w:pPr>
        <w:spacing w:line="360" w:lineRule="auto"/>
        <w:rPr>
          <w:rFonts w:ascii="Times New Roman" w:hAnsi="Times New Roman" w:cs="Times New Roman"/>
          <w:sz w:val="24"/>
          <w:szCs w:val="24"/>
        </w:rPr>
      </w:pPr>
    </w:p>
    <w:p w14:paraId="7EC865F5" w14:textId="106B03A6" w:rsidR="00F63ECA" w:rsidRDefault="00290D72" w:rsidP="00290D72">
      <w:pPr>
        <w:spacing w:line="360" w:lineRule="auto"/>
        <w:jc w:val="both"/>
        <w:rPr>
          <w:rFonts w:ascii="Times New Roman" w:hAnsi="Times New Roman" w:cs="Times New Roman"/>
          <w:sz w:val="20"/>
          <w:szCs w:val="20"/>
        </w:rPr>
      </w:pPr>
      <w:r>
        <w:rPr>
          <w:rFonts w:ascii="Times New Roman" w:hAnsi="Times New Roman" w:cs="Times New Roman"/>
          <w:sz w:val="24"/>
          <w:szCs w:val="24"/>
        </w:rPr>
        <w:lastRenderedPageBreak/>
        <w:t xml:space="preserve"> </w:t>
      </w:r>
      <w:r w:rsidR="00E2024F">
        <w:rPr>
          <w:rFonts w:ascii="Times New Roman" w:hAnsi="Times New Roman" w:cs="Times New Roman"/>
          <w:b/>
          <w:sz w:val="20"/>
          <w:szCs w:val="20"/>
        </w:rPr>
        <w:t xml:space="preserve">Figure </w:t>
      </w:r>
      <w:r>
        <w:rPr>
          <w:rFonts w:ascii="Times New Roman" w:hAnsi="Times New Roman" w:cs="Times New Roman"/>
          <w:b/>
          <w:sz w:val="20"/>
          <w:szCs w:val="20"/>
        </w:rPr>
        <w:t>1:</w:t>
      </w:r>
      <w:r w:rsidRPr="00261DA7">
        <w:rPr>
          <w:rFonts w:ascii="Times New Roman" w:hAnsi="Times New Roman" w:cs="Times New Roman"/>
          <w:sz w:val="20"/>
        </w:rPr>
        <w:t xml:space="preserve"> Graphical representation of QSAR model using </w:t>
      </w:r>
      <w:r>
        <w:rPr>
          <w:rFonts w:ascii="Times New Roman" w:hAnsi="Times New Roman" w:cs="Times New Roman"/>
          <w:sz w:val="20"/>
        </w:rPr>
        <w:t>PubChem</w:t>
      </w:r>
      <w:r w:rsidRPr="00261DA7">
        <w:rPr>
          <w:rFonts w:ascii="Times New Roman" w:hAnsi="Times New Roman" w:cs="Times New Roman"/>
          <w:sz w:val="20"/>
        </w:rPr>
        <w:t xml:space="preserve"> fingerprint. The first two panels represent a regression plot for the ML-QSAR predictive model. The second represents the VIP (blue color) plot, which showcases the top ten most critical features based on the </w:t>
      </w:r>
      <w:r>
        <w:rPr>
          <w:rFonts w:ascii="Times New Roman" w:hAnsi="Times New Roman" w:cs="Times New Roman"/>
          <w:sz w:val="20"/>
        </w:rPr>
        <w:t>PubChem</w:t>
      </w:r>
      <w:r w:rsidRPr="00261DA7">
        <w:rPr>
          <w:rFonts w:ascii="Times New Roman" w:hAnsi="Times New Roman" w:cs="Times New Roman"/>
          <w:sz w:val="20"/>
        </w:rPr>
        <w:t xml:space="preserve"> fingerprint</w:t>
      </w:r>
      <w:r>
        <w:rPr>
          <w:rFonts w:ascii="Times New Roman" w:hAnsi="Times New Roman" w:cs="Times New Roman"/>
          <w:sz w:val="20"/>
        </w:rPr>
        <w:t>.</w:t>
      </w:r>
    </w:p>
    <w:p w14:paraId="68FC6189" w14:textId="77777777" w:rsidR="00E2024F" w:rsidRDefault="00E2024F" w:rsidP="00F63ECA">
      <w:pPr>
        <w:spacing w:line="360" w:lineRule="auto"/>
        <w:jc w:val="both"/>
        <w:rPr>
          <w:rFonts w:ascii="Times New Roman" w:hAnsi="Times New Roman" w:cs="Times New Roman"/>
          <w:sz w:val="20"/>
          <w:szCs w:val="20"/>
        </w:rPr>
      </w:pPr>
    </w:p>
    <w:p w14:paraId="3536B696" w14:textId="77777777" w:rsidR="00E2024F" w:rsidRDefault="00E2024F" w:rsidP="00F63ECA">
      <w:pPr>
        <w:spacing w:line="360" w:lineRule="auto"/>
        <w:jc w:val="both"/>
        <w:rPr>
          <w:rFonts w:ascii="Times New Roman" w:hAnsi="Times New Roman" w:cs="Times New Roman"/>
          <w:b/>
          <w:sz w:val="24"/>
          <w:szCs w:val="24"/>
        </w:rPr>
      </w:pPr>
      <w:r w:rsidRPr="00502EEC">
        <w:rPr>
          <w:rFonts w:ascii="Times New Roman" w:hAnsi="Times New Roman" w:cs="Times New Roman"/>
          <w:b/>
          <w:noProof/>
          <w:sz w:val="24"/>
          <w:szCs w:val="24"/>
          <w:lang w:eastAsia="en-IN"/>
        </w:rPr>
        <w:drawing>
          <wp:anchor distT="0" distB="0" distL="114300" distR="114300" simplePos="0" relativeHeight="251663360" behindDoc="0" locked="0" layoutInCell="1" allowOverlap="1" wp14:anchorId="6E711269" wp14:editId="02DC405B">
            <wp:simplePos x="0" y="0"/>
            <wp:positionH relativeFrom="column">
              <wp:posOffset>-209550</wp:posOffset>
            </wp:positionH>
            <wp:positionV relativeFrom="paragraph">
              <wp:posOffset>468630</wp:posOffset>
            </wp:positionV>
            <wp:extent cx="5731510" cy="2670810"/>
            <wp:effectExtent l="0" t="0" r="254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31510" cy="2670810"/>
                    </a:xfrm>
                    <a:prstGeom prst="rect">
                      <a:avLst/>
                    </a:prstGeom>
                  </pic:spPr>
                </pic:pic>
              </a:graphicData>
            </a:graphic>
          </wp:anchor>
        </w:drawing>
      </w:r>
      <w:r>
        <w:rPr>
          <w:rFonts w:ascii="Times New Roman" w:hAnsi="Times New Roman" w:cs="Times New Roman"/>
          <w:b/>
          <w:sz w:val="24"/>
          <w:szCs w:val="24"/>
        </w:rPr>
        <w:t>3.4 Applicability Domain</w:t>
      </w:r>
    </w:p>
    <w:p w14:paraId="0F076EF6" w14:textId="77777777" w:rsidR="00E2024F" w:rsidRPr="00502EEC" w:rsidRDefault="00E2024F" w:rsidP="00E2024F">
      <w:pPr>
        <w:spacing w:line="360" w:lineRule="auto"/>
        <w:jc w:val="both"/>
        <w:rPr>
          <w:rFonts w:ascii="Times New Roman" w:hAnsi="Times New Roman" w:cs="Times New Roman"/>
          <w:sz w:val="20"/>
          <w:szCs w:val="20"/>
        </w:rPr>
      </w:pPr>
      <w:r>
        <w:rPr>
          <w:rFonts w:ascii="Times New Roman" w:hAnsi="Times New Roman" w:cs="Times New Roman"/>
          <w:b/>
          <w:sz w:val="20"/>
          <w:szCs w:val="20"/>
        </w:rPr>
        <w:t>Figure 2</w:t>
      </w:r>
      <w:r>
        <w:rPr>
          <w:rFonts w:ascii="Times New Roman" w:hAnsi="Times New Roman" w:cs="Times New Roman"/>
          <w:sz w:val="20"/>
          <w:szCs w:val="20"/>
        </w:rPr>
        <w:t>: 2D and 3D plot for A</w:t>
      </w:r>
      <w:r w:rsidRPr="00502EEC">
        <w:rPr>
          <w:rFonts w:ascii="Times New Roman" w:hAnsi="Times New Roman" w:cs="Times New Roman"/>
          <w:sz w:val="20"/>
          <w:szCs w:val="20"/>
        </w:rPr>
        <w:t>pplicability domain analysis</w:t>
      </w:r>
      <w:r>
        <w:rPr>
          <w:rFonts w:ascii="Times New Roman" w:hAnsi="Times New Roman" w:cs="Times New Roman"/>
          <w:sz w:val="20"/>
          <w:szCs w:val="20"/>
        </w:rPr>
        <w:t xml:space="preserve"> for PubChem as deduced from the PCA scores </w:t>
      </w:r>
      <w:r w:rsidRPr="00502EEC">
        <w:rPr>
          <w:rFonts w:ascii="Times New Roman" w:hAnsi="Times New Roman" w:cs="Times New Roman"/>
          <w:sz w:val="20"/>
          <w:szCs w:val="20"/>
        </w:rPr>
        <w:t xml:space="preserve">plot of </w:t>
      </w:r>
      <w:r>
        <w:rPr>
          <w:rFonts w:ascii="Times New Roman" w:hAnsi="Times New Roman" w:cs="Times New Roman"/>
          <w:sz w:val="20"/>
          <w:szCs w:val="20"/>
        </w:rPr>
        <w:t xml:space="preserve">training (blue) and test (red) sets </w:t>
      </w:r>
      <w:r w:rsidRPr="00502EEC">
        <w:rPr>
          <w:rFonts w:ascii="Times New Roman" w:hAnsi="Times New Roman" w:cs="Times New Roman"/>
          <w:sz w:val="20"/>
          <w:szCs w:val="20"/>
        </w:rPr>
        <w:t>constituting 70% and 30% of the data set, respectively.</w:t>
      </w:r>
    </w:p>
    <w:p w14:paraId="2B389E5F" w14:textId="156373B0" w:rsidR="00E2024F" w:rsidRDefault="00290D72" w:rsidP="00F63ECA">
      <w:pPr>
        <w:spacing w:line="360" w:lineRule="auto"/>
        <w:jc w:val="both"/>
        <w:rPr>
          <w:rFonts w:ascii="Times New Roman" w:hAnsi="Times New Roman" w:cs="Times New Roman"/>
          <w:b/>
          <w:sz w:val="24"/>
          <w:szCs w:val="24"/>
        </w:rPr>
      </w:pPr>
      <w:r>
        <w:rPr>
          <w:rFonts w:ascii="Times New Roman" w:hAnsi="Times New Roman" w:cs="Times New Roman"/>
          <w:noProof/>
          <w:sz w:val="24"/>
          <w:szCs w:val="24"/>
        </w:rPr>
        <w:lastRenderedPageBreak/>
        <w:drawing>
          <wp:anchor distT="0" distB="0" distL="114300" distR="114300" simplePos="0" relativeHeight="251665408" behindDoc="0" locked="0" layoutInCell="1" allowOverlap="1" wp14:anchorId="54859F14" wp14:editId="7ECBF45D">
            <wp:simplePos x="0" y="0"/>
            <wp:positionH relativeFrom="page">
              <wp:align>left</wp:align>
            </wp:positionH>
            <wp:positionV relativeFrom="paragraph">
              <wp:posOffset>171797</wp:posOffset>
            </wp:positionV>
            <wp:extent cx="7567237" cy="4256466"/>
            <wp:effectExtent l="0" t="0" r="0" b="0"/>
            <wp:wrapSquare wrapText="bothSides"/>
            <wp:docPr id="1318443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4351" name="Picture 13184435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67237" cy="4256466"/>
                    </a:xfrm>
                    <a:prstGeom prst="rect">
                      <a:avLst/>
                    </a:prstGeom>
                  </pic:spPr>
                </pic:pic>
              </a:graphicData>
            </a:graphic>
            <wp14:sizeRelH relativeFrom="margin">
              <wp14:pctWidth>0</wp14:pctWidth>
            </wp14:sizeRelH>
            <wp14:sizeRelV relativeFrom="margin">
              <wp14:pctHeight>0</wp14:pctHeight>
            </wp14:sizeRelV>
          </wp:anchor>
        </w:drawing>
      </w:r>
      <w:r w:rsidR="00E2024F">
        <w:rPr>
          <w:rFonts w:ascii="Times New Roman" w:hAnsi="Times New Roman" w:cs="Times New Roman"/>
          <w:b/>
          <w:sz w:val="24"/>
          <w:szCs w:val="24"/>
        </w:rPr>
        <w:t xml:space="preserve"> </w:t>
      </w:r>
    </w:p>
    <w:p w14:paraId="749CF20C" w14:textId="77777777" w:rsidR="00290D72" w:rsidRPr="00290D72" w:rsidRDefault="002A0DB5" w:rsidP="00290D72">
      <w:pPr>
        <w:rPr>
          <w:rFonts w:ascii="Times New Roman" w:hAnsi="Times New Roman" w:cs="Times New Roman"/>
          <w:sz w:val="20"/>
          <w:szCs w:val="20"/>
        </w:rPr>
      </w:pPr>
      <w:r>
        <w:rPr>
          <w:rFonts w:ascii="Times New Roman" w:hAnsi="Times New Roman" w:cs="Times New Roman"/>
          <w:sz w:val="24"/>
          <w:szCs w:val="24"/>
        </w:rPr>
        <w:tab/>
      </w:r>
      <w:r w:rsidR="00290D72" w:rsidRPr="00290D72">
        <w:rPr>
          <w:rFonts w:ascii="Times New Roman" w:hAnsi="Times New Roman" w:cs="Times New Roman"/>
          <w:b/>
          <w:bCs/>
          <w:sz w:val="20"/>
          <w:szCs w:val="20"/>
        </w:rPr>
        <w:t xml:space="preserve">Figure 3: </w:t>
      </w:r>
      <w:r w:rsidR="00290D72" w:rsidRPr="00290D72">
        <w:rPr>
          <w:rFonts w:ascii="Times New Roman" w:hAnsi="Times New Roman" w:cs="Times New Roman"/>
          <w:sz w:val="20"/>
          <w:szCs w:val="20"/>
        </w:rPr>
        <w:t xml:space="preserve">Represent network gene with the most interactive gene emphasized in orange color </w:t>
      </w:r>
    </w:p>
    <w:p w14:paraId="1401316E" w14:textId="4980B212" w:rsidR="00DC5F6F" w:rsidRDefault="00BC2A3A" w:rsidP="002A0DB5">
      <w:pPr>
        <w:tabs>
          <w:tab w:val="left" w:pos="900"/>
        </w:tabs>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6432" behindDoc="0" locked="0" layoutInCell="1" allowOverlap="1" wp14:anchorId="693C3CF8" wp14:editId="0D0A7E70">
            <wp:simplePos x="0" y="0"/>
            <wp:positionH relativeFrom="column">
              <wp:posOffset>6350</wp:posOffset>
            </wp:positionH>
            <wp:positionV relativeFrom="paragraph">
              <wp:posOffset>262890</wp:posOffset>
            </wp:positionV>
            <wp:extent cx="6292850" cy="3539490"/>
            <wp:effectExtent l="0" t="0" r="0" b="3810"/>
            <wp:wrapSquare wrapText="bothSides"/>
            <wp:docPr id="12366576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657647" name="Picture 123665764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92850" cy="3539490"/>
                    </a:xfrm>
                    <a:prstGeom prst="rect">
                      <a:avLst/>
                    </a:prstGeom>
                  </pic:spPr>
                </pic:pic>
              </a:graphicData>
            </a:graphic>
            <wp14:sizeRelH relativeFrom="margin">
              <wp14:pctWidth>0</wp14:pctWidth>
            </wp14:sizeRelH>
            <wp14:sizeRelV relativeFrom="margin">
              <wp14:pctHeight>0</wp14:pctHeight>
            </wp14:sizeRelV>
          </wp:anchor>
        </w:drawing>
      </w:r>
    </w:p>
    <w:p w14:paraId="0CD21085" w14:textId="3F76B516" w:rsidR="002A0DB5" w:rsidRDefault="002A0DB5" w:rsidP="002A0DB5">
      <w:pPr>
        <w:tabs>
          <w:tab w:val="left" w:pos="900"/>
        </w:tabs>
        <w:rPr>
          <w:rFonts w:ascii="Times New Roman" w:hAnsi="Times New Roman" w:cs="Times New Roman"/>
          <w:sz w:val="24"/>
          <w:szCs w:val="24"/>
        </w:rPr>
      </w:pPr>
    </w:p>
    <w:p w14:paraId="71D083B3" w14:textId="119DC81B" w:rsidR="002A0DB5" w:rsidRPr="00BC2A3A" w:rsidRDefault="00BC2A3A" w:rsidP="002A0DB5">
      <w:pPr>
        <w:tabs>
          <w:tab w:val="left" w:pos="900"/>
        </w:tabs>
        <w:rPr>
          <w:rFonts w:ascii="Times New Roman" w:hAnsi="Times New Roman" w:cs="Times New Roman"/>
          <w:sz w:val="20"/>
          <w:szCs w:val="20"/>
        </w:rPr>
      </w:pPr>
      <w:r w:rsidRPr="00BC2A3A">
        <w:rPr>
          <w:rFonts w:ascii="Times New Roman" w:hAnsi="Times New Roman" w:cs="Times New Roman"/>
          <w:b/>
          <w:bCs/>
          <w:sz w:val="20"/>
          <w:szCs w:val="20"/>
        </w:rPr>
        <w:t xml:space="preserve">                            Figure 4</w:t>
      </w:r>
      <w:r w:rsidRPr="00BC2A3A">
        <w:rPr>
          <w:rFonts w:ascii="Times New Roman" w:hAnsi="Times New Roman" w:cs="Times New Roman"/>
          <w:sz w:val="20"/>
          <w:szCs w:val="20"/>
        </w:rPr>
        <w:t>: Represent the common genes between scaffolds and hub gene</w:t>
      </w:r>
    </w:p>
    <w:p w14:paraId="67594B82" w14:textId="77777777" w:rsidR="002A0DB5" w:rsidRDefault="002A0DB5" w:rsidP="002A0DB5">
      <w:pPr>
        <w:tabs>
          <w:tab w:val="left" w:pos="900"/>
        </w:tabs>
        <w:rPr>
          <w:rFonts w:ascii="Times New Roman" w:hAnsi="Times New Roman" w:cs="Times New Roman"/>
          <w:sz w:val="24"/>
          <w:szCs w:val="24"/>
        </w:rPr>
      </w:pPr>
    </w:p>
    <w:p w14:paraId="67B2A034" w14:textId="77777777" w:rsidR="002A0DB5" w:rsidRDefault="002A0DB5" w:rsidP="002A0DB5">
      <w:pPr>
        <w:tabs>
          <w:tab w:val="left" w:pos="900"/>
        </w:tabs>
        <w:rPr>
          <w:rFonts w:ascii="Times New Roman" w:hAnsi="Times New Roman" w:cs="Times New Roman"/>
          <w:sz w:val="24"/>
          <w:szCs w:val="24"/>
        </w:rPr>
      </w:pPr>
    </w:p>
    <w:p w14:paraId="4AB8CCE6" w14:textId="77777777" w:rsidR="002A0DB5" w:rsidRDefault="002A0DB5" w:rsidP="002A0DB5">
      <w:pPr>
        <w:tabs>
          <w:tab w:val="left" w:pos="900"/>
        </w:tabs>
        <w:rPr>
          <w:rFonts w:ascii="Times New Roman" w:hAnsi="Times New Roman" w:cs="Times New Roman"/>
          <w:sz w:val="24"/>
          <w:szCs w:val="24"/>
        </w:rPr>
      </w:pPr>
    </w:p>
    <w:p w14:paraId="2E995D83" w14:textId="77777777" w:rsidR="002A0DB5" w:rsidRDefault="002A0DB5" w:rsidP="002A0DB5">
      <w:pPr>
        <w:tabs>
          <w:tab w:val="left" w:pos="900"/>
        </w:tabs>
        <w:rPr>
          <w:rFonts w:ascii="Times New Roman" w:hAnsi="Times New Roman" w:cs="Times New Roman"/>
          <w:sz w:val="24"/>
          <w:szCs w:val="24"/>
        </w:rPr>
      </w:pPr>
    </w:p>
    <w:p w14:paraId="4CA528C8" w14:textId="77777777" w:rsidR="002A0DB5" w:rsidRDefault="002A0DB5" w:rsidP="002A0DB5">
      <w:pPr>
        <w:tabs>
          <w:tab w:val="left" w:pos="900"/>
        </w:tabs>
        <w:rPr>
          <w:rFonts w:ascii="Times New Roman" w:hAnsi="Times New Roman" w:cs="Times New Roman"/>
          <w:sz w:val="24"/>
          <w:szCs w:val="24"/>
        </w:rPr>
      </w:pPr>
    </w:p>
    <w:p w14:paraId="08FB0E89" w14:textId="77777777" w:rsidR="00243154" w:rsidRDefault="00243154" w:rsidP="002A0DB5">
      <w:pPr>
        <w:tabs>
          <w:tab w:val="left" w:pos="900"/>
        </w:tabs>
        <w:rPr>
          <w:rFonts w:ascii="Times New Roman" w:hAnsi="Times New Roman" w:cs="Times New Roman"/>
          <w:sz w:val="24"/>
          <w:szCs w:val="24"/>
        </w:rPr>
      </w:pPr>
    </w:p>
    <w:p w14:paraId="3EF11D74" w14:textId="77777777" w:rsidR="00243154" w:rsidRDefault="00243154" w:rsidP="002A0DB5">
      <w:pPr>
        <w:tabs>
          <w:tab w:val="left" w:pos="900"/>
        </w:tabs>
        <w:rPr>
          <w:rFonts w:ascii="Times New Roman" w:hAnsi="Times New Roman" w:cs="Times New Roman"/>
          <w:sz w:val="24"/>
          <w:szCs w:val="24"/>
        </w:rPr>
      </w:pPr>
    </w:p>
    <w:p w14:paraId="025DE639" w14:textId="77777777" w:rsidR="00243154" w:rsidRDefault="00243154" w:rsidP="002A0DB5">
      <w:pPr>
        <w:tabs>
          <w:tab w:val="left" w:pos="900"/>
        </w:tabs>
        <w:rPr>
          <w:rFonts w:ascii="Times New Roman" w:hAnsi="Times New Roman" w:cs="Times New Roman"/>
          <w:sz w:val="24"/>
          <w:szCs w:val="24"/>
        </w:rPr>
      </w:pPr>
    </w:p>
    <w:p w14:paraId="6045073B" w14:textId="77777777" w:rsidR="00243154" w:rsidRDefault="00243154" w:rsidP="002A0DB5">
      <w:pPr>
        <w:tabs>
          <w:tab w:val="left" w:pos="900"/>
        </w:tabs>
        <w:rPr>
          <w:rFonts w:ascii="Times New Roman" w:hAnsi="Times New Roman" w:cs="Times New Roman"/>
          <w:sz w:val="24"/>
          <w:szCs w:val="24"/>
        </w:rPr>
      </w:pPr>
    </w:p>
    <w:p w14:paraId="732B521A" w14:textId="77777777" w:rsidR="00243154" w:rsidRDefault="00243154" w:rsidP="002A0DB5">
      <w:pPr>
        <w:tabs>
          <w:tab w:val="left" w:pos="900"/>
        </w:tabs>
        <w:rPr>
          <w:rFonts w:ascii="Times New Roman" w:hAnsi="Times New Roman" w:cs="Times New Roman"/>
          <w:sz w:val="24"/>
          <w:szCs w:val="24"/>
        </w:rPr>
      </w:pPr>
    </w:p>
    <w:p w14:paraId="08756966" w14:textId="77777777" w:rsidR="00243154" w:rsidRDefault="00243154" w:rsidP="002A0DB5">
      <w:pPr>
        <w:tabs>
          <w:tab w:val="left" w:pos="900"/>
        </w:tabs>
        <w:rPr>
          <w:rFonts w:ascii="Times New Roman" w:hAnsi="Times New Roman" w:cs="Times New Roman"/>
          <w:sz w:val="24"/>
          <w:szCs w:val="24"/>
        </w:rPr>
      </w:pPr>
    </w:p>
    <w:p w14:paraId="44CFD6EF" w14:textId="77777777" w:rsidR="00243154" w:rsidRDefault="00243154" w:rsidP="002A0DB5">
      <w:pPr>
        <w:tabs>
          <w:tab w:val="left" w:pos="900"/>
        </w:tabs>
        <w:rPr>
          <w:rFonts w:ascii="Times New Roman" w:hAnsi="Times New Roman" w:cs="Times New Roman"/>
          <w:sz w:val="24"/>
          <w:szCs w:val="24"/>
        </w:rPr>
      </w:pPr>
    </w:p>
    <w:p w14:paraId="55688882" w14:textId="77777777" w:rsidR="00243154" w:rsidRDefault="00243154" w:rsidP="002A0DB5">
      <w:pPr>
        <w:tabs>
          <w:tab w:val="left" w:pos="900"/>
        </w:tabs>
        <w:rPr>
          <w:rFonts w:ascii="Times New Roman" w:hAnsi="Times New Roman" w:cs="Times New Roman"/>
          <w:sz w:val="24"/>
          <w:szCs w:val="24"/>
        </w:rPr>
      </w:pPr>
    </w:p>
    <w:p w14:paraId="78C6E5BD" w14:textId="77777777" w:rsidR="00243154" w:rsidRDefault="00243154" w:rsidP="002A0DB5">
      <w:pPr>
        <w:tabs>
          <w:tab w:val="left" w:pos="900"/>
        </w:tabs>
        <w:rPr>
          <w:rFonts w:ascii="Times New Roman" w:hAnsi="Times New Roman" w:cs="Times New Roman"/>
          <w:sz w:val="24"/>
          <w:szCs w:val="24"/>
        </w:rPr>
      </w:pPr>
    </w:p>
    <w:p w14:paraId="1EA668EB" w14:textId="77777777" w:rsidR="00243154" w:rsidRDefault="00243154" w:rsidP="002A0DB5">
      <w:pPr>
        <w:tabs>
          <w:tab w:val="left" w:pos="900"/>
        </w:tabs>
        <w:rPr>
          <w:rFonts w:ascii="Times New Roman" w:hAnsi="Times New Roman" w:cs="Times New Roman"/>
          <w:sz w:val="24"/>
          <w:szCs w:val="24"/>
        </w:rPr>
      </w:pPr>
    </w:p>
    <w:p w14:paraId="771A515A" w14:textId="59BB10BB" w:rsidR="002A0DB5" w:rsidRDefault="00243154" w:rsidP="002A0DB5">
      <w:pPr>
        <w:tabs>
          <w:tab w:val="left" w:pos="900"/>
        </w:tabs>
        <w:rPr>
          <w:rFonts w:ascii="Times New Roman" w:hAnsi="Times New Roman" w:cs="Times New Roman"/>
          <w:sz w:val="24"/>
          <w:szCs w:val="24"/>
        </w:rPr>
      </w:pPr>
      <w:r>
        <w:rPr>
          <w:rFonts w:ascii="Times New Roman" w:hAnsi="Times New Roman" w:cs="Times New Roman"/>
          <w:sz w:val="24"/>
          <w:szCs w:val="24"/>
        </w:rPr>
        <w:t>References</w:t>
      </w:r>
    </w:p>
    <w:p w14:paraId="47AFDB96" w14:textId="77777777" w:rsidR="008766EC" w:rsidRPr="008766EC" w:rsidRDefault="008766EC" w:rsidP="008766EC">
      <w:pPr>
        <w:pStyle w:val="Bibliography"/>
        <w:rPr>
          <w:rFonts w:ascii="Calibri" w:hAnsi="Calibri" w:cs="Calibri"/>
        </w:rPr>
      </w:pPr>
      <w:r>
        <w:fldChar w:fldCharType="begin"/>
      </w:r>
      <w:r>
        <w:instrText xml:space="preserve"> ADDIN ZOTERO_BIBL {"uncited":[],"omitted":[],"custom":[]} CSL_BIBLIOGRAPHY </w:instrText>
      </w:r>
      <w:r>
        <w:fldChar w:fldCharType="separate"/>
      </w:r>
      <w:r w:rsidRPr="008766EC">
        <w:rPr>
          <w:rFonts w:ascii="Calibri" w:hAnsi="Calibri" w:cs="Calibri"/>
        </w:rPr>
        <w:t>1.</w:t>
      </w:r>
      <w:r w:rsidRPr="008766EC">
        <w:rPr>
          <w:rFonts w:ascii="Calibri" w:hAnsi="Calibri" w:cs="Calibri"/>
        </w:rPr>
        <w:tab/>
        <w:t xml:space="preserve">Meyer EA, Castellano RK, Diederich F. Interactions with Aromatic Rings in Chemical and Biological Recognition. Angew Chem Int Ed. 2003 Mar 17;42(11):1210–50. </w:t>
      </w:r>
    </w:p>
    <w:p w14:paraId="4087E6EE" w14:textId="77777777" w:rsidR="008766EC" w:rsidRPr="008766EC" w:rsidRDefault="008766EC" w:rsidP="008766EC">
      <w:pPr>
        <w:pStyle w:val="Bibliography"/>
        <w:rPr>
          <w:rFonts w:ascii="Calibri" w:hAnsi="Calibri" w:cs="Calibri"/>
        </w:rPr>
      </w:pPr>
      <w:r w:rsidRPr="008766EC">
        <w:rPr>
          <w:rFonts w:ascii="Calibri" w:hAnsi="Calibri" w:cs="Calibri"/>
        </w:rPr>
        <w:t>2.</w:t>
      </w:r>
      <w:r w:rsidRPr="008766EC">
        <w:rPr>
          <w:rFonts w:ascii="Calibri" w:hAnsi="Calibri" w:cs="Calibri"/>
        </w:rPr>
        <w:tab/>
        <w:t xml:space="preserve">Kerru N, Gummidi L, Maddila S, Gangu KK, Jonnalagadda SB. A Review on Recent Advances in Nitrogen-Containing Molecules and Their Biological Applications. Molecules. 2020 Apr 20;25(8):1909. </w:t>
      </w:r>
    </w:p>
    <w:p w14:paraId="38B2FF58" w14:textId="77777777" w:rsidR="008766EC" w:rsidRPr="008766EC" w:rsidRDefault="008766EC" w:rsidP="008766EC">
      <w:pPr>
        <w:pStyle w:val="Bibliography"/>
        <w:rPr>
          <w:rFonts w:ascii="Calibri" w:hAnsi="Calibri" w:cs="Calibri"/>
        </w:rPr>
      </w:pPr>
      <w:r w:rsidRPr="008766EC">
        <w:rPr>
          <w:rFonts w:ascii="Calibri" w:hAnsi="Calibri" w:cs="Calibri"/>
        </w:rPr>
        <w:t>3.</w:t>
      </w:r>
      <w:r w:rsidRPr="008766EC">
        <w:rPr>
          <w:rFonts w:ascii="Calibri" w:hAnsi="Calibri" w:cs="Calibri"/>
        </w:rPr>
        <w:tab/>
        <w:t xml:space="preserve">Parisini E, Metrangolo P, Pilati T, Resnati G, Terraneo G. Halogen bonding in halocarbon–protein complexes: a structural survey. Chem Soc Rev. 2011;40(5):2267. </w:t>
      </w:r>
    </w:p>
    <w:p w14:paraId="45FAA65D" w14:textId="77777777" w:rsidR="008766EC" w:rsidRPr="008766EC" w:rsidRDefault="008766EC" w:rsidP="008766EC">
      <w:pPr>
        <w:pStyle w:val="Bibliography"/>
        <w:rPr>
          <w:rFonts w:ascii="Calibri" w:hAnsi="Calibri" w:cs="Calibri"/>
        </w:rPr>
      </w:pPr>
      <w:r w:rsidRPr="008766EC">
        <w:rPr>
          <w:rFonts w:ascii="Calibri" w:hAnsi="Calibri" w:cs="Calibri"/>
        </w:rPr>
        <w:t>4.</w:t>
      </w:r>
      <w:r w:rsidRPr="008766EC">
        <w:rPr>
          <w:rFonts w:ascii="Calibri" w:hAnsi="Calibri" w:cs="Calibri"/>
        </w:rPr>
        <w:tab/>
        <w:t xml:space="preserve">Xiao HY, Li N, Duan JJW, Jiang B, Lu Z, Ngu K, et al. Biologic-like In Vivo Efficacy with Small Molecule Inhibitors of TNFα Identified Using Scaffold Hopping and Structure-Based Drug Design Approaches. J Med Chem. 2020 Dec 10;63(23):15050–71. </w:t>
      </w:r>
    </w:p>
    <w:p w14:paraId="3BCD1DFE" w14:textId="77777777" w:rsidR="002A0DB5" w:rsidRPr="0053136D" w:rsidRDefault="008766EC" w:rsidP="0053136D">
      <w:pPr>
        <w:tabs>
          <w:tab w:val="left" w:pos="900"/>
        </w:tabs>
        <w:rPr>
          <w:rFonts w:ascii="Times New Roman" w:hAnsi="Times New Roman" w:cs="Times New Roman"/>
          <w:sz w:val="24"/>
          <w:szCs w:val="24"/>
        </w:rPr>
      </w:pPr>
      <w:r>
        <w:fldChar w:fldCharType="end"/>
      </w:r>
      <w:r w:rsidR="0053136D">
        <w:tab/>
      </w:r>
      <w:r>
        <w:tab/>
      </w:r>
    </w:p>
    <w:p w14:paraId="47047BCE" w14:textId="77777777" w:rsidR="002A0DB5" w:rsidRDefault="002A0DB5" w:rsidP="002A0DB5">
      <w:pPr>
        <w:tabs>
          <w:tab w:val="left" w:pos="900"/>
        </w:tabs>
        <w:rPr>
          <w:rFonts w:ascii="Times New Roman" w:hAnsi="Times New Roman" w:cs="Times New Roman"/>
          <w:sz w:val="24"/>
          <w:szCs w:val="24"/>
        </w:rPr>
      </w:pPr>
    </w:p>
    <w:p w14:paraId="120E6235" w14:textId="77777777" w:rsidR="002A0DB5" w:rsidRDefault="002A0DB5" w:rsidP="002A0DB5">
      <w:pPr>
        <w:tabs>
          <w:tab w:val="left" w:pos="900"/>
        </w:tabs>
        <w:rPr>
          <w:rFonts w:ascii="Times New Roman" w:hAnsi="Times New Roman" w:cs="Times New Roman"/>
          <w:sz w:val="24"/>
          <w:szCs w:val="24"/>
        </w:rPr>
      </w:pPr>
    </w:p>
    <w:p w14:paraId="4CDA52F6" w14:textId="77777777" w:rsidR="002A0DB5" w:rsidRDefault="002A0DB5" w:rsidP="002A0DB5">
      <w:pPr>
        <w:tabs>
          <w:tab w:val="left" w:pos="900"/>
        </w:tabs>
        <w:rPr>
          <w:rFonts w:ascii="Times New Roman" w:hAnsi="Times New Roman" w:cs="Times New Roman"/>
          <w:sz w:val="24"/>
          <w:szCs w:val="24"/>
        </w:rPr>
      </w:pPr>
    </w:p>
    <w:p w14:paraId="6EAD7AAF" w14:textId="77777777" w:rsidR="002A0DB5" w:rsidRDefault="002A0DB5" w:rsidP="002A0DB5">
      <w:pPr>
        <w:tabs>
          <w:tab w:val="left" w:pos="900"/>
        </w:tabs>
        <w:rPr>
          <w:rFonts w:ascii="Times New Roman" w:hAnsi="Times New Roman" w:cs="Times New Roman"/>
          <w:sz w:val="24"/>
          <w:szCs w:val="24"/>
        </w:rPr>
      </w:pPr>
    </w:p>
    <w:p w14:paraId="10488B2E" w14:textId="77777777" w:rsidR="002A0DB5" w:rsidRDefault="002A0DB5" w:rsidP="002A0DB5">
      <w:pPr>
        <w:rPr>
          <w:rFonts w:ascii="Times New Roman" w:hAnsi="Times New Roman" w:cs="Times New Roman"/>
          <w:sz w:val="24"/>
          <w:szCs w:val="24"/>
        </w:rPr>
      </w:pPr>
    </w:p>
    <w:p w14:paraId="4A102413" w14:textId="77777777" w:rsidR="002A0DB5" w:rsidRPr="002A0DB5" w:rsidRDefault="002A0DB5" w:rsidP="002A0DB5">
      <w:pPr>
        <w:tabs>
          <w:tab w:val="left" w:pos="2595"/>
        </w:tabs>
        <w:rPr>
          <w:rFonts w:ascii="Times New Roman" w:hAnsi="Times New Roman" w:cs="Times New Roman"/>
          <w:b/>
          <w:sz w:val="24"/>
          <w:szCs w:val="24"/>
        </w:rPr>
      </w:pPr>
      <w:r>
        <w:rPr>
          <w:rFonts w:ascii="Times New Roman" w:hAnsi="Times New Roman" w:cs="Times New Roman"/>
          <w:sz w:val="24"/>
          <w:szCs w:val="24"/>
        </w:rPr>
        <w:tab/>
        <w:t xml:space="preserve">                         </w:t>
      </w:r>
    </w:p>
    <w:sectPr w:rsidR="002A0DB5" w:rsidRPr="002A0D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1D45D6"/>
    <w:multiLevelType w:val="hybridMultilevel"/>
    <w:tmpl w:val="FE7094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38337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6A1"/>
    <w:rsid w:val="000B04A1"/>
    <w:rsid w:val="00206A1B"/>
    <w:rsid w:val="00224EFD"/>
    <w:rsid w:val="00243154"/>
    <w:rsid w:val="00290D72"/>
    <w:rsid w:val="002A0DB5"/>
    <w:rsid w:val="002D6E58"/>
    <w:rsid w:val="00361483"/>
    <w:rsid w:val="003A0655"/>
    <w:rsid w:val="004D473A"/>
    <w:rsid w:val="0053136D"/>
    <w:rsid w:val="007A2673"/>
    <w:rsid w:val="008766EC"/>
    <w:rsid w:val="00AA0AD5"/>
    <w:rsid w:val="00B13C61"/>
    <w:rsid w:val="00BC2A3A"/>
    <w:rsid w:val="00CE4DD0"/>
    <w:rsid w:val="00D34329"/>
    <w:rsid w:val="00DC5F6F"/>
    <w:rsid w:val="00E12921"/>
    <w:rsid w:val="00E2024F"/>
    <w:rsid w:val="00F016A1"/>
    <w:rsid w:val="00F63EC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8D5CAF"/>
  <w15:chartTrackingRefBased/>
  <w15:docId w15:val="{A9019DAE-0B47-4631-9451-5B3B87F30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2673"/>
    <w:pPr>
      <w:ind w:left="720"/>
      <w:contextualSpacing/>
    </w:pPr>
  </w:style>
  <w:style w:type="paragraph" w:styleId="Bibliography">
    <w:name w:val="Bibliography"/>
    <w:basedOn w:val="Normal"/>
    <w:next w:val="Normal"/>
    <w:uiPriority w:val="37"/>
    <w:unhideWhenUsed/>
    <w:rsid w:val="0053136D"/>
    <w:pPr>
      <w:tabs>
        <w:tab w:val="left" w:pos="264"/>
      </w:tabs>
      <w:spacing w:after="240" w:line="240" w:lineRule="auto"/>
      <w:ind w:left="264" w:hanging="264"/>
    </w:pPr>
  </w:style>
  <w:style w:type="character" w:styleId="Hyperlink">
    <w:name w:val="Hyperlink"/>
    <w:basedOn w:val="DefaultParagraphFont"/>
    <w:uiPriority w:val="99"/>
    <w:unhideWhenUsed/>
    <w:rsid w:val="00E129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iva_kumar.a@vit.ac.i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09DB56-FFD8-46DE-921B-998298488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6</Pages>
  <Words>1808</Words>
  <Characters>10830</Characters>
  <Application>Microsoft Office Word</Application>
  <DocSecurity>0</DocSecurity>
  <Lines>257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Prabodh Dongre</cp:lastModifiedBy>
  <cp:revision>10</cp:revision>
  <dcterms:created xsi:type="dcterms:W3CDTF">2023-03-28T05:16:00Z</dcterms:created>
  <dcterms:modified xsi:type="dcterms:W3CDTF">2024-05-03T16:50:00Z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id="LolF7Hvw"/&gt;&lt;style id="http://www.zotero.org/styles/vancouver" locale="en-US" hasBibliography="1" bibliographyStyleHasBeenSet="1"/&gt;&lt;prefs&gt;&lt;pref name="fieldType" value="Field"/&gt;&lt;pref name="delayCit</vt:lpwstr>
  </property>
  <property fmtid="{D5CDD505-2E9C-101B-9397-08002B2CF9AE}" pid="3" name="ZOTERO_PREF_2">
    <vt:lpwstr>ationUpdates" value="true"/&gt;&lt;pref name="dontAskDelayCitationUpdates" value="true"/&gt;&lt;/prefs&gt;&lt;/data&gt;</vt:lpwstr>
  </property>
  <property fmtid="{D5CDD505-2E9C-101B-9397-08002B2CF9AE}" pid="4" name="GrammarlyDocumentId">
    <vt:lpwstr>dcb3ddd70de8c7bfd24af9c2caae5c5f8d5e93f55b1b7ca72e60844ede2cf5b4</vt:lpwstr>
  </property>
</Properties>
</file>