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68D59" w14:textId="77777777" w:rsidR="00B232C6" w:rsidRDefault="00B232C6" w:rsidP="00B232C6">
      <w:pPr>
        <w:jc w:val="center"/>
        <w:rPr>
          <w:sz w:val="22"/>
        </w:rPr>
      </w:pPr>
      <w:r w:rsidRPr="005E7A91">
        <w:rPr>
          <w:sz w:val="22"/>
        </w:rPr>
        <w:t>Supplemental data</w:t>
      </w:r>
    </w:p>
    <w:p w14:paraId="734AAE50" w14:textId="77777777" w:rsidR="005E7A91" w:rsidRPr="005E7A91" w:rsidRDefault="005E7A91" w:rsidP="00B232C6">
      <w:pPr>
        <w:jc w:val="center"/>
        <w:rPr>
          <w:sz w:val="22"/>
        </w:rPr>
      </w:pPr>
    </w:p>
    <w:p w14:paraId="5D3CC8A9" w14:textId="77777777" w:rsidR="005E7A91" w:rsidRPr="005E7A91" w:rsidRDefault="005E7A91" w:rsidP="005E7A91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143080415"/>
      <w:r w:rsidRPr="005E7A91">
        <w:rPr>
          <w:rFonts w:ascii="Times New Roman" w:hAnsi="Times New Roman" w:cs="Times New Roman"/>
          <w:b/>
          <w:bCs/>
          <w:sz w:val="20"/>
          <w:szCs w:val="20"/>
        </w:rPr>
        <w:t xml:space="preserve">Flutamide exacerbates steatosis and promotes early hepatocarcinogenesis in high-fat diet-fed non-obese </w:t>
      </w:r>
      <w:proofErr w:type="spellStart"/>
      <w:r w:rsidRPr="005E7A91">
        <w:rPr>
          <w:rFonts w:ascii="Times New Roman" w:hAnsi="Times New Roman" w:cs="Times New Roman"/>
          <w:b/>
          <w:bCs/>
          <w:sz w:val="20"/>
          <w:szCs w:val="20"/>
        </w:rPr>
        <w:t>steatotic</w:t>
      </w:r>
      <w:proofErr w:type="spellEnd"/>
      <w:r w:rsidRPr="005E7A91">
        <w:rPr>
          <w:rFonts w:ascii="Times New Roman" w:hAnsi="Times New Roman" w:cs="Times New Roman"/>
          <w:b/>
          <w:bCs/>
          <w:sz w:val="20"/>
          <w:szCs w:val="20"/>
        </w:rPr>
        <w:t xml:space="preserve"> rats: </w:t>
      </w:r>
      <w:r w:rsidRPr="005E7A91">
        <w:rPr>
          <w:rFonts w:ascii="Times New Roman" w:eastAsia="游明朝" w:hAnsi="Times New Roman" w:cs="Times New Roman"/>
          <w:b/>
          <w:bCs/>
          <w:sz w:val="20"/>
          <w:szCs w:val="20"/>
        </w:rPr>
        <w:t xml:space="preserve">Insights from </w:t>
      </w:r>
      <w:r w:rsidRPr="005E7A91">
        <w:rPr>
          <w:rFonts w:ascii="Times New Roman" w:hAnsi="Times New Roman" w:cs="Times New Roman"/>
          <w:b/>
          <w:bCs/>
          <w:sz w:val="20"/>
          <w:szCs w:val="20"/>
        </w:rPr>
        <w:t xml:space="preserve">clustering analysis of </w:t>
      </w:r>
      <w:r w:rsidRPr="005E7A91">
        <w:rPr>
          <w:rFonts w:ascii="Times New Roman" w:eastAsia="游明朝" w:hAnsi="Times New Roman" w:cs="Times New Roman"/>
          <w:b/>
          <w:bCs/>
          <w:sz w:val="20"/>
          <w:szCs w:val="20"/>
        </w:rPr>
        <w:t>mitophagy</w:t>
      </w:r>
      <w:r w:rsidRPr="005E7A91">
        <w:rPr>
          <w:rFonts w:ascii="Times New Roman" w:hAnsi="Times New Roman" w:cs="Times New Roman"/>
          <w:b/>
          <w:bCs/>
          <w:sz w:val="20"/>
          <w:szCs w:val="20"/>
        </w:rPr>
        <w:t xml:space="preserve"> regulators AMBRA1 and LC3</w:t>
      </w:r>
      <w:bookmarkEnd w:id="0"/>
    </w:p>
    <w:p w14:paraId="7FEAD528" w14:textId="77777777" w:rsidR="005E7A91" w:rsidRPr="00C218A0" w:rsidRDefault="005E7A91" w:rsidP="005E7A91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0FA1EA9" w14:textId="77777777" w:rsidR="005E7A91" w:rsidRDefault="005E7A91" w:rsidP="005E7A91">
      <w:pPr>
        <w:spacing w:line="480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  <w:bookmarkStart w:id="1" w:name="_Hlk143080431"/>
      <w:bookmarkStart w:id="2" w:name="_Hlk91440400"/>
      <w:bookmarkStart w:id="3" w:name="_Hlk91440233"/>
      <w:r w:rsidRPr="00C218A0">
        <w:rPr>
          <w:rFonts w:ascii="Times New Roman" w:hAnsi="Times New Roman" w:cs="Times New Roman"/>
          <w:kern w:val="0"/>
          <w:sz w:val="20"/>
          <w:szCs w:val="20"/>
        </w:rPr>
        <w:t>Emika Hara</w:t>
      </w:r>
      <w:r w:rsidRPr="00C218A0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1</w:t>
      </w:r>
      <w:r w:rsidRPr="00C218A0">
        <w:rPr>
          <w:rFonts w:ascii="Times New Roman" w:hAnsi="Times New Roman" w:cs="Times New Roman"/>
          <w:kern w:val="0"/>
          <w:sz w:val="20"/>
          <w:szCs w:val="20"/>
        </w:rPr>
        <w:t>, Kanami Ohshima</w:t>
      </w:r>
      <w:r w:rsidRPr="00C218A0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1</w:t>
      </w:r>
      <w:r w:rsidRPr="00C218A0">
        <w:rPr>
          <w:rFonts w:ascii="Times New Roman" w:hAnsi="Times New Roman" w:cs="Times New Roman"/>
          <w:kern w:val="0"/>
          <w:sz w:val="20"/>
          <w:szCs w:val="20"/>
        </w:rPr>
        <w:t xml:space="preserve">, </w:t>
      </w:r>
      <w:bookmarkStart w:id="4" w:name="_Hlk118189974"/>
      <w:r w:rsidRPr="00C218A0">
        <w:rPr>
          <w:rFonts w:ascii="Times New Roman" w:hAnsi="Times New Roman" w:cs="Times New Roman"/>
          <w:kern w:val="0"/>
          <w:sz w:val="20"/>
          <w:szCs w:val="20"/>
        </w:rPr>
        <w:t>Wen Zhen</w:t>
      </w:r>
      <w:r w:rsidRPr="00C218A0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1</w:t>
      </w:r>
      <w:r w:rsidRPr="00C218A0">
        <w:rPr>
          <w:rFonts w:ascii="Times New Roman" w:hAnsi="Times New Roman" w:cs="Times New Roman"/>
          <w:kern w:val="0"/>
          <w:sz w:val="20"/>
          <w:szCs w:val="20"/>
        </w:rPr>
        <w:t xml:space="preserve">, </w:t>
      </w:r>
      <w:bookmarkEnd w:id="4"/>
      <w:proofErr w:type="spellStart"/>
      <w:r w:rsidRPr="00C218A0">
        <w:rPr>
          <w:rFonts w:ascii="Times New Roman" w:hAnsi="Times New Roman" w:cs="Times New Roman"/>
          <w:kern w:val="0"/>
          <w:sz w:val="20"/>
          <w:szCs w:val="20"/>
        </w:rPr>
        <w:t>Suzuka</w:t>
      </w:r>
      <w:proofErr w:type="spellEnd"/>
      <w:r w:rsidRPr="00C218A0">
        <w:rPr>
          <w:rFonts w:ascii="Times New Roman" w:hAnsi="Times New Roman" w:cs="Times New Roman"/>
          <w:kern w:val="0"/>
          <w:sz w:val="20"/>
          <w:szCs w:val="20"/>
        </w:rPr>
        <w:t xml:space="preserve"> Uomoto</w:t>
      </w:r>
      <w:r w:rsidRPr="00C218A0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1</w:t>
      </w:r>
      <w:r w:rsidRPr="00C218A0">
        <w:rPr>
          <w:rFonts w:ascii="Times New Roman" w:hAnsi="Times New Roman" w:cs="Times New Roman"/>
          <w:kern w:val="0"/>
          <w:sz w:val="20"/>
          <w:szCs w:val="20"/>
        </w:rPr>
        <w:t xml:space="preserve">, </w:t>
      </w:r>
      <w:bookmarkStart w:id="5" w:name="_Hlk36406798"/>
      <w:r w:rsidRPr="00C218A0">
        <w:rPr>
          <w:rFonts w:ascii="Times New Roman" w:hAnsi="Times New Roman" w:cs="Times New Roman"/>
          <w:kern w:val="0"/>
          <w:sz w:val="20"/>
          <w:szCs w:val="20"/>
        </w:rPr>
        <w:t>Mio Kobayashi</w:t>
      </w:r>
      <w:r w:rsidRPr="00C218A0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1,2</w:t>
      </w:r>
      <w:r w:rsidRPr="00C218A0">
        <w:rPr>
          <w:rFonts w:ascii="Times New Roman" w:hAnsi="Times New Roman" w:cs="Times New Roman"/>
          <w:kern w:val="0"/>
          <w:sz w:val="20"/>
          <w:szCs w:val="20"/>
        </w:rPr>
        <w:t xml:space="preserve">, </w:t>
      </w:r>
      <w:bookmarkEnd w:id="5"/>
      <w:r w:rsidRPr="00C218A0">
        <w:rPr>
          <w:rFonts w:ascii="Times New Roman" w:hAnsi="Times New Roman" w:cs="Times New Roman"/>
          <w:kern w:val="0"/>
          <w:sz w:val="20"/>
          <w:szCs w:val="20"/>
        </w:rPr>
        <w:t>Makoto Shibutani</w:t>
      </w:r>
      <w:r w:rsidRPr="00C218A0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1</w:t>
      </w:r>
      <w:r w:rsidRPr="00C218A0">
        <w:rPr>
          <w:rFonts w:ascii="Times New Roman" w:hAnsi="Times New Roman" w:cs="Times New Roman"/>
          <w:kern w:val="0"/>
          <w:sz w:val="20"/>
          <w:szCs w:val="20"/>
        </w:rPr>
        <w:t xml:space="preserve">, </w:t>
      </w:r>
    </w:p>
    <w:p w14:paraId="6F005098" w14:textId="130E26FB" w:rsidR="005E7A91" w:rsidRPr="00C218A0" w:rsidRDefault="005E7A91" w:rsidP="005E7A91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C218A0">
        <w:rPr>
          <w:rFonts w:ascii="Times New Roman" w:hAnsi="Times New Roman" w:cs="Times New Roman"/>
          <w:kern w:val="0"/>
          <w:sz w:val="20"/>
          <w:szCs w:val="20"/>
        </w:rPr>
        <w:t>Toshinori</w:t>
      </w:r>
      <w:proofErr w:type="spellEnd"/>
      <w:r w:rsidRPr="00C218A0">
        <w:rPr>
          <w:rFonts w:ascii="Times New Roman" w:hAnsi="Times New Roman" w:cs="Times New Roman"/>
          <w:kern w:val="0"/>
          <w:sz w:val="20"/>
          <w:szCs w:val="20"/>
        </w:rPr>
        <w:t xml:space="preserve"> Yoshida</w:t>
      </w:r>
      <w:r w:rsidRPr="00C218A0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1</w:t>
      </w:r>
      <w:bookmarkEnd w:id="1"/>
      <w:r w:rsidRPr="00C218A0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*</w:t>
      </w:r>
      <w:bookmarkEnd w:id="2"/>
    </w:p>
    <w:p w14:paraId="7A20DB2A" w14:textId="77777777" w:rsidR="005E7A91" w:rsidRPr="00C218A0" w:rsidRDefault="005E7A91" w:rsidP="005E7A91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  <w:vertAlign w:val="superscript"/>
        </w:rPr>
      </w:pPr>
    </w:p>
    <w:p w14:paraId="5984D583" w14:textId="77777777" w:rsidR="005E7A91" w:rsidRPr="00C218A0" w:rsidRDefault="005E7A91" w:rsidP="005E7A91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bookmarkStart w:id="6" w:name="_Hlk84510717"/>
      <w:bookmarkStart w:id="7" w:name="_Hlk118190074"/>
      <w:r w:rsidRPr="00C218A0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 xml:space="preserve">1 </w:t>
      </w:r>
      <w:r w:rsidRPr="00C218A0">
        <w:rPr>
          <w:rFonts w:ascii="Times New Roman" w:hAnsi="Times New Roman" w:cs="Times New Roman"/>
          <w:kern w:val="0"/>
          <w:sz w:val="20"/>
          <w:szCs w:val="20"/>
        </w:rPr>
        <w:t xml:space="preserve">Laboratory of Veterinary Pathology, </w:t>
      </w:r>
      <w:bookmarkEnd w:id="6"/>
      <w:r w:rsidRPr="00C218A0">
        <w:rPr>
          <w:rFonts w:ascii="Times New Roman" w:hAnsi="Times New Roman" w:cs="Times New Roman"/>
          <w:kern w:val="0"/>
          <w:sz w:val="20"/>
          <w:szCs w:val="20"/>
        </w:rPr>
        <w:t>Cooperative Department of Veterinary Medicine, Tokyo University of Agriculture and Technology, 3-5-8 Saiwai-</w:t>
      </w:r>
      <w:proofErr w:type="spellStart"/>
      <w:r w:rsidRPr="00C218A0">
        <w:rPr>
          <w:rFonts w:ascii="Times New Roman" w:hAnsi="Times New Roman" w:cs="Times New Roman"/>
          <w:kern w:val="0"/>
          <w:sz w:val="20"/>
          <w:szCs w:val="20"/>
        </w:rPr>
        <w:t>cho</w:t>
      </w:r>
      <w:proofErr w:type="spellEnd"/>
      <w:r w:rsidRPr="00C218A0">
        <w:rPr>
          <w:rFonts w:ascii="Times New Roman" w:hAnsi="Times New Roman" w:cs="Times New Roman"/>
          <w:kern w:val="0"/>
          <w:sz w:val="20"/>
          <w:szCs w:val="20"/>
        </w:rPr>
        <w:t>, Fuchu-</w:t>
      </w:r>
      <w:proofErr w:type="spellStart"/>
      <w:r w:rsidRPr="00C218A0">
        <w:rPr>
          <w:rFonts w:ascii="Times New Roman" w:hAnsi="Times New Roman" w:cs="Times New Roman"/>
          <w:kern w:val="0"/>
          <w:sz w:val="20"/>
          <w:szCs w:val="20"/>
        </w:rPr>
        <w:t>shi</w:t>
      </w:r>
      <w:proofErr w:type="spellEnd"/>
      <w:r w:rsidRPr="00C218A0">
        <w:rPr>
          <w:rFonts w:ascii="Times New Roman" w:hAnsi="Times New Roman" w:cs="Times New Roman"/>
          <w:kern w:val="0"/>
          <w:sz w:val="20"/>
          <w:szCs w:val="20"/>
        </w:rPr>
        <w:t>, Tokyo 183-8509, Japan</w:t>
      </w:r>
    </w:p>
    <w:p w14:paraId="57FFFB26" w14:textId="77777777" w:rsidR="005E7A91" w:rsidRPr="00C218A0" w:rsidRDefault="005E7A91" w:rsidP="005E7A91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218A0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 xml:space="preserve">2 </w:t>
      </w:r>
      <w:r w:rsidRPr="00C218A0">
        <w:rPr>
          <w:rFonts w:ascii="Times New Roman" w:hAnsi="Times New Roman" w:cs="Times New Roman"/>
          <w:kern w:val="0"/>
          <w:sz w:val="20"/>
          <w:szCs w:val="20"/>
        </w:rPr>
        <w:t>Cooperative Division of Veterinary Sciences, Tokyo University of Agriculture and Technology, 3-5-8 Saiwai-</w:t>
      </w:r>
      <w:proofErr w:type="spellStart"/>
      <w:r w:rsidRPr="00C218A0">
        <w:rPr>
          <w:rFonts w:ascii="Times New Roman" w:hAnsi="Times New Roman" w:cs="Times New Roman"/>
          <w:kern w:val="0"/>
          <w:sz w:val="20"/>
          <w:szCs w:val="20"/>
        </w:rPr>
        <w:t>cho</w:t>
      </w:r>
      <w:proofErr w:type="spellEnd"/>
      <w:r w:rsidRPr="00C218A0">
        <w:rPr>
          <w:rFonts w:ascii="Times New Roman" w:hAnsi="Times New Roman" w:cs="Times New Roman"/>
          <w:kern w:val="0"/>
          <w:sz w:val="20"/>
          <w:szCs w:val="20"/>
        </w:rPr>
        <w:t>, Fuchu-</w:t>
      </w:r>
      <w:proofErr w:type="spellStart"/>
      <w:r w:rsidRPr="00C218A0">
        <w:rPr>
          <w:rFonts w:ascii="Times New Roman" w:hAnsi="Times New Roman" w:cs="Times New Roman"/>
          <w:kern w:val="0"/>
          <w:sz w:val="20"/>
          <w:szCs w:val="20"/>
        </w:rPr>
        <w:t>shi</w:t>
      </w:r>
      <w:proofErr w:type="spellEnd"/>
      <w:r w:rsidRPr="00C218A0">
        <w:rPr>
          <w:rFonts w:ascii="Times New Roman" w:hAnsi="Times New Roman" w:cs="Times New Roman"/>
          <w:kern w:val="0"/>
          <w:sz w:val="20"/>
          <w:szCs w:val="20"/>
        </w:rPr>
        <w:t>, Tokyo 183-8509, Japan</w:t>
      </w:r>
    </w:p>
    <w:p w14:paraId="1252C49D" w14:textId="77777777" w:rsidR="005E7A91" w:rsidRPr="00C218A0" w:rsidRDefault="005E7A91" w:rsidP="005E7A91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C4D6C6B" w14:textId="77777777" w:rsidR="005E7A91" w:rsidRPr="00C218A0" w:rsidRDefault="005E7A91" w:rsidP="005E7A91">
      <w:pPr>
        <w:spacing w:line="48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C218A0">
        <w:rPr>
          <w:rFonts w:ascii="Times New Roman" w:hAnsi="Times New Roman" w:cs="Times New Roman"/>
          <w:sz w:val="20"/>
          <w:szCs w:val="20"/>
          <w:lang w:bidi="en-US"/>
        </w:rPr>
        <w:t xml:space="preserve">*Corresponding author: </w:t>
      </w:r>
      <w:proofErr w:type="spellStart"/>
      <w:r w:rsidRPr="00C218A0">
        <w:rPr>
          <w:rFonts w:ascii="Times New Roman" w:hAnsi="Times New Roman" w:cs="Times New Roman"/>
          <w:sz w:val="20"/>
          <w:szCs w:val="20"/>
        </w:rPr>
        <w:t>Toshinori</w:t>
      </w:r>
      <w:proofErr w:type="spellEnd"/>
      <w:r w:rsidRPr="00C218A0">
        <w:rPr>
          <w:rFonts w:ascii="Times New Roman" w:hAnsi="Times New Roman" w:cs="Times New Roman"/>
          <w:sz w:val="20"/>
          <w:szCs w:val="20"/>
        </w:rPr>
        <w:t xml:space="preserve"> Yoshida</w:t>
      </w:r>
      <w:r w:rsidRPr="00C218A0">
        <w:rPr>
          <w:rFonts w:ascii="Times New Roman" w:hAnsi="Times New Roman" w:cs="Times New Roman"/>
          <w:sz w:val="20"/>
          <w:szCs w:val="20"/>
          <w:lang w:bidi="en-US"/>
        </w:rPr>
        <w:t>, D.V.M., Ph.D., Laboratory of Veterinary Pathology, Tokyo University of Agriculture and Technology, 3-5-8 Saiwai-</w:t>
      </w:r>
      <w:proofErr w:type="spellStart"/>
      <w:r w:rsidRPr="00C218A0">
        <w:rPr>
          <w:rFonts w:ascii="Times New Roman" w:hAnsi="Times New Roman" w:cs="Times New Roman"/>
          <w:sz w:val="20"/>
          <w:szCs w:val="20"/>
          <w:lang w:bidi="en-US"/>
        </w:rPr>
        <w:t>cho</w:t>
      </w:r>
      <w:proofErr w:type="spellEnd"/>
      <w:r w:rsidRPr="00C218A0">
        <w:rPr>
          <w:rFonts w:ascii="Times New Roman" w:hAnsi="Times New Roman" w:cs="Times New Roman"/>
          <w:sz w:val="20"/>
          <w:szCs w:val="20"/>
          <w:lang w:bidi="en-US"/>
        </w:rPr>
        <w:t>, Fuchu-</w:t>
      </w:r>
      <w:proofErr w:type="spellStart"/>
      <w:r w:rsidRPr="00C218A0">
        <w:rPr>
          <w:rFonts w:ascii="Times New Roman" w:hAnsi="Times New Roman" w:cs="Times New Roman"/>
          <w:sz w:val="20"/>
          <w:szCs w:val="20"/>
          <w:lang w:bidi="en-US"/>
        </w:rPr>
        <w:t>shi</w:t>
      </w:r>
      <w:proofErr w:type="spellEnd"/>
      <w:r w:rsidRPr="00C218A0">
        <w:rPr>
          <w:rFonts w:ascii="Times New Roman" w:hAnsi="Times New Roman" w:cs="Times New Roman"/>
          <w:sz w:val="20"/>
          <w:szCs w:val="20"/>
          <w:lang w:bidi="en-US"/>
        </w:rPr>
        <w:t>, Tokyo 183-8509, Japan. E-mail: yoshida7@cc.tuat.ac.jp; Tel +81-42-367-5874; Fax: +81-42-367-5771</w:t>
      </w:r>
    </w:p>
    <w:bookmarkEnd w:id="3"/>
    <w:bookmarkEnd w:id="7"/>
    <w:p w14:paraId="48BFC400" w14:textId="77777777" w:rsidR="00B232C6" w:rsidRPr="005E7A91" w:rsidRDefault="00B232C6">
      <w:pPr>
        <w:rPr>
          <w:sz w:val="22"/>
        </w:rPr>
      </w:pPr>
    </w:p>
    <w:p w14:paraId="44500E6B" w14:textId="77777777" w:rsidR="00B232C6" w:rsidRDefault="00B232C6"/>
    <w:p w14:paraId="6B69468C" w14:textId="4BDEB9A4" w:rsidR="00B232C6" w:rsidRDefault="00B232C6">
      <w:pPr>
        <w:widowControl/>
        <w:jc w:val="left"/>
      </w:pPr>
      <w:r>
        <w:br w:type="page"/>
      </w:r>
    </w:p>
    <w:p w14:paraId="3A84A09F" w14:textId="4FA835E4" w:rsidR="00B232C6" w:rsidRDefault="00E72430">
      <w:r>
        <w:rPr>
          <w:noProof/>
        </w:rPr>
        <w:lastRenderedPageBreak/>
        <w:drawing>
          <wp:inline distT="0" distB="0" distL="0" distR="0" wp14:anchorId="064E9CD3" wp14:editId="1F13B8B2">
            <wp:extent cx="5945493" cy="1922906"/>
            <wp:effectExtent l="0" t="0" r="0" b="1270"/>
            <wp:docPr id="810083538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9386" cy="1940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1C2483" w14:textId="77777777" w:rsidR="00B232C6" w:rsidRDefault="00B232C6"/>
    <w:p w14:paraId="2FC1C433" w14:textId="77777777" w:rsidR="00B232C6" w:rsidRDefault="00B232C6"/>
    <w:p w14:paraId="4262D0FD" w14:textId="302FBB28" w:rsidR="00B232C6" w:rsidRDefault="00B232C6">
      <w:pPr>
        <w:widowControl/>
        <w:jc w:val="left"/>
      </w:pPr>
      <w:r>
        <w:br w:type="page"/>
      </w:r>
    </w:p>
    <w:p w14:paraId="322BB71D" w14:textId="7445BF5C" w:rsidR="00B232C6" w:rsidRDefault="00B232C6">
      <w:r>
        <w:rPr>
          <w:noProof/>
        </w:rPr>
        <w:lastRenderedPageBreak/>
        <w:drawing>
          <wp:inline distT="0" distB="0" distL="0" distR="0" wp14:anchorId="349E9848" wp14:editId="201E1C17">
            <wp:extent cx="5962924" cy="6232308"/>
            <wp:effectExtent l="0" t="0" r="0" b="0"/>
            <wp:docPr id="885570983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79" cy="6242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67731" w14:textId="77777777" w:rsidR="00B232C6" w:rsidRDefault="00B232C6"/>
    <w:p w14:paraId="1852BD30" w14:textId="77777777" w:rsidR="00B232C6" w:rsidRDefault="00B232C6"/>
    <w:p w14:paraId="17DADD60" w14:textId="3E286A55" w:rsidR="00B232C6" w:rsidRDefault="00B232C6">
      <w:pPr>
        <w:widowControl/>
        <w:jc w:val="left"/>
      </w:pPr>
      <w:r>
        <w:br w:type="page"/>
      </w:r>
    </w:p>
    <w:p w14:paraId="2F841FC3" w14:textId="2DD0BBF9" w:rsidR="00B232C6" w:rsidRDefault="000C7DC5">
      <w:r w:rsidRPr="000C7DC5">
        <w:lastRenderedPageBreak/>
        <w:drawing>
          <wp:inline distT="0" distB="0" distL="0" distR="0" wp14:anchorId="48DCF3C0" wp14:editId="0C07D5E6">
            <wp:extent cx="5971540" cy="1649095"/>
            <wp:effectExtent l="0" t="0" r="0" b="0"/>
            <wp:docPr id="109606530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164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EAF11" w14:textId="77777777" w:rsidR="00B232C6" w:rsidRDefault="00B232C6"/>
    <w:p w14:paraId="33307979" w14:textId="43FD3736" w:rsidR="00B232C6" w:rsidRDefault="00B232C6">
      <w:pPr>
        <w:widowControl/>
        <w:jc w:val="left"/>
      </w:pPr>
      <w:r>
        <w:br w:type="page"/>
      </w:r>
    </w:p>
    <w:p w14:paraId="5051D0EF" w14:textId="3FAC16B1" w:rsidR="00B232C6" w:rsidRDefault="000C7DC5">
      <w:r w:rsidRPr="000C7DC5">
        <w:lastRenderedPageBreak/>
        <w:drawing>
          <wp:inline distT="0" distB="0" distL="0" distR="0" wp14:anchorId="7146A1D1" wp14:editId="7C280C4F">
            <wp:extent cx="5971540" cy="1649095"/>
            <wp:effectExtent l="0" t="0" r="0" b="0"/>
            <wp:docPr id="418509961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164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20D8C" w14:textId="77777777" w:rsidR="00B232C6" w:rsidRDefault="00B232C6"/>
    <w:p w14:paraId="65853086" w14:textId="6C9A1744" w:rsidR="00B232C6" w:rsidRDefault="00B232C6">
      <w:pPr>
        <w:widowControl/>
        <w:jc w:val="left"/>
      </w:pPr>
      <w:r>
        <w:br w:type="page"/>
      </w:r>
    </w:p>
    <w:p w14:paraId="2C910F96" w14:textId="31EC2DE5" w:rsidR="00B232C6" w:rsidRDefault="00B232C6">
      <w:r>
        <w:rPr>
          <w:noProof/>
        </w:rPr>
        <w:lastRenderedPageBreak/>
        <w:drawing>
          <wp:inline distT="0" distB="0" distL="0" distR="0" wp14:anchorId="70711EE1" wp14:editId="13C66CB5">
            <wp:extent cx="5945008" cy="4052892"/>
            <wp:effectExtent l="0" t="0" r="0" b="0"/>
            <wp:docPr id="133323406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435" cy="4063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93AEA" w14:textId="77777777" w:rsidR="00B232C6" w:rsidRDefault="00B232C6"/>
    <w:p w14:paraId="248E03CC" w14:textId="77777777" w:rsidR="005E7A91" w:rsidRPr="00465CCD" w:rsidRDefault="005E7A91" w:rsidP="005E7A91">
      <w:pPr>
        <w:pStyle w:val="Web"/>
        <w:spacing w:before="0" w:beforeAutospacing="0" w:after="0" w:afterAutospacing="0"/>
        <w:ind w:firstLineChars="142" w:firstLine="284"/>
        <w:rPr>
          <w:rFonts w:ascii="Times New Roman" w:eastAsiaTheme="minorEastAsia" w:hAnsi="Times New Roman" w:cs="Times New Roman"/>
          <w:kern w:val="24"/>
          <w:sz w:val="20"/>
          <w:szCs w:val="20"/>
        </w:rPr>
      </w:pPr>
      <w:r w:rsidRPr="00465CCD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Supplemental Fig. 1. Hypothetical expression of mitophagy markers </w:t>
      </w:r>
      <w:r>
        <w:rPr>
          <w:rFonts w:ascii="Times New Roman" w:eastAsia="游明朝" w:hAnsi="Times New Roman" w:cs="Times New Roman"/>
          <w:kern w:val="24"/>
          <w:sz w:val="20"/>
          <w:szCs w:val="20"/>
        </w:rPr>
        <w:t>during autophag</w:t>
      </w:r>
      <w:r w:rsidRPr="00465CCD">
        <w:rPr>
          <w:rFonts w:ascii="Times New Roman" w:eastAsiaTheme="minorEastAsia" w:hAnsi="Times New Roman" w:cs="Times New Roman"/>
          <w:kern w:val="24"/>
          <w:sz w:val="20"/>
          <w:szCs w:val="20"/>
        </w:rPr>
        <w:t>ic flux. (A) M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itochondrial priming is mediated by Parkin-dependent or -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>independent mechanisms.</w:t>
      </w:r>
      <w:r w:rsidRPr="00465CCD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kern w:val="24"/>
          <w:sz w:val="20"/>
          <w:szCs w:val="20"/>
        </w:rPr>
        <w:t>Abnormal</w:t>
      </w:r>
      <w:r w:rsidRPr="00465CCD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mitochondr</w:t>
      </w:r>
      <w:r>
        <w:rPr>
          <w:rFonts w:ascii="Times New Roman" w:eastAsiaTheme="minorEastAsia" w:hAnsi="Times New Roman" w:cs="Times New Roman"/>
          <w:kern w:val="24"/>
          <w:sz w:val="20"/>
          <w:szCs w:val="20"/>
        </w:rPr>
        <w:t>ia</w:t>
      </w:r>
      <w:r w:rsidRPr="00465CCD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kern w:val="24"/>
          <w:sz w:val="20"/>
          <w:szCs w:val="20"/>
        </w:rPr>
        <w:t>constitutively</w:t>
      </w:r>
      <w:r w:rsidRPr="00465CCD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express non-degraded PINK1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on the outer mitochondrial membrane</w:t>
      </w:r>
      <w:r w:rsidRPr="00465CCD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, </w:t>
      </w:r>
      <w:r>
        <w:rPr>
          <w:rFonts w:ascii="Times New Roman" w:eastAsiaTheme="minorEastAsia" w:hAnsi="Times New Roman" w:cs="Times New Roman"/>
          <w:kern w:val="24"/>
          <w:sz w:val="20"/>
          <w:szCs w:val="20"/>
        </w:rPr>
        <w:t>leading to the phosphorylation of</w:t>
      </w:r>
      <w:r w:rsidRPr="00465CCD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parkin and ubiquitin. </w:t>
      </w:r>
      <w:r>
        <w:rPr>
          <w:rFonts w:ascii="Times New Roman" w:eastAsiaTheme="minorEastAsia" w:hAnsi="Times New Roman" w:cs="Times New Roman"/>
          <w:kern w:val="24"/>
          <w:sz w:val="20"/>
          <w:szCs w:val="20"/>
        </w:rPr>
        <w:t>P</w:t>
      </w:r>
      <w:r w:rsidRPr="00465CCD">
        <w:rPr>
          <w:rFonts w:ascii="Times New Roman" w:eastAsiaTheme="minorEastAsia" w:hAnsi="Times New Roman" w:cs="Times New Roman"/>
          <w:kern w:val="24"/>
          <w:sz w:val="20"/>
          <w:szCs w:val="20"/>
        </w:rPr>
        <w:t>hosphorylated PARKIN</w:t>
      </w:r>
      <w:r>
        <w:rPr>
          <w:rFonts w:ascii="Times New Roman" w:eastAsiaTheme="minorEastAsia" w:hAnsi="Times New Roman" w:cs="Times New Roman"/>
          <w:kern w:val="24"/>
          <w:sz w:val="20"/>
          <w:szCs w:val="20"/>
        </w:rPr>
        <w:t>-</w:t>
      </w:r>
      <w:r w:rsidRPr="00465CCD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and ubiquitin</w:t>
      </w:r>
      <w:r>
        <w:rPr>
          <w:rFonts w:ascii="Times New Roman" w:eastAsiaTheme="minorEastAsia" w:hAnsi="Times New Roman" w:cs="Times New Roman"/>
          <w:kern w:val="24"/>
          <w:sz w:val="20"/>
          <w:szCs w:val="20"/>
        </w:rPr>
        <w:t>-tagged mitochondria are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>sequestered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by LC3,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>along with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the mitophagy-related receptors p62 and </w:t>
      </w:r>
      <w:r w:rsidRPr="00465CCD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BNIP3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to form autophagosome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s,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which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in turn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fuse with lysosome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>s to form autolysosomes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. In Parkin-dependent mitophagy, activated Parkin interacts with AMBRA1 </w:t>
      </w:r>
      <w:bookmarkStart w:id="8" w:name="_Hlk142835587"/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on the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>outer mitochondrial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membrane</w:t>
      </w:r>
      <w:bookmarkEnd w:id="8"/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,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>promoting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mitophagy. AMBRA1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>directly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binds to LC3 and promotes autophagosome formation. (B) Autophagic flux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>consists of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three stages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>: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early inhibition, late inhibition, and induction. Early inhibition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>involves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low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LC3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expression and a high AMBRA1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expression; high Parkin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levels indicate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Parkin-dependent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>mitophagy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, whereas </w:t>
      </w:r>
      <w:proofErr w:type="gramStart"/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a low Parkin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 levels</w:t>
      </w:r>
      <w:proofErr w:type="gramEnd"/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imply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Parkin-independent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>mitophagy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. Late inhibition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involves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high expression of both LC3 and AMBRA1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>,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with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high Parkin expression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indicating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Parkin-dependent pathway,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and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low Parkin expression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indicating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Parkin-independent pathway. The induction of autophagy is defined by low or high LC3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 expression levels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and low AMBRA1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expression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>, where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low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Parkin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expression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signifies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Parkin-dependent or -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>independent pathway. (C) Immunohistochemical expression of Parkin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, AMBRA1, and LC3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>during mitophagy.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Abbreviations: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AMBRA1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autophagy and </w:t>
      </w:r>
      <w:proofErr w:type="spellStart"/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Beclin</w:t>
      </w:r>
      <w:proofErr w:type="spellEnd"/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1 regulator 1, BNIP3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=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BCL2/adenovirus E1B-interacting protein 3, LC3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=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microtubule-associated protein 1A/1B-light chain 3, PINK1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=</w:t>
      </w:r>
      <w:r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phosphatase and </w:t>
      </w:r>
      <w:proofErr w:type="spellStart"/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>tensin</w:t>
      </w:r>
      <w:proofErr w:type="spellEnd"/>
      <w:r w:rsidRPr="00465CCD">
        <w:rPr>
          <w:rFonts w:ascii="Times New Roman" w:eastAsia="ＭＳ 明朝" w:hAnsi="Times New Roman" w:cs="Times New Roman"/>
          <w:bCs/>
          <w:sz w:val="20"/>
          <w:szCs w:val="20"/>
        </w:rPr>
        <w:t xml:space="preserve"> homolog (PTEN)-induced kinase 1.</w:t>
      </w:r>
    </w:p>
    <w:p w14:paraId="425CB406" w14:textId="3E450736" w:rsidR="00B232C6" w:rsidRDefault="00B232C6">
      <w:pPr>
        <w:widowControl/>
        <w:jc w:val="left"/>
      </w:pPr>
      <w:r>
        <w:br w:type="page"/>
      </w:r>
    </w:p>
    <w:p w14:paraId="793289F1" w14:textId="0043642E" w:rsidR="00B232C6" w:rsidRDefault="00B232C6">
      <w:r>
        <w:rPr>
          <w:noProof/>
        </w:rPr>
        <w:lastRenderedPageBreak/>
        <w:drawing>
          <wp:inline distT="0" distB="0" distL="0" distR="0" wp14:anchorId="600EDDFE" wp14:editId="2E2F6337">
            <wp:extent cx="5908951" cy="3276245"/>
            <wp:effectExtent l="0" t="0" r="0" b="635"/>
            <wp:docPr id="13430156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446" cy="3282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81A34" w14:textId="77777777" w:rsidR="00B232C6" w:rsidRDefault="00B232C6"/>
    <w:p w14:paraId="103719E8" w14:textId="77777777" w:rsidR="005E7A91" w:rsidRPr="005E7A91" w:rsidRDefault="005E7A91" w:rsidP="005E7A91">
      <w:pPr>
        <w:widowControl/>
        <w:ind w:firstLineChars="142" w:firstLine="284"/>
        <w:jc w:val="left"/>
        <w:rPr>
          <w:rFonts w:ascii="Times New Roman" w:hAnsi="Times New Roman" w:cs="Times New Roman"/>
          <w:kern w:val="24"/>
          <w:sz w:val="20"/>
          <w:szCs w:val="20"/>
        </w:rPr>
      </w:pPr>
      <w:r w:rsidRPr="005E7A91">
        <w:rPr>
          <w:rFonts w:ascii="Times New Roman" w:hAnsi="Times New Roman" w:cs="Times New Roman"/>
          <w:kern w:val="24"/>
          <w:sz w:val="20"/>
          <w:szCs w:val="20"/>
        </w:rPr>
        <w:t>Supplemental Fig. 2. Representative images and quantitative analysis of LC3-positive granules in background hepatocytes and preneoplastic lesions. (A, B) Representative images and box plots illustrating LC3-positive granules in background hepatocytes (</w:t>
      </w:r>
      <w:proofErr w:type="spellStart"/>
      <w:r w:rsidRPr="005E7A91">
        <w:rPr>
          <w:rFonts w:ascii="Times New Roman" w:hAnsi="Times New Roman" w:cs="Times New Roman"/>
          <w:kern w:val="24"/>
          <w:sz w:val="20"/>
          <w:szCs w:val="20"/>
        </w:rPr>
        <w:t>nonfoci</w:t>
      </w:r>
      <w:proofErr w:type="spellEnd"/>
      <w:r w:rsidRPr="005E7A91">
        <w:rPr>
          <w:rFonts w:ascii="Times New Roman" w:hAnsi="Times New Roman" w:cs="Times New Roman"/>
          <w:kern w:val="24"/>
          <w:sz w:val="20"/>
          <w:szCs w:val="20"/>
        </w:rPr>
        <w:t>). (C, D) Representative images and box plot</w:t>
      </w:r>
      <w:r w:rsidRPr="005E7A91">
        <w:rPr>
          <w:rFonts w:ascii="Times New Roman" w:eastAsia="游明朝" w:hAnsi="Times New Roman" w:cs="Times New Roman"/>
          <w:kern w:val="24"/>
          <w:sz w:val="20"/>
          <w:szCs w:val="20"/>
        </w:rPr>
        <w:t>s depicting LC3-positive granules in preneoplastic lesions. Different letters indicate significant intergroup differences (p &lt; 0.05, Tukey</w:t>
      </w:r>
      <w:r w:rsidRPr="005E7A91">
        <w:rPr>
          <w:rFonts w:ascii="Times New Roman" w:hAnsi="Times New Roman" w:cs="Times New Roman"/>
          <w:kern w:val="24"/>
          <w:sz w:val="20"/>
          <w:szCs w:val="20"/>
        </w:rPr>
        <w:t>’s test or Steel–</w:t>
      </w:r>
      <w:proofErr w:type="spellStart"/>
      <w:r w:rsidRPr="005E7A91">
        <w:rPr>
          <w:rFonts w:ascii="Times New Roman" w:hAnsi="Times New Roman" w:cs="Times New Roman"/>
          <w:kern w:val="24"/>
          <w:sz w:val="20"/>
          <w:szCs w:val="20"/>
        </w:rPr>
        <w:t>Dwass</w:t>
      </w:r>
      <w:proofErr w:type="spellEnd"/>
      <w:r w:rsidRPr="005E7A91">
        <w:rPr>
          <w:rFonts w:ascii="Times New Roman" w:hAnsi="Times New Roman" w:cs="Times New Roman"/>
          <w:kern w:val="24"/>
          <w:sz w:val="20"/>
          <w:szCs w:val="20"/>
        </w:rPr>
        <w:t xml:space="preserve"> test). BD = basal diet</w:t>
      </w:r>
      <w:r w:rsidRPr="005E7A91">
        <w:rPr>
          <w:rFonts w:ascii="Times New Roman" w:eastAsia="游明朝" w:hAnsi="Times New Roman" w:cs="Times New Roman"/>
          <w:kern w:val="24"/>
          <w:sz w:val="20"/>
          <w:szCs w:val="20"/>
        </w:rPr>
        <w:t xml:space="preserve">; </w:t>
      </w:r>
      <w:r w:rsidRPr="005E7A91">
        <w:rPr>
          <w:rFonts w:ascii="Times New Roman" w:hAnsi="Times New Roman" w:cs="Times New Roman"/>
          <w:kern w:val="24"/>
          <w:sz w:val="20"/>
          <w:szCs w:val="20"/>
        </w:rPr>
        <w:t>f=foci</w:t>
      </w:r>
      <w:r w:rsidRPr="005E7A91">
        <w:rPr>
          <w:rFonts w:ascii="Times New Roman" w:eastAsia="游明朝" w:hAnsi="Times New Roman" w:cs="Times New Roman"/>
          <w:kern w:val="24"/>
          <w:sz w:val="20"/>
          <w:szCs w:val="20"/>
        </w:rPr>
        <w:t>;</w:t>
      </w:r>
      <w:r w:rsidRPr="005E7A91">
        <w:rPr>
          <w:rFonts w:ascii="Times New Roman" w:hAnsi="Times New Roman" w:cs="Times New Roman"/>
          <w:kern w:val="24"/>
          <w:sz w:val="20"/>
          <w:szCs w:val="20"/>
        </w:rPr>
        <w:t xml:space="preserve"> FL</w:t>
      </w:r>
      <w:r w:rsidRPr="005E7A91">
        <w:rPr>
          <w:rFonts w:ascii="Times New Roman" w:eastAsia="游明朝" w:hAnsi="Times New Roman" w:cs="Times New Roman"/>
          <w:kern w:val="24"/>
          <w:sz w:val="20"/>
          <w:szCs w:val="20"/>
        </w:rPr>
        <w:t xml:space="preserve"> </w:t>
      </w:r>
      <w:r w:rsidRPr="005E7A91">
        <w:rPr>
          <w:rFonts w:ascii="Times New Roman" w:hAnsi="Times New Roman" w:cs="Times New Roman"/>
          <w:kern w:val="24"/>
          <w:sz w:val="20"/>
          <w:szCs w:val="20"/>
        </w:rPr>
        <w:t>= flutamide</w:t>
      </w:r>
      <w:r w:rsidRPr="005E7A91">
        <w:rPr>
          <w:rFonts w:ascii="Times New Roman" w:eastAsia="游明朝" w:hAnsi="Times New Roman" w:cs="Times New Roman"/>
          <w:kern w:val="24"/>
          <w:sz w:val="20"/>
          <w:szCs w:val="20"/>
        </w:rPr>
        <w:t>;</w:t>
      </w:r>
      <w:r w:rsidRPr="005E7A91">
        <w:rPr>
          <w:rFonts w:ascii="Times New Roman" w:hAnsi="Times New Roman" w:cs="Times New Roman"/>
          <w:kern w:val="24"/>
          <w:sz w:val="20"/>
          <w:szCs w:val="20"/>
        </w:rPr>
        <w:t xml:space="preserve"> HFD</w:t>
      </w:r>
      <w:r w:rsidRPr="005E7A91">
        <w:rPr>
          <w:rFonts w:ascii="Times New Roman" w:eastAsia="游明朝" w:hAnsi="Times New Roman" w:cs="Times New Roman"/>
          <w:kern w:val="24"/>
          <w:sz w:val="20"/>
          <w:szCs w:val="20"/>
        </w:rPr>
        <w:t xml:space="preserve"> </w:t>
      </w:r>
      <w:r w:rsidRPr="005E7A91">
        <w:rPr>
          <w:rFonts w:ascii="Times New Roman" w:hAnsi="Times New Roman" w:cs="Times New Roman"/>
          <w:kern w:val="24"/>
          <w:sz w:val="20"/>
          <w:szCs w:val="20"/>
        </w:rPr>
        <w:t xml:space="preserve">= high-fat diet. </w:t>
      </w:r>
    </w:p>
    <w:p w14:paraId="29633F92" w14:textId="6AFE018E" w:rsidR="00B232C6" w:rsidRDefault="00B232C6">
      <w:pPr>
        <w:widowControl/>
        <w:jc w:val="left"/>
      </w:pPr>
      <w:r>
        <w:br w:type="page"/>
      </w:r>
    </w:p>
    <w:p w14:paraId="2D8E96DA" w14:textId="3B4367C6" w:rsidR="00B232C6" w:rsidRDefault="00B232C6">
      <w:r>
        <w:rPr>
          <w:noProof/>
        </w:rPr>
        <w:lastRenderedPageBreak/>
        <w:drawing>
          <wp:inline distT="0" distB="0" distL="0" distR="0" wp14:anchorId="74EFA5E3" wp14:editId="37B5C32A">
            <wp:extent cx="5829438" cy="3249671"/>
            <wp:effectExtent l="0" t="0" r="0" b="8255"/>
            <wp:docPr id="1886105187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3017" cy="3257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D01AF" w14:textId="77777777" w:rsidR="00B232C6" w:rsidRDefault="00B232C6"/>
    <w:p w14:paraId="1A86A184" w14:textId="77777777" w:rsidR="005E7A91" w:rsidRPr="00C218A0" w:rsidRDefault="005E7A91" w:rsidP="005E7A91">
      <w:pPr>
        <w:pStyle w:val="Web"/>
        <w:spacing w:before="0" w:beforeAutospacing="0" w:after="0" w:afterAutospacing="0"/>
        <w:rPr>
          <w:rFonts w:ascii="Times New Roman" w:eastAsiaTheme="minorEastAsia" w:hAnsi="Times New Roman" w:cs="Times New Roman"/>
          <w:kern w:val="24"/>
          <w:sz w:val="20"/>
          <w:szCs w:val="20"/>
        </w:rPr>
      </w:pPr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>Supplemental Fig. 3. Representative images and quantitative analysis of AMBRA1-positive granules in background hepatocytes and preneoplastic lesions. (A, B) Representative images and box plots illustrating AMBRA1-positive granules in background hepatocytes (</w:t>
      </w:r>
      <w:proofErr w:type="spellStart"/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>nonfoci</w:t>
      </w:r>
      <w:proofErr w:type="spellEnd"/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>). (C, D) Representative images and box plot</w:t>
      </w:r>
      <w:r w:rsidRPr="00C218A0">
        <w:rPr>
          <w:rFonts w:ascii="Times New Roman" w:eastAsia="游明朝" w:hAnsi="Times New Roman" w:cs="Times New Roman"/>
          <w:kern w:val="24"/>
          <w:sz w:val="20"/>
          <w:szCs w:val="20"/>
        </w:rPr>
        <w:t xml:space="preserve">s depicting AMBRA1-positive granules in </w:t>
      </w:r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>preneoplastic lesions (* = foci). Different letters indicate significant intergroup differences (p &lt; 0.05, Tukey’s test or Steel-</w:t>
      </w:r>
      <w:proofErr w:type="spellStart"/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>Dwass</w:t>
      </w:r>
      <w:proofErr w:type="spellEnd"/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test). BD, basal diet</w:t>
      </w:r>
      <w:r w:rsidRPr="00C218A0">
        <w:rPr>
          <w:rFonts w:ascii="Times New Roman" w:eastAsia="游明朝" w:hAnsi="Times New Roman" w:cs="Times New Roman"/>
          <w:kern w:val="24"/>
          <w:sz w:val="20"/>
          <w:szCs w:val="20"/>
        </w:rPr>
        <w:t xml:space="preserve">; F, </w:t>
      </w:r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>foci</w:t>
      </w:r>
      <w:r w:rsidRPr="00C218A0">
        <w:rPr>
          <w:rFonts w:ascii="Times New Roman" w:eastAsia="游明朝" w:hAnsi="Times New Roman" w:cs="Times New Roman"/>
          <w:kern w:val="24"/>
          <w:sz w:val="20"/>
          <w:szCs w:val="20"/>
        </w:rPr>
        <w:t>;</w:t>
      </w:r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FL</w:t>
      </w:r>
      <w:r w:rsidRPr="00C218A0">
        <w:rPr>
          <w:rFonts w:ascii="Times New Roman" w:eastAsia="游明朝" w:hAnsi="Times New Roman" w:cs="Times New Roman"/>
          <w:kern w:val="24"/>
          <w:sz w:val="20"/>
          <w:szCs w:val="20"/>
        </w:rPr>
        <w:t xml:space="preserve">, </w:t>
      </w:r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>flutamide</w:t>
      </w:r>
      <w:r w:rsidRPr="00C218A0">
        <w:rPr>
          <w:rFonts w:ascii="Times New Roman" w:eastAsia="游明朝" w:hAnsi="Times New Roman" w:cs="Times New Roman"/>
          <w:kern w:val="24"/>
          <w:sz w:val="20"/>
          <w:szCs w:val="20"/>
        </w:rPr>
        <w:t>;</w:t>
      </w:r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GST-P</w:t>
      </w:r>
      <w:r w:rsidRPr="00C218A0">
        <w:rPr>
          <w:rFonts w:ascii="Times New Roman" w:eastAsia="游明朝" w:hAnsi="Times New Roman" w:cs="Times New Roman"/>
          <w:kern w:val="24"/>
          <w:sz w:val="20"/>
          <w:szCs w:val="20"/>
        </w:rPr>
        <w:t xml:space="preserve">, </w:t>
      </w:r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>placental glutathione S-transferase; HFD</w:t>
      </w:r>
      <w:r w:rsidRPr="00C218A0">
        <w:rPr>
          <w:rFonts w:ascii="Times New Roman" w:eastAsia="游明朝" w:hAnsi="Times New Roman" w:cs="Times New Roman"/>
          <w:kern w:val="24"/>
          <w:sz w:val="20"/>
          <w:szCs w:val="20"/>
        </w:rPr>
        <w:t xml:space="preserve">, </w:t>
      </w:r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high-fat diet. </w:t>
      </w:r>
    </w:p>
    <w:p w14:paraId="56C5F32E" w14:textId="530CEB16" w:rsidR="00B232C6" w:rsidRDefault="00B232C6">
      <w:pPr>
        <w:widowControl/>
        <w:jc w:val="left"/>
      </w:pPr>
      <w:r>
        <w:br w:type="page"/>
      </w:r>
    </w:p>
    <w:p w14:paraId="31A39A1D" w14:textId="1156E85E" w:rsidR="00B232C6" w:rsidRDefault="00B232C6">
      <w:r>
        <w:rPr>
          <w:noProof/>
        </w:rPr>
        <w:lastRenderedPageBreak/>
        <w:drawing>
          <wp:inline distT="0" distB="0" distL="0" distR="0" wp14:anchorId="2DB28D1E" wp14:editId="0A188872">
            <wp:extent cx="5747274" cy="3076347"/>
            <wp:effectExtent l="0" t="0" r="6350" b="0"/>
            <wp:docPr id="6043033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94" cy="308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19210" w14:textId="77777777" w:rsidR="00B232C6" w:rsidRDefault="00B232C6"/>
    <w:p w14:paraId="1CBF5154" w14:textId="77777777" w:rsidR="005E7A91" w:rsidRPr="00C218A0" w:rsidRDefault="005E7A91" w:rsidP="005E7A91">
      <w:pPr>
        <w:pStyle w:val="Web"/>
        <w:spacing w:before="0" w:beforeAutospacing="0" w:after="0" w:afterAutospacing="0"/>
        <w:rPr>
          <w:rFonts w:ascii="Times New Roman" w:eastAsiaTheme="minorEastAsia" w:hAnsi="Times New Roman" w:cs="Times New Roman"/>
          <w:kern w:val="24"/>
          <w:sz w:val="20"/>
          <w:szCs w:val="20"/>
        </w:rPr>
      </w:pPr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>Supplemental Fig. 4. Representative images and quantitative analysis of Parkin-positive granules in background hepatocytes and preneoplastic lesions. (A, B) Representative images and box plots illustrating Parkin-positive granules in background hepatocytes (non</w:t>
      </w:r>
      <w:r>
        <w:rPr>
          <w:rFonts w:ascii="Times New Roman" w:eastAsiaTheme="minorEastAsia" w:hAnsi="Times New Roman" w:cs="Times New Roman" w:hint="eastAsia"/>
          <w:kern w:val="24"/>
          <w:sz w:val="20"/>
          <w:szCs w:val="20"/>
        </w:rPr>
        <w:t>-</w:t>
      </w:r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>foci). (C, D) Representative images and box plot</w:t>
      </w:r>
      <w:r w:rsidRPr="00C218A0">
        <w:rPr>
          <w:rFonts w:ascii="Times New Roman" w:eastAsia="游明朝" w:hAnsi="Times New Roman" w:cs="Times New Roman"/>
          <w:kern w:val="24"/>
          <w:sz w:val="20"/>
          <w:szCs w:val="20"/>
        </w:rPr>
        <w:t xml:space="preserve">s depicting </w:t>
      </w:r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>Parkin-positive granules in preneoplastic lesions. Different letters indicate significant intergroup differences (p &lt; 0.05, Tukey’s test or Steel–</w:t>
      </w:r>
      <w:proofErr w:type="spellStart"/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>Dwass</w:t>
      </w:r>
      <w:proofErr w:type="spellEnd"/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test). BD = basal diet</w:t>
      </w:r>
      <w:r w:rsidRPr="00C218A0">
        <w:rPr>
          <w:rFonts w:ascii="Times New Roman" w:eastAsia="游明朝" w:hAnsi="Times New Roman" w:cs="Times New Roman"/>
          <w:kern w:val="24"/>
          <w:sz w:val="20"/>
          <w:szCs w:val="20"/>
        </w:rPr>
        <w:t xml:space="preserve">; </w:t>
      </w:r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>f=foci; FL</w:t>
      </w:r>
      <w:r w:rsidRPr="00C218A0">
        <w:rPr>
          <w:rFonts w:ascii="Times New Roman" w:eastAsia="游明朝" w:hAnsi="Times New Roman" w:cs="Times New Roman"/>
          <w:kern w:val="24"/>
          <w:sz w:val="20"/>
          <w:szCs w:val="20"/>
        </w:rPr>
        <w:t xml:space="preserve"> </w:t>
      </w:r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>= flutamide; HFD</w:t>
      </w:r>
      <w:r w:rsidRPr="00C218A0">
        <w:rPr>
          <w:rFonts w:ascii="Times New Roman" w:eastAsia="游明朝" w:hAnsi="Times New Roman" w:cs="Times New Roman"/>
          <w:kern w:val="24"/>
          <w:sz w:val="20"/>
          <w:szCs w:val="20"/>
        </w:rPr>
        <w:t xml:space="preserve"> </w:t>
      </w:r>
      <w:r w:rsidRPr="00C218A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= high-fat diet. </w:t>
      </w:r>
    </w:p>
    <w:p w14:paraId="24CCB517" w14:textId="77777777" w:rsidR="00B232C6" w:rsidRPr="005E7A91" w:rsidRDefault="00B232C6"/>
    <w:sectPr w:rsidR="00B232C6" w:rsidRPr="005E7A91" w:rsidSect="00B232C6">
      <w:pgSz w:w="12240" w:h="15840" w:code="1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90362" w14:textId="77777777" w:rsidR="00F03FD3" w:rsidRDefault="00F03FD3" w:rsidP="00E72430">
      <w:r>
        <w:separator/>
      </w:r>
    </w:p>
  </w:endnote>
  <w:endnote w:type="continuationSeparator" w:id="0">
    <w:p w14:paraId="591AA6AC" w14:textId="77777777" w:rsidR="00F03FD3" w:rsidRDefault="00F03FD3" w:rsidP="00E724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755B0A" w14:textId="77777777" w:rsidR="00F03FD3" w:rsidRDefault="00F03FD3" w:rsidP="00E72430">
      <w:r>
        <w:separator/>
      </w:r>
    </w:p>
  </w:footnote>
  <w:footnote w:type="continuationSeparator" w:id="0">
    <w:p w14:paraId="478316CA" w14:textId="77777777" w:rsidR="00F03FD3" w:rsidRDefault="00F03FD3" w:rsidP="00E724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2C6"/>
    <w:rsid w:val="000C7DC5"/>
    <w:rsid w:val="00504ABB"/>
    <w:rsid w:val="005E7A91"/>
    <w:rsid w:val="005F608E"/>
    <w:rsid w:val="005F7930"/>
    <w:rsid w:val="00B232C6"/>
    <w:rsid w:val="00E72430"/>
    <w:rsid w:val="00F03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54C81C"/>
  <w15:chartTrackingRefBased/>
  <w15:docId w15:val="{78461DCC-3A48-4D53-939F-8B1E0847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232C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E724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72430"/>
  </w:style>
  <w:style w:type="paragraph" w:styleId="a5">
    <w:name w:val="footer"/>
    <w:basedOn w:val="a"/>
    <w:link w:val="a6"/>
    <w:uiPriority w:val="99"/>
    <w:unhideWhenUsed/>
    <w:rsid w:val="00E724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72430"/>
  </w:style>
  <w:style w:type="paragraph" w:styleId="a7">
    <w:name w:val="annotation text"/>
    <w:basedOn w:val="a"/>
    <w:link w:val="a8"/>
    <w:uiPriority w:val="99"/>
    <w:semiHidden/>
    <w:unhideWhenUsed/>
    <w:rsid w:val="005E7A91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5E7A91"/>
  </w:style>
  <w:style w:type="character" w:styleId="a9">
    <w:name w:val="annotation reference"/>
    <w:basedOn w:val="a0"/>
    <w:uiPriority w:val="99"/>
    <w:rsid w:val="005E7A91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65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545</Words>
  <Characters>3775</Characters>
  <Application>Microsoft Office Word</Application>
  <DocSecurity>0</DocSecurity>
  <Lines>76</Lines>
  <Paragraphs>11</Paragraphs>
  <ScaleCrop>false</ScaleCrop>
  <Company/>
  <LinksUpToDate>false</LinksUpToDate>
  <CharactersWithSpaces>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</dc:creator>
  <cp:keywords/>
  <dc:description/>
  <cp:lastModifiedBy>TY</cp:lastModifiedBy>
  <cp:revision>2</cp:revision>
  <dcterms:created xsi:type="dcterms:W3CDTF">2023-11-09T11:37:00Z</dcterms:created>
  <dcterms:modified xsi:type="dcterms:W3CDTF">2023-11-09T11:37:00Z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88f63973-059e-47ae-8dfd-06341c108beb</vt:lpwstr>
  </property>
</Properties>
</file>