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BF6C9" w14:textId="77777777" w:rsidR="00C9256D" w:rsidRPr="00021EB6" w:rsidRDefault="00C9256D" w:rsidP="008E40DB">
      <w:pPr>
        <w:spacing w:before="720" w:after="240" w:line="480" w:lineRule="auto"/>
        <w:jc w:val="center"/>
        <w:rPr>
          <w:b/>
          <w:bCs/>
          <w:color w:val="000000" w:themeColor="text1"/>
          <w:sz w:val="28"/>
          <w:szCs w:val="28"/>
          <w:lang w:val="en-US"/>
        </w:rPr>
      </w:pPr>
      <w:r w:rsidRPr="00021EB6">
        <w:rPr>
          <w:b/>
          <w:bCs/>
          <w:color w:val="000000" w:themeColor="text1"/>
          <w:sz w:val="28"/>
          <w:szCs w:val="28"/>
          <w:lang w:val="en-US"/>
        </w:rPr>
        <w:t>Supplementary material</w:t>
      </w:r>
    </w:p>
    <w:p w14:paraId="7EB30CE5" w14:textId="77777777" w:rsidR="000D7EC0" w:rsidRDefault="000D7EC0" w:rsidP="00AC0F61">
      <w:pPr>
        <w:spacing w:after="240" w:line="480" w:lineRule="auto"/>
        <w:jc w:val="center"/>
        <w:rPr>
          <w:b/>
          <w:sz w:val="28"/>
          <w:szCs w:val="28"/>
          <w:lang w:val="en-US"/>
        </w:rPr>
      </w:pPr>
      <w:r>
        <w:rPr>
          <w:b/>
          <w:sz w:val="28"/>
          <w:szCs w:val="28"/>
          <w:lang w:val="en-US"/>
        </w:rPr>
        <w:t xml:space="preserve">Brain perfusion SPECT </w:t>
      </w:r>
      <w:r w:rsidRPr="00984AD0">
        <w:rPr>
          <w:b/>
          <w:sz w:val="28"/>
          <w:szCs w:val="28"/>
          <w:lang w:val="en-US"/>
        </w:rPr>
        <w:t xml:space="preserve">in </w:t>
      </w:r>
      <w:r>
        <w:rPr>
          <w:b/>
          <w:sz w:val="28"/>
          <w:szCs w:val="28"/>
          <w:lang w:val="en-US"/>
        </w:rPr>
        <w:t xml:space="preserve">the </w:t>
      </w:r>
      <w:r w:rsidRPr="00984AD0">
        <w:rPr>
          <w:b/>
          <w:sz w:val="28"/>
          <w:szCs w:val="28"/>
          <w:lang w:val="en-US"/>
        </w:rPr>
        <w:t>presurgical</w:t>
      </w:r>
      <w:r>
        <w:rPr>
          <w:b/>
          <w:sz w:val="28"/>
          <w:szCs w:val="28"/>
          <w:lang w:val="en-US"/>
        </w:rPr>
        <w:t xml:space="preserve"> evaluation of epilepsy: is additional ictal SPECT required in case of high-confidence </w:t>
      </w:r>
      <w:r w:rsidRPr="00984AD0">
        <w:rPr>
          <w:b/>
          <w:sz w:val="28"/>
          <w:szCs w:val="28"/>
          <w:lang w:val="en-US"/>
        </w:rPr>
        <w:t xml:space="preserve">lateralization </w:t>
      </w:r>
      <w:r>
        <w:rPr>
          <w:b/>
          <w:sz w:val="28"/>
          <w:szCs w:val="28"/>
          <w:lang w:val="en-US"/>
        </w:rPr>
        <w:t xml:space="preserve">of the seizure onset zone by </w:t>
      </w:r>
      <w:r w:rsidRPr="00984AD0">
        <w:rPr>
          <w:b/>
          <w:sz w:val="28"/>
          <w:szCs w:val="28"/>
          <w:lang w:val="en-US"/>
        </w:rPr>
        <w:t>interictal SPECT</w:t>
      </w:r>
      <w:r>
        <w:rPr>
          <w:b/>
          <w:sz w:val="28"/>
          <w:szCs w:val="28"/>
          <w:lang w:val="en-US"/>
        </w:rPr>
        <w:t xml:space="preserve"> and vice versa?</w:t>
      </w:r>
    </w:p>
    <w:p w14:paraId="65BDF669" w14:textId="36029A4A" w:rsidR="00AC0F61" w:rsidRDefault="00AC0F61" w:rsidP="00AC0F61">
      <w:pPr>
        <w:spacing w:after="240" w:line="480" w:lineRule="auto"/>
        <w:jc w:val="center"/>
        <w:rPr>
          <w:sz w:val="20"/>
          <w:szCs w:val="20"/>
          <w:vertAlign w:val="superscript"/>
          <w:lang w:val="en-US"/>
        </w:rPr>
      </w:pPr>
      <w:r w:rsidRPr="000F5021">
        <w:rPr>
          <w:color w:val="000000" w:themeColor="text1"/>
          <w:sz w:val="20"/>
          <w:szCs w:val="20"/>
          <w:lang w:val="en-US"/>
        </w:rPr>
        <w:t xml:space="preserve">Kian </w:t>
      </w:r>
      <w:r>
        <w:rPr>
          <w:sz w:val="20"/>
          <w:szCs w:val="20"/>
          <w:lang w:val="en-US"/>
        </w:rPr>
        <w:t>Baradaran-Salimi</w:t>
      </w:r>
      <w:r w:rsidRPr="000F5021">
        <w:rPr>
          <w:color w:val="000000" w:themeColor="text1"/>
          <w:sz w:val="20"/>
          <w:szCs w:val="20"/>
          <w:vertAlign w:val="superscript"/>
          <w:lang w:val="en-US"/>
        </w:rPr>
        <w:t>1</w:t>
      </w:r>
      <w:r w:rsidRPr="000F5021">
        <w:rPr>
          <w:color w:val="000000" w:themeColor="text1"/>
          <w:sz w:val="20"/>
          <w:szCs w:val="20"/>
          <w:lang w:val="en-US"/>
        </w:rPr>
        <w:t xml:space="preserve">, </w:t>
      </w:r>
      <w:r w:rsidRPr="000F5021">
        <w:rPr>
          <w:sz w:val="20"/>
          <w:szCs w:val="20"/>
          <w:lang w:val="en-US"/>
        </w:rPr>
        <w:t>Amir Karimzadeh</w:t>
      </w:r>
      <w:r w:rsidRPr="000F5021">
        <w:rPr>
          <w:sz w:val="20"/>
          <w:szCs w:val="20"/>
          <w:vertAlign w:val="superscript"/>
          <w:lang w:val="en-US"/>
        </w:rPr>
        <w:t>1</w:t>
      </w:r>
      <w:r w:rsidRPr="000F5021">
        <w:rPr>
          <w:sz w:val="20"/>
          <w:szCs w:val="20"/>
          <w:lang w:val="en-US"/>
        </w:rPr>
        <w:t>, Berthold Voges</w:t>
      </w:r>
      <w:r w:rsidRPr="000F5021">
        <w:rPr>
          <w:sz w:val="20"/>
          <w:szCs w:val="20"/>
          <w:vertAlign w:val="superscript"/>
          <w:lang w:val="en-US"/>
        </w:rPr>
        <w:t>2</w:t>
      </w:r>
      <w:r w:rsidRPr="000F5021">
        <w:rPr>
          <w:sz w:val="20"/>
          <w:szCs w:val="20"/>
          <w:lang w:val="en-US"/>
        </w:rPr>
        <w:t>, Ivayla Apostolova</w:t>
      </w:r>
      <w:r w:rsidRPr="000F5021">
        <w:rPr>
          <w:sz w:val="20"/>
          <w:szCs w:val="20"/>
          <w:vertAlign w:val="superscript"/>
          <w:lang w:val="en-US"/>
        </w:rPr>
        <w:t>1</w:t>
      </w:r>
      <w:r w:rsidRPr="000F5021">
        <w:rPr>
          <w:sz w:val="20"/>
          <w:szCs w:val="20"/>
          <w:lang w:val="en-US"/>
        </w:rPr>
        <w:t>, Thomas Sauvigny</w:t>
      </w:r>
      <w:r w:rsidRPr="000F5021">
        <w:rPr>
          <w:sz w:val="20"/>
          <w:szCs w:val="20"/>
          <w:vertAlign w:val="superscript"/>
          <w:lang w:val="en-US"/>
        </w:rPr>
        <w:t>3</w:t>
      </w:r>
      <w:r w:rsidRPr="000F5021">
        <w:rPr>
          <w:sz w:val="20"/>
          <w:szCs w:val="20"/>
          <w:lang w:val="en-US"/>
        </w:rPr>
        <w:t xml:space="preserve">, </w:t>
      </w:r>
      <w:r>
        <w:rPr>
          <w:sz w:val="20"/>
          <w:szCs w:val="20"/>
          <w:lang w:val="en-US"/>
        </w:rPr>
        <w:t>Olga Simova</w:t>
      </w:r>
      <w:r w:rsidRPr="007031F4">
        <w:rPr>
          <w:sz w:val="20"/>
          <w:szCs w:val="20"/>
          <w:vertAlign w:val="superscript"/>
          <w:lang w:val="en-US"/>
        </w:rPr>
        <w:t>2</w:t>
      </w:r>
      <w:r>
        <w:rPr>
          <w:sz w:val="20"/>
          <w:szCs w:val="20"/>
          <w:lang w:val="en-US"/>
        </w:rPr>
        <w:t xml:space="preserve">, </w:t>
      </w:r>
      <w:r w:rsidRPr="000F5021">
        <w:rPr>
          <w:sz w:val="20"/>
          <w:szCs w:val="20"/>
          <w:lang w:val="en-US"/>
        </w:rPr>
        <w:t>Michael Lanz</w:t>
      </w:r>
      <w:r w:rsidRPr="000F5021">
        <w:rPr>
          <w:sz w:val="20"/>
          <w:szCs w:val="20"/>
          <w:vertAlign w:val="superscript"/>
          <w:lang w:val="en-US"/>
        </w:rPr>
        <w:t>2</w:t>
      </w:r>
      <w:r w:rsidRPr="000F5021">
        <w:rPr>
          <w:sz w:val="20"/>
          <w:szCs w:val="20"/>
          <w:lang w:val="en-US"/>
        </w:rPr>
        <w:t>, Susanne Klutmann</w:t>
      </w:r>
      <w:r w:rsidRPr="000F5021">
        <w:rPr>
          <w:sz w:val="20"/>
          <w:szCs w:val="20"/>
          <w:vertAlign w:val="superscript"/>
          <w:lang w:val="en-US"/>
        </w:rPr>
        <w:t>3</w:t>
      </w:r>
      <w:r w:rsidRPr="000F5021">
        <w:rPr>
          <w:sz w:val="20"/>
          <w:szCs w:val="20"/>
          <w:lang w:val="en-US"/>
        </w:rPr>
        <w:t>, Stefan Stodieck</w:t>
      </w:r>
      <w:r w:rsidRPr="000F5021">
        <w:rPr>
          <w:sz w:val="20"/>
          <w:szCs w:val="20"/>
          <w:vertAlign w:val="superscript"/>
          <w:lang w:val="en-US"/>
        </w:rPr>
        <w:t>2</w:t>
      </w:r>
      <w:r w:rsidRPr="000F5021">
        <w:rPr>
          <w:sz w:val="20"/>
          <w:szCs w:val="20"/>
          <w:lang w:val="en-US"/>
        </w:rPr>
        <w:t>, Philipp T. Meyer</w:t>
      </w:r>
      <w:r w:rsidRPr="000F5021">
        <w:rPr>
          <w:sz w:val="20"/>
          <w:szCs w:val="20"/>
          <w:vertAlign w:val="superscript"/>
          <w:lang w:val="en-US"/>
        </w:rPr>
        <w:t>4</w:t>
      </w:r>
      <w:r w:rsidRPr="000F5021">
        <w:rPr>
          <w:sz w:val="20"/>
          <w:szCs w:val="20"/>
          <w:lang w:val="en-US"/>
        </w:rPr>
        <w:t>,</w:t>
      </w:r>
      <w:r w:rsidRPr="000F5021">
        <w:rPr>
          <w:sz w:val="20"/>
          <w:szCs w:val="20"/>
          <w:vertAlign w:val="superscript"/>
          <w:lang w:val="en-US"/>
        </w:rPr>
        <w:t xml:space="preserve"> </w:t>
      </w:r>
      <w:r w:rsidRPr="000F5021">
        <w:rPr>
          <w:sz w:val="20"/>
          <w:szCs w:val="20"/>
          <w:lang w:val="en-US"/>
        </w:rPr>
        <w:t>Ralph Buchert</w:t>
      </w:r>
      <w:r w:rsidRPr="000F5021">
        <w:rPr>
          <w:sz w:val="20"/>
          <w:szCs w:val="20"/>
          <w:vertAlign w:val="superscript"/>
          <w:lang w:val="en-US"/>
        </w:rPr>
        <w:t>1</w:t>
      </w:r>
    </w:p>
    <w:p w14:paraId="1428845F" w14:textId="77777777" w:rsidR="00513E20" w:rsidRPr="00021EB6" w:rsidRDefault="00513E20" w:rsidP="00513E20">
      <w:pPr>
        <w:spacing w:after="240" w:line="480" w:lineRule="auto"/>
        <w:jc w:val="center"/>
        <w:rPr>
          <w:sz w:val="20"/>
          <w:szCs w:val="20"/>
          <w:lang w:val="en-US"/>
        </w:rPr>
      </w:pPr>
      <w:r w:rsidRPr="00021EB6">
        <w:rPr>
          <w:sz w:val="20"/>
          <w:szCs w:val="20"/>
          <w:lang w:val="en-US"/>
        </w:rPr>
        <w:t xml:space="preserve">Departments of </w:t>
      </w:r>
      <w:r w:rsidRPr="00021EB6">
        <w:rPr>
          <w:sz w:val="20"/>
          <w:szCs w:val="20"/>
          <w:vertAlign w:val="superscript"/>
          <w:lang w:val="en-US"/>
        </w:rPr>
        <w:t>1</w:t>
      </w:r>
      <w:r w:rsidRPr="00021EB6">
        <w:rPr>
          <w:sz w:val="20"/>
          <w:szCs w:val="20"/>
          <w:lang w:val="en-US"/>
        </w:rPr>
        <w:t xml:space="preserve">Diagnostic and Interventional Radiology and Nuclear Medicine and </w:t>
      </w:r>
      <w:r w:rsidRPr="00021EB6">
        <w:rPr>
          <w:sz w:val="20"/>
          <w:szCs w:val="20"/>
          <w:vertAlign w:val="superscript"/>
          <w:lang w:val="en-US"/>
        </w:rPr>
        <w:t>3</w:t>
      </w:r>
      <w:r w:rsidRPr="00021EB6">
        <w:rPr>
          <w:sz w:val="20"/>
          <w:szCs w:val="20"/>
          <w:lang w:val="en-US"/>
        </w:rPr>
        <w:t>Neurosurgery, University Medical Center Hamburg-Eppendorf, Hamburg, Germany</w:t>
      </w:r>
    </w:p>
    <w:p w14:paraId="716AF8D1" w14:textId="77777777" w:rsidR="00513E20" w:rsidRPr="00021EB6" w:rsidRDefault="00513E20" w:rsidP="00513E20">
      <w:pPr>
        <w:spacing w:after="240" w:line="480" w:lineRule="auto"/>
        <w:jc w:val="center"/>
        <w:rPr>
          <w:sz w:val="20"/>
          <w:szCs w:val="20"/>
          <w:lang w:val="en-US"/>
        </w:rPr>
      </w:pPr>
      <w:r w:rsidRPr="00021EB6">
        <w:rPr>
          <w:sz w:val="20"/>
          <w:szCs w:val="20"/>
          <w:vertAlign w:val="superscript"/>
          <w:lang w:val="en-US"/>
        </w:rPr>
        <w:t>2</w:t>
      </w:r>
      <w:r w:rsidRPr="00021EB6">
        <w:rPr>
          <w:sz w:val="20"/>
          <w:szCs w:val="20"/>
          <w:lang w:val="en-US"/>
        </w:rPr>
        <w:t>Department of Neurology and Epileptology, Protestant Hospital Alsterdorf, 22337 Hamburg, Germany</w:t>
      </w:r>
    </w:p>
    <w:p w14:paraId="2FD84EA1" w14:textId="77777777" w:rsidR="00513E20" w:rsidRPr="00021EB6" w:rsidRDefault="00513E20" w:rsidP="00513E20">
      <w:pPr>
        <w:spacing w:after="240" w:line="480" w:lineRule="auto"/>
        <w:jc w:val="center"/>
        <w:rPr>
          <w:sz w:val="20"/>
          <w:szCs w:val="20"/>
          <w:lang w:val="en-US"/>
        </w:rPr>
      </w:pPr>
      <w:r w:rsidRPr="00021EB6">
        <w:rPr>
          <w:sz w:val="20"/>
          <w:szCs w:val="20"/>
          <w:vertAlign w:val="superscript"/>
          <w:lang w:val="en-US"/>
        </w:rPr>
        <w:t>4</w:t>
      </w:r>
      <w:r w:rsidRPr="00021EB6">
        <w:rPr>
          <w:sz w:val="20"/>
          <w:szCs w:val="20"/>
          <w:lang w:val="en-US"/>
        </w:rPr>
        <w:t>Department of Nuclear Medicine, Medical Center - University of Freiburg, Faculty of Medicine, University of Freiburg, Freiburg, Germany</w:t>
      </w:r>
    </w:p>
    <w:p w14:paraId="184D5520" w14:textId="77777777" w:rsidR="00513E20" w:rsidRPr="00021EB6" w:rsidRDefault="00513E20" w:rsidP="00513E20">
      <w:pPr>
        <w:spacing w:after="240" w:line="480" w:lineRule="auto"/>
        <w:jc w:val="center"/>
        <w:rPr>
          <w:sz w:val="20"/>
          <w:szCs w:val="20"/>
          <w:lang w:val="en-US"/>
        </w:rPr>
      </w:pPr>
      <w:r w:rsidRPr="00021EB6">
        <w:rPr>
          <w:sz w:val="20"/>
          <w:szCs w:val="20"/>
          <w:lang w:val="en-US"/>
        </w:rPr>
        <w:t>*These authors contributed equally as first authors</w:t>
      </w:r>
    </w:p>
    <w:p w14:paraId="1F576E17" w14:textId="22DE9C51" w:rsidR="00513E20" w:rsidRPr="00021EB6" w:rsidRDefault="00513E20">
      <w:pPr>
        <w:spacing w:after="160" w:line="259" w:lineRule="auto"/>
        <w:rPr>
          <w:b/>
          <w:bCs/>
          <w:color w:val="000000" w:themeColor="text1"/>
          <w:sz w:val="20"/>
          <w:szCs w:val="20"/>
          <w:lang w:val="en-US"/>
        </w:rPr>
      </w:pPr>
      <w:r w:rsidRPr="00021EB6">
        <w:rPr>
          <w:b/>
          <w:bCs/>
          <w:color w:val="000000" w:themeColor="text1"/>
          <w:sz w:val="20"/>
          <w:szCs w:val="20"/>
          <w:lang w:val="en-US"/>
        </w:rPr>
        <w:br w:type="page"/>
      </w:r>
    </w:p>
    <w:p w14:paraId="709E9FA7" w14:textId="0E150DFE" w:rsidR="001E13C7" w:rsidRPr="005333C9" w:rsidRDefault="005333C9" w:rsidP="005333C9">
      <w:pPr>
        <w:pStyle w:val="Listenabsatz"/>
        <w:numPr>
          <w:ilvl w:val="0"/>
          <w:numId w:val="2"/>
        </w:numPr>
        <w:spacing w:before="360" w:after="120" w:line="480" w:lineRule="auto"/>
        <w:jc w:val="both"/>
        <w:rPr>
          <w:b/>
          <w:sz w:val="28"/>
          <w:szCs w:val="28"/>
          <w:lang w:val="en-US"/>
        </w:rPr>
      </w:pPr>
      <w:r w:rsidRPr="005333C9">
        <w:rPr>
          <w:b/>
          <w:sz w:val="28"/>
          <w:szCs w:val="28"/>
          <w:lang w:val="en-US"/>
        </w:rPr>
        <w:lastRenderedPageBreak/>
        <w:t>Criteria for v</w:t>
      </w:r>
      <w:r w:rsidR="00020DA4" w:rsidRPr="005333C9">
        <w:rPr>
          <w:b/>
          <w:sz w:val="28"/>
          <w:szCs w:val="28"/>
          <w:lang w:val="en-US"/>
        </w:rPr>
        <w:t xml:space="preserve">isual </w:t>
      </w:r>
      <w:r w:rsidR="001E13C7" w:rsidRPr="005333C9">
        <w:rPr>
          <w:b/>
          <w:sz w:val="28"/>
          <w:szCs w:val="28"/>
          <w:lang w:val="en-US"/>
        </w:rPr>
        <w:t>identification of the seizure onset zone</w:t>
      </w:r>
      <w:r w:rsidR="00020DA4" w:rsidRPr="005333C9">
        <w:rPr>
          <w:b/>
          <w:sz w:val="28"/>
          <w:szCs w:val="28"/>
          <w:lang w:val="en-US"/>
        </w:rPr>
        <w:t xml:space="preserve"> </w:t>
      </w:r>
    </w:p>
    <w:p w14:paraId="13A29010" w14:textId="77777777" w:rsidR="001E13C7" w:rsidRPr="005333C9" w:rsidRDefault="001E13C7" w:rsidP="005333C9">
      <w:pPr>
        <w:pStyle w:val="berschrift2"/>
        <w:spacing w:before="480" w:after="120" w:line="480" w:lineRule="auto"/>
        <w:rPr>
          <w:rFonts w:ascii="Times New Roman" w:hAnsi="Times New Roman" w:cs="Times New Roman"/>
          <w:b/>
          <w:color w:val="auto"/>
          <w:sz w:val="24"/>
          <w:szCs w:val="24"/>
          <w:lang w:val="en-US"/>
        </w:rPr>
      </w:pPr>
      <w:r w:rsidRPr="005333C9">
        <w:rPr>
          <w:rFonts w:ascii="Times New Roman" w:hAnsi="Times New Roman" w:cs="Times New Roman"/>
          <w:b/>
          <w:color w:val="auto"/>
          <w:sz w:val="24"/>
          <w:szCs w:val="24"/>
          <w:lang w:val="en-US"/>
        </w:rPr>
        <w:t>Ictal SPECT</w:t>
      </w:r>
    </w:p>
    <w:p w14:paraId="5E7D7653" w14:textId="77777777" w:rsidR="001E13C7" w:rsidRPr="00021EB6" w:rsidRDefault="001E13C7" w:rsidP="001E13C7">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the SOZ is identified by regional </w:t>
      </w:r>
      <w:r w:rsidRPr="003237DF">
        <w:rPr>
          <w:rFonts w:eastAsia="MS Mincho"/>
          <w:i/>
          <w:sz w:val="20"/>
          <w:szCs w:val="20"/>
          <w:lang w:val="en-US" w:eastAsia="ja-JP"/>
        </w:rPr>
        <w:t>hyper</w:t>
      </w:r>
      <w:r w:rsidRPr="00021EB6">
        <w:rPr>
          <w:rFonts w:eastAsia="MS Mincho"/>
          <w:sz w:val="20"/>
          <w:szCs w:val="20"/>
          <w:lang w:val="en-US" w:eastAsia="ja-JP"/>
        </w:rPr>
        <w:t xml:space="preserve">perfusion in cortical grey matter according to visual inspection of the uptake image and/or the statistical parametric map of ictal </w:t>
      </w:r>
      <w:r w:rsidRPr="003237DF">
        <w:rPr>
          <w:rFonts w:eastAsia="MS Mincho"/>
          <w:i/>
          <w:sz w:val="20"/>
          <w:szCs w:val="20"/>
          <w:lang w:val="en-US" w:eastAsia="ja-JP"/>
        </w:rPr>
        <w:t>hyper</w:t>
      </w:r>
      <w:r w:rsidRPr="00021EB6">
        <w:rPr>
          <w:rFonts w:eastAsia="MS Mincho"/>
          <w:sz w:val="20"/>
          <w:szCs w:val="20"/>
          <w:lang w:val="en-US" w:eastAsia="ja-JP"/>
        </w:rPr>
        <w:t>perfusion</w:t>
      </w:r>
    </w:p>
    <w:p w14:paraId="0E31370E" w14:textId="77777777" w:rsidR="001E13C7" w:rsidRPr="00021EB6" w:rsidRDefault="001E13C7" w:rsidP="001E13C7">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the other way round is not true, that is, regional hyperperfusion in cortical grey matter is not automatically to be interpreted as the SOZ. For example, hyperperfusion in the insula and in the basal ganglia is often caused by seizure propagation from a SOZ in the ipsilateral temporal lobe. Hyperperfusion in the motor cortex and the supplementary motor area also might be secondary effects of the seizure and, therefore, might not indicate the SOZ</w:t>
      </w:r>
    </w:p>
    <w:p w14:paraId="1119D2F4" w14:textId="0D945CCC" w:rsidR="001E13C7" w:rsidRPr="00021EB6" w:rsidRDefault="001E13C7" w:rsidP="001E13C7">
      <w:pPr>
        <w:pStyle w:val="Listenabsatz"/>
        <w:numPr>
          <w:ilvl w:val="0"/>
          <w:numId w:val="1"/>
        </w:numPr>
        <w:spacing w:after="120" w:line="480" w:lineRule="auto"/>
        <w:contextualSpacing w:val="0"/>
        <w:jc w:val="both"/>
        <w:rPr>
          <w:rFonts w:eastAsia="MS Mincho"/>
          <w:sz w:val="20"/>
          <w:szCs w:val="20"/>
          <w:lang w:eastAsia="ja-JP"/>
        </w:rPr>
      </w:pPr>
      <w:r w:rsidRPr="00021EB6">
        <w:rPr>
          <w:rFonts w:eastAsia="MS Mincho"/>
          <w:sz w:val="20"/>
          <w:szCs w:val="20"/>
          <w:lang w:val="en-US" w:eastAsia="ja-JP"/>
        </w:rPr>
        <w:t xml:space="preserve">there often is a “mirror focus” of the SOZ, that is, less pronounced hyperperfusion in the homologous brain region in the other hemisphere. In case of temporal seizures, the mirror focus often is restricted to the lateral part of the temporal cortex and is associated with less pronounced hyperperfusion in the insula, striatum, and thalamus in the hemisphere of the mirror focus. A mirror focus </w:t>
      </w:r>
      <w:r>
        <w:rPr>
          <w:rFonts w:eastAsia="MS Mincho"/>
          <w:sz w:val="20"/>
          <w:szCs w:val="20"/>
          <w:lang w:val="en-US" w:eastAsia="ja-JP"/>
        </w:rPr>
        <w:t>can increase</w:t>
      </w:r>
      <w:r w:rsidRPr="00021EB6">
        <w:rPr>
          <w:rFonts w:eastAsia="MS Mincho"/>
          <w:sz w:val="20"/>
          <w:szCs w:val="20"/>
          <w:lang w:val="en-US" w:eastAsia="ja-JP"/>
        </w:rPr>
        <w:t xml:space="preserve"> the </w:t>
      </w:r>
      <w:r w:rsidR="000D7EC0">
        <w:rPr>
          <w:rFonts w:eastAsia="MS Mincho"/>
          <w:sz w:val="20"/>
          <w:szCs w:val="20"/>
          <w:lang w:val="en-US" w:eastAsia="ja-JP"/>
        </w:rPr>
        <w:t>confidence</w:t>
      </w:r>
      <w:r w:rsidRPr="00021EB6">
        <w:rPr>
          <w:rFonts w:eastAsia="MS Mincho"/>
          <w:sz w:val="20"/>
          <w:szCs w:val="20"/>
          <w:lang w:val="en-US" w:eastAsia="ja-JP"/>
        </w:rPr>
        <w:t xml:space="preserve"> </w:t>
      </w:r>
      <w:r w:rsidR="000D7EC0">
        <w:rPr>
          <w:rFonts w:eastAsia="MS Mincho"/>
          <w:sz w:val="20"/>
          <w:szCs w:val="20"/>
          <w:lang w:val="en-US" w:eastAsia="ja-JP"/>
        </w:rPr>
        <w:t>regarding</w:t>
      </w:r>
      <w:r w:rsidRPr="00021EB6">
        <w:rPr>
          <w:rFonts w:eastAsia="MS Mincho"/>
          <w:sz w:val="20"/>
          <w:szCs w:val="20"/>
          <w:lang w:val="en-US" w:eastAsia="ja-JP"/>
        </w:rPr>
        <w:t xml:space="preserve"> the locali</w:t>
      </w:r>
      <w:r>
        <w:rPr>
          <w:rFonts w:eastAsia="MS Mincho"/>
          <w:sz w:val="20"/>
          <w:szCs w:val="20"/>
          <w:lang w:val="en-US" w:eastAsia="ja-JP"/>
        </w:rPr>
        <w:t>z</w:t>
      </w:r>
      <w:r w:rsidRPr="00021EB6">
        <w:rPr>
          <w:rFonts w:eastAsia="MS Mincho"/>
          <w:sz w:val="20"/>
          <w:szCs w:val="20"/>
          <w:lang w:val="en-US" w:eastAsia="ja-JP"/>
        </w:rPr>
        <w:t xml:space="preserve">ation of the SOZ within a specific brain lobe. </w:t>
      </w:r>
      <w:r w:rsidRPr="00021EB6">
        <w:rPr>
          <w:rFonts w:eastAsia="MS Mincho"/>
          <w:sz w:val="20"/>
          <w:szCs w:val="20"/>
          <w:lang w:eastAsia="ja-JP"/>
        </w:rPr>
        <w:t xml:space="preserve">However, it often reduces the </w:t>
      </w:r>
      <w:r w:rsidR="000D7EC0">
        <w:rPr>
          <w:rFonts w:eastAsia="MS Mincho"/>
          <w:sz w:val="20"/>
          <w:szCs w:val="20"/>
          <w:lang w:eastAsia="ja-JP"/>
        </w:rPr>
        <w:t>confidence</w:t>
      </w:r>
      <w:r w:rsidRPr="00021EB6">
        <w:rPr>
          <w:rFonts w:eastAsia="MS Mincho"/>
          <w:sz w:val="20"/>
          <w:szCs w:val="20"/>
          <w:lang w:eastAsia="ja-JP"/>
        </w:rPr>
        <w:t xml:space="preserve"> </w:t>
      </w:r>
      <w:r w:rsidR="000D7EC0">
        <w:rPr>
          <w:rFonts w:eastAsia="MS Mincho"/>
          <w:sz w:val="20"/>
          <w:szCs w:val="20"/>
          <w:lang w:eastAsia="ja-JP"/>
        </w:rPr>
        <w:t>regarding</w:t>
      </w:r>
      <w:r w:rsidRPr="00021EB6">
        <w:rPr>
          <w:rFonts w:eastAsia="MS Mincho"/>
          <w:sz w:val="20"/>
          <w:szCs w:val="20"/>
          <w:lang w:eastAsia="ja-JP"/>
        </w:rPr>
        <w:t xml:space="preserve"> the lateralization</w:t>
      </w:r>
    </w:p>
    <w:p w14:paraId="26BE9D54" w14:textId="77777777" w:rsidR="001E13C7" w:rsidRPr="00021EB6" w:rsidRDefault="001E13C7" w:rsidP="001E13C7">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the SOZ might be identified in the uptake image only, that is, it is not required that the SOZ is confirmed by a cluster of significant hyperperfusion in the statistical parametric map (the rather conservative threshold of 3.0 z-score points is expected to result in some false negative findings). In particular, the SOZ might be identified by considerable left-right asymmetry in the uptake image. For example, a SOZ in the left temporal lobe might be identified by higher tracer uptake in the left temporal lobe compared to the right temporal lobe, although the (relative) increase of ictal tracer uptake in the left temporal lobe does not reach the level of statistical significance and, therefore, is not confirmed by a significant cluster in the statistical parametric map</w:t>
      </w:r>
    </w:p>
    <w:p w14:paraId="79A66C50" w14:textId="77777777" w:rsidR="001E13C7" w:rsidRPr="00021EB6" w:rsidRDefault="001E13C7" w:rsidP="001E13C7">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identification of the SOZ might also be based primarily on a cluster of significant hyperperfusion in the statistical parametric map, if on visual inspection of the uptake image the </w:t>
      </w:r>
      <w:r>
        <w:rPr>
          <w:rFonts w:eastAsia="MS Mincho"/>
          <w:sz w:val="20"/>
          <w:szCs w:val="20"/>
          <w:lang w:val="en-US" w:eastAsia="ja-JP"/>
        </w:rPr>
        <w:t xml:space="preserve">regional </w:t>
      </w:r>
      <w:r w:rsidRPr="00021EB6">
        <w:rPr>
          <w:rFonts w:eastAsia="MS Mincho"/>
          <w:sz w:val="20"/>
          <w:szCs w:val="20"/>
          <w:lang w:val="en-US" w:eastAsia="ja-JP"/>
        </w:rPr>
        <w:t>hyperperfusion does not appear very prominent (the conservative threshold of 3.0 z-score points is expected to result in a rather low rate of false positive findings)</w:t>
      </w:r>
    </w:p>
    <w:p w14:paraId="0096403D" w14:textId="77777777" w:rsidR="001E13C7" w:rsidRPr="00021EB6" w:rsidRDefault="001E13C7" w:rsidP="001E13C7">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lastRenderedPageBreak/>
        <w:t>a statistically significant cluster of regional hyperperfusion located in white matter sh</w:t>
      </w:r>
      <w:r>
        <w:rPr>
          <w:rFonts w:eastAsia="MS Mincho"/>
          <w:sz w:val="20"/>
          <w:szCs w:val="20"/>
          <w:lang w:val="en-US" w:eastAsia="ja-JP"/>
        </w:rPr>
        <w:t>ould not be interpreted as SOZ. I</w:t>
      </w:r>
      <w:r w:rsidRPr="00021EB6">
        <w:rPr>
          <w:rFonts w:eastAsia="MS Mincho"/>
          <w:sz w:val="20"/>
          <w:szCs w:val="20"/>
          <w:lang w:val="en-US" w:eastAsia="ja-JP"/>
        </w:rPr>
        <w:t>t could be caused by</w:t>
      </w:r>
      <w:r>
        <w:rPr>
          <w:rFonts w:eastAsia="MS Mincho"/>
          <w:sz w:val="20"/>
          <w:szCs w:val="20"/>
          <w:lang w:val="en-US" w:eastAsia="ja-JP"/>
        </w:rPr>
        <w:t xml:space="preserve"> </w:t>
      </w:r>
      <w:r w:rsidRPr="00021EB6">
        <w:rPr>
          <w:rFonts w:eastAsia="MS Mincho"/>
          <w:sz w:val="20"/>
          <w:szCs w:val="20"/>
          <w:lang w:val="en-US" w:eastAsia="ja-JP"/>
        </w:rPr>
        <w:t>mismatch of spatial resolution between the patient image and the normal database used for voxel-based testing, particularly when located close to th</w:t>
      </w:r>
      <w:r>
        <w:rPr>
          <w:rFonts w:eastAsia="MS Mincho"/>
          <w:sz w:val="20"/>
          <w:szCs w:val="20"/>
          <w:lang w:val="en-US" w:eastAsia="ja-JP"/>
        </w:rPr>
        <w:t>e white-to-gray matter junction</w:t>
      </w:r>
    </w:p>
    <w:p w14:paraId="1F2B0B5A" w14:textId="77777777" w:rsidR="001E13C7" w:rsidRPr="00021EB6" w:rsidRDefault="001E13C7" w:rsidP="001E13C7">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a statistically significant cluster of regional hyperperfusion located in white matter can extend into cortical grey matter due to </w:t>
      </w:r>
      <w:r>
        <w:rPr>
          <w:rFonts w:eastAsia="MS Mincho"/>
          <w:sz w:val="20"/>
          <w:szCs w:val="20"/>
          <w:lang w:val="en-US" w:eastAsia="ja-JP"/>
        </w:rPr>
        <w:t>partial volume</w:t>
      </w:r>
      <w:r w:rsidRPr="00021EB6">
        <w:rPr>
          <w:rFonts w:eastAsia="MS Mincho"/>
          <w:sz w:val="20"/>
          <w:szCs w:val="20"/>
          <w:lang w:val="en-US" w:eastAsia="ja-JP"/>
        </w:rPr>
        <w:t xml:space="preserve"> effects caused by the limited spatial resolution of SPECT. This does not indicate hyperperfusion in cortical grey matter and, therefore, should not be interpreted as SOZ</w:t>
      </w:r>
    </w:p>
    <w:p w14:paraId="515F2F19" w14:textId="77777777" w:rsidR="001E13C7" w:rsidRPr="00021EB6" w:rsidRDefault="001E13C7" w:rsidP="001E13C7">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regional hyperperfusion in the cerebellum should not be interpreted as SOZ</w:t>
      </w:r>
    </w:p>
    <w:p w14:paraId="4B9EA849" w14:textId="77777777" w:rsidR="001E13C7" w:rsidRPr="00021EB6" w:rsidRDefault="001E13C7" w:rsidP="001E13C7">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the ictal perfusion pattern in the cerebellum does not provide reliable information to support lateralization or localization of SOZ candidates in the cerebrum </w:t>
      </w:r>
      <w:r w:rsidRPr="00021EB6">
        <w:rPr>
          <w:rFonts w:eastAsia="MS Mincho"/>
          <w:sz w:val="20"/>
          <w:szCs w:val="20"/>
          <w:lang w:val="en-US" w:eastAsia="ja-JP"/>
        </w:rPr>
        <w:fldChar w:fldCharType="begin">
          <w:fldData xml:space="preserve">PEVuZE5vdGU+PENpdGU+PEF1dGhvcj5EdXBvbnQ8L0F1dGhvcj48WWVhcj4yMDA5PC9ZZWFyPjxS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</w:fldData>
        </w:fldChar>
      </w:r>
      <w:r w:rsidRPr="00021EB6">
        <w:rPr>
          <w:rFonts w:eastAsia="MS Mincho"/>
          <w:sz w:val="20"/>
          <w:szCs w:val="20"/>
          <w:lang w:val="en-US" w:eastAsia="ja-JP"/>
        </w:rPr>
        <w:instrText xml:space="preserve"> ADDIN EN.CITE </w:instrText>
      </w:r>
      <w:r w:rsidRPr="00021EB6">
        <w:rPr>
          <w:rFonts w:eastAsia="MS Mincho"/>
          <w:sz w:val="20"/>
          <w:szCs w:val="20"/>
          <w:lang w:val="en-US" w:eastAsia="ja-JP"/>
        </w:rPr>
        <w:fldChar w:fldCharType="begin">
          <w:fldData xml:space="preserve">PEVuZE5vdGU+PENpdGU+PEF1dGhvcj5EdXBvbnQ8L0F1dGhvcj48WWVhcj4yMDA5PC9ZZWFyPjxS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</w:fldData>
        </w:fldChar>
      </w:r>
      <w:r w:rsidRPr="00021EB6">
        <w:rPr>
          <w:rFonts w:eastAsia="MS Mincho"/>
          <w:sz w:val="20"/>
          <w:szCs w:val="20"/>
          <w:lang w:val="en-US" w:eastAsia="ja-JP"/>
        </w:rPr>
        <w:instrText xml:space="preserve"> ADDIN EN.CITE.DATA </w:instrText>
      </w:r>
      <w:r w:rsidRPr="00021EB6">
        <w:rPr>
          <w:rFonts w:eastAsia="MS Mincho"/>
          <w:sz w:val="20"/>
          <w:szCs w:val="20"/>
          <w:lang w:val="en-US" w:eastAsia="ja-JP"/>
        </w:rPr>
      </w:r>
      <w:r w:rsidRPr="00021EB6">
        <w:rPr>
          <w:rFonts w:eastAsia="MS Mincho"/>
          <w:sz w:val="20"/>
          <w:szCs w:val="20"/>
          <w:lang w:val="en-US" w:eastAsia="ja-JP"/>
        </w:rPr>
        <w:fldChar w:fldCharType="end"/>
      </w:r>
      <w:r w:rsidRPr="00021EB6">
        <w:rPr>
          <w:rFonts w:eastAsia="MS Mincho"/>
          <w:sz w:val="20"/>
          <w:szCs w:val="20"/>
          <w:lang w:val="en-US" w:eastAsia="ja-JP"/>
        </w:rPr>
      </w:r>
      <w:r w:rsidRPr="00021EB6">
        <w:rPr>
          <w:rFonts w:eastAsia="MS Mincho"/>
          <w:sz w:val="20"/>
          <w:szCs w:val="20"/>
          <w:lang w:val="en-US" w:eastAsia="ja-JP"/>
        </w:rPr>
        <w:fldChar w:fldCharType="separate"/>
      </w:r>
      <w:r w:rsidRPr="00021EB6">
        <w:rPr>
          <w:rFonts w:eastAsia="MS Mincho"/>
          <w:noProof/>
          <w:sz w:val="20"/>
          <w:szCs w:val="20"/>
          <w:lang w:val="en-US" w:eastAsia="ja-JP"/>
        </w:rPr>
        <w:t>[1, 2]</w:t>
      </w:r>
      <w:r w:rsidRPr="00021EB6">
        <w:rPr>
          <w:rFonts w:eastAsia="MS Mincho"/>
          <w:sz w:val="20"/>
          <w:szCs w:val="20"/>
          <w:lang w:val="en-US" w:eastAsia="ja-JP"/>
        </w:rPr>
        <w:fldChar w:fldCharType="end"/>
      </w:r>
    </w:p>
    <w:p w14:paraId="20AAE4B8" w14:textId="7E489D72" w:rsidR="001E13C7" w:rsidRPr="00021EB6" w:rsidRDefault="001E13C7" w:rsidP="001E13C7">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strongly pronounced regional hyperperfusion is usually associated with higher </w:t>
      </w:r>
      <w:r w:rsidR="000D7EC0">
        <w:rPr>
          <w:rFonts w:eastAsia="MS Mincho"/>
          <w:sz w:val="20"/>
          <w:szCs w:val="20"/>
          <w:lang w:val="en-US" w:eastAsia="ja-JP"/>
        </w:rPr>
        <w:t>confidence that</w:t>
      </w:r>
      <w:r w:rsidRPr="00021EB6">
        <w:rPr>
          <w:rFonts w:eastAsia="MS Mincho"/>
          <w:sz w:val="20"/>
          <w:szCs w:val="20"/>
          <w:lang w:val="en-US" w:eastAsia="ja-JP"/>
        </w:rPr>
        <w:t xml:space="preserve"> this region </w:t>
      </w:r>
      <w:r w:rsidR="000D7EC0">
        <w:rPr>
          <w:rFonts w:eastAsia="MS Mincho"/>
          <w:sz w:val="20"/>
          <w:szCs w:val="20"/>
          <w:lang w:val="en-US" w:eastAsia="ja-JP"/>
        </w:rPr>
        <w:t>is</w:t>
      </w:r>
      <w:r w:rsidRPr="00021EB6">
        <w:rPr>
          <w:rFonts w:eastAsia="MS Mincho"/>
          <w:sz w:val="20"/>
          <w:szCs w:val="20"/>
          <w:lang w:val="en-US" w:eastAsia="ja-JP"/>
        </w:rPr>
        <w:t xml:space="preserve"> the SOZ than mild hyperperfusion</w:t>
      </w:r>
    </w:p>
    <w:p w14:paraId="57152568" w14:textId="3FD56045" w:rsidR="001E13C7" w:rsidRPr="00021EB6" w:rsidRDefault="001E13C7" w:rsidP="001E13C7">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clear ictal hyperperfusion in the boundary of a (surgical) defect is associated with high </w:t>
      </w:r>
      <w:r w:rsidR="000D7EC0">
        <w:rPr>
          <w:rFonts w:eastAsia="MS Mincho"/>
          <w:sz w:val="20"/>
          <w:szCs w:val="20"/>
          <w:lang w:val="en-US" w:eastAsia="ja-JP"/>
        </w:rPr>
        <w:t>confidence</w:t>
      </w:r>
      <w:r w:rsidRPr="00021EB6">
        <w:rPr>
          <w:rFonts w:eastAsia="MS Mincho"/>
          <w:sz w:val="20"/>
          <w:szCs w:val="20"/>
          <w:lang w:val="en-US" w:eastAsia="ja-JP"/>
        </w:rPr>
        <w:t>, because the actual hyperperfusion most likely is considerably underestimated due to partial volume effects</w:t>
      </w:r>
    </w:p>
    <w:p w14:paraId="6148FA52" w14:textId="749EB64D" w:rsidR="001E13C7" w:rsidRPr="00021EB6" w:rsidRDefault="001E13C7" w:rsidP="001E13C7">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the </w:t>
      </w:r>
      <w:r w:rsidR="000D7EC0">
        <w:rPr>
          <w:rFonts w:eastAsia="MS Mincho"/>
          <w:sz w:val="20"/>
          <w:szCs w:val="20"/>
          <w:lang w:val="en-US" w:eastAsia="ja-JP"/>
        </w:rPr>
        <w:t>confidence</w:t>
      </w:r>
      <w:r w:rsidR="000D7EC0" w:rsidRPr="00021EB6">
        <w:rPr>
          <w:rFonts w:eastAsia="MS Mincho"/>
          <w:sz w:val="20"/>
          <w:szCs w:val="20"/>
          <w:lang w:val="en-US" w:eastAsia="ja-JP"/>
        </w:rPr>
        <w:t xml:space="preserve"> </w:t>
      </w:r>
      <w:r w:rsidRPr="00021EB6">
        <w:rPr>
          <w:rFonts w:eastAsia="MS Mincho"/>
          <w:sz w:val="20"/>
          <w:szCs w:val="20"/>
          <w:lang w:val="en-US" w:eastAsia="ja-JP"/>
        </w:rPr>
        <w:t>that regional ictal hyperperfusion indicates the SOZ might be reduced if there is a defect or lesion in the homologous region in the contralateral hemisphere: the detected regional hyperperfusion might be a mirror focus due to propagation from the border zone of the defect/lesion while the hyperperfusion in the actual SOZ is not visible due to severe</w:t>
      </w:r>
      <w:r>
        <w:rPr>
          <w:rFonts w:eastAsia="MS Mincho"/>
          <w:sz w:val="20"/>
          <w:szCs w:val="20"/>
          <w:lang w:val="en-US" w:eastAsia="ja-JP"/>
        </w:rPr>
        <w:t xml:space="preserve"> partial volume effects</w:t>
      </w:r>
    </w:p>
    <w:p w14:paraId="47B7F913" w14:textId="1E57D964" w:rsidR="001E13C7" w:rsidRPr="00021EB6" w:rsidRDefault="001E13C7" w:rsidP="005333C9">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a SOZ in the temporal lobe is supported (higher </w:t>
      </w:r>
      <w:r w:rsidR="000D7EC0">
        <w:rPr>
          <w:rFonts w:eastAsia="MS Mincho"/>
          <w:sz w:val="20"/>
          <w:szCs w:val="20"/>
          <w:lang w:val="en-US" w:eastAsia="ja-JP"/>
        </w:rPr>
        <w:t>confidence</w:t>
      </w:r>
      <w:r w:rsidRPr="00021EB6">
        <w:rPr>
          <w:rFonts w:eastAsia="MS Mincho"/>
          <w:sz w:val="20"/>
          <w:szCs w:val="20"/>
          <w:lang w:val="en-US" w:eastAsia="ja-JP"/>
        </w:rPr>
        <w:t>) by hyperperfusion in the ipsilateral insula and/or striatum and/or thalamus and/or motor cortex (seizure propagation from the temporal lobe)</w:t>
      </w:r>
    </w:p>
    <w:p w14:paraId="77DB2D35" w14:textId="26C9F458" w:rsidR="001E13C7" w:rsidRPr="00021EB6" w:rsidRDefault="001E13C7" w:rsidP="001E13C7">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a SOZ in the temporal lobe is supported (higher </w:t>
      </w:r>
      <w:r w:rsidR="000D7EC0">
        <w:rPr>
          <w:rFonts w:eastAsia="MS Mincho"/>
          <w:sz w:val="20"/>
          <w:szCs w:val="20"/>
          <w:lang w:val="en-US" w:eastAsia="ja-JP"/>
        </w:rPr>
        <w:t>confidence</w:t>
      </w:r>
      <w:r w:rsidRPr="00021EB6">
        <w:rPr>
          <w:rFonts w:eastAsia="MS Mincho"/>
          <w:sz w:val="20"/>
          <w:szCs w:val="20"/>
          <w:lang w:val="en-US" w:eastAsia="ja-JP"/>
        </w:rPr>
        <w:t>) by hypoperfusion in the frontal lobe and/or parietal lobe and/or occipital lobe and/or precuneus (ictal surround inhibition). Regional hypoperfusion on ictal SPECT is often bilateral and does nor provide reliable information for the lateralization of the SOZ</w:t>
      </w:r>
    </w:p>
    <w:p w14:paraId="2E624C42" w14:textId="47C7B899" w:rsidR="001E13C7" w:rsidRPr="00021EB6" w:rsidRDefault="001E13C7" w:rsidP="001E13C7">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ranking of the </w:t>
      </w:r>
      <w:r w:rsidR="000D7EC0">
        <w:rPr>
          <w:rFonts w:eastAsia="MS Mincho"/>
          <w:sz w:val="20"/>
          <w:szCs w:val="20"/>
          <w:lang w:val="en-US" w:eastAsia="ja-JP"/>
        </w:rPr>
        <w:t>confidence</w:t>
      </w:r>
      <w:r w:rsidR="000D7EC0" w:rsidRPr="00021EB6">
        <w:rPr>
          <w:rFonts w:eastAsia="MS Mincho"/>
          <w:sz w:val="20"/>
          <w:szCs w:val="20"/>
          <w:lang w:val="en-US" w:eastAsia="ja-JP"/>
        </w:rPr>
        <w:t xml:space="preserve"> </w:t>
      </w:r>
      <w:r w:rsidR="000D7EC0">
        <w:rPr>
          <w:rFonts w:eastAsia="MS Mincho"/>
          <w:sz w:val="20"/>
          <w:szCs w:val="20"/>
          <w:lang w:val="en-US" w:eastAsia="ja-JP"/>
        </w:rPr>
        <w:t xml:space="preserve">regarding </w:t>
      </w:r>
      <w:r w:rsidRPr="00021EB6">
        <w:rPr>
          <w:rFonts w:eastAsia="MS Mincho"/>
          <w:sz w:val="20"/>
          <w:szCs w:val="20"/>
          <w:lang w:val="en-US" w:eastAsia="ja-JP"/>
        </w:rPr>
        <w:t xml:space="preserve">the identification of the SOZ: visual identification of the SOZ in the uptake image </w:t>
      </w:r>
      <w:r w:rsidRPr="00021EB6">
        <w:rPr>
          <w:rFonts w:eastAsia="MS Mincho"/>
          <w:sz w:val="20"/>
          <w:szCs w:val="20"/>
          <w:u w:val="single"/>
          <w:lang w:val="en-US" w:eastAsia="ja-JP"/>
        </w:rPr>
        <w:t>and</w:t>
      </w:r>
      <w:r w:rsidRPr="00021EB6">
        <w:rPr>
          <w:rFonts w:eastAsia="MS Mincho"/>
          <w:sz w:val="20"/>
          <w:szCs w:val="20"/>
          <w:lang w:val="en-US" w:eastAsia="ja-JP"/>
        </w:rPr>
        <w:t xml:space="preserve"> significant cluster of hyperperfusion in the statistical parametric map &gt; visual identification in the uptake image only </w:t>
      </w:r>
      <w:r w:rsidRPr="00021EB6">
        <w:rPr>
          <w:rFonts w:eastAsia="MS Mincho"/>
          <w:sz w:val="20"/>
          <w:szCs w:val="20"/>
          <w:u w:val="single"/>
          <w:lang w:val="en-US" w:eastAsia="ja-JP"/>
        </w:rPr>
        <w:t>or</w:t>
      </w:r>
      <w:r w:rsidRPr="00021EB6">
        <w:rPr>
          <w:rFonts w:eastAsia="MS Mincho"/>
          <w:sz w:val="20"/>
          <w:szCs w:val="20"/>
          <w:lang w:val="en-US" w:eastAsia="ja-JP"/>
        </w:rPr>
        <w:t xml:space="preserve"> significant cluster of hyperperfusion in the statistical parametric map only</w:t>
      </w:r>
    </w:p>
    <w:p w14:paraId="226BD88B" w14:textId="5D90AB6D" w:rsidR="00020DA4" w:rsidRPr="005333C9" w:rsidRDefault="001E13C7" w:rsidP="005333C9">
      <w:pPr>
        <w:pStyle w:val="berschrift2"/>
        <w:spacing w:before="720" w:after="120" w:line="480" w:lineRule="auto"/>
        <w:rPr>
          <w:rFonts w:ascii="Times New Roman" w:hAnsi="Times New Roman" w:cs="Times New Roman"/>
          <w:b/>
          <w:color w:val="auto"/>
          <w:sz w:val="24"/>
          <w:szCs w:val="24"/>
          <w:lang w:val="en-US"/>
        </w:rPr>
      </w:pPr>
      <w:r w:rsidRPr="005333C9">
        <w:rPr>
          <w:rFonts w:ascii="Times New Roman" w:hAnsi="Times New Roman" w:cs="Times New Roman"/>
          <w:b/>
          <w:color w:val="auto"/>
          <w:sz w:val="24"/>
          <w:szCs w:val="24"/>
          <w:lang w:val="en-US"/>
        </w:rPr>
        <w:lastRenderedPageBreak/>
        <w:t>I</w:t>
      </w:r>
      <w:r w:rsidR="00020DA4" w:rsidRPr="005333C9">
        <w:rPr>
          <w:rFonts w:ascii="Times New Roman" w:hAnsi="Times New Roman" w:cs="Times New Roman"/>
          <w:b/>
          <w:color w:val="auto"/>
          <w:sz w:val="24"/>
          <w:szCs w:val="24"/>
          <w:lang w:val="en-US"/>
        </w:rPr>
        <w:t>nterictal SPECT</w:t>
      </w:r>
    </w:p>
    <w:p w14:paraId="71C5EB77" w14:textId="77777777"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the SOZ is identified by regional </w:t>
      </w:r>
      <w:r w:rsidRPr="003237DF">
        <w:rPr>
          <w:rFonts w:eastAsia="MS Mincho"/>
          <w:i/>
          <w:sz w:val="20"/>
          <w:szCs w:val="20"/>
          <w:lang w:val="en-US" w:eastAsia="ja-JP"/>
        </w:rPr>
        <w:t>hypo</w:t>
      </w:r>
      <w:r w:rsidRPr="00021EB6">
        <w:rPr>
          <w:rFonts w:eastAsia="MS Mincho"/>
          <w:sz w:val="20"/>
          <w:szCs w:val="20"/>
          <w:lang w:val="en-US" w:eastAsia="ja-JP"/>
        </w:rPr>
        <w:t xml:space="preserve">perfusion in cortical grey matter according to visual inspection of the uptake image and/or the statistical parametric map of interictal </w:t>
      </w:r>
      <w:r w:rsidRPr="003237DF">
        <w:rPr>
          <w:rFonts w:eastAsia="MS Mincho"/>
          <w:i/>
          <w:sz w:val="20"/>
          <w:szCs w:val="20"/>
          <w:lang w:val="en-US" w:eastAsia="ja-JP"/>
        </w:rPr>
        <w:t>hypo</w:t>
      </w:r>
      <w:r w:rsidRPr="00021EB6">
        <w:rPr>
          <w:rFonts w:eastAsia="MS Mincho"/>
          <w:sz w:val="20"/>
          <w:szCs w:val="20"/>
          <w:lang w:val="en-US" w:eastAsia="ja-JP"/>
        </w:rPr>
        <w:t>perfusion</w:t>
      </w:r>
    </w:p>
    <w:p w14:paraId="50E735B5" w14:textId="2A894C41"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the other way round is not true, that is, regional hypoperfusion in cortical grey matter is not automatically to be interpreted as the SOZ. For example, mild hypoperfusion in the parietal lobe or in the medial frontal cortex (including the anter</w:t>
      </w:r>
      <w:r w:rsidR="00A4636C">
        <w:rPr>
          <w:rFonts w:eastAsia="MS Mincho"/>
          <w:sz w:val="20"/>
          <w:szCs w:val="20"/>
          <w:lang w:val="en-US" w:eastAsia="ja-JP"/>
        </w:rPr>
        <w:t>i</w:t>
      </w:r>
      <w:r w:rsidRPr="00021EB6">
        <w:rPr>
          <w:rFonts w:eastAsia="MS Mincho"/>
          <w:sz w:val="20"/>
          <w:szCs w:val="20"/>
          <w:lang w:val="en-US" w:eastAsia="ja-JP"/>
        </w:rPr>
        <w:t xml:space="preserve">or cingulate cortex) </w:t>
      </w:r>
      <w:r w:rsidR="0041147B">
        <w:rPr>
          <w:rFonts w:eastAsia="MS Mincho"/>
          <w:sz w:val="20"/>
          <w:szCs w:val="20"/>
          <w:lang w:val="en-US" w:eastAsia="ja-JP"/>
        </w:rPr>
        <w:t>is</w:t>
      </w:r>
      <w:r w:rsidRPr="00021EB6">
        <w:rPr>
          <w:rFonts w:eastAsia="MS Mincho"/>
          <w:sz w:val="20"/>
          <w:szCs w:val="20"/>
          <w:lang w:val="en-US" w:eastAsia="ja-JP"/>
        </w:rPr>
        <w:t xml:space="preserve"> rather unspecific and, therefore, no</w:t>
      </w:r>
      <w:r w:rsidR="0060353E">
        <w:rPr>
          <w:rFonts w:eastAsia="MS Mincho"/>
          <w:sz w:val="20"/>
          <w:szCs w:val="20"/>
          <w:lang w:val="en-US" w:eastAsia="ja-JP"/>
        </w:rPr>
        <w:t>t necessarily indicate</w:t>
      </w:r>
      <w:r w:rsidR="0041147B">
        <w:rPr>
          <w:rFonts w:eastAsia="MS Mincho"/>
          <w:sz w:val="20"/>
          <w:szCs w:val="20"/>
          <w:lang w:val="en-US" w:eastAsia="ja-JP"/>
        </w:rPr>
        <w:t>s</w:t>
      </w:r>
      <w:r w:rsidR="0060353E">
        <w:rPr>
          <w:rFonts w:eastAsia="MS Mincho"/>
          <w:sz w:val="20"/>
          <w:szCs w:val="20"/>
          <w:lang w:val="en-US" w:eastAsia="ja-JP"/>
        </w:rPr>
        <w:t xml:space="preserve"> the SOZ. However, </w:t>
      </w:r>
      <w:r w:rsidR="0041147B" w:rsidRPr="00021EB6">
        <w:rPr>
          <w:rFonts w:eastAsia="MS Mincho"/>
          <w:sz w:val="20"/>
          <w:szCs w:val="20"/>
          <w:lang w:val="en-US" w:eastAsia="ja-JP"/>
        </w:rPr>
        <w:t>mild hypoperfusion in the parietal lobe or in the medial frontal cortex</w:t>
      </w:r>
      <w:r w:rsidR="0041147B">
        <w:rPr>
          <w:rFonts w:eastAsia="MS Mincho"/>
          <w:sz w:val="20"/>
          <w:szCs w:val="20"/>
          <w:lang w:val="en-US" w:eastAsia="ja-JP"/>
        </w:rPr>
        <w:t xml:space="preserve"> can indicate the SOZ. Candidates for the</w:t>
      </w:r>
      <w:r w:rsidR="00A4636C">
        <w:rPr>
          <w:rFonts w:eastAsia="MS Mincho"/>
          <w:sz w:val="20"/>
          <w:szCs w:val="20"/>
          <w:lang w:val="en-US" w:eastAsia="ja-JP"/>
        </w:rPr>
        <w:t xml:space="preserve"> </w:t>
      </w:r>
      <w:r w:rsidR="0041147B">
        <w:rPr>
          <w:rFonts w:eastAsia="MS Mincho"/>
          <w:sz w:val="20"/>
          <w:szCs w:val="20"/>
          <w:lang w:val="en-US" w:eastAsia="ja-JP"/>
        </w:rPr>
        <w:t>SOZ in these brain regions are often rather uncertain (-&gt;</w:t>
      </w:r>
      <w:r w:rsidR="0091196E">
        <w:rPr>
          <w:rFonts w:eastAsia="MS Mincho"/>
          <w:sz w:val="20"/>
          <w:szCs w:val="20"/>
          <w:lang w:val="en-US" w:eastAsia="ja-JP"/>
        </w:rPr>
        <w:t xml:space="preserve"> </w:t>
      </w:r>
      <w:r w:rsidR="0041147B">
        <w:rPr>
          <w:rFonts w:eastAsia="MS Mincho"/>
          <w:sz w:val="20"/>
          <w:szCs w:val="20"/>
          <w:lang w:val="en-US" w:eastAsia="ja-JP"/>
        </w:rPr>
        <w:t>low</w:t>
      </w:r>
      <w:r w:rsidR="00A4636C">
        <w:rPr>
          <w:rFonts w:eastAsia="MS Mincho"/>
          <w:sz w:val="20"/>
          <w:szCs w:val="20"/>
          <w:lang w:val="en-US" w:eastAsia="ja-JP"/>
        </w:rPr>
        <w:t xml:space="preserve"> </w:t>
      </w:r>
      <w:r w:rsidR="000D7EC0">
        <w:rPr>
          <w:rFonts w:eastAsia="MS Mincho"/>
          <w:sz w:val="20"/>
          <w:szCs w:val="20"/>
          <w:lang w:val="en-US" w:eastAsia="ja-JP"/>
        </w:rPr>
        <w:t xml:space="preserve">confidence </w:t>
      </w:r>
      <w:r w:rsidR="0041147B">
        <w:rPr>
          <w:rFonts w:eastAsia="MS Mincho"/>
          <w:sz w:val="20"/>
          <w:szCs w:val="20"/>
          <w:lang w:val="en-US" w:eastAsia="ja-JP"/>
        </w:rPr>
        <w:t>score</w:t>
      </w:r>
      <w:r w:rsidR="00A4636C">
        <w:rPr>
          <w:rFonts w:eastAsia="MS Mincho"/>
          <w:sz w:val="20"/>
          <w:szCs w:val="20"/>
          <w:lang w:val="en-US" w:eastAsia="ja-JP"/>
        </w:rPr>
        <w:t>)</w:t>
      </w:r>
    </w:p>
    <w:p w14:paraId="510435CC" w14:textId="2473ADAB"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the SOZ might be identified in the uptake image only, that is, it is not required that the SOZ is confirmed by a cluster of significant hypoperfusion in the statistical parametric map (the conservative threshold of 3.0 z-score points is expected to result in some false negative findings). </w:t>
      </w:r>
      <w:r w:rsidR="00977E71" w:rsidRPr="00021EB6">
        <w:rPr>
          <w:rFonts w:eastAsia="MS Mincho"/>
          <w:sz w:val="20"/>
          <w:szCs w:val="20"/>
          <w:lang w:val="en-US" w:eastAsia="ja-JP"/>
        </w:rPr>
        <w:t xml:space="preserve">In particular, the SOZ might be identified by considerable left-right asymmetry in the uptake image. </w:t>
      </w:r>
      <w:r w:rsidRPr="00021EB6">
        <w:rPr>
          <w:rFonts w:eastAsia="MS Mincho"/>
          <w:sz w:val="20"/>
          <w:szCs w:val="20"/>
          <w:lang w:val="en-US" w:eastAsia="ja-JP"/>
        </w:rPr>
        <w:t>For example, a SOZ in the left temporal lobe might be identified by lower tracer uptake in the left temporal lobe compared to the right temporal lobe, although the (relative) decrease of the interictal tracer uptake in the left temporal lobe does not reach the level of statistical significance and, therefore, is not confirmed by a significant cluster in the statistical parametric map</w:t>
      </w:r>
    </w:p>
    <w:p w14:paraId="2990B32B" w14:textId="1EBD4B88"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identification of the SOZ might also be based </w:t>
      </w:r>
      <w:r w:rsidR="00721FFF">
        <w:rPr>
          <w:rFonts w:eastAsia="MS Mincho"/>
          <w:sz w:val="20"/>
          <w:szCs w:val="20"/>
          <w:lang w:val="en-US" w:eastAsia="ja-JP"/>
        </w:rPr>
        <w:t xml:space="preserve">primarily </w:t>
      </w:r>
      <w:r w:rsidRPr="00021EB6">
        <w:rPr>
          <w:rFonts w:eastAsia="MS Mincho"/>
          <w:sz w:val="20"/>
          <w:szCs w:val="20"/>
          <w:lang w:val="en-US" w:eastAsia="ja-JP"/>
        </w:rPr>
        <w:t>on a cluster of significant hypoperfusion in the statistical parametric map, if on visual inspection of the uptake image the regional hypoperfusion does not appear very prominent (the conservative threshold of 3.0 z-score points is expected to result in a rather low rate of false positive findings)</w:t>
      </w:r>
    </w:p>
    <w:p w14:paraId="2F364D37" w14:textId="44F5329F"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a statistically significant cluster of regional hypoperfusion located in white matter sh</w:t>
      </w:r>
      <w:r w:rsidR="002D5936">
        <w:rPr>
          <w:rFonts w:eastAsia="MS Mincho"/>
          <w:sz w:val="20"/>
          <w:szCs w:val="20"/>
          <w:lang w:val="en-US" w:eastAsia="ja-JP"/>
        </w:rPr>
        <w:t>ould not be interpreted as SOZ. P</w:t>
      </w:r>
      <w:r w:rsidRPr="00021EB6">
        <w:rPr>
          <w:rFonts w:eastAsia="MS Mincho"/>
          <w:sz w:val="20"/>
          <w:szCs w:val="20"/>
          <w:lang w:val="en-US" w:eastAsia="ja-JP"/>
        </w:rPr>
        <w:t>ossible explanations include white matter lesion</w:t>
      </w:r>
      <w:r w:rsidR="002D5936">
        <w:rPr>
          <w:rFonts w:eastAsia="MS Mincho"/>
          <w:sz w:val="20"/>
          <w:szCs w:val="20"/>
          <w:lang w:val="en-US" w:eastAsia="ja-JP"/>
        </w:rPr>
        <w:t xml:space="preserve">s and pronounced partial volume effects secondary to enlarged ventricles </w:t>
      </w:r>
    </w:p>
    <w:p w14:paraId="513D1397" w14:textId="63CF101D" w:rsidR="00021EB6" w:rsidRDefault="0049338E" w:rsidP="003237DF">
      <w:pPr>
        <w:pStyle w:val="Listenabsatz"/>
        <w:numPr>
          <w:ilvl w:val="0"/>
          <w:numId w:val="1"/>
        </w:numPr>
        <w:spacing w:after="120" w:line="480" w:lineRule="auto"/>
        <w:contextualSpacing w:val="0"/>
        <w:jc w:val="both"/>
        <w:rPr>
          <w:rFonts w:eastAsia="MS Mincho"/>
          <w:sz w:val="20"/>
          <w:szCs w:val="20"/>
          <w:lang w:val="en-US" w:eastAsia="ja-JP"/>
        </w:rPr>
      </w:pPr>
      <w:r>
        <w:rPr>
          <w:rFonts w:eastAsia="MS Mincho"/>
          <w:sz w:val="20"/>
          <w:szCs w:val="20"/>
          <w:lang w:val="en-US" w:eastAsia="ja-JP"/>
        </w:rPr>
        <w:t xml:space="preserve">a </w:t>
      </w:r>
      <w:r w:rsidR="00021EB6" w:rsidRPr="00021EB6">
        <w:rPr>
          <w:rFonts w:eastAsia="MS Mincho"/>
          <w:sz w:val="20"/>
          <w:szCs w:val="20"/>
          <w:lang w:val="en-US" w:eastAsia="ja-JP"/>
        </w:rPr>
        <w:t>st</w:t>
      </w:r>
      <w:r>
        <w:rPr>
          <w:rFonts w:eastAsia="MS Mincho"/>
          <w:sz w:val="20"/>
          <w:szCs w:val="20"/>
          <w:lang w:val="en-US" w:eastAsia="ja-JP"/>
        </w:rPr>
        <w:t>atistically significant cluster</w:t>
      </w:r>
      <w:r w:rsidR="00021EB6" w:rsidRPr="00021EB6">
        <w:rPr>
          <w:rFonts w:eastAsia="MS Mincho"/>
          <w:sz w:val="20"/>
          <w:szCs w:val="20"/>
          <w:lang w:val="en-US" w:eastAsia="ja-JP"/>
        </w:rPr>
        <w:t xml:space="preserve"> of regional hypoperfusion located in white matter can extend into cortical grey matter due to </w:t>
      </w:r>
      <w:r>
        <w:rPr>
          <w:rFonts w:eastAsia="MS Mincho"/>
          <w:sz w:val="20"/>
          <w:szCs w:val="20"/>
          <w:lang w:val="en-US" w:eastAsia="ja-JP"/>
        </w:rPr>
        <w:t>partial volume</w:t>
      </w:r>
      <w:r w:rsidR="00021EB6" w:rsidRPr="00021EB6">
        <w:rPr>
          <w:rFonts w:eastAsia="MS Mincho"/>
          <w:sz w:val="20"/>
          <w:szCs w:val="20"/>
          <w:lang w:val="en-US" w:eastAsia="ja-JP"/>
        </w:rPr>
        <w:t xml:space="preserve"> effects caused by the limited spatial resolution of SPECT. This does not indicate hypoperfusion in cortical grey matter and, therefore, should not be interpreted as SOZ</w:t>
      </w:r>
    </w:p>
    <w:p w14:paraId="56DFC14A" w14:textId="77777777" w:rsidR="006976AD" w:rsidRPr="00021EB6" w:rsidRDefault="006976AD" w:rsidP="006976AD">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regional hypoperfusion in the cerebellum should not be interpreted as SOZ</w:t>
      </w:r>
    </w:p>
    <w:p w14:paraId="0913C7AC" w14:textId="4263C94C" w:rsidR="006976AD" w:rsidRPr="006976AD" w:rsidRDefault="006976AD" w:rsidP="006976AD">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the interictal perfusion pattern in the cerebellum does not provide reliable information to support lateralization or localization of SOZ candidates</w:t>
      </w:r>
      <w:r w:rsidR="005C5749">
        <w:rPr>
          <w:rFonts w:eastAsia="MS Mincho"/>
          <w:sz w:val="20"/>
          <w:szCs w:val="20"/>
          <w:lang w:val="en-US" w:eastAsia="ja-JP"/>
        </w:rPr>
        <w:t xml:space="preserve"> in the cerebrum</w:t>
      </w:r>
      <w:r>
        <w:rPr>
          <w:rFonts w:eastAsia="MS Mincho"/>
          <w:sz w:val="20"/>
          <w:szCs w:val="20"/>
          <w:lang w:val="en-US" w:eastAsia="ja-JP"/>
        </w:rPr>
        <w:t xml:space="preserve">. For example, hypoperfusion in the cerebellar hemisphere </w:t>
      </w:r>
      <w:r>
        <w:rPr>
          <w:rFonts w:eastAsia="MS Mincho"/>
          <w:sz w:val="20"/>
          <w:szCs w:val="20"/>
          <w:lang w:val="en-US" w:eastAsia="ja-JP"/>
        </w:rPr>
        <w:lastRenderedPageBreak/>
        <w:t>contralateral to a cortical defect or lesion</w:t>
      </w:r>
      <w:r w:rsidR="0041147B">
        <w:rPr>
          <w:rFonts w:eastAsia="MS Mincho"/>
          <w:sz w:val="20"/>
          <w:szCs w:val="20"/>
          <w:lang w:val="en-US" w:eastAsia="ja-JP"/>
        </w:rPr>
        <w:t xml:space="preserve"> </w:t>
      </w:r>
      <w:r w:rsidR="005C5749">
        <w:rPr>
          <w:rFonts w:eastAsia="MS Mincho"/>
          <w:sz w:val="20"/>
          <w:szCs w:val="20"/>
          <w:lang w:val="en-US" w:eastAsia="ja-JP"/>
        </w:rPr>
        <w:t xml:space="preserve">might be due to </w:t>
      </w:r>
      <w:r>
        <w:rPr>
          <w:rFonts w:eastAsia="MS Mincho"/>
          <w:sz w:val="20"/>
          <w:szCs w:val="20"/>
          <w:lang w:val="en-US" w:eastAsia="ja-JP"/>
        </w:rPr>
        <w:t>crossed cerebellar diaschisis</w:t>
      </w:r>
      <w:r w:rsidR="004F4FAB">
        <w:rPr>
          <w:rFonts w:eastAsia="MS Mincho"/>
          <w:sz w:val="20"/>
          <w:szCs w:val="20"/>
          <w:lang w:val="en-US" w:eastAsia="ja-JP"/>
        </w:rPr>
        <w:t xml:space="preserve"> (independent of epileptic activity) and, therefore,</w:t>
      </w:r>
      <w:r w:rsidR="0091196E">
        <w:rPr>
          <w:rFonts w:eastAsia="MS Mincho"/>
          <w:sz w:val="20"/>
          <w:szCs w:val="20"/>
          <w:lang w:val="en-US" w:eastAsia="ja-JP"/>
        </w:rPr>
        <w:t xml:space="preserve"> </w:t>
      </w:r>
      <w:r>
        <w:rPr>
          <w:rFonts w:eastAsia="MS Mincho"/>
          <w:sz w:val="20"/>
          <w:szCs w:val="20"/>
          <w:lang w:val="en-US" w:eastAsia="ja-JP"/>
        </w:rPr>
        <w:t xml:space="preserve">does not increase the likelihood of the defect / lesion </w:t>
      </w:r>
      <w:r w:rsidR="004F4FAB">
        <w:rPr>
          <w:rFonts w:eastAsia="MS Mincho"/>
          <w:sz w:val="20"/>
          <w:szCs w:val="20"/>
          <w:lang w:val="en-US" w:eastAsia="ja-JP"/>
        </w:rPr>
        <w:t>to be</w:t>
      </w:r>
      <w:r>
        <w:rPr>
          <w:rFonts w:eastAsia="MS Mincho"/>
          <w:sz w:val="20"/>
          <w:szCs w:val="20"/>
          <w:lang w:val="en-US" w:eastAsia="ja-JP"/>
        </w:rPr>
        <w:t xml:space="preserve"> the SOZ</w:t>
      </w:r>
    </w:p>
    <w:p w14:paraId="2F25752D" w14:textId="1C159088"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apparent reduction of regional perfusion caused by </w:t>
      </w:r>
      <w:r w:rsidR="00CE594F">
        <w:rPr>
          <w:rFonts w:eastAsia="MS Mincho"/>
          <w:sz w:val="20"/>
          <w:szCs w:val="20"/>
          <w:lang w:val="en-US" w:eastAsia="ja-JP"/>
        </w:rPr>
        <w:t xml:space="preserve">pronounced partial volume / </w:t>
      </w:r>
      <w:r w:rsidRPr="00021EB6">
        <w:rPr>
          <w:rFonts w:eastAsia="MS Mincho"/>
          <w:sz w:val="20"/>
          <w:szCs w:val="20"/>
          <w:lang w:val="en-US" w:eastAsia="ja-JP"/>
        </w:rPr>
        <w:t>recovery effects due to atrophy</w:t>
      </w:r>
      <w:r w:rsidR="00CE594F">
        <w:rPr>
          <w:rFonts w:eastAsia="MS Mincho"/>
          <w:sz w:val="20"/>
          <w:szCs w:val="20"/>
          <w:lang w:val="en-US" w:eastAsia="ja-JP"/>
        </w:rPr>
        <w:t xml:space="preserve"> </w:t>
      </w:r>
      <w:r w:rsidRPr="00021EB6">
        <w:rPr>
          <w:rFonts w:eastAsia="MS Mincho"/>
          <w:sz w:val="20"/>
          <w:szCs w:val="20"/>
          <w:lang w:val="en-US" w:eastAsia="ja-JP"/>
        </w:rPr>
        <w:t>/</w:t>
      </w:r>
      <w:r w:rsidR="00CE594F">
        <w:rPr>
          <w:rFonts w:eastAsia="MS Mincho"/>
          <w:sz w:val="20"/>
          <w:szCs w:val="20"/>
          <w:lang w:val="en-US" w:eastAsia="ja-JP"/>
        </w:rPr>
        <w:t xml:space="preserve"> </w:t>
      </w:r>
      <w:r w:rsidRPr="00021EB6">
        <w:rPr>
          <w:rFonts w:eastAsia="MS Mincho"/>
          <w:sz w:val="20"/>
          <w:szCs w:val="20"/>
          <w:lang w:val="en-US" w:eastAsia="ja-JP"/>
        </w:rPr>
        <w:t>sulcus widening (according to MRI), particularly widening of the Sylvian or longitudinal fissure, should not be interpreted as SOZ</w:t>
      </w:r>
    </w:p>
    <w:p w14:paraId="4B0D19B6" w14:textId="73696F79"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a perfusion defect caused by a structural defect</w:t>
      </w:r>
      <w:r w:rsidR="00CE594F">
        <w:rPr>
          <w:rFonts w:eastAsia="MS Mincho"/>
          <w:sz w:val="20"/>
          <w:szCs w:val="20"/>
          <w:lang w:val="en-US" w:eastAsia="ja-JP"/>
        </w:rPr>
        <w:t xml:space="preserve"> (according to</w:t>
      </w:r>
      <w:r w:rsidR="00CE594F" w:rsidRPr="00021EB6">
        <w:rPr>
          <w:rFonts w:eastAsia="MS Mincho"/>
          <w:sz w:val="20"/>
          <w:szCs w:val="20"/>
          <w:lang w:val="en-US" w:eastAsia="ja-JP"/>
        </w:rPr>
        <w:t xml:space="preserve"> MRI)</w:t>
      </w:r>
      <w:r w:rsidR="00CE594F">
        <w:rPr>
          <w:rFonts w:eastAsia="MS Mincho"/>
          <w:sz w:val="20"/>
          <w:szCs w:val="20"/>
          <w:lang w:val="en-US" w:eastAsia="ja-JP"/>
        </w:rPr>
        <w:t xml:space="preserve">, </w:t>
      </w:r>
      <w:r w:rsidRPr="00021EB6">
        <w:rPr>
          <w:rFonts w:eastAsia="MS Mincho"/>
          <w:sz w:val="20"/>
          <w:szCs w:val="20"/>
          <w:lang w:val="en-US" w:eastAsia="ja-JP"/>
        </w:rPr>
        <w:t xml:space="preserve">secondary to </w:t>
      </w:r>
      <w:r w:rsidR="00CE594F">
        <w:rPr>
          <w:rFonts w:eastAsia="MS Mincho"/>
          <w:sz w:val="20"/>
          <w:szCs w:val="20"/>
          <w:lang w:val="en-US" w:eastAsia="ja-JP"/>
        </w:rPr>
        <w:t>surgical resection or stroke</w:t>
      </w:r>
      <w:r w:rsidR="0065596F">
        <w:rPr>
          <w:rFonts w:eastAsia="MS Mincho"/>
          <w:sz w:val="20"/>
          <w:szCs w:val="20"/>
          <w:lang w:val="en-US" w:eastAsia="ja-JP"/>
        </w:rPr>
        <w:t xml:space="preserve"> or </w:t>
      </w:r>
      <w:r w:rsidR="005A5883">
        <w:rPr>
          <w:rFonts w:eastAsia="MS Mincho"/>
          <w:sz w:val="20"/>
          <w:szCs w:val="20"/>
          <w:lang w:val="en-US" w:eastAsia="ja-JP"/>
        </w:rPr>
        <w:t xml:space="preserve">a </w:t>
      </w:r>
      <w:r w:rsidR="0065596F">
        <w:rPr>
          <w:rFonts w:eastAsia="MS Mincho"/>
          <w:sz w:val="20"/>
          <w:szCs w:val="20"/>
          <w:lang w:val="en-US" w:eastAsia="ja-JP"/>
        </w:rPr>
        <w:t>cyst</w:t>
      </w:r>
      <w:r w:rsidR="00CE594F">
        <w:rPr>
          <w:rFonts w:eastAsia="MS Mincho"/>
          <w:sz w:val="20"/>
          <w:szCs w:val="20"/>
          <w:lang w:val="en-US" w:eastAsia="ja-JP"/>
        </w:rPr>
        <w:t xml:space="preserve"> or any other structural defect, </w:t>
      </w:r>
      <w:r w:rsidRPr="00021EB6">
        <w:rPr>
          <w:rFonts w:eastAsia="MS Mincho"/>
          <w:sz w:val="20"/>
          <w:szCs w:val="20"/>
          <w:lang w:val="en-US" w:eastAsia="ja-JP"/>
        </w:rPr>
        <w:t>should not be interpreted as SOZ</w:t>
      </w:r>
    </w:p>
    <w:p w14:paraId="50A03734" w14:textId="059EECD9"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regional hypoperfusion in cortical grey matter in the border zone of a defect might indicate the SOZ if the hypoperfusion appears more widespread and/or more severe than expected from partial volume effects</w:t>
      </w:r>
      <w:r w:rsidR="008E6C6E">
        <w:rPr>
          <w:rFonts w:eastAsia="MS Mincho"/>
          <w:sz w:val="20"/>
          <w:szCs w:val="20"/>
          <w:lang w:val="en-US" w:eastAsia="ja-JP"/>
        </w:rPr>
        <w:t xml:space="preserve">. This is difficult to evaluate and, therefore, often is associated with reduced </w:t>
      </w:r>
      <w:r w:rsidR="000D7EC0">
        <w:rPr>
          <w:rFonts w:eastAsia="MS Mincho"/>
          <w:sz w:val="20"/>
          <w:szCs w:val="20"/>
          <w:lang w:val="en-US" w:eastAsia="ja-JP"/>
        </w:rPr>
        <w:t xml:space="preserve">confidence </w:t>
      </w:r>
      <w:r w:rsidR="008E6C6E">
        <w:rPr>
          <w:rFonts w:eastAsia="MS Mincho"/>
          <w:sz w:val="20"/>
          <w:szCs w:val="20"/>
          <w:lang w:val="en-US" w:eastAsia="ja-JP"/>
        </w:rPr>
        <w:t>of a SOZ in the border zone of a defect</w:t>
      </w:r>
    </w:p>
    <w:p w14:paraId="2D72A8CC" w14:textId="5315C585" w:rsidR="00021EB6" w:rsidRPr="00CE594F"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CE594F">
        <w:rPr>
          <w:rFonts w:eastAsia="MS Mincho"/>
          <w:sz w:val="20"/>
          <w:szCs w:val="20"/>
          <w:lang w:val="en-US" w:eastAsia="ja-JP"/>
        </w:rPr>
        <w:t>regional hypoperfusion in or close to a structural lesion visible in MRI (e.g., tumor, postencep</w:t>
      </w:r>
      <w:r w:rsidR="00CE594F" w:rsidRPr="00CE594F">
        <w:rPr>
          <w:rFonts w:eastAsia="MS Mincho"/>
          <w:sz w:val="20"/>
          <w:szCs w:val="20"/>
          <w:lang w:val="en-US" w:eastAsia="ja-JP"/>
        </w:rPr>
        <w:t xml:space="preserve">halitic) might indicate the SOZ. However, it should be taken into account that the lesion might be hypoperfused by itself, that is, independent of epileptic activity. For example, tissue loss due to hippocampal sclerosis is expected to result in mesiotemporal hypoperfusion independent of epileptic activity. Furthermore, regional hypoperfusion close to a </w:t>
      </w:r>
      <w:r w:rsidR="00CE594F">
        <w:rPr>
          <w:rFonts w:eastAsia="MS Mincho"/>
          <w:sz w:val="20"/>
          <w:szCs w:val="20"/>
          <w:lang w:val="en-US" w:eastAsia="ja-JP"/>
        </w:rPr>
        <w:t xml:space="preserve">hypoperfused </w:t>
      </w:r>
      <w:r w:rsidR="00CE594F" w:rsidRPr="00CE594F">
        <w:rPr>
          <w:rFonts w:eastAsia="MS Mincho"/>
          <w:sz w:val="20"/>
          <w:szCs w:val="20"/>
          <w:lang w:val="en-US" w:eastAsia="ja-JP"/>
        </w:rPr>
        <w:t xml:space="preserve">structural lesion might be caused by </w:t>
      </w:r>
      <w:r w:rsidR="00CE594F">
        <w:rPr>
          <w:rFonts w:eastAsia="MS Mincho"/>
          <w:sz w:val="20"/>
          <w:szCs w:val="20"/>
          <w:lang w:val="en-US" w:eastAsia="ja-JP"/>
        </w:rPr>
        <w:t xml:space="preserve">partial volume effects. </w:t>
      </w:r>
      <w:r w:rsidR="008C56EE">
        <w:rPr>
          <w:rFonts w:eastAsia="MS Mincho"/>
          <w:sz w:val="20"/>
          <w:szCs w:val="20"/>
          <w:lang w:val="en-US" w:eastAsia="ja-JP"/>
        </w:rPr>
        <w:t>If</w:t>
      </w:r>
      <w:r w:rsidR="00CE594F">
        <w:rPr>
          <w:rFonts w:eastAsia="MS Mincho"/>
          <w:sz w:val="20"/>
          <w:szCs w:val="20"/>
          <w:lang w:val="en-US" w:eastAsia="ja-JP"/>
        </w:rPr>
        <w:t xml:space="preserve"> </w:t>
      </w:r>
      <w:r w:rsidR="00CE594F" w:rsidRPr="00CE594F">
        <w:rPr>
          <w:rFonts w:eastAsia="MS Mincho"/>
          <w:sz w:val="20"/>
          <w:szCs w:val="20"/>
          <w:lang w:val="en-US" w:eastAsia="ja-JP"/>
        </w:rPr>
        <w:t>regional hypoperfusion in or close to a structural lesion</w:t>
      </w:r>
      <w:r w:rsidR="00CE594F">
        <w:rPr>
          <w:rFonts w:eastAsia="MS Mincho"/>
          <w:sz w:val="20"/>
          <w:szCs w:val="20"/>
          <w:lang w:val="en-US" w:eastAsia="ja-JP"/>
        </w:rPr>
        <w:t xml:space="preserve"> </w:t>
      </w:r>
      <w:r w:rsidR="008C56EE">
        <w:rPr>
          <w:rFonts w:eastAsia="MS Mincho"/>
          <w:sz w:val="20"/>
          <w:szCs w:val="20"/>
          <w:lang w:val="en-US" w:eastAsia="ja-JP"/>
        </w:rPr>
        <w:t xml:space="preserve">is interpreted as SOZ, putative uncertainty should result in a low </w:t>
      </w:r>
      <w:r w:rsidR="000D7EC0">
        <w:rPr>
          <w:rFonts w:eastAsia="MS Mincho"/>
          <w:sz w:val="20"/>
          <w:szCs w:val="20"/>
          <w:lang w:val="en-US" w:eastAsia="ja-JP"/>
        </w:rPr>
        <w:t xml:space="preserve">confidence </w:t>
      </w:r>
      <w:r w:rsidR="008C56EE">
        <w:rPr>
          <w:rFonts w:eastAsia="MS Mincho"/>
          <w:sz w:val="20"/>
          <w:szCs w:val="20"/>
          <w:lang w:val="en-US" w:eastAsia="ja-JP"/>
        </w:rPr>
        <w:t>score</w:t>
      </w:r>
    </w:p>
    <w:p w14:paraId="22C26AF6" w14:textId="4EDA85E6"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the likelihood/</w:t>
      </w:r>
      <w:r w:rsidR="000D7EC0">
        <w:rPr>
          <w:rFonts w:eastAsia="MS Mincho"/>
          <w:sz w:val="20"/>
          <w:szCs w:val="20"/>
          <w:lang w:val="en-US" w:eastAsia="ja-JP"/>
        </w:rPr>
        <w:t>confidence</w:t>
      </w:r>
      <w:r w:rsidR="000D7EC0" w:rsidRPr="00021EB6">
        <w:rPr>
          <w:rFonts w:eastAsia="MS Mincho"/>
          <w:sz w:val="20"/>
          <w:szCs w:val="20"/>
          <w:lang w:val="en-US" w:eastAsia="ja-JP"/>
        </w:rPr>
        <w:t xml:space="preserve"> </w:t>
      </w:r>
      <w:r w:rsidRPr="00021EB6">
        <w:rPr>
          <w:rFonts w:eastAsia="MS Mincho"/>
          <w:sz w:val="20"/>
          <w:szCs w:val="20"/>
          <w:lang w:val="en-US" w:eastAsia="ja-JP"/>
        </w:rPr>
        <w:t>that regional hypoperfusion in cortical grey matter in the border zone of a defect</w:t>
      </w:r>
      <w:r w:rsidR="003C3122">
        <w:rPr>
          <w:rFonts w:eastAsia="MS Mincho"/>
          <w:sz w:val="20"/>
          <w:szCs w:val="20"/>
          <w:lang w:val="en-US" w:eastAsia="ja-JP"/>
        </w:rPr>
        <w:t xml:space="preserve"> (stroke, resection area, cyst …)</w:t>
      </w:r>
      <w:r w:rsidR="0091196E">
        <w:rPr>
          <w:rFonts w:eastAsia="MS Mincho"/>
          <w:sz w:val="20"/>
          <w:szCs w:val="20"/>
          <w:lang w:val="en-US" w:eastAsia="ja-JP"/>
        </w:rPr>
        <w:t xml:space="preserve"> </w:t>
      </w:r>
      <w:r w:rsidR="003C3122">
        <w:rPr>
          <w:rFonts w:eastAsia="MS Mincho"/>
          <w:sz w:val="20"/>
          <w:szCs w:val="20"/>
          <w:lang w:val="en-US" w:eastAsia="ja-JP"/>
        </w:rPr>
        <w:t>or in/</w:t>
      </w:r>
      <w:r w:rsidRPr="00021EB6">
        <w:rPr>
          <w:rFonts w:eastAsia="MS Mincho"/>
          <w:sz w:val="20"/>
          <w:szCs w:val="20"/>
          <w:lang w:val="en-US" w:eastAsia="ja-JP"/>
        </w:rPr>
        <w:t xml:space="preserve">close to a structural lesion (e.g., tumor, postencephalitic) indicates the SOZ </w:t>
      </w:r>
      <w:r w:rsidR="00325E84">
        <w:rPr>
          <w:rFonts w:eastAsia="MS Mincho"/>
          <w:sz w:val="20"/>
          <w:szCs w:val="20"/>
          <w:lang w:val="en-US" w:eastAsia="ja-JP"/>
        </w:rPr>
        <w:t xml:space="preserve">might </w:t>
      </w:r>
      <w:r w:rsidRPr="00021EB6">
        <w:rPr>
          <w:rFonts w:eastAsia="MS Mincho"/>
          <w:sz w:val="20"/>
          <w:szCs w:val="20"/>
          <w:lang w:val="en-US" w:eastAsia="ja-JP"/>
        </w:rPr>
        <w:t>increase if the interictal perfusion SPECT does not reveal further</w:t>
      </w:r>
      <w:r w:rsidR="003C3122">
        <w:rPr>
          <w:rFonts w:eastAsia="MS Mincho"/>
          <w:sz w:val="20"/>
          <w:szCs w:val="20"/>
          <w:lang w:val="en-US" w:eastAsia="ja-JP"/>
        </w:rPr>
        <w:t xml:space="preserve"> SOZ candidates</w:t>
      </w:r>
      <w:r w:rsidRPr="00021EB6">
        <w:rPr>
          <w:rFonts w:eastAsia="MS Mincho"/>
          <w:sz w:val="20"/>
          <w:szCs w:val="20"/>
          <w:lang w:val="en-US" w:eastAsia="ja-JP"/>
        </w:rPr>
        <w:t xml:space="preserve"> </w:t>
      </w:r>
    </w:p>
    <w:p w14:paraId="5812BF03" w14:textId="61AFBCE6"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strongly pronounced regional hypoperfusion </w:t>
      </w:r>
      <w:r w:rsidR="00A660A6">
        <w:rPr>
          <w:rFonts w:eastAsia="MS Mincho"/>
          <w:sz w:val="20"/>
          <w:szCs w:val="20"/>
          <w:lang w:val="en-US" w:eastAsia="ja-JP"/>
        </w:rPr>
        <w:t xml:space="preserve">not associated with a defect or lesion </w:t>
      </w:r>
      <w:r w:rsidRPr="00021EB6">
        <w:rPr>
          <w:rFonts w:eastAsia="MS Mincho"/>
          <w:sz w:val="20"/>
          <w:szCs w:val="20"/>
          <w:lang w:val="en-US" w:eastAsia="ja-JP"/>
        </w:rPr>
        <w:t xml:space="preserve">usually </w:t>
      </w:r>
      <w:r w:rsidR="00A660A6">
        <w:rPr>
          <w:rFonts w:eastAsia="MS Mincho"/>
          <w:sz w:val="20"/>
          <w:szCs w:val="20"/>
          <w:lang w:val="en-US" w:eastAsia="ja-JP"/>
        </w:rPr>
        <w:t xml:space="preserve">increases the </w:t>
      </w:r>
      <w:r w:rsidR="000D7EC0">
        <w:rPr>
          <w:rFonts w:eastAsia="MS Mincho"/>
          <w:sz w:val="20"/>
          <w:szCs w:val="20"/>
          <w:lang w:val="en-US" w:eastAsia="ja-JP"/>
        </w:rPr>
        <w:t>confidence</w:t>
      </w:r>
      <w:r w:rsidR="000D7EC0" w:rsidRPr="00021EB6">
        <w:rPr>
          <w:rFonts w:eastAsia="MS Mincho"/>
          <w:sz w:val="20"/>
          <w:szCs w:val="20"/>
          <w:lang w:val="en-US" w:eastAsia="ja-JP"/>
        </w:rPr>
        <w:t xml:space="preserve"> </w:t>
      </w:r>
      <w:r w:rsidR="000D7EC0">
        <w:rPr>
          <w:rFonts w:eastAsia="MS Mincho"/>
          <w:sz w:val="20"/>
          <w:szCs w:val="20"/>
          <w:lang w:val="en-US" w:eastAsia="ja-JP"/>
        </w:rPr>
        <w:t>that</w:t>
      </w:r>
      <w:r w:rsidRPr="00021EB6">
        <w:rPr>
          <w:rFonts w:eastAsia="MS Mincho"/>
          <w:sz w:val="20"/>
          <w:szCs w:val="20"/>
          <w:lang w:val="en-US" w:eastAsia="ja-JP"/>
        </w:rPr>
        <w:t xml:space="preserve"> this region </w:t>
      </w:r>
      <w:r w:rsidR="000D7EC0">
        <w:rPr>
          <w:rFonts w:eastAsia="MS Mincho"/>
          <w:sz w:val="20"/>
          <w:szCs w:val="20"/>
          <w:lang w:val="en-US" w:eastAsia="ja-JP"/>
        </w:rPr>
        <w:t>is</w:t>
      </w:r>
      <w:r w:rsidRPr="00021EB6">
        <w:rPr>
          <w:rFonts w:eastAsia="MS Mincho"/>
          <w:sz w:val="20"/>
          <w:szCs w:val="20"/>
          <w:lang w:val="en-US" w:eastAsia="ja-JP"/>
        </w:rPr>
        <w:t xml:space="preserve"> t</w:t>
      </w:r>
      <w:r w:rsidR="00A660A6">
        <w:rPr>
          <w:rFonts w:eastAsia="MS Mincho"/>
          <w:sz w:val="20"/>
          <w:szCs w:val="20"/>
          <w:lang w:val="en-US" w:eastAsia="ja-JP"/>
        </w:rPr>
        <w:t>he SOZ compared to mild hypoperfusion</w:t>
      </w:r>
    </w:p>
    <w:p w14:paraId="6AC26432" w14:textId="238BBC8B"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ranking of the </w:t>
      </w:r>
      <w:r w:rsidR="000D7EC0">
        <w:rPr>
          <w:rFonts w:eastAsia="MS Mincho"/>
          <w:sz w:val="20"/>
          <w:szCs w:val="20"/>
          <w:lang w:val="en-US" w:eastAsia="ja-JP"/>
        </w:rPr>
        <w:t>confidence</w:t>
      </w:r>
      <w:r w:rsidR="000D7EC0" w:rsidRPr="00021EB6">
        <w:rPr>
          <w:rFonts w:eastAsia="MS Mincho"/>
          <w:sz w:val="20"/>
          <w:szCs w:val="20"/>
          <w:lang w:val="en-US" w:eastAsia="ja-JP"/>
        </w:rPr>
        <w:t xml:space="preserve"> </w:t>
      </w:r>
      <w:r w:rsidR="000D7EC0">
        <w:rPr>
          <w:rFonts w:eastAsia="MS Mincho"/>
          <w:sz w:val="20"/>
          <w:szCs w:val="20"/>
          <w:lang w:val="en-US" w:eastAsia="ja-JP"/>
        </w:rPr>
        <w:t xml:space="preserve">regarding the </w:t>
      </w:r>
      <w:r w:rsidRPr="00021EB6">
        <w:rPr>
          <w:rFonts w:eastAsia="MS Mincho"/>
          <w:sz w:val="20"/>
          <w:szCs w:val="20"/>
          <w:lang w:val="en-US" w:eastAsia="ja-JP"/>
        </w:rPr>
        <w:t>identification of the SOZ: visual identification of the SOZ in the uptake image and significant cluster of hypoperfusion in the statistical parametric map &gt; visual identification in the uptake image only or significant cluster of hypoperfusion in the statistical parametric map only</w:t>
      </w:r>
    </w:p>
    <w:p w14:paraId="51586DC0" w14:textId="3E2BCF09" w:rsidR="00B262ED" w:rsidRPr="005333C9" w:rsidRDefault="001E13C7" w:rsidP="005333C9">
      <w:pPr>
        <w:pStyle w:val="berschrift2"/>
        <w:spacing w:before="720" w:after="120" w:line="480" w:lineRule="auto"/>
        <w:rPr>
          <w:rFonts w:ascii="Times New Roman" w:hAnsi="Times New Roman" w:cs="Times New Roman"/>
          <w:b/>
          <w:color w:val="auto"/>
          <w:sz w:val="24"/>
          <w:szCs w:val="24"/>
          <w:lang w:val="en-US"/>
        </w:rPr>
      </w:pPr>
      <w:r w:rsidRPr="005333C9">
        <w:rPr>
          <w:rFonts w:ascii="Times New Roman" w:hAnsi="Times New Roman" w:cs="Times New Roman"/>
          <w:b/>
          <w:color w:val="auto"/>
          <w:sz w:val="24"/>
          <w:szCs w:val="24"/>
          <w:lang w:val="en-US"/>
        </w:rPr>
        <w:lastRenderedPageBreak/>
        <w:t>I</w:t>
      </w:r>
      <w:r w:rsidR="00B262ED" w:rsidRPr="005333C9">
        <w:rPr>
          <w:rFonts w:ascii="Times New Roman" w:hAnsi="Times New Roman" w:cs="Times New Roman"/>
          <w:b/>
          <w:color w:val="auto"/>
          <w:sz w:val="24"/>
          <w:szCs w:val="24"/>
          <w:lang w:val="en-US"/>
        </w:rPr>
        <w:t>ctal and interictal SPECT</w:t>
      </w:r>
      <w:r w:rsidRPr="005333C9">
        <w:rPr>
          <w:rFonts w:ascii="Times New Roman" w:hAnsi="Times New Roman" w:cs="Times New Roman"/>
          <w:b/>
          <w:color w:val="auto"/>
          <w:sz w:val="24"/>
          <w:szCs w:val="24"/>
          <w:lang w:val="en-US"/>
        </w:rPr>
        <w:t xml:space="preserve"> side-by-side</w:t>
      </w:r>
      <w:r w:rsidR="00B262ED" w:rsidRPr="005333C9">
        <w:rPr>
          <w:rFonts w:ascii="Times New Roman" w:hAnsi="Times New Roman" w:cs="Times New Roman"/>
          <w:b/>
          <w:color w:val="auto"/>
          <w:sz w:val="24"/>
          <w:szCs w:val="24"/>
          <w:lang w:val="en-US"/>
        </w:rPr>
        <w:t xml:space="preserve"> </w:t>
      </w:r>
    </w:p>
    <w:p w14:paraId="357AA1CE" w14:textId="77777777"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first assess ictal SPECT alone and interictal SPECT alone, then assess ictal and interictal SPECT side-by-side</w:t>
      </w:r>
    </w:p>
    <w:p w14:paraId="3C9E26B1" w14:textId="77777777"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identification of the SOZ can be based on</w:t>
      </w:r>
    </w:p>
    <w:p w14:paraId="1A3F1963" w14:textId="687F7303" w:rsidR="00021EB6" w:rsidRPr="00021EB6" w:rsidRDefault="00021EB6" w:rsidP="003237DF">
      <w:pPr>
        <w:pStyle w:val="Listenabsatz"/>
        <w:numPr>
          <w:ilvl w:val="1"/>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both ictal and interictal SPECT (if ictal SPECT shows hyperperfusion and interictal SPECT shows hypoperfusion</w:t>
      </w:r>
      <w:r w:rsidR="005A1242">
        <w:rPr>
          <w:rFonts w:eastAsia="MS Mincho"/>
          <w:sz w:val="20"/>
          <w:szCs w:val="20"/>
          <w:lang w:val="en-US" w:eastAsia="ja-JP"/>
        </w:rPr>
        <w:t xml:space="preserve"> in the same brain region</w:t>
      </w:r>
      <w:r w:rsidRPr="00021EB6">
        <w:rPr>
          <w:rFonts w:eastAsia="MS Mincho"/>
          <w:sz w:val="20"/>
          <w:szCs w:val="20"/>
          <w:lang w:val="en-US" w:eastAsia="ja-JP"/>
        </w:rPr>
        <w:t>)</w:t>
      </w:r>
    </w:p>
    <w:p w14:paraId="01BDB094" w14:textId="2880219D" w:rsidR="00021EB6" w:rsidRPr="00021EB6" w:rsidRDefault="00021EB6" w:rsidP="003237DF">
      <w:pPr>
        <w:pStyle w:val="Listenabsatz"/>
        <w:numPr>
          <w:ilvl w:val="1"/>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on ictal SPECT alone (if interictal SPECT shows</w:t>
      </w:r>
      <w:r w:rsidR="005A1242">
        <w:rPr>
          <w:rFonts w:eastAsia="MS Mincho"/>
          <w:sz w:val="20"/>
          <w:szCs w:val="20"/>
          <w:lang w:val="en-US" w:eastAsia="ja-JP"/>
        </w:rPr>
        <w:t xml:space="preserve"> more or less </w:t>
      </w:r>
      <w:r w:rsidRPr="00021EB6">
        <w:rPr>
          <w:rFonts w:eastAsia="MS Mincho"/>
          <w:sz w:val="20"/>
          <w:szCs w:val="20"/>
          <w:lang w:val="en-US" w:eastAsia="ja-JP"/>
        </w:rPr>
        <w:t>normal perfusion</w:t>
      </w:r>
      <w:r w:rsidR="005A1242">
        <w:rPr>
          <w:rFonts w:eastAsia="MS Mincho"/>
          <w:sz w:val="20"/>
          <w:szCs w:val="20"/>
          <w:lang w:val="en-US" w:eastAsia="ja-JP"/>
        </w:rPr>
        <w:t xml:space="preserve"> in the </w:t>
      </w:r>
      <w:r w:rsidR="00CC7E01">
        <w:rPr>
          <w:rFonts w:eastAsia="MS Mincho"/>
          <w:sz w:val="20"/>
          <w:szCs w:val="20"/>
          <w:lang w:val="en-US" w:eastAsia="ja-JP"/>
        </w:rPr>
        <w:t xml:space="preserve">“ictal” </w:t>
      </w:r>
      <w:r w:rsidR="005A1242">
        <w:rPr>
          <w:rFonts w:eastAsia="MS Mincho"/>
          <w:sz w:val="20"/>
          <w:szCs w:val="20"/>
          <w:lang w:val="en-US" w:eastAsia="ja-JP"/>
        </w:rPr>
        <w:t>SOZ</w:t>
      </w:r>
      <w:r w:rsidRPr="00021EB6">
        <w:rPr>
          <w:rFonts w:eastAsia="MS Mincho"/>
          <w:sz w:val="20"/>
          <w:szCs w:val="20"/>
          <w:lang w:val="en-US" w:eastAsia="ja-JP"/>
        </w:rPr>
        <w:t>)</w:t>
      </w:r>
    </w:p>
    <w:p w14:paraId="652BC76C" w14:textId="04AB2401" w:rsidR="00021EB6" w:rsidRPr="00021EB6" w:rsidRDefault="00021EB6" w:rsidP="003237DF">
      <w:pPr>
        <w:pStyle w:val="Listenabsatz"/>
        <w:numPr>
          <w:ilvl w:val="1"/>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on interictal SPECT alone (if ictal SPECT shows</w:t>
      </w:r>
      <w:r w:rsidR="005A1242">
        <w:rPr>
          <w:rFonts w:eastAsia="MS Mincho"/>
          <w:sz w:val="20"/>
          <w:szCs w:val="20"/>
          <w:lang w:val="en-US" w:eastAsia="ja-JP"/>
        </w:rPr>
        <w:t xml:space="preserve"> more or less</w:t>
      </w:r>
      <w:r w:rsidRPr="00021EB6">
        <w:rPr>
          <w:rFonts w:eastAsia="MS Mincho"/>
          <w:sz w:val="20"/>
          <w:szCs w:val="20"/>
          <w:lang w:val="en-US" w:eastAsia="ja-JP"/>
        </w:rPr>
        <w:t xml:space="preserve"> normal perfusion</w:t>
      </w:r>
      <w:r w:rsidR="005A1242">
        <w:rPr>
          <w:rFonts w:eastAsia="MS Mincho"/>
          <w:sz w:val="20"/>
          <w:szCs w:val="20"/>
          <w:lang w:val="en-US" w:eastAsia="ja-JP"/>
        </w:rPr>
        <w:t xml:space="preserve"> in the </w:t>
      </w:r>
      <w:r w:rsidR="00CC7E01">
        <w:rPr>
          <w:rFonts w:eastAsia="MS Mincho"/>
          <w:sz w:val="20"/>
          <w:szCs w:val="20"/>
          <w:lang w:val="en-US" w:eastAsia="ja-JP"/>
        </w:rPr>
        <w:t xml:space="preserve">“interictal” </w:t>
      </w:r>
      <w:r w:rsidR="005A1242">
        <w:rPr>
          <w:rFonts w:eastAsia="MS Mincho"/>
          <w:sz w:val="20"/>
          <w:szCs w:val="20"/>
          <w:lang w:val="en-US" w:eastAsia="ja-JP"/>
        </w:rPr>
        <w:t>SOZ</w:t>
      </w:r>
      <w:r w:rsidRPr="00021EB6">
        <w:rPr>
          <w:rFonts w:eastAsia="MS Mincho"/>
          <w:sz w:val="20"/>
          <w:szCs w:val="20"/>
          <w:lang w:val="en-US" w:eastAsia="ja-JP"/>
        </w:rPr>
        <w:t>)</w:t>
      </w:r>
    </w:p>
    <w:p w14:paraId="5B8E7A23" w14:textId="315D49BC" w:rsidR="00021EB6" w:rsidRPr="00021EB6" w:rsidRDefault="00021EB6" w:rsidP="003237DF">
      <w:pPr>
        <w:pStyle w:val="Listenabsatz"/>
        <w:numPr>
          <w:ilvl w:val="1"/>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on side-by-side interpretation of ictal and interictal SPECT alone (</w:t>
      </w:r>
      <w:r w:rsidR="005A1242">
        <w:rPr>
          <w:rFonts w:eastAsia="MS Mincho"/>
          <w:sz w:val="20"/>
          <w:szCs w:val="20"/>
          <w:lang w:val="en-US" w:eastAsia="ja-JP"/>
        </w:rPr>
        <w:t xml:space="preserve">due to the combination of </w:t>
      </w:r>
      <w:r w:rsidRPr="00021EB6">
        <w:rPr>
          <w:rFonts w:eastAsia="MS Mincho"/>
          <w:sz w:val="20"/>
          <w:szCs w:val="20"/>
          <w:lang w:val="en-US" w:eastAsia="ja-JP"/>
        </w:rPr>
        <w:t xml:space="preserve">regional ictal hyperperfusion </w:t>
      </w:r>
      <w:r w:rsidR="005A1242">
        <w:rPr>
          <w:rFonts w:eastAsia="MS Mincho"/>
          <w:sz w:val="20"/>
          <w:szCs w:val="20"/>
          <w:lang w:val="en-US" w:eastAsia="ja-JP"/>
        </w:rPr>
        <w:t xml:space="preserve">that is too mild to be interpreted as the SOZ </w:t>
      </w:r>
      <w:r w:rsidRPr="00021EB6">
        <w:rPr>
          <w:rFonts w:eastAsia="MS Mincho"/>
          <w:sz w:val="20"/>
          <w:szCs w:val="20"/>
          <w:lang w:val="en-US" w:eastAsia="ja-JP"/>
        </w:rPr>
        <w:t xml:space="preserve">in ictal SPECT alone and regional interictal hypoperfusion </w:t>
      </w:r>
      <w:r w:rsidR="005A1242">
        <w:rPr>
          <w:rFonts w:eastAsia="MS Mincho"/>
          <w:sz w:val="20"/>
          <w:szCs w:val="20"/>
          <w:lang w:val="en-US" w:eastAsia="ja-JP"/>
        </w:rPr>
        <w:t>in the same brain region that is too mild to be interpreted as the SOZ in the interictal SPECT alone</w:t>
      </w:r>
      <w:r w:rsidR="00DF7EA5">
        <w:rPr>
          <w:rFonts w:eastAsia="MS Mincho"/>
          <w:sz w:val="20"/>
          <w:szCs w:val="20"/>
          <w:lang w:val="en-US" w:eastAsia="ja-JP"/>
        </w:rPr>
        <w:t>)</w:t>
      </w:r>
    </w:p>
    <w:p w14:paraId="3D002F8C" w14:textId="49A749B4"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a SOZ candidate from ictal SPECT that shows similar hyperperfusion in interictal SPECT should not be interpreted as SOZ</w:t>
      </w:r>
      <w:r w:rsidR="00CC7E01">
        <w:rPr>
          <w:rFonts w:eastAsia="MS Mincho"/>
          <w:sz w:val="20"/>
          <w:szCs w:val="20"/>
          <w:lang w:val="en-US" w:eastAsia="ja-JP"/>
        </w:rPr>
        <w:t xml:space="preserve"> (or with strongly reduced </w:t>
      </w:r>
      <w:r w:rsidR="000D7EC0">
        <w:rPr>
          <w:rFonts w:eastAsia="MS Mincho"/>
          <w:sz w:val="20"/>
          <w:szCs w:val="20"/>
          <w:lang w:val="en-US" w:eastAsia="ja-JP"/>
        </w:rPr>
        <w:t>confidence</w:t>
      </w:r>
      <w:r w:rsidR="00CC7E01">
        <w:rPr>
          <w:rFonts w:eastAsia="MS Mincho"/>
          <w:sz w:val="20"/>
          <w:szCs w:val="20"/>
          <w:lang w:val="en-US" w:eastAsia="ja-JP"/>
        </w:rPr>
        <w:t>)</w:t>
      </w:r>
    </w:p>
    <w:p w14:paraId="4B2CDB69" w14:textId="2D7308BD" w:rsidR="00021EB6" w:rsidRPr="00021EB6" w:rsidRDefault="00021EB6" w:rsidP="005333C9">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a SOZ candidate from interictal SPECT that shows similar hypoperfusion in ictal SPECT should not be interpreted as SOZ</w:t>
      </w:r>
      <w:r w:rsidR="00CC7E01">
        <w:rPr>
          <w:rFonts w:eastAsia="MS Mincho"/>
          <w:sz w:val="20"/>
          <w:szCs w:val="20"/>
          <w:lang w:val="en-US" w:eastAsia="ja-JP"/>
        </w:rPr>
        <w:t xml:space="preserve"> (or with strongly reduced </w:t>
      </w:r>
      <w:r w:rsidR="000D7EC0">
        <w:rPr>
          <w:rFonts w:eastAsia="MS Mincho"/>
          <w:sz w:val="20"/>
          <w:szCs w:val="20"/>
          <w:lang w:val="en-US" w:eastAsia="ja-JP"/>
        </w:rPr>
        <w:t>confidence</w:t>
      </w:r>
      <w:r w:rsidR="00CC7E01">
        <w:rPr>
          <w:rFonts w:eastAsia="MS Mincho"/>
          <w:sz w:val="20"/>
          <w:szCs w:val="20"/>
          <w:lang w:val="en-US" w:eastAsia="ja-JP"/>
        </w:rPr>
        <w:t>)</w:t>
      </w:r>
    </w:p>
    <w:p w14:paraId="3B96C959" w14:textId="25F690CB" w:rsidR="00021EB6" w:rsidRDefault="00021EB6" w:rsidP="005333C9">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ranking of </w:t>
      </w:r>
      <w:r w:rsidR="000D7EC0">
        <w:rPr>
          <w:rFonts w:eastAsia="MS Mincho"/>
          <w:sz w:val="20"/>
          <w:szCs w:val="20"/>
          <w:lang w:val="en-US" w:eastAsia="ja-JP"/>
        </w:rPr>
        <w:t>confidence</w:t>
      </w:r>
      <w:r w:rsidRPr="00021EB6">
        <w:rPr>
          <w:rFonts w:eastAsia="MS Mincho"/>
          <w:sz w:val="20"/>
          <w:szCs w:val="20"/>
          <w:lang w:val="en-US" w:eastAsia="ja-JP"/>
        </w:rPr>
        <w:t>: SOZ identified in ictal SPECT and in interictal SPECT and in side-by-side interpretation</w:t>
      </w:r>
      <w:r w:rsidR="00CC7E01">
        <w:rPr>
          <w:rFonts w:eastAsia="MS Mincho"/>
          <w:sz w:val="20"/>
          <w:szCs w:val="20"/>
          <w:lang w:val="en-US" w:eastAsia="ja-JP"/>
        </w:rPr>
        <w:t xml:space="preserve"> &gt; </w:t>
      </w:r>
      <w:r w:rsidR="00CC7E01" w:rsidRPr="00021EB6">
        <w:rPr>
          <w:rFonts w:eastAsia="MS Mincho"/>
          <w:sz w:val="20"/>
          <w:szCs w:val="20"/>
          <w:lang w:val="en-US" w:eastAsia="ja-JP"/>
        </w:rPr>
        <w:t xml:space="preserve">SOZ candidate in side-by-side interpretation only </w:t>
      </w:r>
      <w:r w:rsidR="00CC7E01">
        <w:rPr>
          <w:rFonts w:eastAsia="MS Mincho"/>
          <w:sz w:val="20"/>
          <w:szCs w:val="20"/>
          <w:lang w:val="en-US" w:eastAsia="ja-JP"/>
        </w:rPr>
        <w:t>≈</w:t>
      </w:r>
      <w:r w:rsidRPr="00021EB6">
        <w:rPr>
          <w:rFonts w:eastAsia="MS Mincho"/>
          <w:sz w:val="20"/>
          <w:szCs w:val="20"/>
          <w:lang w:val="en-US" w:eastAsia="ja-JP"/>
        </w:rPr>
        <w:t xml:space="preserve"> SOZ candidate in ictal SPECT only &gt; SOZ candidate in interictal SPECT only</w:t>
      </w:r>
    </w:p>
    <w:p w14:paraId="5CF2752C" w14:textId="4058AFEA" w:rsidR="006976AD" w:rsidRPr="006976AD" w:rsidRDefault="006976AD" w:rsidP="005333C9">
      <w:pPr>
        <w:pStyle w:val="Listenabsatz"/>
        <w:numPr>
          <w:ilvl w:val="0"/>
          <w:numId w:val="1"/>
        </w:numPr>
        <w:spacing w:after="120" w:line="480" w:lineRule="auto"/>
        <w:contextualSpacing w:val="0"/>
        <w:jc w:val="both"/>
        <w:rPr>
          <w:rFonts w:eastAsia="MS Mincho"/>
          <w:sz w:val="20"/>
          <w:szCs w:val="20"/>
          <w:lang w:val="en-US" w:eastAsia="ja-JP"/>
        </w:rPr>
      </w:pPr>
      <w:r w:rsidRPr="00CC3FA4">
        <w:rPr>
          <w:rFonts w:eastAsia="MS Mincho"/>
          <w:sz w:val="20"/>
          <w:szCs w:val="20"/>
          <w:lang w:val="en-US" w:eastAsia="ja-JP"/>
        </w:rPr>
        <w:t>ictual hyper</w:t>
      </w:r>
      <w:r w:rsidR="00097BE6">
        <w:rPr>
          <w:rFonts w:eastAsia="MS Mincho"/>
          <w:sz w:val="20"/>
          <w:szCs w:val="20"/>
          <w:lang w:val="en-US" w:eastAsia="ja-JP"/>
        </w:rPr>
        <w:t>perfusion</w:t>
      </w:r>
      <w:r w:rsidRPr="00CC3FA4">
        <w:rPr>
          <w:rFonts w:eastAsia="MS Mincho"/>
          <w:sz w:val="20"/>
          <w:szCs w:val="20"/>
          <w:lang w:val="en-US" w:eastAsia="ja-JP"/>
        </w:rPr>
        <w:t xml:space="preserve"> in a given brain region combined with interictal hypometabolism in the homologous brain region in the other</w:t>
      </w:r>
      <w:r w:rsidR="00097BE6">
        <w:rPr>
          <w:rFonts w:eastAsia="MS Mincho"/>
          <w:sz w:val="20"/>
          <w:szCs w:val="20"/>
          <w:lang w:val="en-US" w:eastAsia="ja-JP"/>
        </w:rPr>
        <w:t xml:space="preserve"> (contralateral)</w:t>
      </w:r>
      <w:r w:rsidRPr="00CC3FA4">
        <w:rPr>
          <w:rFonts w:eastAsia="MS Mincho"/>
          <w:sz w:val="20"/>
          <w:szCs w:val="20"/>
          <w:lang w:val="en-US" w:eastAsia="ja-JP"/>
        </w:rPr>
        <w:t xml:space="preserve"> hemisphere reduces the </w:t>
      </w:r>
      <w:r w:rsidR="000D7EC0">
        <w:rPr>
          <w:rFonts w:eastAsia="MS Mincho"/>
          <w:sz w:val="20"/>
          <w:szCs w:val="20"/>
          <w:lang w:val="en-US" w:eastAsia="ja-JP"/>
        </w:rPr>
        <w:t>confidence</w:t>
      </w:r>
      <w:r w:rsidR="000D7EC0" w:rsidRPr="00CC3FA4">
        <w:rPr>
          <w:rFonts w:eastAsia="MS Mincho"/>
          <w:sz w:val="20"/>
          <w:szCs w:val="20"/>
          <w:lang w:val="en-US" w:eastAsia="ja-JP"/>
        </w:rPr>
        <w:t xml:space="preserve"> </w:t>
      </w:r>
      <w:r w:rsidR="000D7EC0">
        <w:rPr>
          <w:rFonts w:eastAsia="MS Mincho"/>
          <w:sz w:val="20"/>
          <w:szCs w:val="20"/>
          <w:lang w:val="en-US" w:eastAsia="ja-JP"/>
        </w:rPr>
        <w:t xml:space="preserve">regarding </w:t>
      </w:r>
      <w:r w:rsidRPr="00CC3FA4">
        <w:rPr>
          <w:rFonts w:eastAsia="MS Mincho"/>
          <w:sz w:val="20"/>
          <w:szCs w:val="20"/>
          <w:lang w:val="en-US" w:eastAsia="ja-JP"/>
        </w:rPr>
        <w:t>the lateralization</w:t>
      </w:r>
    </w:p>
    <w:p w14:paraId="6CA8C506" w14:textId="1D334464" w:rsidR="00021EB6" w:rsidRPr="005333C9" w:rsidRDefault="00021EB6" w:rsidP="005333C9">
      <w:pPr>
        <w:pStyle w:val="berschrift2"/>
        <w:spacing w:before="720" w:after="120" w:line="480" w:lineRule="auto"/>
        <w:rPr>
          <w:rFonts w:ascii="Times New Roman" w:hAnsi="Times New Roman" w:cs="Times New Roman"/>
          <w:b/>
          <w:color w:val="auto"/>
          <w:sz w:val="24"/>
          <w:szCs w:val="24"/>
          <w:lang w:val="en-US"/>
        </w:rPr>
      </w:pPr>
      <w:r w:rsidRPr="005333C9">
        <w:rPr>
          <w:rFonts w:ascii="Times New Roman" w:hAnsi="Times New Roman" w:cs="Times New Roman"/>
          <w:b/>
          <w:color w:val="auto"/>
          <w:sz w:val="24"/>
          <w:szCs w:val="24"/>
          <w:lang w:val="en-US"/>
        </w:rPr>
        <w:t>SISCOM</w:t>
      </w:r>
    </w:p>
    <w:p w14:paraId="6A0C8451" w14:textId="26AA5094"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first assess ictal SPECT alone, interictal SPECT alone, and ictal and interictal SPECT side-by-side. Then check each resulting SOZ candidate in the SISCOM map. If the SISCOM map confirms the SOZ candidate, it remains a SOZ candidate. If the SISCOM map does not confirm it, the decision should be reconsidered: it </w:t>
      </w:r>
      <w:r w:rsidRPr="00021EB6">
        <w:rPr>
          <w:rFonts w:eastAsia="MS Mincho"/>
          <w:sz w:val="20"/>
          <w:szCs w:val="20"/>
          <w:lang w:val="en-US" w:eastAsia="ja-JP"/>
        </w:rPr>
        <w:lastRenderedPageBreak/>
        <w:t xml:space="preserve">might remain a SOZ candidate (with </w:t>
      </w:r>
      <w:r w:rsidR="00DF7EA5">
        <w:rPr>
          <w:rFonts w:eastAsia="MS Mincho"/>
          <w:sz w:val="20"/>
          <w:szCs w:val="20"/>
          <w:lang w:val="en-US" w:eastAsia="ja-JP"/>
        </w:rPr>
        <w:t>reduced</w:t>
      </w:r>
      <w:r w:rsidRPr="00021EB6">
        <w:rPr>
          <w:rFonts w:eastAsia="MS Mincho"/>
          <w:sz w:val="20"/>
          <w:szCs w:val="20"/>
          <w:lang w:val="en-US" w:eastAsia="ja-JP"/>
        </w:rPr>
        <w:t xml:space="preserve"> </w:t>
      </w:r>
      <w:r w:rsidR="000D7EC0">
        <w:rPr>
          <w:rFonts w:eastAsia="MS Mincho"/>
          <w:sz w:val="20"/>
          <w:szCs w:val="20"/>
          <w:lang w:val="en-US" w:eastAsia="ja-JP"/>
        </w:rPr>
        <w:t>confidence</w:t>
      </w:r>
      <w:r w:rsidRPr="00021EB6">
        <w:rPr>
          <w:rFonts w:eastAsia="MS Mincho"/>
          <w:sz w:val="20"/>
          <w:szCs w:val="20"/>
          <w:lang w:val="en-US" w:eastAsia="ja-JP"/>
        </w:rPr>
        <w:t>), but more often it will be no lo</w:t>
      </w:r>
      <w:r w:rsidR="00DF7EA5">
        <w:rPr>
          <w:rFonts w:eastAsia="MS Mincho"/>
          <w:sz w:val="20"/>
          <w:szCs w:val="20"/>
          <w:lang w:val="en-US" w:eastAsia="ja-JP"/>
        </w:rPr>
        <w:t>nger considered a SOZ candidate</w:t>
      </w:r>
      <w:r w:rsidRPr="00021EB6">
        <w:rPr>
          <w:rFonts w:eastAsia="MS Mincho"/>
          <w:sz w:val="20"/>
          <w:szCs w:val="20"/>
          <w:lang w:val="en-US" w:eastAsia="ja-JP"/>
        </w:rPr>
        <w:t xml:space="preserve"> </w:t>
      </w:r>
    </w:p>
    <w:p w14:paraId="7D3D0D0F" w14:textId="75DBE0A9" w:rsidR="00021EB6" w:rsidRPr="00021EB6" w:rsidRDefault="00021EB6" w:rsidP="003237DF">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check for addit</w:t>
      </w:r>
      <w:r w:rsidR="00CC101D">
        <w:rPr>
          <w:rFonts w:eastAsia="MS Mincho"/>
          <w:sz w:val="20"/>
          <w:szCs w:val="20"/>
          <w:lang w:val="en-US" w:eastAsia="ja-JP"/>
        </w:rPr>
        <w:t>i</w:t>
      </w:r>
      <w:r w:rsidRPr="00021EB6">
        <w:rPr>
          <w:rFonts w:eastAsia="MS Mincho"/>
          <w:sz w:val="20"/>
          <w:szCs w:val="20"/>
          <w:lang w:val="en-US" w:eastAsia="ja-JP"/>
        </w:rPr>
        <w:t>onal SOZ candidates in the SISCOM map. If there are additional candidates, check them by side-by-side interpretation of ictal and interictal SPECT. If one of the exclusion criteria for SOZ candidates from ictal SPECT alone and/or interictal SPECT alone and/or side-by-</w:t>
      </w:r>
      <w:r w:rsidR="00CC101D">
        <w:rPr>
          <w:rFonts w:eastAsia="MS Mincho"/>
          <w:sz w:val="20"/>
          <w:szCs w:val="20"/>
          <w:lang w:val="en-US" w:eastAsia="ja-JP"/>
        </w:rPr>
        <w:t>side interpretation is met, the additional SOZ candidate from the SISCOM map most likely is not the</w:t>
      </w:r>
      <w:r w:rsidRPr="00021EB6">
        <w:rPr>
          <w:rFonts w:eastAsia="MS Mincho"/>
          <w:sz w:val="20"/>
          <w:szCs w:val="20"/>
          <w:lang w:val="en-US" w:eastAsia="ja-JP"/>
        </w:rPr>
        <w:t xml:space="preserve"> SOZ</w:t>
      </w:r>
    </w:p>
    <w:p w14:paraId="2A2AFF66" w14:textId="524ABC4F" w:rsidR="00021EB6" w:rsidRPr="005333C9" w:rsidRDefault="00CC3FA4" w:rsidP="005333C9">
      <w:pPr>
        <w:pStyle w:val="berschrift2"/>
        <w:spacing w:before="720" w:after="120" w:line="480" w:lineRule="auto"/>
        <w:rPr>
          <w:rFonts w:ascii="Times New Roman" w:hAnsi="Times New Roman" w:cs="Times New Roman"/>
          <w:b/>
          <w:color w:val="auto"/>
          <w:sz w:val="24"/>
          <w:szCs w:val="24"/>
          <w:lang w:val="en-US"/>
        </w:rPr>
      </w:pPr>
      <w:r w:rsidRPr="005333C9">
        <w:rPr>
          <w:rFonts w:ascii="Times New Roman" w:hAnsi="Times New Roman" w:cs="Times New Roman"/>
          <w:b/>
          <w:color w:val="auto"/>
          <w:sz w:val="24"/>
          <w:szCs w:val="24"/>
          <w:lang w:val="en-US"/>
        </w:rPr>
        <w:t>G</w:t>
      </w:r>
      <w:r w:rsidR="00021EB6" w:rsidRPr="005333C9">
        <w:rPr>
          <w:rFonts w:ascii="Times New Roman" w:hAnsi="Times New Roman" w:cs="Times New Roman"/>
          <w:b/>
          <w:color w:val="auto"/>
          <w:sz w:val="24"/>
          <w:szCs w:val="24"/>
          <w:lang w:val="en-US"/>
        </w:rPr>
        <w:t>eneral considerations</w:t>
      </w:r>
    </w:p>
    <w:p w14:paraId="60949DB2" w14:textId="7A1C5872" w:rsidR="006976AD" w:rsidRPr="00021EB6" w:rsidRDefault="006976AD" w:rsidP="006976AD">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 xml:space="preserve">the score “no evidence of SOZ” in the first step </w:t>
      </w:r>
      <w:r w:rsidR="00F654EF">
        <w:rPr>
          <w:rFonts w:eastAsia="MS Mincho"/>
          <w:sz w:val="20"/>
          <w:szCs w:val="20"/>
          <w:lang w:val="en-US" w:eastAsia="ja-JP"/>
        </w:rPr>
        <w:t xml:space="preserve">of the visual interpretation </w:t>
      </w:r>
      <w:r w:rsidRPr="00021EB6">
        <w:rPr>
          <w:rFonts w:eastAsia="MS Mincho"/>
          <w:sz w:val="20"/>
          <w:szCs w:val="20"/>
          <w:lang w:val="en-US" w:eastAsia="ja-JP"/>
        </w:rPr>
        <w:t>is restricted to cases with (more or less) normal perfusion. The score “no evidence of SOZ” sho</w:t>
      </w:r>
      <w:r w:rsidR="00480430">
        <w:rPr>
          <w:rFonts w:eastAsia="MS Mincho"/>
          <w:sz w:val="20"/>
          <w:szCs w:val="20"/>
          <w:lang w:val="en-US" w:eastAsia="ja-JP"/>
        </w:rPr>
        <w:t xml:space="preserve">uld not be used in cases with </w:t>
      </w:r>
      <w:r w:rsidRPr="00021EB6">
        <w:rPr>
          <w:rFonts w:eastAsia="MS Mincho"/>
          <w:sz w:val="20"/>
          <w:szCs w:val="20"/>
          <w:lang w:val="en-US" w:eastAsia="ja-JP"/>
        </w:rPr>
        <w:t xml:space="preserve">2 </w:t>
      </w:r>
      <w:r w:rsidR="00480430">
        <w:rPr>
          <w:rFonts w:eastAsia="MS Mincho"/>
          <w:sz w:val="20"/>
          <w:szCs w:val="20"/>
          <w:lang w:val="en-US" w:eastAsia="ja-JP"/>
        </w:rPr>
        <w:t xml:space="preserve">(or more) </w:t>
      </w:r>
      <w:r w:rsidRPr="00021EB6">
        <w:rPr>
          <w:rFonts w:eastAsia="MS Mincho"/>
          <w:sz w:val="20"/>
          <w:szCs w:val="20"/>
          <w:lang w:val="en-US" w:eastAsia="ja-JP"/>
        </w:rPr>
        <w:t>SOZ candidates that all have about the same likelihood to be the actual SOZ. In the latter case, one SO</w:t>
      </w:r>
      <w:r w:rsidR="00480430">
        <w:rPr>
          <w:rFonts w:eastAsia="MS Mincho"/>
          <w:sz w:val="20"/>
          <w:szCs w:val="20"/>
          <w:lang w:val="en-US" w:eastAsia="ja-JP"/>
        </w:rPr>
        <w:t xml:space="preserve">Z candidate should be selected. If the other SOZ candidate is located in the other hemisphere, the </w:t>
      </w:r>
      <w:r w:rsidR="000D7EC0">
        <w:rPr>
          <w:rFonts w:eastAsia="MS Mincho"/>
          <w:sz w:val="20"/>
          <w:szCs w:val="20"/>
          <w:lang w:val="en-US" w:eastAsia="ja-JP"/>
        </w:rPr>
        <w:t xml:space="preserve">confidence regarding </w:t>
      </w:r>
      <w:r w:rsidR="00480430">
        <w:rPr>
          <w:rFonts w:eastAsia="MS Mincho"/>
          <w:sz w:val="20"/>
          <w:szCs w:val="20"/>
          <w:lang w:val="en-US" w:eastAsia="ja-JP"/>
        </w:rPr>
        <w:t>the lateralization is low</w:t>
      </w:r>
    </w:p>
    <w:p w14:paraId="4072A070" w14:textId="1BB9EE94" w:rsidR="006976AD" w:rsidRPr="00021EB6" w:rsidRDefault="006976AD" w:rsidP="006976AD">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in patients with structural</w:t>
      </w:r>
      <w:r w:rsidR="00F654EF">
        <w:rPr>
          <w:rFonts w:eastAsia="MS Mincho"/>
          <w:sz w:val="20"/>
          <w:szCs w:val="20"/>
          <w:lang w:val="en-US" w:eastAsia="ja-JP"/>
        </w:rPr>
        <w:t xml:space="preserve"> defects or</w:t>
      </w:r>
      <w:r w:rsidRPr="00021EB6">
        <w:rPr>
          <w:rFonts w:eastAsia="MS Mincho"/>
          <w:sz w:val="20"/>
          <w:szCs w:val="20"/>
          <w:lang w:val="en-US" w:eastAsia="ja-JP"/>
        </w:rPr>
        <w:t xml:space="preserve"> lesions, the visual read of the SPECT images should start with careful inspection of the </w:t>
      </w:r>
      <w:r w:rsidR="00F654EF">
        <w:rPr>
          <w:rFonts w:eastAsia="MS Mincho"/>
          <w:sz w:val="20"/>
          <w:szCs w:val="20"/>
          <w:lang w:val="en-US" w:eastAsia="ja-JP"/>
        </w:rPr>
        <w:t>structural lesion / defect and its boundary zone</w:t>
      </w:r>
      <w:r w:rsidRPr="00021EB6">
        <w:rPr>
          <w:rFonts w:eastAsia="MS Mincho"/>
          <w:sz w:val="20"/>
          <w:szCs w:val="20"/>
          <w:lang w:val="en-US" w:eastAsia="ja-JP"/>
        </w:rPr>
        <w:t xml:space="preserve">. </w:t>
      </w:r>
      <w:r w:rsidR="00F654EF">
        <w:rPr>
          <w:rFonts w:eastAsia="MS Mincho"/>
          <w:sz w:val="20"/>
          <w:szCs w:val="20"/>
          <w:lang w:val="en-US" w:eastAsia="ja-JP"/>
        </w:rPr>
        <w:t>Then</w:t>
      </w:r>
      <w:r w:rsidRPr="00021EB6">
        <w:rPr>
          <w:rFonts w:eastAsia="MS Mincho"/>
          <w:sz w:val="20"/>
          <w:szCs w:val="20"/>
          <w:lang w:val="en-US" w:eastAsia="ja-JP"/>
        </w:rPr>
        <w:t xml:space="preserve"> the visual read should continue with the rest of the brain </w:t>
      </w:r>
    </w:p>
    <w:p w14:paraId="0881BC50" w14:textId="69849E68" w:rsidR="006976AD" w:rsidRPr="00021EB6" w:rsidRDefault="006976AD" w:rsidP="006976AD">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t>localization in the neighborhood of a structural</w:t>
      </w:r>
      <w:r w:rsidR="00F654EF">
        <w:rPr>
          <w:rFonts w:eastAsia="MS Mincho"/>
          <w:sz w:val="20"/>
          <w:szCs w:val="20"/>
          <w:lang w:val="en-US" w:eastAsia="ja-JP"/>
        </w:rPr>
        <w:t xml:space="preserve"> defect or</w:t>
      </w:r>
      <w:r w:rsidRPr="00021EB6">
        <w:rPr>
          <w:rFonts w:eastAsia="MS Mincho"/>
          <w:sz w:val="20"/>
          <w:szCs w:val="20"/>
          <w:lang w:val="en-US" w:eastAsia="ja-JP"/>
        </w:rPr>
        <w:t xml:space="preserve"> lesion might increase the likelihood of a SOZ candidate to be the true SOZ. That is, if there are several candidates for the SOZ and one of these candidates is close to </w:t>
      </w:r>
      <w:r w:rsidR="00F654EF" w:rsidRPr="00021EB6">
        <w:rPr>
          <w:rFonts w:eastAsia="MS Mincho"/>
          <w:sz w:val="20"/>
          <w:szCs w:val="20"/>
          <w:lang w:val="en-US" w:eastAsia="ja-JP"/>
        </w:rPr>
        <w:t>a structural</w:t>
      </w:r>
      <w:r w:rsidR="00F654EF">
        <w:rPr>
          <w:rFonts w:eastAsia="MS Mincho"/>
          <w:sz w:val="20"/>
          <w:szCs w:val="20"/>
          <w:lang w:val="en-US" w:eastAsia="ja-JP"/>
        </w:rPr>
        <w:t xml:space="preserve"> defect or</w:t>
      </w:r>
      <w:r w:rsidR="00F654EF" w:rsidRPr="00021EB6">
        <w:rPr>
          <w:rFonts w:eastAsia="MS Mincho"/>
          <w:sz w:val="20"/>
          <w:szCs w:val="20"/>
          <w:lang w:val="en-US" w:eastAsia="ja-JP"/>
        </w:rPr>
        <w:t xml:space="preserve"> lesion</w:t>
      </w:r>
      <w:r w:rsidRPr="00021EB6">
        <w:rPr>
          <w:rFonts w:eastAsia="MS Mincho"/>
          <w:sz w:val="20"/>
          <w:szCs w:val="20"/>
          <w:lang w:val="en-US" w:eastAsia="ja-JP"/>
        </w:rPr>
        <w:t xml:space="preserve">, this one might be preferred </w:t>
      </w:r>
    </w:p>
    <w:p w14:paraId="7421F172" w14:textId="77777777" w:rsidR="006976AD" w:rsidRPr="00021EB6" w:rsidRDefault="006976AD" w:rsidP="006976AD">
      <w:pPr>
        <w:pStyle w:val="Listenabsatz"/>
        <w:numPr>
          <w:ilvl w:val="0"/>
          <w:numId w:val="1"/>
        </w:numPr>
        <w:spacing w:after="120" w:line="480" w:lineRule="auto"/>
        <w:contextualSpacing w:val="0"/>
        <w:jc w:val="both"/>
        <w:rPr>
          <w:rFonts w:eastAsia="MS Mincho"/>
          <w:sz w:val="20"/>
          <w:szCs w:val="20"/>
          <w:lang w:eastAsia="ja-JP"/>
        </w:rPr>
      </w:pPr>
      <w:r w:rsidRPr="00021EB6">
        <w:rPr>
          <w:rFonts w:eastAsia="MS Mincho"/>
          <w:sz w:val="20"/>
          <w:szCs w:val="20"/>
          <w:lang w:val="en-US" w:eastAsia="ja-JP"/>
        </w:rPr>
        <w:t xml:space="preserve">the visual read of the rest of the brain might start with the temporal lobes, since the temporal lobe is the pre-scan hypothesis for the localization of the SOZ in the majority (but not all!) of patients referred to perfusion SPECT for presurgical evaluation in most settings. </w:t>
      </w:r>
      <w:r w:rsidRPr="00021EB6">
        <w:rPr>
          <w:rFonts w:eastAsia="MS Mincho"/>
          <w:sz w:val="20"/>
          <w:szCs w:val="20"/>
          <w:lang w:eastAsia="ja-JP"/>
        </w:rPr>
        <w:t>However, the other brain lobes must not be neglected</w:t>
      </w:r>
    </w:p>
    <w:p w14:paraId="0DD63D63" w14:textId="5F869B94" w:rsidR="006976AD" w:rsidRPr="006976AD" w:rsidRDefault="006976AD" w:rsidP="006976AD">
      <w:pPr>
        <w:pStyle w:val="Listenabsatz"/>
        <w:numPr>
          <w:ilvl w:val="0"/>
          <w:numId w:val="1"/>
        </w:numPr>
        <w:spacing w:after="120" w:line="480" w:lineRule="auto"/>
        <w:contextualSpacing w:val="0"/>
        <w:jc w:val="both"/>
        <w:rPr>
          <w:rFonts w:eastAsia="MS Mincho"/>
          <w:sz w:val="20"/>
          <w:szCs w:val="20"/>
          <w:lang w:val="en-US" w:eastAsia="ja-JP"/>
        </w:rPr>
      </w:pPr>
      <w:r w:rsidRPr="00CC3FA4">
        <w:rPr>
          <w:rFonts w:eastAsia="MS Mincho"/>
          <w:sz w:val="20"/>
          <w:szCs w:val="20"/>
          <w:lang w:val="en-US" w:eastAsia="ja-JP"/>
        </w:rPr>
        <w:t>higher statistical significance of a regional effect in a statistical parametric map might increase the likelihood of the effect to correctly identify the true SOZ. The statistical significance of an effect is indicated by the brightness of the color (the brighter the more significant). This applies to statistical parametric maps of ictal hyperperfusion, to statistical parametric maps of interictal hypoperfusion, and to SISCOM maps</w:t>
      </w:r>
    </w:p>
    <w:p w14:paraId="343CBCDA" w14:textId="5F4FD823" w:rsidR="00B262ED" w:rsidRPr="0070027D" w:rsidRDefault="006976AD" w:rsidP="0070027D">
      <w:pPr>
        <w:pStyle w:val="Listenabsatz"/>
        <w:numPr>
          <w:ilvl w:val="0"/>
          <w:numId w:val="1"/>
        </w:numPr>
        <w:spacing w:after="120" w:line="480" w:lineRule="auto"/>
        <w:contextualSpacing w:val="0"/>
        <w:jc w:val="both"/>
        <w:rPr>
          <w:rFonts w:eastAsia="MS Mincho"/>
          <w:sz w:val="20"/>
          <w:szCs w:val="20"/>
          <w:lang w:val="en-US" w:eastAsia="ja-JP"/>
        </w:rPr>
      </w:pPr>
      <w:r w:rsidRPr="00021EB6">
        <w:rPr>
          <w:rFonts w:eastAsia="MS Mincho"/>
          <w:sz w:val="20"/>
          <w:szCs w:val="20"/>
          <w:lang w:val="en-US" w:eastAsia="ja-JP"/>
        </w:rPr>
        <w:lastRenderedPageBreak/>
        <w:t>in cases with more than one SOZ candidate with similar significance in the statistical parametric map, the SOZ candidate in the temporal lobe (if there is one) might be preferred over the others (this rule is specific for the patient sample of the present study)</w:t>
      </w:r>
      <w:r w:rsidR="00B262ED" w:rsidRPr="0070027D">
        <w:rPr>
          <w:b/>
          <w:bCs/>
          <w:color w:val="000000" w:themeColor="text1"/>
          <w:sz w:val="28"/>
          <w:szCs w:val="28"/>
          <w:lang w:val="en-US"/>
        </w:rPr>
        <w:br w:type="page"/>
      </w:r>
    </w:p>
    <w:p w14:paraId="54ADC4B9" w14:textId="16AE353A" w:rsidR="00D3118C" w:rsidRPr="00021EB6" w:rsidRDefault="00D3118C" w:rsidP="00D3118C">
      <w:pPr>
        <w:spacing w:after="240" w:line="480" w:lineRule="auto"/>
        <w:jc w:val="both"/>
        <w:rPr>
          <w:b/>
          <w:bCs/>
          <w:color w:val="000000" w:themeColor="text1"/>
          <w:sz w:val="28"/>
          <w:szCs w:val="28"/>
          <w:lang w:val="en-US"/>
        </w:rPr>
      </w:pPr>
      <w:r w:rsidRPr="00021EB6">
        <w:rPr>
          <w:b/>
          <w:bCs/>
          <w:color w:val="000000" w:themeColor="text1"/>
          <w:sz w:val="28"/>
          <w:szCs w:val="28"/>
          <w:lang w:val="en-US"/>
        </w:rPr>
        <w:lastRenderedPageBreak/>
        <w:t>References to the supplementary material</w:t>
      </w:r>
    </w:p>
    <w:p w14:paraId="01144549" w14:textId="77777777" w:rsidR="00D3118C" w:rsidRPr="0028713C" w:rsidRDefault="00D3118C">
      <w:pPr>
        <w:rPr>
          <w:sz w:val="20"/>
          <w:szCs w:val="20"/>
          <w:lang w:val="en-GB"/>
        </w:rPr>
      </w:pPr>
    </w:p>
    <w:p w14:paraId="7EE130FB" w14:textId="6A82F5D7" w:rsidR="001E13C7" w:rsidRPr="0028713C" w:rsidRDefault="00D3118C" w:rsidP="00730B1B">
      <w:pPr>
        <w:pStyle w:val="EndNoteBibliography"/>
        <w:spacing w:after="120" w:line="480" w:lineRule="auto"/>
        <w:jc w:val="both"/>
        <w:rPr>
          <w:sz w:val="20"/>
          <w:szCs w:val="20"/>
          <w:lang w:val="en-GB"/>
        </w:rPr>
      </w:pPr>
      <w:r w:rsidRPr="00730B1B">
        <w:rPr>
          <w:sz w:val="20"/>
          <w:szCs w:val="20"/>
        </w:rPr>
        <w:fldChar w:fldCharType="begin"/>
      </w:r>
      <w:r w:rsidRPr="0028713C">
        <w:rPr>
          <w:sz w:val="20"/>
          <w:szCs w:val="20"/>
          <w:lang w:val="en-GB"/>
        </w:rPr>
        <w:instrText xml:space="preserve"> ADDIN EN.REFLIST </w:instrText>
      </w:r>
      <w:r w:rsidRPr="00730B1B">
        <w:rPr>
          <w:sz w:val="20"/>
          <w:szCs w:val="20"/>
        </w:rPr>
        <w:fldChar w:fldCharType="separate"/>
      </w:r>
      <w:r w:rsidR="00797F63">
        <w:rPr>
          <w:sz w:val="20"/>
          <w:szCs w:val="20"/>
          <w:lang w:val="en-GB"/>
        </w:rPr>
        <w:t xml:space="preserve">1. </w:t>
      </w:r>
      <w:r w:rsidR="001E13C7" w:rsidRPr="0028713C">
        <w:rPr>
          <w:sz w:val="20"/>
          <w:szCs w:val="20"/>
          <w:lang w:val="en-GB"/>
        </w:rPr>
        <w:t>Dupont P, Zaknun JJ, Maes A, Tepmongkol S, Vasquez S, Bal CS, et al. Dynamic perfusion patterns in temporal lobe epilepsy. Eur J Nucl Med Mol Imaging. 2009;36:823-30. doi:10.1007/s00259-008-1040-6.</w:t>
      </w:r>
    </w:p>
    <w:p w14:paraId="1DC8CC51" w14:textId="4861A1B6" w:rsidR="001E13C7" w:rsidRPr="00730B1B" w:rsidRDefault="00797F63" w:rsidP="00730B1B">
      <w:pPr>
        <w:pStyle w:val="EndNoteBibliography"/>
        <w:spacing w:after="120" w:line="480" w:lineRule="auto"/>
        <w:jc w:val="both"/>
        <w:rPr>
          <w:sz w:val="20"/>
          <w:szCs w:val="20"/>
        </w:rPr>
      </w:pPr>
      <w:r>
        <w:rPr>
          <w:sz w:val="20"/>
          <w:szCs w:val="20"/>
          <w:lang w:val="en-GB"/>
        </w:rPr>
        <w:t xml:space="preserve">2. </w:t>
      </w:r>
      <w:bookmarkStart w:id="0" w:name="_GoBack"/>
      <w:bookmarkEnd w:id="0"/>
      <w:r w:rsidR="001E13C7" w:rsidRPr="0028713C">
        <w:rPr>
          <w:sz w:val="20"/>
          <w:szCs w:val="20"/>
          <w:lang w:val="en-GB"/>
        </w:rPr>
        <w:t xml:space="preserve">Shin WC, Hong SB, Tae WS, Seo DW, Kim SE. Ictal hyperperfusion of cerebellum and basal ganglia in temporal lobe epilepsy: SPECT subtraction with MRI coregistration. </w:t>
      </w:r>
      <w:r w:rsidR="001E13C7" w:rsidRPr="00730B1B">
        <w:rPr>
          <w:sz w:val="20"/>
          <w:szCs w:val="20"/>
        </w:rPr>
        <w:t>J Nucl Med. 2001;42:853-8.</w:t>
      </w:r>
    </w:p>
    <w:p w14:paraId="650AE143" w14:textId="2E08AC5A" w:rsidR="00E4685E" w:rsidRPr="00730B1B" w:rsidRDefault="00D3118C" w:rsidP="00730B1B">
      <w:pPr>
        <w:spacing w:after="120" w:line="480" w:lineRule="auto"/>
        <w:jc w:val="both"/>
        <w:rPr>
          <w:sz w:val="20"/>
          <w:szCs w:val="20"/>
        </w:rPr>
      </w:pPr>
      <w:r w:rsidRPr="00730B1B">
        <w:rPr>
          <w:sz w:val="20"/>
          <w:szCs w:val="20"/>
        </w:rPr>
        <w:fldChar w:fldCharType="end"/>
      </w:r>
    </w:p>
    <w:p w14:paraId="0EF26FEA" w14:textId="77777777" w:rsidR="00E4685E" w:rsidRPr="00730B1B" w:rsidRDefault="00E4685E" w:rsidP="00730B1B">
      <w:pPr>
        <w:spacing w:after="120" w:line="480" w:lineRule="auto"/>
        <w:jc w:val="both"/>
        <w:rPr>
          <w:sz w:val="20"/>
          <w:szCs w:val="20"/>
        </w:rPr>
      </w:pPr>
      <w:r w:rsidRPr="00730B1B">
        <w:rPr>
          <w:sz w:val="20"/>
          <w:szCs w:val="20"/>
        </w:rPr>
        <w:br w:type="page"/>
      </w:r>
    </w:p>
    <w:p w14:paraId="220EE2F0" w14:textId="20AD24BC" w:rsidR="009437B5" w:rsidRDefault="00E4685E" w:rsidP="008F279B">
      <w:pPr>
        <w:spacing w:after="240" w:line="480" w:lineRule="auto"/>
        <w:jc w:val="both"/>
        <w:rPr>
          <w:b/>
          <w:bCs/>
          <w:color w:val="000000" w:themeColor="text1"/>
          <w:sz w:val="28"/>
          <w:szCs w:val="28"/>
          <w:lang w:val="en-US"/>
        </w:rPr>
      </w:pPr>
      <w:r w:rsidRPr="00021EB6">
        <w:rPr>
          <w:b/>
          <w:bCs/>
          <w:color w:val="000000" w:themeColor="text1"/>
          <w:sz w:val="28"/>
          <w:szCs w:val="28"/>
          <w:lang w:val="en-US"/>
        </w:rPr>
        <w:lastRenderedPageBreak/>
        <w:t>Supplementary Figures</w:t>
      </w:r>
    </w:p>
    <w:p w14:paraId="4C2C1073" w14:textId="77777777" w:rsidR="00305B31" w:rsidRPr="00B82C70" w:rsidRDefault="00305B31" w:rsidP="00305B31">
      <w:pPr>
        <w:spacing w:after="240" w:line="480" w:lineRule="auto"/>
        <w:jc w:val="both"/>
        <w:rPr>
          <w:rFonts w:eastAsia="MS Mincho"/>
          <w:lang w:eastAsia="ja-JP"/>
        </w:rPr>
      </w:pPr>
    </w:p>
    <w:p w14:paraId="517FDCC6" w14:textId="77777777" w:rsidR="00305B31" w:rsidRPr="00B82C70" w:rsidRDefault="00305B31" w:rsidP="00305B31">
      <w:pPr>
        <w:spacing w:after="240" w:line="480" w:lineRule="auto"/>
        <w:jc w:val="both"/>
        <w:rPr>
          <w:rFonts w:eastAsia="MS Mincho"/>
          <w:lang w:eastAsia="ja-JP"/>
        </w:rPr>
      </w:pPr>
      <w:r w:rsidRPr="00B82C70">
        <w:rPr>
          <w:rFonts w:eastAsia="MS Mincho"/>
          <w:noProof/>
        </w:rPr>
        <w:drawing>
          <wp:inline distT="0" distB="0" distL="0" distR="0" wp14:anchorId="5232ACD4" wp14:editId="7D1D2FC2">
            <wp:extent cx="5972810" cy="3359785"/>
            <wp:effectExtent l="0" t="0" r="889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templates.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72810" cy="3359785"/>
                    </a:xfrm>
                    <a:prstGeom prst="rect">
                      <a:avLst/>
                    </a:prstGeom>
                  </pic:spPr>
                </pic:pic>
              </a:graphicData>
            </a:graphic>
          </wp:inline>
        </w:drawing>
      </w:r>
    </w:p>
    <w:p w14:paraId="0B7E8DAF" w14:textId="785B2247" w:rsidR="00305B31" w:rsidRPr="00305B31" w:rsidRDefault="00305B31" w:rsidP="00305B31">
      <w:pPr>
        <w:spacing w:line="480" w:lineRule="auto"/>
        <w:jc w:val="both"/>
        <w:rPr>
          <w:color w:val="000000" w:themeColor="text1"/>
          <w:sz w:val="20"/>
          <w:szCs w:val="20"/>
          <w:lang w:val="en-US"/>
        </w:rPr>
      </w:pPr>
      <w:r w:rsidRPr="00305B31">
        <w:rPr>
          <w:b/>
          <w:color w:val="000000" w:themeColor="text1"/>
          <w:sz w:val="20"/>
          <w:szCs w:val="20"/>
          <w:lang w:val="en-US"/>
        </w:rPr>
        <w:t>Supplementary Fig. 1</w:t>
      </w:r>
      <w:r w:rsidR="0091196E">
        <w:rPr>
          <w:color w:val="000000" w:themeColor="text1"/>
          <w:sz w:val="20"/>
          <w:szCs w:val="20"/>
          <w:lang w:val="en-US"/>
        </w:rPr>
        <w:t xml:space="preserve"> </w:t>
      </w:r>
      <w:r w:rsidRPr="00305B31">
        <w:rPr>
          <w:color w:val="000000" w:themeColor="text1"/>
          <w:sz w:val="20"/>
          <w:szCs w:val="20"/>
          <w:lang w:val="en-US"/>
        </w:rPr>
        <w:t>Voxelwise mean (A) and voxelwise coefficient of variance (B) in the</w:t>
      </w:r>
      <w:r>
        <w:rPr>
          <w:color w:val="000000" w:themeColor="text1"/>
          <w:sz w:val="20"/>
          <w:szCs w:val="20"/>
          <w:lang w:val="en-US"/>
        </w:rPr>
        <w:t xml:space="preserve"> custom</w:t>
      </w:r>
      <w:r w:rsidRPr="00305B31">
        <w:rPr>
          <w:color w:val="000000" w:themeColor="text1"/>
          <w:sz w:val="20"/>
          <w:szCs w:val="20"/>
          <w:lang w:val="en-US"/>
        </w:rPr>
        <w:t xml:space="preserve"> </w:t>
      </w:r>
      <w:r w:rsidRPr="00305B31">
        <w:rPr>
          <w:color w:val="000000" w:themeColor="text1"/>
          <w:sz w:val="20"/>
          <w:szCs w:val="20"/>
          <w:vertAlign w:val="superscript"/>
          <w:lang w:val="en-US"/>
        </w:rPr>
        <w:t>99m</w:t>
      </w:r>
      <w:r w:rsidRPr="00305B31">
        <w:rPr>
          <w:color w:val="000000" w:themeColor="text1"/>
          <w:sz w:val="20"/>
          <w:szCs w:val="20"/>
          <w:lang w:val="en-US"/>
        </w:rPr>
        <w:t>Tc-ECD normal database and in the</w:t>
      </w:r>
      <w:r>
        <w:rPr>
          <w:color w:val="000000" w:themeColor="text1"/>
          <w:sz w:val="20"/>
          <w:szCs w:val="20"/>
          <w:lang w:val="en-US"/>
        </w:rPr>
        <w:t xml:space="preserve"> custom</w:t>
      </w:r>
      <w:r w:rsidRPr="00305B31">
        <w:rPr>
          <w:color w:val="000000" w:themeColor="text1"/>
          <w:sz w:val="20"/>
          <w:szCs w:val="20"/>
          <w:lang w:val="en-US"/>
        </w:rPr>
        <w:t xml:space="preserve"> </w:t>
      </w:r>
      <w:r w:rsidRPr="00305B31">
        <w:rPr>
          <w:color w:val="000000" w:themeColor="text1"/>
          <w:sz w:val="20"/>
          <w:szCs w:val="20"/>
          <w:vertAlign w:val="superscript"/>
          <w:lang w:val="en-US"/>
        </w:rPr>
        <w:t>99m</w:t>
      </w:r>
      <w:r w:rsidRPr="00305B31">
        <w:rPr>
          <w:color w:val="000000" w:themeColor="text1"/>
          <w:sz w:val="20"/>
          <w:szCs w:val="20"/>
          <w:lang w:val="en-US"/>
        </w:rPr>
        <w:t xml:space="preserve">Tc-HMPAO normal database in MNI space. In each slice, the left half presents </w:t>
      </w:r>
      <w:r w:rsidRPr="00305B31">
        <w:rPr>
          <w:color w:val="000000" w:themeColor="text1"/>
          <w:sz w:val="20"/>
          <w:szCs w:val="20"/>
          <w:vertAlign w:val="superscript"/>
          <w:lang w:val="en-US"/>
        </w:rPr>
        <w:t>99m</w:t>
      </w:r>
      <w:r w:rsidRPr="00305B31">
        <w:rPr>
          <w:color w:val="000000" w:themeColor="text1"/>
          <w:sz w:val="20"/>
          <w:szCs w:val="20"/>
          <w:lang w:val="en-US"/>
        </w:rPr>
        <w:t xml:space="preserve">Tc-ECD, the right half presents </w:t>
      </w:r>
      <w:r w:rsidRPr="00305B31">
        <w:rPr>
          <w:color w:val="000000" w:themeColor="text1"/>
          <w:sz w:val="20"/>
          <w:szCs w:val="20"/>
          <w:vertAlign w:val="superscript"/>
          <w:lang w:val="en-US"/>
        </w:rPr>
        <w:t>99m</w:t>
      </w:r>
      <w:r>
        <w:rPr>
          <w:color w:val="000000" w:themeColor="text1"/>
          <w:sz w:val="20"/>
          <w:szCs w:val="20"/>
          <w:lang w:val="en-US"/>
        </w:rPr>
        <w:t>Tc-HMPAO</w:t>
      </w:r>
    </w:p>
    <w:p w14:paraId="65927186" w14:textId="77777777" w:rsidR="00305B31" w:rsidRDefault="00305B31" w:rsidP="008F279B">
      <w:pPr>
        <w:spacing w:after="240" w:line="480" w:lineRule="auto"/>
        <w:jc w:val="both"/>
        <w:rPr>
          <w:b/>
          <w:bCs/>
          <w:color w:val="000000" w:themeColor="text1"/>
          <w:sz w:val="28"/>
          <w:szCs w:val="28"/>
          <w:lang w:val="en-US"/>
        </w:rPr>
      </w:pPr>
    </w:p>
    <w:p w14:paraId="1F7C5566" w14:textId="7FE4DE5A" w:rsidR="00305B31" w:rsidRDefault="00305B31">
      <w:pPr>
        <w:spacing w:after="160" w:line="259" w:lineRule="auto"/>
        <w:rPr>
          <w:b/>
          <w:bCs/>
          <w:color w:val="000000" w:themeColor="text1"/>
          <w:sz w:val="28"/>
          <w:szCs w:val="28"/>
          <w:lang w:val="en-US"/>
        </w:rPr>
      </w:pPr>
      <w:r>
        <w:rPr>
          <w:b/>
          <w:bCs/>
          <w:color w:val="000000" w:themeColor="text1"/>
          <w:sz w:val="28"/>
          <w:szCs w:val="28"/>
          <w:lang w:val="en-US"/>
        </w:rPr>
        <w:br w:type="page"/>
      </w:r>
    </w:p>
    <w:p w14:paraId="6A885670" w14:textId="77777777" w:rsidR="00E4685E" w:rsidRPr="00021EB6" w:rsidRDefault="00E4685E" w:rsidP="00E4685E">
      <w:pPr>
        <w:spacing w:after="240" w:line="480" w:lineRule="auto"/>
        <w:jc w:val="both"/>
        <w:rPr>
          <w:b/>
          <w:bCs/>
          <w:color w:val="000000" w:themeColor="text1"/>
          <w:sz w:val="20"/>
          <w:szCs w:val="20"/>
          <w:lang w:val="en-US"/>
        </w:rPr>
      </w:pPr>
      <w:r w:rsidRPr="00021EB6">
        <w:rPr>
          <w:b/>
          <w:bCs/>
          <w:noProof/>
          <w:color w:val="000000" w:themeColor="text1"/>
          <w:sz w:val="20"/>
          <w:szCs w:val="20"/>
        </w:rPr>
        <w:lastRenderedPageBreak/>
        <w:drawing>
          <wp:inline distT="0" distB="0" distL="0" distR="0" wp14:anchorId="566F3EA5" wp14:editId="04C327A5">
            <wp:extent cx="5764530" cy="6485255"/>
            <wp:effectExtent l="0" t="0" r="762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Figure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4530" cy="6485255"/>
                    </a:xfrm>
                    <a:prstGeom prst="rect">
                      <a:avLst/>
                    </a:prstGeom>
                  </pic:spPr>
                </pic:pic>
              </a:graphicData>
            </a:graphic>
          </wp:inline>
        </w:drawing>
      </w:r>
    </w:p>
    <w:p w14:paraId="777D6382" w14:textId="0F31FDD1" w:rsidR="00451C15" w:rsidRPr="000F5021" w:rsidRDefault="00305B31" w:rsidP="00451C15">
      <w:pPr>
        <w:spacing w:line="480" w:lineRule="auto"/>
        <w:jc w:val="both"/>
        <w:rPr>
          <w:color w:val="000000" w:themeColor="text1"/>
          <w:sz w:val="20"/>
          <w:szCs w:val="20"/>
          <w:lang w:val="en-US"/>
        </w:rPr>
      </w:pPr>
      <w:r>
        <w:rPr>
          <w:b/>
          <w:color w:val="000000" w:themeColor="text1"/>
          <w:sz w:val="20"/>
          <w:szCs w:val="20"/>
          <w:lang w:val="en-US"/>
        </w:rPr>
        <w:t>Supplementary Fig. 2</w:t>
      </w:r>
      <w:r w:rsidR="00E4685E" w:rsidRPr="00021EB6">
        <w:rPr>
          <w:color w:val="000000" w:themeColor="text1"/>
          <w:sz w:val="20"/>
          <w:szCs w:val="20"/>
          <w:lang w:val="en-US"/>
        </w:rPr>
        <w:t xml:space="preserve"> Standardized</w:t>
      </w:r>
      <w:r w:rsidR="00E4685E" w:rsidRPr="000F5021">
        <w:rPr>
          <w:color w:val="000000" w:themeColor="text1"/>
          <w:sz w:val="20"/>
          <w:szCs w:val="20"/>
          <w:lang w:val="en-US"/>
        </w:rPr>
        <w:t xml:space="preserve"> </w:t>
      </w:r>
      <w:r w:rsidR="00451C15">
        <w:rPr>
          <w:color w:val="000000" w:themeColor="text1"/>
          <w:sz w:val="20"/>
          <w:szCs w:val="20"/>
          <w:lang w:val="en-US"/>
        </w:rPr>
        <w:t>side-by-side display of ictal and interictal SPECT</w:t>
      </w:r>
      <w:r w:rsidR="00A75F2F">
        <w:rPr>
          <w:color w:val="000000" w:themeColor="text1"/>
          <w:sz w:val="20"/>
          <w:szCs w:val="20"/>
          <w:lang w:val="en-US"/>
        </w:rPr>
        <w:t xml:space="preserve"> for visual interpretation in the “full” setting</w:t>
      </w:r>
      <w:r w:rsidR="00451C15">
        <w:rPr>
          <w:color w:val="000000" w:themeColor="text1"/>
          <w:sz w:val="20"/>
          <w:szCs w:val="20"/>
          <w:lang w:val="en-US"/>
        </w:rPr>
        <w:t xml:space="preserve">. </w:t>
      </w:r>
      <w:r w:rsidR="00451C15" w:rsidRPr="000F5021">
        <w:rPr>
          <w:color w:val="000000" w:themeColor="text1"/>
          <w:sz w:val="20"/>
          <w:szCs w:val="20"/>
          <w:lang w:val="en-US"/>
        </w:rPr>
        <w:t>The upper and low</w:t>
      </w:r>
      <w:r w:rsidR="00451C15">
        <w:rPr>
          <w:color w:val="000000" w:themeColor="text1"/>
          <w:sz w:val="20"/>
          <w:szCs w:val="20"/>
          <w:lang w:val="en-US"/>
        </w:rPr>
        <w:t>er parts were provided as page 5 and page 6 of a</w:t>
      </w:r>
      <w:r w:rsidR="00A75F2F">
        <w:rPr>
          <w:color w:val="000000" w:themeColor="text1"/>
          <w:sz w:val="20"/>
          <w:szCs w:val="20"/>
          <w:lang w:val="en-US"/>
        </w:rPr>
        <w:t>n</w:t>
      </w:r>
      <w:r w:rsidR="00451C15">
        <w:rPr>
          <w:color w:val="000000" w:themeColor="text1"/>
          <w:sz w:val="20"/>
          <w:szCs w:val="20"/>
          <w:lang w:val="en-US"/>
        </w:rPr>
        <w:t xml:space="preserve"> 8</w:t>
      </w:r>
      <w:r w:rsidR="00A75F2F">
        <w:rPr>
          <w:color w:val="000000" w:themeColor="text1"/>
          <w:sz w:val="20"/>
          <w:szCs w:val="20"/>
          <w:lang w:val="en-US"/>
        </w:rPr>
        <w:t>-page pdf-document</w:t>
      </w:r>
      <w:r w:rsidR="00451C15" w:rsidRPr="000F5021">
        <w:rPr>
          <w:color w:val="000000" w:themeColor="text1"/>
          <w:sz w:val="20"/>
          <w:szCs w:val="20"/>
          <w:lang w:val="en-US"/>
        </w:rPr>
        <w:t xml:space="preserve">. </w:t>
      </w:r>
      <w:r w:rsidR="00451C15">
        <w:rPr>
          <w:color w:val="000000" w:themeColor="text1"/>
          <w:sz w:val="20"/>
          <w:szCs w:val="20"/>
          <w:lang w:val="en-US"/>
        </w:rPr>
        <w:t>P</w:t>
      </w:r>
      <w:r w:rsidR="00451C15" w:rsidRPr="000F5021">
        <w:rPr>
          <w:color w:val="000000" w:themeColor="text1"/>
          <w:sz w:val="20"/>
          <w:szCs w:val="20"/>
          <w:lang w:val="en-US"/>
        </w:rPr>
        <w:t>age</w:t>
      </w:r>
      <w:r w:rsidR="00451C15">
        <w:rPr>
          <w:color w:val="000000" w:themeColor="text1"/>
          <w:sz w:val="20"/>
          <w:szCs w:val="20"/>
          <w:lang w:val="en-US"/>
        </w:rPr>
        <w:t xml:space="preserve"> 5 shows ictal and interictal uptake image in MNI space. Page 6 shows the statistical maps of ictal hyperperfusion and interictal hypoperfusion thresolded at</w:t>
      </w:r>
      <w:r w:rsidR="00451C15" w:rsidRPr="000F5021">
        <w:rPr>
          <w:color w:val="000000" w:themeColor="text1"/>
          <w:sz w:val="20"/>
          <w:szCs w:val="20"/>
          <w:lang w:val="en-US"/>
        </w:rPr>
        <w:t xml:space="preserve"> </w:t>
      </w:r>
      <w:r w:rsidR="00451C15">
        <w:rPr>
          <w:color w:val="000000" w:themeColor="text1"/>
          <w:sz w:val="20"/>
          <w:szCs w:val="20"/>
          <w:lang w:val="en-US"/>
        </w:rPr>
        <w:t>z ≥ 3.0 and overlaid to the ictal and interictal uptake image, respectively. The example images are from the same patient as in Figures 1-3 in the manuscript</w:t>
      </w:r>
    </w:p>
    <w:p w14:paraId="708D4AD9" w14:textId="77777777" w:rsidR="00451C15" w:rsidRPr="00E4685E" w:rsidRDefault="00451C15" w:rsidP="00451C15">
      <w:pPr>
        <w:spacing w:after="240" w:line="480" w:lineRule="auto"/>
        <w:jc w:val="both"/>
        <w:rPr>
          <w:b/>
          <w:bCs/>
          <w:color w:val="000000" w:themeColor="text1"/>
          <w:sz w:val="28"/>
          <w:szCs w:val="28"/>
          <w:lang w:val="en-US"/>
        </w:rPr>
      </w:pPr>
    </w:p>
    <w:sectPr w:rsidR="00451C15" w:rsidRPr="00E4685E" w:rsidSect="00DF6282">
      <w:footerReference w:type="default" r:id="rId9"/>
      <w:pgSz w:w="11900" w:h="16840"/>
      <w:pgMar w:top="1411" w:right="1411" w:bottom="1411" w:left="1411"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579A8F" w14:textId="77777777" w:rsidR="00692E1C" w:rsidRDefault="00692E1C">
      <w:r>
        <w:separator/>
      </w:r>
    </w:p>
  </w:endnote>
  <w:endnote w:type="continuationSeparator" w:id="0">
    <w:p w14:paraId="13CDBE9C" w14:textId="77777777" w:rsidR="00692E1C" w:rsidRDefault="00692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3901444"/>
      <w:docPartObj>
        <w:docPartGallery w:val="Page Numbers (Bottom of Page)"/>
        <w:docPartUnique/>
      </w:docPartObj>
    </w:sdtPr>
    <w:sdtEndPr>
      <w:rPr>
        <w:rFonts w:ascii="Times New Roman" w:hAnsi="Times New Roman" w:cs="Times New Roman"/>
        <w:sz w:val="20"/>
        <w:szCs w:val="20"/>
      </w:rPr>
    </w:sdtEndPr>
    <w:sdtContent>
      <w:p w14:paraId="682C402E" w14:textId="119C20E5" w:rsidR="00D25B57" w:rsidRPr="00B24BF1" w:rsidRDefault="00B274E4">
        <w:pPr>
          <w:pStyle w:val="Fuzeile"/>
          <w:jc w:val="right"/>
          <w:rPr>
            <w:rFonts w:ascii="Times New Roman" w:hAnsi="Times New Roman" w:cs="Times New Roman"/>
            <w:sz w:val="20"/>
            <w:szCs w:val="20"/>
          </w:rPr>
        </w:pPr>
        <w:r w:rsidRPr="00B24BF1">
          <w:rPr>
            <w:rFonts w:ascii="Times New Roman" w:hAnsi="Times New Roman" w:cs="Times New Roman"/>
            <w:sz w:val="20"/>
            <w:szCs w:val="20"/>
          </w:rPr>
          <w:fldChar w:fldCharType="begin"/>
        </w:r>
        <w:r w:rsidRPr="00B24BF1">
          <w:rPr>
            <w:rFonts w:ascii="Times New Roman" w:hAnsi="Times New Roman" w:cs="Times New Roman"/>
            <w:sz w:val="20"/>
            <w:szCs w:val="20"/>
          </w:rPr>
          <w:instrText>PAGE   \* MERGEFORMAT</w:instrText>
        </w:r>
        <w:r w:rsidRPr="00B24BF1">
          <w:rPr>
            <w:rFonts w:ascii="Times New Roman" w:hAnsi="Times New Roman" w:cs="Times New Roman"/>
            <w:sz w:val="20"/>
            <w:szCs w:val="20"/>
          </w:rPr>
          <w:fldChar w:fldCharType="separate"/>
        </w:r>
        <w:r w:rsidR="00B1417B">
          <w:rPr>
            <w:rFonts w:ascii="Times New Roman" w:hAnsi="Times New Roman" w:cs="Times New Roman"/>
            <w:noProof/>
            <w:sz w:val="20"/>
            <w:szCs w:val="20"/>
          </w:rPr>
          <w:t>10</w:t>
        </w:r>
        <w:r w:rsidRPr="00B24BF1">
          <w:rPr>
            <w:rFonts w:ascii="Times New Roman" w:hAnsi="Times New Roman" w:cs="Times New Roman"/>
            <w:sz w:val="20"/>
            <w:szCs w:val="20"/>
          </w:rPr>
          <w:fldChar w:fldCharType="end"/>
        </w:r>
      </w:p>
    </w:sdtContent>
  </w:sdt>
  <w:p w14:paraId="04A70227" w14:textId="77777777" w:rsidR="00D25B57" w:rsidRDefault="00692E1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C7FEC8" w14:textId="77777777" w:rsidR="00692E1C" w:rsidRDefault="00692E1C">
      <w:r>
        <w:separator/>
      </w:r>
    </w:p>
  </w:footnote>
  <w:footnote w:type="continuationSeparator" w:id="0">
    <w:p w14:paraId="37A95CE0" w14:textId="77777777" w:rsidR="00692E1C" w:rsidRDefault="00692E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4E2E93"/>
    <w:multiLevelType w:val="hybridMultilevel"/>
    <w:tmpl w:val="9516F3DC"/>
    <w:lvl w:ilvl="0" w:tplc="F7B8EA36">
      <w:start w:val="1"/>
      <w:numFmt w:val="bullet"/>
      <w:lvlText w:val=""/>
      <w:lvlJc w:val="left"/>
      <w:pPr>
        <w:ind w:left="360" w:hanging="360"/>
      </w:pPr>
      <w:rPr>
        <w:rFonts w:ascii="Symbol" w:hAnsi="Symbol" w:hint="default"/>
      </w:rPr>
    </w:lvl>
    <w:lvl w:ilvl="1" w:tplc="F34EBCD0">
      <w:start w:val="1"/>
      <w:numFmt w:val="bullet"/>
      <w:lvlText w:val="-"/>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504D5C58"/>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 w15:restartNumberingAfterBreak="0">
    <w:nsid w:val="65856433"/>
    <w:multiLevelType w:val="hybridMultilevel"/>
    <w:tmpl w:val="7D3CEBB6"/>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abstractNumId w:val="0"/>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uro J Nuc Med Molec Imaging&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w025tr99a0r2qetwpuxrzskaaex2sdvet0z&quot;&gt;SISCOM&lt;record-ids&gt;&lt;item&gt;47&lt;/item&gt;&lt;item&gt;90&lt;/item&gt;&lt;/record-ids&gt;&lt;/item&gt;&lt;/Libraries&gt;"/>
  </w:docVars>
  <w:rsids>
    <w:rsidRoot w:val="00C9256D"/>
    <w:rsid w:val="00020DA4"/>
    <w:rsid w:val="00021EB6"/>
    <w:rsid w:val="000272B6"/>
    <w:rsid w:val="00032B81"/>
    <w:rsid w:val="00097BE6"/>
    <w:rsid w:val="000D7EC0"/>
    <w:rsid w:val="00101638"/>
    <w:rsid w:val="00117144"/>
    <w:rsid w:val="001E13C7"/>
    <w:rsid w:val="0028713C"/>
    <w:rsid w:val="002D5936"/>
    <w:rsid w:val="00305B31"/>
    <w:rsid w:val="003237DF"/>
    <w:rsid w:val="00325E84"/>
    <w:rsid w:val="00377EE5"/>
    <w:rsid w:val="003B1AE3"/>
    <w:rsid w:val="003C3122"/>
    <w:rsid w:val="003F4DFE"/>
    <w:rsid w:val="0041147B"/>
    <w:rsid w:val="00451C15"/>
    <w:rsid w:val="00480430"/>
    <w:rsid w:val="0049338E"/>
    <w:rsid w:val="004E2E4F"/>
    <w:rsid w:val="004F4FAB"/>
    <w:rsid w:val="00513E20"/>
    <w:rsid w:val="00516424"/>
    <w:rsid w:val="005333C9"/>
    <w:rsid w:val="005374D7"/>
    <w:rsid w:val="00537859"/>
    <w:rsid w:val="005A1242"/>
    <w:rsid w:val="005A5883"/>
    <w:rsid w:val="005C5749"/>
    <w:rsid w:val="005D6F06"/>
    <w:rsid w:val="0060353E"/>
    <w:rsid w:val="00626A96"/>
    <w:rsid w:val="0065596F"/>
    <w:rsid w:val="00655A4D"/>
    <w:rsid w:val="006836B9"/>
    <w:rsid w:val="00692E1C"/>
    <w:rsid w:val="006976AD"/>
    <w:rsid w:val="006E1715"/>
    <w:rsid w:val="0070027D"/>
    <w:rsid w:val="007054F3"/>
    <w:rsid w:val="00721FFF"/>
    <w:rsid w:val="00722C38"/>
    <w:rsid w:val="00730B1B"/>
    <w:rsid w:val="00797F63"/>
    <w:rsid w:val="008163A5"/>
    <w:rsid w:val="0082573B"/>
    <w:rsid w:val="00872C78"/>
    <w:rsid w:val="008C56EE"/>
    <w:rsid w:val="008E40DB"/>
    <w:rsid w:val="008E6C6E"/>
    <w:rsid w:val="008F279B"/>
    <w:rsid w:val="0091196E"/>
    <w:rsid w:val="009437B5"/>
    <w:rsid w:val="00961AA1"/>
    <w:rsid w:val="00977E71"/>
    <w:rsid w:val="009973CA"/>
    <w:rsid w:val="00A3192F"/>
    <w:rsid w:val="00A4636C"/>
    <w:rsid w:val="00A660A6"/>
    <w:rsid w:val="00A6711B"/>
    <w:rsid w:val="00A75F2F"/>
    <w:rsid w:val="00AC0F61"/>
    <w:rsid w:val="00B0317F"/>
    <w:rsid w:val="00B07701"/>
    <w:rsid w:val="00B1417B"/>
    <w:rsid w:val="00B24BF1"/>
    <w:rsid w:val="00B262ED"/>
    <w:rsid w:val="00B274E4"/>
    <w:rsid w:val="00C572AC"/>
    <w:rsid w:val="00C9256D"/>
    <w:rsid w:val="00CC101D"/>
    <w:rsid w:val="00CC3FA4"/>
    <w:rsid w:val="00CC7E01"/>
    <w:rsid w:val="00CE594F"/>
    <w:rsid w:val="00CF6A29"/>
    <w:rsid w:val="00D3118C"/>
    <w:rsid w:val="00D42248"/>
    <w:rsid w:val="00D440A0"/>
    <w:rsid w:val="00DA1441"/>
    <w:rsid w:val="00DE1ABD"/>
    <w:rsid w:val="00DF7EA5"/>
    <w:rsid w:val="00E10312"/>
    <w:rsid w:val="00E4685E"/>
    <w:rsid w:val="00E91966"/>
    <w:rsid w:val="00EB1A9C"/>
    <w:rsid w:val="00EC6877"/>
    <w:rsid w:val="00ED2E87"/>
    <w:rsid w:val="00ED78E9"/>
    <w:rsid w:val="00EE4D6A"/>
    <w:rsid w:val="00F61D09"/>
    <w:rsid w:val="00F654EF"/>
    <w:rsid w:val="00FC3CC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756596"/>
  <w15:chartTrackingRefBased/>
  <w15:docId w15:val="{7F5A3FF2-352B-4071-BEBC-3258CFFEE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9256D"/>
    <w:pPr>
      <w:spacing w:after="0" w:line="240" w:lineRule="auto"/>
    </w:pPr>
    <w:rPr>
      <w:rFonts w:ascii="Times New Roman" w:eastAsia="Times New Roman" w:hAnsi="Times New Roman" w:cs="Times New Roman"/>
      <w:sz w:val="24"/>
      <w:szCs w:val="24"/>
      <w:lang w:eastAsia="de-DE"/>
    </w:rPr>
  </w:style>
  <w:style w:type="paragraph" w:styleId="berschrift1">
    <w:name w:val="heading 1"/>
    <w:basedOn w:val="Standard"/>
    <w:next w:val="Standard"/>
    <w:link w:val="berschrift1Zchn"/>
    <w:uiPriority w:val="9"/>
    <w:qFormat/>
    <w:rsid w:val="005333C9"/>
    <w:pPr>
      <w:keepNext/>
      <w:keepLines/>
      <w:numPr>
        <w:numId w:val="3"/>
      </w:numPr>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unhideWhenUsed/>
    <w:qFormat/>
    <w:rsid w:val="005333C9"/>
    <w:pPr>
      <w:keepNext/>
      <w:keepLines/>
      <w:numPr>
        <w:ilvl w:val="1"/>
        <w:numId w:val="3"/>
      </w:numPr>
      <w:spacing w:before="4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semiHidden/>
    <w:unhideWhenUsed/>
    <w:qFormat/>
    <w:rsid w:val="005333C9"/>
    <w:pPr>
      <w:keepNext/>
      <w:keepLines/>
      <w:numPr>
        <w:ilvl w:val="2"/>
        <w:numId w:val="3"/>
      </w:numPr>
      <w:spacing w:before="40"/>
      <w:outlineLvl w:val="2"/>
    </w:pPr>
    <w:rPr>
      <w:rFonts w:asciiTheme="majorHAnsi" w:eastAsiaTheme="majorEastAsia" w:hAnsiTheme="majorHAnsi" w:cstheme="majorBidi"/>
      <w:color w:val="1F4D78" w:themeColor="accent1" w:themeShade="7F"/>
    </w:rPr>
  </w:style>
  <w:style w:type="paragraph" w:styleId="berschrift4">
    <w:name w:val="heading 4"/>
    <w:basedOn w:val="Standard"/>
    <w:next w:val="Standard"/>
    <w:link w:val="berschrift4Zchn"/>
    <w:uiPriority w:val="9"/>
    <w:semiHidden/>
    <w:unhideWhenUsed/>
    <w:qFormat/>
    <w:rsid w:val="005333C9"/>
    <w:pPr>
      <w:keepNext/>
      <w:keepLines/>
      <w:numPr>
        <w:ilvl w:val="3"/>
        <w:numId w:val="3"/>
      </w:numPr>
      <w:spacing w:before="40"/>
      <w:outlineLvl w:val="3"/>
    </w:pPr>
    <w:rPr>
      <w:rFonts w:asciiTheme="majorHAnsi" w:eastAsiaTheme="majorEastAsia" w:hAnsiTheme="majorHAnsi"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5333C9"/>
    <w:pPr>
      <w:keepNext/>
      <w:keepLines/>
      <w:numPr>
        <w:ilvl w:val="4"/>
        <w:numId w:val="3"/>
      </w:numPr>
      <w:spacing w:before="4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5333C9"/>
    <w:pPr>
      <w:keepNext/>
      <w:keepLines/>
      <w:numPr>
        <w:ilvl w:val="5"/>
        <w:numId w:val="3"/>
      </w:numPr>
      <w:spacing w:before="4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5333C9"/>
    <w:pPr>
      <w:keepNext/>
      <w:keepLines/>
      <w:numPr>
        <w:ilvl w:val="6"/>
        <w:numId w:val="3"/>
      </w:numPr>
      <w:spacing w:before="4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5333C9"/>
    <w:pPr>
      <w:keepNext/>
      <w:keepLines/>
      <w:numPr>
        <w:ilvl w:val="7"/>
        <w:numId w:val="3"/>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333C9"/>
    <w:pPr>
      <w:keepNext/>
      <w:keepLines/>
      <w:numPr>
        <w:ilvl w:val="8"/>
        <w:numId w:val="3"/>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C9256D"/>
    <w:pPr>
      <w:tabs>
        <w:tab w:val="center" w:pos="4536"/>
        <w:tab w:val="right" w:pos="9072"/>
      </w:tabs>
    </w:pPr>
    <w:rPr>
      <w:rFonts w:asciiTheme="minorHAnsi" w:eastAsiaTheme="minorHAnsi" w:hAnsiTheme="minorHAnsi" w:cstheme="minorBidi"/>
      <w:sz w:val="22"/>
      <w:szCs w:val="22"/>
      <w:lang w:eastAsia="en-US"/>
    </w:rPr>
  </w:style>
  <w:style w:type="character" w:customStyle="1" w:styleId="FuzeileZchn">
    <w:name w:val="Fußzeile Zchn"/>
    <w:basedOn w:val="Absatz-Standardschriftart"/>
    <w:link w:val="Fuzeile"/>
    <w:uiPriority w:val="99"/>
    <w:rsid w:val="00C9256D"/>
  </w:style>
  <w:style w:type="character" w:styleId="Kommentarzeichen">
    <w:name w:val="annotation reference"/>
    <w:basedOn w:val="Absatz-Standardschriftart"/>
    <w:uiPriority w:val="99"/>
    <w:semiHidden/>
    <w:unhideWhenUsed/>
    <w:rsid w:val="00C9256D"/>
    <w:rPr>
      <w:sz w:val="16"/>
      <w:szCs w:val="16"/>
    </w:rPr>
  </w:style>
  <w:style w:type="paragraph" w:styleId="Kommentartext">
    <w:name w:val="annotation text"/>
    <w:basedOn w:val="Standard"/>
    <w:link w:val="KommentartextZchn"/>
    <w:uiPriority w:val="99"/>
    <w:semiHidden/>
    <w:unhideWhenUsed/>
    <w:rsid w:val="00C9256D"/>
    <w:rPr>
      <w:sz w:val="20"/>
      <w:szCs w:val="20"/>
    </w:rPr>
  </w:style>
  <w:style w:type="character" w:customStyle="1" w:styleId="KommentartextZchn">
    <w:name w:val="Kommentartext Zchn"/>
    <w:basedOn w:val="Absatz-Standardschriftart"/>
    <w:link w:val="Kommentartext"/>
    <w:uiPriority w:val="99"/>
    <w:semiHidden/>
    <w:rsid w:val="00C9256D"/>
    <w:rPr>
      <w:rFonts w:ascii="Times New Roman" w:eastAsia="Times New Roman" w:hAnsi="Times New Roman" w:cs="Times New Roman"/>
      <w:sz w:val="20"/>
      <w:szCs w:val="20"/>
      <w:lang w:eastAsia="de-DE"/>
    </w:rPr>
  </w:style>
  <w:style w:type="paragraph" w:styleId="Listenabsatz">
    <w:name w:val="List Paragraph"/>
    <w:basedOn w:val="Standard"/>
    <w:link w:val="ListenabsatzZchn"/>
    <w:uiPriority w:val="34"/>
    <w:qFormat/>
    <w:rsid w:val="00C9256D"/>
    <w:pPr>
      <w:ind w:left="720"/>
      <w:contextualSpacing/>
    </w:pPr>
  </w:style>
  <w:style w:type="character" w:customStyle="1" w:styleId="ListenabsatzZchn">
    <w:name w:val="Listenabsatz Zchn"/>
    <w:basedOn w:val="Absatz-Standardschriftart"/>
    <w:link w:val="Listenabsatz"/>
    <w:uiPriority w:val="34"/>
    <w:rsid w:val="00C9256D"/>
    <w:rPr>
      <w:rFonts w:ascii="Times New Roman" w:eastAsia="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C9256D"/>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C9256D"/>
    <w:rPr>
      <w:rFonts w:ascii="Segoe UI" w:eastAsia="Times New Roman" w:hAnsi="Segoe UI" w:cs="Segoe UI"/>
      <w:sz w:val="18"/>
      <w:szCs w:val="18"/>
      <w:lang w:eastAsia="de-DE"/>
    </w:rPr>
  </w:style>
  <w:style w:type="paragraph" w:customStyle="1" w:styleId="EndNoteBibliographyTitle">
    <w:name w:val="EndNote Bibliography Title"/>
    <w:basedOn w:val="Standard"/>
    <w:link w:val="EndNoteBibliographyTitleZchn"/>
    <w:rsid w:val="00D3118C"/>
    <w:pPr>
      <w:jc w:val="center"/>
    </w:pPr>
    <w:rPr>
      <w:noProof/>
    </w:rPr>
  </w:style>
  <w:style w:type="character" w:customStyle="1" w:styleId="EndNoteBibliographyTitleZchn">
    <w:name w:val="EndNote Bibliography Title Zchn"/>
    <w:basedOn w:val="ListenabsatzZchn"/>
    <w:link w:val="EndNoteBibliographyTitle"/>
    <w:rsid w:val="00D3118C"/>
    <w:rPr>
      <w:rFonts w:ascii="Times New Roman" w:eastAsia="Times New Roman" w:hAnsi="Times New Roman" w:cs="Times New Roman"/>
      <w:noProof/>
      <w:sz w:val="24"/>
      <w:szCs w:val="24"/>
      <w:lang w:eastAsia="de-DE"/>
    </w:rPr>
  </w:style>
  <w:style w:type="paragraph" w:customStyle="1" w:styleId="EndNoteBibliography">
    <w:name w:val="EndNote Bibliography"/>
    <w:basedOn w:val="Standard"/>
    <w:link w:val="EndNoteBibliographyZchn"/>
    <w:rsid w:val="00D3118C"/>
    <w:rPr>
      <w:noProof/>
    </w:rPr>
  </w:style>
  <w:style w:type="character" w:customStyle="1" w:styleId="EndNoteBibliographyZchn">
    <w:name w:val="EndNote Bibliography Zchn"/>
    <w:basedOn w:val="ListenabsatzZchn"/>
    <w:link w:val="EndNoteBibliography"/>
    <w:rsid w:val="00D3118C"/>
    <w:rPr>
      <w:rFonts w:ascii="Times New Roman" w:eastAsia="Times New Roman" w:hAnsi="Times New Roman" w:cs="Times New Roman"/>
      <w:noProof/>
      <w:sz w:val="24"/>
      <w:szCs w:val="24"/>
      <w:lang w:eastAsia="de-DE"/>
    </w:rPr>
  </w:style>
  <w:style w:type="paragraph" w:styleId="Kopfzeile">
    <w:name w:val="header"/>
    <w:basedOn w:val="Standard"/>
    <w:link w:val="KopfzeileZchn"/>
    <w:uiPriority w:val="99"/>
    <w:unhideWhenUsed/>
    <w:rsid w:val="00E10312"/>
    <w:pPr>
      <w:tabs>
        <w:tab w:val="center" w:pos="4536"/>
        <w:tab w:val="right" w:pos="9072"/>
      </w:tabs>
    </w:pPr>
  </w:style>
  <w:style w:type="character" w:customStyle="1" w:styleId="KopfzeileZchn">
    <w:name w:val="Kopfzeile Zchn"/>
    <w:basedOn w:val="Absatz-Standardschriftart"/>
    <w:link w:val="Kopfzeile"/>
    <w:uiPriority w:val="99"/>
    <w:rsid w:val="00E10312"/>
    <w:rPr>
      <w:rFonts w:ascii="Times New Roman" w:eastAsia="Times New Roman" w:hAnsi="Times New Roman" w:cs="Times New Roman"/>
      <w:sz w:val="24"/>
      <w:szCs w:val="24"/>
      <w:lang w:eastAsia="de-DE"/>
    </w:rPr>
  </w:style>
  <w:style w:type="character" w:customStyle="1" w:styleId="berschrift1Zchn">
    <w:name w:val="Überschrift 1 Zchn"/>
    <w:basedOn w:val="Absatz-Standardschriftart"/>
    <w:link w:val="berschrift1"/>
    <w:uiPriority w:val="9"/>
    <w:rsid w:val="005333C9"/>
    <w:rPr>
      <w:rFonts w:asciiTheme="majorHAnsi" w:eastAsiaTheme="majorEastAsia" w:hAnsiTheme="majorHAnsi" w:cstheme="majorBidi"/>
      <w:color w:val="2E74B5" w:themeColor="accent1" w:themeShade="BF"/>
      <w:sz w:val="32"/>
      <w:szCs w:val="32"/>
      <w:lang w:eastAsia="de-DE"/>
    </w:rPr>
  </w:style>
  <w:style w:type="character" w:customStyle="1" w:styleId="berschrift2Zchn">
    <w:name w:val="Überschrift 2 Zchn"/>
    <w:basedOn w:val="Absatz-Standardschriftart"/>
    <w:link w:val="berschrift2"/>
    <w:uiPriority w:val="9"/>
    <w:rsid w:val="005333C9"/>
    <w:rPr>
      <w:rFonts w:asciiTheme="majorHAnsi" w:eastAsiaTheme="majorEastAsia" w:hAnsiTheme="majorHAnsi" w:cstheme="majorBidi"/>
      <w:color w:val="2E74B5" w:themeColor="accent1" w:themeShade="BF"/>
      <w:sz w:val="26"/>
      <w:szCs w:val="26"/>
      <w:lang w:eastAsia="de-DE"/>
    </w:rPr>
  </w:style>
  <w:style w:type="character" w:customStyle="1" w:styleId="berschrift3Zchn">
    <w:name w:val="Überschrift 3 Zchn"/>
    <w:basedOn w:val="Absatz-Standardschriftart"/>
    <w:link w:val="berschrift3"/>
    <w:uiPriority w:val="9"/>
    <w:semiHidden/>
    <w:rsid w:val="005333C9"/>
    <w:rPr>
      <w:rFonts w:asciiTheme="majorHAnsi" w:eastAsiaTheme="majorEastAsia" w:hAnsiTheme="majorHAnsi" w:cstheme="majorBidi"/>
      <w:color w:val="1F4D78" w:themeColor="accent1" w:themeShade="7F"/>
      <w:sz w:val="24"/>
      <w:szCs w:val="24"/>
      <w:lang w:eastAsia="de-DE"/>
    </w:rPr>
  </w:style>
  <w:style w:type="character" w:customStyle="1" w:styleId="berschrift4Zchn">
    <w:name w:val="Überschrift 4 Zchn"/>
    <w:basedOn w:val="Absatz-Standardschriftart"/>
    <w:link w:val="berschrift4"/>
    <w:uiPriority w:val="9"/>
    <w:semiHidden/>
    <w:rsid w:val="005333C9"/>
    <w:rPr>
      <w:rFonts w:asciiTheme="majorHAnsi" w:eastAsiaTheme="majorEastAsia" w:hAnsiTheme="majorHAnsi" w:cstheme="majorBidi"/>
      <w:i/>
      <w:iCs/>
      <w:color w:val="2E74B5" w:themeColor="accent1" w:themeShade="BF"/>
      <w:sz w:val="24"/>
      <w:szCs w:val="24"/>
      <w:lang w:eastAsia="de-DE"/>
    </w:rPr>
  </w:style>
  <w:style w:type="character" w:customStyle="1" w:styleId="berschrift5Zchn">
    <w:name w:val="Überschrift 5 Zchn"/>
    <w:basedOn w:val="Absatz-Standardschriftart"/>
    <w:link w:val="berschrift5"/>
    <w:uiPriority w:val="9"/>
    <w:semiHidden/>
    <w:rsid w:val="005333C9"/>
    <w:rPr>
      <w:rFonts w:asciiTheme="majorHAnsi" w:eastAsiaTheme="majorEastAsia" w:hAnsiTheme="majorHAnsi" w:cstheme="majorBidi"/>
      <w:color w:val="2E74B5" w:themeColor="accent1" w:themeShade="BF"/>
      <w:sz w:val="24"/>
      <w:szCs w:val="24"/>
      <w:lang w:eastAsia="de-DE"/>
    </w:rPr>
  </w:style>
  <w:style w:type="character" w:customStyle="1" w:styleId="berschrift6Zchn">
    <w:name w:val="Überschrift 6 Zchn"/>
    <w:basedOn w:val="Absatz-Standardschriftart"/>
    <w:link w:val="berschrift6"/>
    <w:uiPriority w:val="9"/>
    <w:semiHidden/>
    <w:rsid w:val="005333C9"/>
    <w:rPr>
      <w:rFonts w:asciiTheme="majorHAnsi" w:eastAsiaTheme="majorEastAsia" w:hAnsiTheme="majorHAnsi" w:cstheme="majorBidi"/>
      <w:color w:val="1F4D78" w:themeColor="accent1" w:themeShade="7F"/>
      <w:sz w:val="24"/>
      <w:szCs w:val="24"/>
      <w:lang w:eastAsia="de-DE"/>
    </w:rPr>
  </w:style>
  <w:style w:type="character" w:customStyle="1" w:styleId="berschrift7Zchn">
    <w:name w:val="Überschrift 7 Zchn"/>
    <w:basedOn w:val="Absatz-Standardschriftart"/>
    <w:link w:val="berschrift7"/>
    <w:uiPriority w:val="9"/>
    <w:semiHidden/>
    <w:rsid w:val="005333C9"/>
    <w:rPr>
      <w:rFonts w:asciiTheme="majorHAnsi" w:eastAsiaTheme="majorEastAsia" w:hAnsiTheme="majorHAnsi" w:cstheme="majorBidi"/>
      <w:i/>
      <w:iCs/>
      <w:color w:val="1F4D78" w:themeColor="accent1" w:themeShade="7F"/>
      <w:sz w:val="24"/>
      <w:szCs w:val="24"/>
      <w:lang w:eastAsia="de-DE"/>
    </w:rPr>
  </w:style>
  <w:style w:type="character" w:customStyle="1" w:styleId="berschrift8Zchn">
    <w:name w:val="Überschrift 8 Zchn"/>
    <w:basedOn w:val="Absatz-Standardschriftart"/>
    <w:link w:val="berschrift8"/>
    <w:uiPriority w:val="9"/>
    <w:semiHidden/>
    <w:rsid w:val="005333C9"/>
    <w:rPr>
      <w:rFonts w:asciiTheme="majorHAnsi" w:eastAsiaTheme="majorEastAsia" w:hAnsiTheme="majorHAnsi" w:cstheme="majorBidi"/>
      <w:color w:val="272727" w:themeColor="text1" w:themeTint="D8"/>
      <w:sz w:val="21"/>
      <w:szCs w:val="21"/>
      <w:lang w:eastAsia="de-DE"/>
    </w:rPr>
  </w:style>
  <w:style w:type="character" w:customStyle="1" w:styleId="berschrift9Zchn">
    <w:name w:val="Überschrift 9 Zchn"/>
    <w:basedOn w:val="Absatz-Standardschriftart"/>
    <w:link w:val="berschrift9"/>
    <w:uiPriority w:val="9"/>
    <w:semiHidden/>
    <w:rsid w:val="005333C9"/>
    <w:rPr>
      <w:rFonts w:asciiTheme="majorHAnsi" w:eastAsiaTheme="majorEastAsia" w:hAnsiTheme="majorHAnsi" w:cstheme="majorBidi"/>
      <w:i/>
      <w:iCs/>
      <w:color w:val="272727" w:themeColor="text1" w:themeTint="D8"/>
      <w:sz w:val="21"/>
      <w:szCs w:val="21"/>
      <w:lang w:eastAsia="de-DE"/>
    </w:rPr>
  </w:style>
  <w:style w:type="paragraph" w:styleId="Kommentarthema">
    <w:name w:val="annotation subject"/>
    <w:basedOn w:val="Kommentartext"/>
    <w:next w:val="Kommentartext"/>
    <w:link w:val="KommentarthemaZchn"/>
    <w:uiPriority w:val="99"/>
    <w:semiHidden/>
    <w:unhideWhenUsed/>
    <w:rsid w:val="0028713C"/>
    <w:rPr>
      <w:b/>
      <w:bCs/>
    </w:rPr>
  </w:style>
  <w:style w:type="character" w:customStyle="1" w:styleId="KommentarthemaZchn">
    <w:name w:val="Kommentarthema Zchn"/>
    <w:basedOn w:val="KommentartextZchn"/>
    <w:link w:val="Kommentarthema"/>
    <w:uiPriority w:val="99"/>
    <w:semiHidden/>
    <w:rsid w:val="0028713C"/>
    <w:rPr>
      <w:rFonts w:ascii="Times New Roman" w:eastAsia="Times New Roman" w:hAnsi="Times New Roman" w:cs="Times New Roman"/>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2300</Words>
  <Characters>14493</Characters>
  <Application>Microsoft Office Word</Application>
  <DocSecurity>0</DocSecurity>
  <Lines>120</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Ralph Buchert</dc:creator>
  <cp:keywords/>
  <dc:description/>
  <cp:lastModifiedBy>Ralph Buchert</cp:lastModifiedBy>
  <cp:revision>6</cp:revision>
  <cp:lastPrinted>2024-02-12T08:10:00Z</cp:lastPrinted>
  <dcterms:created xsi:type="dcterms:W3CDTF">2024-05-04T12:54:00Z</dcterms:created>
  <dcterms:modified xsi:type="dcterms:W3CDTF">2024-05-04T12:56:00Z</dcterms:modified>
</cp:coreProperties>
</file>