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F34C6" w14:textId="77777777" w:rsidR="001A622F" w:rsidRPr="001B3118" w:rsidRDefault="001A622F" w:rsidP="001A622F">
      <w:pPr>
        <w:spacing w:line="480" w:lineRule="auto"/>
        <w:rPr>
          <w:rFonts w:ascii="Times New Roman" w:hAnsi="Times New Roman" w:cs="Times New Roman"/>
          <w:b/>
        </w:rPr>
      </w:pPr>
      <w:r w:rsidRPr="001B3118">
        <w:rPr>
          <w:rFonts w:ascii="Times New Roman" w:hAnsi="Times New Roman" w:cs="Times New Roman"/>
          <w:b/>
        </w:rPr>
        <w:t xml:space="preserve">Table 6- Summary of Studies on Pediatric Endogenous Endophthalmitis in India </w:t>
      </w:r>
    </w:p>
    <w:tbl>
      <w:tblPr>
        <w:tblW w:w="11490" w:type="dxa"/>
        <w:tblInd w:w="-12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7"/>
        <w:gridCol w:w="879"/>
        <w:gridCol w:w="722"/>
        <w:gridCol w:w="1621"/>
        <w:gridCol w:w="2026"/>
        <w:gridCol w:w="1049"/>
        <w:gridCol w:w="1578"/>
        <w:gridCol w:w="1134"/>
        <w:gridCol w:w="1394"/>
      </w:tblGrid>
      <w:tr w:rsidR="001A622F" w:rsidRPr="001B3118" w14:paraId="15D3467F" w14:textId="77777777" w:rsidTr="009C15A8">
        <w:trPr>
          <w:trHeight w:val="700"/>
        </w:trPr>
        <w:tc>
          <w:tcPr>
            <w:tcW w:w="10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68B85649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Author/Year</w:t>
            </w:r>
          </w:p>
        </w:tc>
        <w:tc>
          <w:tcPr>
            <w:tcW w:w="8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02D31DDE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Number of study eyes</w:t>
            </w:r>
          </w:p>
        </w:tc>
        <w:tc>
          <w:tcPr>
            <w:tcW w:w="72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82D7DF9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Mean age in years</w:t>
            </w:r>
          </w:p>
          <w:p w14:paraId="0446BFBC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29364685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Predisposing medical conditions</w:t>
            </w:r>
          </w:p>
        </w:tc>
        <w:tc>
          <w:tcPr>
            <w:tcW w:w="205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</w:tcPr>
          <w:p w14:paraId="223C312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Presenting features</w:t>
            </w:r>
          </w:p>
        </w:tc>
        <w:tc>
          <w:tcPr>
            <w:tcW w:w="105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A35D6D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Culture Positivity 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E80E39A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Organism isolated in order of predominance</w:t>
            </w:r>
          </w:p>
        </w:tc>
        <w:tc>
          <w:tcPr>
            <w:tcW w:w="113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31A88CCC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  <w:p w14:paraId="2A2E3FB5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4B4ED52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Unfavourable</w:t>
            </w:r>
            <w:proofErr w:type="spellEnd"/>
          </w:p>
          <w:p w14:paraId="2A54F1B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  <w:p w14:paraId="17C9050B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622F" w:rsidRPr="001B3118" w14:paraId="45D7ADDF" w14:textId="77777777" w:rsidTr="009C15A8">
        <w:trPr>
          <w:trHeight w:val="1156"/>
        </w:trPr>
        <w:tc>
          <w:tcPr>
            <w:tcW w:w="10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6544454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Maitray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gram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1B311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</w:t>
            </w:r>
            <w:proofErr w:type="gramEnd"/>
            <w:r w:rsidRPr="001B311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10]</w:t>
            </w:r>
          </w:p>
          <w:p w14:paraId="0721EDF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14:paraId="3BB3C3CC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A6B4E7C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</w:p>
        </w:tc>
        <w:tc>
          <w:tcPr>
            <w:tcW w:w="72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01AEE20A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6.8 ± 3.8 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2D2237D5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Febrile illness (13%) &gt; bronchopneumonia and </w:t>
            </w: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diarrhoea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 (3.3%)</w:t>
            </w:r>
          </w:p>
        </w:tc>
        <w:tc>
          <w:tcPr>
            <w:tcW w:w="205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</w:tcPr>
          <w:p w14:paraId="14C4A194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Reduced vision – 90%</w:t>
            </w:r>
          </w:p>
          <w:p w14:paraId="567761E9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Vitritis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 = AC cells with flare – 100%</w:t>
            </w:r>
          </w:p>
          <w:p w14:paraId="3CF41BDC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Hypopyon- 26.7%</w:t>
            </w:r>
          </w:p>
          <w:p w14:paraId="7BDD9631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Vitreous exudates- 23% </w:t>
            </w:r>
          </w:p>
          <w:p w14:paraId="7ED7DCBE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Cataract- 13.3%</w:t>
            </w:r>
          </w:p>
        </w:tc>
        <w:tc>
          <w:tcPr>
            <w:tcW w:w="105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3A3C6A79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Vitreous (76.7%) &gt; </w:t>
            </w:r>
          </w:p>
          <w:p w14:paraId="3ACD6AC4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Urine (6.7%)</w:t>
            </w:r>
          </w:p>
          <w:p w14:paraId="7585ADA1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62DDD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Blood culture nil positivity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FE47D2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GPC (36.66%) &gt; Parasite (30%) &gt; GNB (20%) &gt; Fungi (10%) &gt; GNC (3.33%)</w:t>
            </w:r>
          </w:p>
          <w:p w14:paraId="7BA2466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734285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(GPB not isolated)</w:t>
            </w:r>
          </w:p>
        </w:tc>
        <w:tc>
          <w:tcPr>
            <w:tcW w:w="113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2FCBBA3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IOAB= PPV (77%)</w:t>
            </w:r>
          </w:p>
        </w:tc>
        <w:tc>
          <w:tcPr>
            <w:tcW w:w="140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35B397EA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Phthisis- 16.7%</w:t>
            </w:r>
          </w:p>
        </w:tc>
      </w:tr>
      <w:tr w:rsidR="001A622F" w:rsidRPr="001B3118" w14:paraId="73A22423" w14:textId="77777777" w:rsidTr="009C15A8">
        <w:trPr>
          <w:trHeight w:val="1211"/>
        </w:trPr>
        <w:tc>
          <w:tcPr>
            <w:tcW w:w="10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E3610E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Murugan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gram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1B311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</w:t>
            </w:r>
            <w:proofErr w:type="gramEnd"/>
            <w:r w:rsidRPr="001B311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11]</w:t>
            </w:r>
          </w:p>
          <w:p w14:paraId="7B32BC3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646C600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2CACCDBA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</w:p>
        </w:tc>
        <w:tc>
          <w:tcPr>
            <w:tcW w:w="72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C5D2299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1.44± 1.34 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1C05331B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Febrile illness</w:t>
            </w:r>
          </w:p>
          <w:p w14:paraId="0E865F7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(Respiratory tract infection-27.2%)</w:t>
            </w:r>
          </w:p>
        </w:tc>
        <w:tc>
          <w:tcPr>
            <w:tcW w:w="205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</w:tcPr>
          <w:p w14:paraId="540904B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Pain, redness and swelling in the eyes- 91%</w:t>
            </w:r>
          </w:p>
          <w:p w14:paraId="79079C7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09E728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Rest details not mentioned</w:t>
            </w:r>
          </w:p>
        </w:tc>
        <w:tc>
          <w:tcPr>
            <w:tcW w:w="105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7AF5BB46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Vitreous (45.45%) &gt; Blood (9%)</w:t>
            </w:r>
          </w:p>
          <w:p w14:paraId="401E732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346945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Urine culture results not available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54B76E8E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GNB = Fungi (15.38%) &gt; GPC = GNC (7.6%)</w:t>
            </w:r>
          </w:p>
          <w:p w14:paraId="1C192C68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C95E10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(GPB not isolated)</w:t>
            </w:r>
          </w:p>
        </w:tc>
        <w:tc>
          <w:tcPr>
            <w:tcW w:w="113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242A3BD8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IOAB-100%</w:t>
            </w:r>
          </w:p>
          <w:p w14:paraId="0346918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PPV-76.9%</w:t>
            </w:r>
          </w:p>
        </w:tc>
        <w:tc>
          <w:tcPr>
            <w:tcW w:w="140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5" w:type="dxa"/>
              <w:left w:w="38" w:type="dxa"/>
              <w:bottom w:w="0" w:type="dxa"/>
              <w:right w:w="38" w:type="dxa"/>
            </w:tcMar>
            <w:hideMark/>
          </w:tcPr>
          <w:p w14:paraId="4548D901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Phthisis-38.4% </w:t>
            </w:r>
          </w:p>
          <w:p w14:paraId="16B9DEB9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Death- 1 subject</w:t>
            </w:r>
          </w:p>
        </w:tc>
      </w:tr>
      <w:tr w:rsidR="001A622F" w:rsidRPr="001B3118" w14:paraId="1BEA0F89" w14:textId="77777777" w:rsidTr="009C15A8">
        <w:trPr>
          <w:trHeight w:val="1457"/>
        </w:trPr>
        <w:tc>
          <w:tcPr>
            <w:tcW w:w="10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2E51571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Basu</w:t>
            </w:r>
            <w:proofErr w:type="spellEnd"/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 et al </w:t>
            </w:r>
            <w:r w:rsidRPr="001B311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[13]</w:t>
            </w:r>
          </w:p>
          <w:p w14:paraId="0187CBE1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51A5302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</w:p>
        </w:tc>
        <w:tc>
          <w:tcPr>
            <w:tcW w:w="72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49346770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29.5 ± 2.6   weeks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7A7105E1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Sepsis/Premature low birth weight babies (100%)</w:t>
            </w:r>
          </w:p>
        </w:tc>
        <w:tc>
          <w:tcPr>
            <w:tcW w:w="205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</w:tcPr>
          <w:p w14:paraId="5CFB92E8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Loss of red reflex- 66.6% </w:t>
            </w:r>
          </w:p>
          <w:p w14:paraId="3A3FA606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Corneal haziness -83.3% </w:t>
            </w:r>
          </w:p>
          <w:p w14:paraId="36D1028E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Hypopyon – 33.3% </w:t>
            </w:r>
          </w:p>
        </w:tc>
        <w:tc>
          <w:tcPr>
            <w:tcW w:w="105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0B5BDB4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Vitreous (66.6%) &gt; Blood (33.3%)</w:t>
            </w:r>
          </w:p>
          <w:p w14:paraId="5DF7F68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B97AAE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Urine culture results not available 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42A40C5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GNB (66.7%) &gt;</w:t>
            </w:r>
          </w:p>
          <w:p w14:paraId="2A799EF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GPC = Fungi (16.7%)</w:t>
            </w:r>
          </w:p>
          <w:p w14:paraId="16D39F1B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8B8595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(GPB not isolated)</w:t>
            </w:r>
          </w:p>
        </w:tc>
        <w:tc>
          <w:tcPr>
            <w:tcW w:w="113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36907680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IOAB- 33.3%</w:t>
            </w:r>
          </w:p>
          <w:p w14:paraId="5F1EF061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PPV-16.6%</w:t>
            </w:r>
          </w:p>
        </w:tc>
        <w:tc>
          <w:tcPr>
            <w:tcW w:w="140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5" w:type="dxa"/>
              <w:left w:w="38" w:type="dxa"/>
              <w:bottom w:w="0" w:type="dxa"/>
              <w:right w:w="38" w:type="dxa"/>
            </w:tcMar>
          </w:tcPr>
          <w:p w14:paraId="40F897F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>Phthisis-16.6%</w:t>
            </w:r>
          </w:p>
        </w:tc>
      </w:tr>
      <w:tr w:rsidR="001A622F" w:rsidRPr="001B3118" w14:paraId="1CD0688C" w14:textId="77777777" w:rsidTr="009C15A8">
        <w:trPr>
          <w:trHeight w:val="1462"/>
        </w:trPr>
        <w:tc>
          <w:tcPr>
            <w:tcW w:w="10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7D62AE7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Our study</w:t>
            </w:r>
          </w:p>
        </w:tc>
        <w:tc>
          <w:tcPr>
            <w:tcW w:w="88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4DCC182C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  <w:p w14:paraId="29C81D16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7D10AB4E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5.28 ± 4.96 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0388D92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systemic illness </w:t>
            </w:r>
          </w:p>
          <w:p w14:paraId="33FEA254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(68.6%)</w:t>
            </w:r>
          </w:p>
          <w:p w14:paraId="4AA6341A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5299D2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5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</w:tcPr>
          <w:p w14:paraId="087E43C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Reduced vision-20.8%</w:t>
            </w:r>
          </w:p>
          <w:p w14:paraId="6EFBBB27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Vitritis</w:t>
            </w:r>
            <w:proofErr w:type="spellEnd"/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-89.58%</w:t>
            </w:r>
          </w:p>
          <w:p w14:paraId="4A47C366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Hypopyon-47.91%</w:t>
            </w:r>
          </w:p>
          <w:p w14:paraId="3E20000A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 reaction- 31.25%</w:t>
            </w:r>
          </w:p>
          <w:p w14:paraId="6CAE4D42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Cataract- 35.41%</w:t>
            </w:r>
          </w:p>
        </w:tc>
        <w:tc>
          <w:tcPr>
            <w:tcW w:w="105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75D6BDB5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Vitreous (54.05%) &gt; </w:t>
            </w:r>
          </w:p>
          <w:p w14:paraId="4A38B5C6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</w:rPr>
              <w:t xml:space="preserve">Urine (16.21%) &gt; </w:t>
            </w: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(5.4%)</w:t>
            </w:r>
          </w:p>
        </w:tc>
        <w:tc>
          <w:tcPr>
            <w:tcW w:w="158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7CA251DB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GNB (18.91%) &gt; GPC (13.51%) &gt;</w:t>
            </w:r>
          </w:p>
          <w:p w14:paraId="7A2B3218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GPB = Fungi (10.81%)</w:t>
            </w:r>
          </w:p>
          <w:p w14:paraId="662DC65E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tcMar>
              <w:top w:w="15" w:type="dxa"/>
              <w:left w:w="38" w:type="dxa"/>
              <w:bottom w:w="0" w:type="dxa"/>
              <w:right w:w="38" w:type="dxa"/>
            </w:tcMar>
          </w:tcPr>
          <w:p w14:paraId="051FE389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IOAB-68.62%</w:t>
            </w:r>
          </w:p>
          <w:p w14:paraId="3368BB03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PPV-54.90%</w:t>
            </w:r>
          </w:p>
        </w:tc>
        <w:tc>
          <w:tcPr>
            <w:tcW w:w="140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5" w:type="dxa"/>
              <w:left w:w="38" w:type="dxa"/>
              <w:bottom w:w="0" w:type="dxa"/>
              <w:right w:w="38" w:type="dxa"/>
            </w:tcMar>
          </w:tcPr>
          <w:p w14:paraId="53DB3D6D" w14:textId="77777777" w:rsidR="001A622F" w:rsidRPr="001B3118" w:rsidRDefault="001A622F" w:rsidP="001A622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B31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Phthisis-45.83% </w:t>
            </w:r>
          </w:p>
        </w:tc>
      </w:tr>
    </w:tbl>
    <w:p w14:paraId="0247968F" w14:textId="77777777" w:rsidR="001A622F" w:rsidRPr="001B3118" w:rsidRDefault="001A622F" w:rsidP="001A622F">
      <w:pPr>
        <w:spacing w:line="480" w:lineRule="auto"/>
        <w:rPr>
          <w:rFonts w:ascii="Times New Roman" w:hAnsi="Times New Roman" w:cs="Times New Roman"/>
        </w:rPr>
      </w:pPr>
    </w:p>
    <w:p w14:paraId="0F679B4F" w14:textId="77777777" w:rsidR="001A622F" w:rsidRPr="001B3118" w:rsidRDefault="001A622F" w:rsidP="001A622F">
      <w:pPr>
        <w:spacing w:line="480" w:lineRule="auto"/>
        <w:rPr>
          <w:rFonts w:ascii="Times New Roman" w:hAnsi="Times New Roman" w:cs="Times New Roman"/>
          <w:b/>
          <w:bCs/>
        </w:rPr>
      </w:pPr>
      <w:r w:rsidRPr="001B3118">
        <w:rPr>
          <w:rFonts w:ascii="Times New Roman" w:hAnsi="Times New Roman" w:cs="Times New Roman"/>
          <w:b/>
          <w:bCs/>
        </w:rPr>
        <w:t xml:space="preserve">IOAB-   Intraocular antibiotics; PPV- Pars plana Vitrectomy      </w:t>
      </w:r>
    </w:p>
    <w:p w14:paraId="4FF5CEF6" w14:textId="77777777" w:rsidR="007A0D01" w:rsidRDefault="007A0D01"/>
    <w:sectPr w:rsidR="007A0D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22F"/>
    <w:rsid w:val="001A622F"/>
    <w:rsid w:val="007A0D01"/>
    <w:rsid w:val="00887C3C"/>
    <w:rsid w:val="00E8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0BD954"/>
  <w15:chartTrackingRefBased/>
  <w15:docId w15:val="{2127350E-B977-F242-B719-E16F385F9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22F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Dr.Srikanta Kumar Padhy</dc:creator>
  <cp:keywords/>
  <dc:description/>
  <cp:lastModifiedBy>Dr.Srikanta Kumar Padhy</cp:lastModifiedBy>
  <cp:revision>1</cp:revision>
  <dcterms:created xsi:type="dcterms:W3CDTF">2024-03-05T14:50:00Z</dcterms:created>
  <dcterms:modified xsi:type="dcterms:W3CDTF">2024-03-05T14:50:00Z</dcterms:modified>
</cp:coreProperties>
</file>