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hanging="141"/>
        <w:jc w:val="cente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71.0" w:type="dxa"/>
        <w:jc w:val="center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1716"/>
        <w:gridCol w:w="1270"/>
        <w:gridCol w:w="1122"/>
        <w:gridCol w:w="1132"/>
        <w:gridCol w:w="1134"/>
        <w:gridCol w:w="1087"/>
        <w:gridCol w:w="1100"/>
        <w:gridCol w:w="1215"/>
        <w:gridCol w:w="1134"/>
        <w:gridCol w:w="1134"/>
        <w:gridCol w:w="1276"/>
        <w:gridCol w:w="1276"/>
        <w:gridCol w:w="1275"/>
        <w:tblGridChange w:id="0">
          <w:tblGrid>
            <w:gridCol w:w="1716"/>
            <w:gridCol w:w="1270"/>
            <w:gridCol w:w="1122"/>
            <w:gridCol w:w="1132"/>
            <w:gridCol w:w="1134"/>
            <w:gridCol w:w="1087"/>
            <w:gridCol w:w="1100"/>
            <w:gridCol w:w="1215"/>
            <w:gridCol w:w="1134"/>
            <w:gridCol w:w="1134"/>
            <w:gridCol w:w="1276"/>
            <w:gridCol w:w="1276"/>
            <w:gridCol w:w="1275"/>
          </w:tblGrid>
        </w:tblGridChange>
      </w:tblGrid>
      <w:tr>
        <w:trPr>
          <w:cantSplit w:val="0"/>
          <w:trHeight w:val="674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00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TABLE 1</w:t>
            </w:r>
          </w:p>
          <w:p w:rsidR="00000000" w:rsidDel="00000000" w:rsidP="00000000" w:rsidRDefault="00000000" w:rsidRPr="00000000" w14:paraId="00000004">
            <w:pPr>
              <w:spacing w:line="480" w:lineRule="auto"/>
              <w:ind w:hanging="141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Baseline characteristics of included studies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4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Study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PPAR agonist</w:t>
            </w:r>
          </w:p>
          <w:p w:rsidR="00000000" w:rsidDel="00000000" w:rsidP="00000000" w:rsidRDefault="00000000" w:rsidRPr="00000000" w14:paraId="0000001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(mg/day)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Dose UDCA (mg/kg/day) I/C 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Follow-up (weeks)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Patients, n I/C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Female, n I/C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Age, year I/C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TBIL, mmol/L I/C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AST, U/L I/C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ALT, U/L</w:t>
            </w:r>
          </w:p>
          <w:p w:rsidR="00000000" w:rsidDel="00000000" w:rsidP="00000000" w:rsidRDefault="00000000" w:rsidRPr="00000000" w14:paraId="0000001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I/C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ALP, U/L</w:t>
            </w:r>
          </w:p>
          <w:p w:rsidR="00000000" w:rsidDel="00000000" w:rsidP="00000000" w:rsidRDefault="00000000" w:rsidRPr="00000000" w14:paraId="0000001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I/C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GGT, U/L I/C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ALB, g/L I/C</w:t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Vuppalanchi 2022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Saroglitazar (2,96*)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13,3*/14,0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27/10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26/10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56,1*/59,2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0,65*/0,7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50,4*/37,1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58,8*/44,4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337,7*/294,9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333,3*/188,6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Schattenberg 2021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Elafibrinor (100*)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13,9*/14,8**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30/15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29/14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58,4*/60,5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0,58*/0,65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46,8*/46,7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49,0*/48,5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307,1*/296,2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222,0*/229,6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41,1*/42,5</w:t>
            </w:r>
          </w:p>
        </w:tc>
      </w:tr>
      <w:tr>
        <w:trPr>
          <w:cantSplit w:val="0"/>
          <w:trHeight w:val="303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Liu 2023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Fenofibrate (200)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13-15/13-15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57/60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51/50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52/52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15,7/18,4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59/66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54/63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277/303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343/327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40,5/39,3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Jones 2017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Seladelpar (117,3*)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14,5*/16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25/13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24/12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55,9*/56,0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0,74*/0,68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34,6*/36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39,8*/40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281,3*/233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164,3*/183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42,0*/43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Hosonuma 2015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Bezafibrate (400) 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12–15/12–15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478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13/14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9/13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64/64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0,7/0,7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31/27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26/25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423/454</w:t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92/52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42/42</w:t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Hirschfield 2024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Seladelpar (10)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15/14,9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128/65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123/60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56,6/57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0,77/0,74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39,6/41,7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47,4/48,2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314,6/313,8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269,0/287,5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42/41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Hirschfield 2023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Seladelpar (7,5*)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15,4*/15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178/87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165/85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55,1*/55,9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0,74*/0,71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40,2*/37,5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47,3*/44,4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290,6*/293,4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237,2*/228,9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309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Corpechot  2018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Bezafibrate (400)</w:t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15/15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104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50/50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49/46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53/53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14,0/12,6</w:t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44/45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55/53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244/242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162/164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41,3/41,9</w:t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89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Liberopoulos 2010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Fenofibrate (200)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600/600**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6/4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5/3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55,3/54,8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0,7/0,73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42/38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49/41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195/232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96/112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369" w:hRule="atLeast"/>
          <w:tblHeader w:val="0"/>
        </w:trPr>
        <w:tc>
          <w:tcPr/>
          <w:p w:rsidR="00000000" w:rsidDel="00000000" w:rsidP="00000000" w:rsidRDefault="00000000" w:rsidRPr="00000000" w14:paraId="00000096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Li 2022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Fenofibrate (200)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13-15/13-15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24/24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19/24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51,5/50,4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15,45/14,05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45/54,5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39,5/47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174/221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218/169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A3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Kowdley 2023</w:t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Elafibrinor (80)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104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108/53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102/52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57,5/56,4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9,7/9,4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45/47,2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49,3/50,3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321,3/323,1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213,3/220,0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Iwasaki (1) 2008</w:t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Bezafibrate (400)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0/600**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20/25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17/20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55,5/56,7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764/713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BD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Iwasaki (2) 2008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Bezafibrate (400)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600/600**</w:t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12/10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10/9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49,8/58,3 </w:t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764/713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NA</w:t>
            </w:r>
          </w:p>
        </w:tc>
      </w:tr>
      <w:tr>
        <w:trPr>
          <w:cantSplit w:val="0"/>
          <w:trHeight w:val="634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Itakura 2004</w:t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480" w:lineRule="auto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Bezafibrate (400)</w:t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600/600**</w:t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9/7</w:t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8/4</w:t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54/61</w:t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0,73/0,71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60/42</w:t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55/50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618/436</w:t>
            </w:r>
          </w:p>
        </w:tc>
        <w:tc>
          <w:tcPr/>
          <w:p w:rsidR="00000000" w:rsidDel="00000000" w:rsidP="00000000" w:rsidRDefault="00000000" w:rsidRPr="00000000" w14:paraId="000000D5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171/130</w:t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9"/>
                <w:szCs w:val="19"/>
                <w:rtl w:val="0"/>
              </w:rPr>
              <w:t xml:space="preserve">43/39</w:t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0D7">
            <w:pPr>
              <w:spacing w:line="480" w:lineRule="auto"/>
              <w:ind w:left="141" w:right="-6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PPAR analog; **(mg/day); *Weighted average;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#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mg/dl; AST, aspartate aminotransferase; ALT, alanine aminotransferase; GGT, gamma-glutamyltransferase; ALB, albumin; ALP, alkaline phosphatase; ULN-Upper Limit of Normal; TBIL, total bilirubin; ALP, alkaline phosphatase.</w:t>
            </w:r>
          </w:p>
          <w:p w:rsidR="00000000" w:rsidDel="00000000" w:rsidP="00000000" w:rsidRDefault="00000000" w:rsidRPr="00000000" w14:paraId="000000D8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5">
      <w:pPr>
        <w:spacing w:after="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</w:p>
    <w:sectPr>
      <w:pgSz w:h="11906" w:w="16838" w:orient="landscape"/>
      <w:pgMar w:bottom="170" w:top="170" w:left="170" w:right="17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ptos" w:cs="Aptos" w:eastAsia="Aptos" w:hAnsi="Aptos"/>
        <w:sz w:val="24"/>
        <w:szCs w:val="24"/>
        <w:lang w:val="pt-BR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har"/>
    <w:uiPriority w:val="9"/>
    <w:qFormat w:val="1"/>
    <w:rsid w:val="00CF728D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CF728D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CF728D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CF728D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CF728D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CF728D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CF728D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CF728D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CF728D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 w:val="1"/>
    <w:rsid w:val="00CF728D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1Char" w:customStyle="1">
    <w:name w:val="Título 1 Char"/>
    <w:basedOn w:val="Fontepargpadro"/>
    <w:link w:val="Ttulo1"/>
    <w:uiPriority w:val="9"/>
    <w:rsid w:val="00CF728D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CF728D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CF728D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CF728D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CF728D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CF728D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CF728D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CF728D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CF728D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CF728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 w:val="1"/>
    <w:rPr>
      <w:color w:val="595959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CF728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F728D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CF728D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CF728D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CF728D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CF728D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CF728D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CF728D"/>
    <w:rPr>
      <w:b w:val="1"/>
      <w:bCs w:val="1"/>
      <w:smallCaps w:val="1"/>
      <w:color w:val="0f4761" w:themeColor="accent1" w:themeShade="0000BF"/>
      <w:spacing w:val="5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SimplesTabela2">
    <w:name w:val="Plain Table 2"/>
    <w:basedOn w:val="Tabelanormal"/>
    <w:uiPriority w:val="42"/>
    <w:rsid w:val="007F43C6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SimplesTabela1">
    <w:name w:val="Plain Table 1"/>
    <w:basedOn w:val="Tabelanormal"/>
    <w:uiPriority w:val="41"/>
    <w:rsid w:val="007F43C6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IXbUyt8Ur/M0G0QGEP/wjNNzCw==">CgMxLjA4AHIhMVRpSDR6SEJud0ZtZ1BqMERRcGZYZE9WLVA4VUI1Umow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2024-04-22T20:10:00Z</dcterms:created>
  <dc:creator>RAFAELA PIROLA</dc:creator>
</cp:coreProperties>
</file>