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ascii="Times New Roman" w:hAnsi="Times New Roman"/>
          <w:b/>
          <w:bCs/>
          <w:sz w:val="24"/>
        </w:rPr>
      </w:pPr>
      <w:bookmarkStart w:id="0" w:name="_GoBack"/>
      <w:r>
        <w:rPr>
          <w:rFonts w:ascii="Times New Roman" w:hAnsi="Times New Roman"/>
          <w:b/>
          <w:bCs/>
          <w:sz w:val="24"/>
        </w:rPr>
        <w:t xml:space="preserve">Table </w:t>
      </w:r>
      <w:r>
        <w:rPr>
          <w:rFonts w:hint="eastAsia" w:ascii="Times New Roman" w:hAnsi="Times New Roman"/>
          <w:b/>
          <w:bCs/>
          <w:sz w:val="24"/>
        </w:rPr>
        <w:t>1</w:t>
      </w:r>
      <w:bookmarkEnd w:id="0"/>
      <w:r>
        <w:rPr>
          <w:rFonts w:ascii="Times New Roman" w:hAnsi="Times New Roman"/>
          <w:b/>
          <w:bCs/>
          <w:sz w:val="24"/>
        </w:rPr>
        <w:t xml:space="preserve"> </w:t>
      </w:r>
      <w:r>
        <w:rPr>
          <w:rFonts w:hint="eastAsia" w:ascii="Times New Roman" w:hAnsi="Times New Roman" w:eastAsia="等线"/>
          <w:sz w:val="24"/>
        </w:rPr>
        <w:t xml:space="preserve">Projection of </w:t>
      </w:r>
      <w:r>
        <w:rPr>
          <w:rFonts w:ascii="Times New Roman" w:hAnsi="Times New Roman" w:eastAsia="等线"/>
          <w:sz w:val="24"/>
        </w:rPr>
        <w:t>AS</w:t>
      </w:r>
      <w:r>
        <w:rPr>
          <w:rFonts w:hint="eastAsia" w:ascii="Times New Roman" w:hAnsi="Times New Roman" w:eastAsia="等线"/>
          <w:sz w:val="24"/>
        </w:rPr>
        <w:t>D</w:t>
      </w:r>
      <w:r>
        <w:rPr>
          <w:rFonts w:ascii="Times New Roman" w:hAnsi="Times New Roman" w:eastAsia="等线"/>
          <w:sz w:val="24"/>
        </w:rPr>
        <w:t xml:space="preserve">R and </w:t>
      </w:r>
      <w:r>
        <w:rPr>
          <w:rFonts w:ascii="Times New Roman" w:hAnsi="Times New Roman"/>
          <w:color w:val="000000"/>
          <w:kern w:val="0"/>
          <w:sz w:val="24"/>
          <w:shd w:val="clear" w:color="auto" w:fill="FFFFFF"/>
        </w:rPr>
        <w:t>AS</w:t>
      </w:r>
      <w:r>
        <w:rPr>
          <w:rFonts w:hint="eastAsia" w:ascii="Times New Roman" w:hAnsi="Times New Roman"/>
          <w:color w:val="000000"/>
          <w:kern w:val="0"/>
          <w:sz w:val="24"/>
          <w:shd w:val="clear" w:color="auto" w:fill="FFFFFF"/>
        </w:rPr>
        <w:t>M</w:t>
      </w:r>
      <w:r>
        <w:rPr>
          <w:rFonts w:ascii="Times New Roman" w:hAnsi="Times New Roman"/>
          <w:color w:val="000000"/>
          <w:kern w:val="0"/>
          <w:sz w:val="24"/>
          <w:shd w:val="clear" w:color="auto" w:fill="FFFFFF"/>
        </w:rPr>
        <w:t>R</w:t>
      </w:r>
      <w:r>
        <w:rPr>
          <w:rFonts w:ascii="Times New Roman" w:hAnsi="Times New Roman" w:eastAsia="等线"/>
          <w:sz w:val="24"/>
        </w:rPr>
        <w:t xml:space="preserve"> attributable to </w:t>
      </w:r>
      <w:r>
        <w:rPr>
          <w:rFonts w:hint="eastAsia" w:ascii="Times New Roman" w:hAnsi="Times New Roman" w:eastAsia="等线"/>
          <w:sz w:val="24"/>
        </w:rPr>
        <w:t>High-FPG</w:t>
      </w:r>
      <w:r>
        <w:rPr>
          <w:rFonts w:ascii="Times New Roman" w:hAnsi="Times New Roman" w:eastAsia="等线"/>
          <w:sz w:val="24"/>
        </w:rPr>
        <w:t xml:space="preserve"> by sex</w:t>
      </w:r>
      <w:r>
        <w:rPr>
          <w:rFonts w:hint="eastAsia" w:ascii="Times New Roman" w:hAnsi="Times New Roman" w:eastAsia="等线"/>
          <w:sz w:val="24"/>
        </w:rPr>
        <w:t xml:space="preserve">, </w:t>
      </w:r>
      <w:r>
        <w:rPr>
          <w:rFonts w:ascii="Times New Roman" w:hAnsi="Times New Roman" w:eastAsia="等线"/>
          <w:sz w:val="24"/>
        </w:rPr>
        <w:t>SDI</w:t>
      </w:r>
      <w:r>
        <w:rPr>
          <w:rFonts w:hint="eastAsia" w:ascii="Times New Roman" w:hAnsi="Times New Roman" w:eastAsia="等线"/>
          <w:sz w:val="24"/>
        </w:rPr>
        <w:t xml:space="preserve">, </w:t>
      </w:r>
      <w:r>
        <w:rPr>
          <w:rFonts w:ascii="Times New Roman" w:hAnsi="Times New Roman" w:eastAsia="等线"/>
          <w:sz w:val="24"/>
        </w:rPr>
        <w:t xml:space="preserve">GBD regions in </w:t>
      </w:r>
      <w:r>
        <w:rPr>
          <w:rFonts w:hint="eastAsia" w:ascii="Times New Roman" w:hAnsi="Times New Roman" w:eastAsia="等线"/>
          <w:sz w:val="24"/>
        </w:rPr>
        <w:t xml:space="preserve">2020, </w:t>
      </w:r>
      <w:r>
        <w:rPr>
          <w:rFonts w:ascii="Times New Roman" w:hAnsi="Times New Roman" w:eastAsia="等线"/>
          <w:sz w:val="24"/>
        </w:rPr>
        <w:t>20</w:t>
      </w:r>
      <w:r>
        <w:rPr>
          <w:rFonts w:hint="eastAsia" w:ascii="Times New Roman" w:hAnsi="Times New Roman" w:eastAsia="等线"/>
          <w:sz w:val="24"/>
        </w:rPr>
        <w:t>30</w:t>
      </w:r>
      <w:r>
        <w:rPr>
          <w:rFonts w:ascii="Times New Roman" w:hAnsi="Times New Roman" w:eastAsia="等线"/>
          <w:sz w:val="24"/>
        </w:rPr>
        <w:t xml:space="preserve"> and EAPC from </w:t>
      </w:r>
      <w:r>
        <w:rPr>
          <w:rFonts w:hint="eastAsia" w:ascii="Times New Roman" w:hAnsi="Times New Roman" w:eastAsia="等线"/>
          <w:sz w:val="24"/>
        </w:rPr>
        <w:t>2020</w:t>
      </w:r>
      <w:r>
        <w:rPr>
          <w:rFonts w:ascii="Times New Roman" w:hAnsi="Times New Roman" w:eastAsia="等线"/>
          <w:sz w:val="24"/>
        </w:rPr>
        <w:t xml:space="preserve"> to 20</w:t>
      </w:r>
      <w:r>
        <w:rPr>
          <w:rFonts w:hint="eastAsia" w:ascii="Times New Roman" w:hAnsi="Times New Roman" w:eastAsia="等线"/>
          <w:sz w:val="24"/>
        </w:rPr>
        <w:t>30</w:t>
      </w:r>
    </w:p>
    <w:tbl>
      <w:tblPr>
        <w:tblStyle w:val="4"/>
        <w:tblW w:w="1407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4"/>
        <w:gridCol w:w="2154"/>
        <w:gridCol w:w="2154"/>
        <w:gridCol w:w="1701"/>
        <w:gridCol w:w="240"/>
        <w:gridCol w:w="2154"/>
        <w:gridCol w:w="2154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FFFFFF"/>
          </w:tcPr>
          <w:p>
            <w:pPr>
              <w:rPr>
                <w:rFonts w:ascii="Times New Roman" w:hAnsi="Times New Roman"/>
                <w:b w:val="0"/>
                <w:color w:val="000000"/>
                <w:kern w:val="0"/>
                <w:sz w:val="20"/>
                <w:szCs w:val="20"/>
                <w:shd w:val="clear" w:color="FFFFFF" w:fill="D9D9D9"/>
              </w:rPr>
            </w:pPr>
          </w:p>
        </w:tc>
        <w:tc>
          <w:tcPr>
            <w:tcW w:w="215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textAlignment w:val="center"/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202</w:t>
            </w:r>
            <w:r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0</w:t>
            </w:r>
          </w:p>
        </w:tc>
        <w:tc>
          <w:tcPr>
            <w:tcW w:w="215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textAlignment w:val="center"/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</w:pPr>
            <w:r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20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30</w:t>
            </w:r>
          </w:p>
        </w:tc>
        <w:tc>
          <w:tcPr>
            <w:tcW w:w="170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textAlignment w:val="center"/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2020</w:t>
            </w:r>
            <w:r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-20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30</w:t>
            </w:r>
          </w:p>
        </w:tc>
        <w:tc>
          <w:tcPr>
            <w:tcW w:w="240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textAlignment w:val="center"/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</w:pPr>
          </w:p>
        </w:tc>
        <w:tc>
          <w:tcPr>
            <w:tcW w:w="215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textAlignment w:val="center"/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202</w:t>
            </w:r>
            <w:r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0</w:t>
            </w:r>
          </w:p>
        </w:tc>
        <w:tc>
          <w:tcPr>
            <w:tcW w:w="2154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textAlignment w:val="center"/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</w:pPr>
            <w:r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20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30</w:t>
            </w:r>
          </w:p>
        </w:tc>
        <w:tc>
          <w:tcPr>
            <w:tcW w:w="1701" w:type="dxa"/>
            <w:tcBorders>
              <w:top w:val="single" w:color="000000" w:sz="12" w:space="0"/>
              <w:left w:val="nil"/>
              <w:bottom w:val="single" w:color="000000" w:sz="4" w:space="0"/>
              <w:right w:val="nil"/>
            </w:tcBorders>
            <w:shd w:val="clear" w:color="auto" w:fill="FFFFFF"/>
          </w:tcPr>
          <w:p>
            <w:pPr>
              <w:jc w:val="center"/>
              <w:textAlignment w:val="center"/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2020</w:t>
            </w:r>
            <w:r>
              <w:rPr>
                <w:rFonts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-20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  <w:shd w:val="clear" w:color="auto" w:fill="auto"/>
                <w:lang w:bidi="ar"/>
              </w:rPr>
              <w:t>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single" w:color="000000" w:sz="4" w:space="0"/>
              <w:left w:val="nil"/>
              <w:bottom w:val="nil"/>
              <w:right w:val="nil"/>
              <w:tl2br w:val="nil"/>
            </w:tcBorders>
            <w:shd w:val="clear" w:color="auto" w:fill="FFFFFF"/>
          </w:tcPr>
          <w:p>
            <w:pPr>
              <w:textAlignment w:val="center"/>
              <w:rPr>
                <w:rFonts w:ascii="Times New Roman" w:hAnsi="Times New Roman"/>
                <w:b w:val="0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/>
                <w:b w:val="0"/>
                <w:color w:val="000000"/>
                <w:kern w:val="0"/>
                <w:sz w:val="20"/>
                <w:szCs w:val="20"/>
                <w:lang w:bidi="ar"/>
              </w:rPr>
              <w:t>Characteristics</w:t>
            </w:r>
          </w:p>
        </w:tc>
        <w:tc>
          <w:tcPr>
            <w:tcW w:w="215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AS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R</w:t>
            </w:r>
          </w:p>
          <w:p>
            <w:pPr>
              <w:widowControl/>
              <w:jc w:val="center"/>
              <w:rPr>
                <w:rFonts w:ascii="Times New Roman" w:hAnsi="Times New Roman"/>
                <w:b w:val="0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per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100000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(95 % 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I)</w:t>
            </w:r>
          </w:p>
        </w:tc>
        <w:tc>
          <w:tcPr>
            <w:tcW w:w="215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AS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>D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R</w:t>
            </w:r>
          </w:p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per 100000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(95 % 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I)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EAPC</w:t>
            </w:r>
          </w:p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No. (95 % 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I)</w:t>
            </w:r>
          </w:p>
        </w:tc>
        <w:tc>
          <w:tcPr>
            <w:tcW w:w="240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textAlignment w:val="center"/>
              <w:rPr>
                <w:rFonts w:ascii="Times New Roman" w:hAnsi="Times New Roman"/>
                <w:b w:val="0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215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ASMR</w:t>
            </w:r>
          </w:p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per 100000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(95 % 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I)</w:t>
            </w:r>
          </w:p>
        </w:tc>
        <w:tc>
          <w:tcPr>
            <w:tcW w:w="2154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ASMR</w:t>
            </w:r>
          </w:p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per 100000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(95 % 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I)</w:t>
            </w:r>
          </w:p>
        </w:tc>
        <w:tc>
          <w:tcPr>
            <w:tcW w:w="1701" w:type="dxa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EAPC</w:t>
            </w:r>
          </w:p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No. (95 % 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I)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Global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Overall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103.89(101.05, 106.73)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109.79(86.81, 132.77)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0.55(0.54, 0.57)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5.29(5.17, 5.40)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5.97(4.43, 7.52)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1.22(1.21, 1.23)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Male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119.15(116.53, 121.78)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122.46(92.17, 152.75)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0.28(0.25, 0.31)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6.33(6.20, 6.47)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7.01(5.02, 8.99)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1.02(1.00, 1.03)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Female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91.24(88.18, 94.30)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100.78(78.98, 122.59)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1.00(1.00, 1.00)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4.48(4.37, 4.59)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5.17(3.88, 6.45)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1.45(1.44, 1.45)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bCs/>
                <w:color w:val="000000"/>
                <w:kern w:val="0"/>
                <w:sz w:val="20"/>
                <w:szCs w:val="20"/>
              </w:rPr>
              <w:t>SDI</w:t>
            </w: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 xml:space="preserve"> region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High SDI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140.18(136.44, 143.92)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161.26(111.45, 211.08)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1.41(1.37, 1.44)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7.30(7.12, 7.48)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9.16(5.92, 12.39)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2.29(2.28, 2.30)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High-middle SDI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110.18(106.20, 114.17)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100.12(66.75, 133.48)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-0.96(-0.97, -0.94)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5.56(5.40, 5.72)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5.54(3.39, 7.68)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-0.05(-0.06, -0.04)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Middle SDI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91.45(88.39, 94.50)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95.95(72.45, 119.46)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0.48(0.47, 0.49)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4.54(4.41, 4.67)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5.04(3.48, 6.59)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1.04(1.03, 1.05)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Low-middle SDI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74.65(72.67, 76.63)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102.68(77.47, 127.89)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3.24(3.22, 3.25)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3.49(3.41, 3.58)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4.85(3.66, 6.04)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3.34(3.33, 3.35)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Low SDI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57.48(56.45, 58.52)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75.80(59.70, 91.91)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2.81(2.80, 2.81)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2.68(2.60, 2.76)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3.37(2.57, 4.16)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2.31(2.31, 2.31)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rPr>
                <w:rFonts w:ascii="Times New Roman" w:hAnsi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/>
                <w:b w:val="0"/>
                <w:bCs/>
                <w:color w:val="000000"/>
                <w:kern w:val="0"/>
                <w:sz w:val="20"/>
                <w:szCs w:val="20"/>
              </w:rPr>
              <w:t>GBD region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South Asia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68.41(65.70, 71.12)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113.72(63.51, 163.94)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5.21(5.21, 5.22)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3.16(2.99, 3.33)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5(2.93, 7.06)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4.92(4.92, 4.93)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Southern Latin America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143.94(139.69, 148.18)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191.15(119.06, 263.24)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2.87(2.84, 2.89)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4.85(4.60, 5.09)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9.58(6.35, 12.81)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2.82(2.81, 2.83)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Southeast Asia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100.34(94.15, 106.52)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127.75(70.41, 185.10)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2.44(2.40, 2.49)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7.01(6.73, 7.30)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6.47(4.50, 8.44)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2.54(2.50, 2.58)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High-income Asia Pacific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77.33(74.54, 80.12)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94.58(58.53, 130.64)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2.03(2.03, 2.04)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4.55(4.32, 4.78)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4.86(2.97, 6.75)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1.73(1.71, 1.75)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Oceania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181.18(176.25, 186.11)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221.57(170.64, 272.50)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2.03(2.01, 2.05)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9.33(9.03, 9.62)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8.95(5.6, 12.29)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1.73(1.72, 1.74)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Central Sub-Saharan Africa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72.15(70.4, 73.90)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85.43(62.25, 108.62)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1.70(1.70, 1.71)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4.89(4.73, 5.06)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4.09(2.70, 5.48)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1.80(1.80, 1.81)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High-income North America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187.72(179.38, 196.06)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222.08(86.39, 357.77)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1.69(1.65, 1.73)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3.42(3.23, 3.61)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12.68(4.44, 20.93)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2.78(2.77, 2.79)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Central Latin America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103.10(99.57, 106.63)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121.37(75.98, 166.75)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1.65(1.61, 1.68)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4.71(4.49, 4.92)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6.06(4.00, 8.12)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2.16(2.12, 2.21)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Andean Latin America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60.41(58.43, 62.39)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70.86(41.00, 100.72)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1.61(1.59, 1.62)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3.39(3.17, 3.62)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3.44(2.28, 4.60)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0.85(0.83, 0.87)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Western Sub-Saharan Africa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53.24(52.06, 54.42)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62.46(48.93, 75.98)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1.61(1.60, 1.62)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2(1.92, 2.09)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3.34(2.46, 4.22)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1.88(1.88, 1.89)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Eastern Sub-Saharan Africa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40.75(39.79, 41.70)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47.14(37.42, 56.85)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1.47(1.44, 1.50)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4.09(3.96, 4.23)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2.25(1.64, 2.87)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1.17(1.14, 1.20)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Central Europe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201.04(194.63, 207.44)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229.88(143.3, 316.46)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1.34(1.27, 1.41)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9.63(9.24, 10.03)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10.33(6.64, 14.02)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1.03(0.95, 1.11)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Western Europe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145.26(141.47, 149.05)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164.8(126.61, 202.98)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1.26(1.24, 1.29)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5.14(4.95, 5.33)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8.78(6.45, 11.11)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1.48(1.47, 1.48)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Caribbean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141.81(138.36, 145.26)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156.11(108.28, 203.94)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0.96(0.96, 0.97)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7.54(6.94, 8.13)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8.15(5.87, 10.43)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1.51(1.49, 1.53)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North Africa and Middle East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108.92(105.63, 112.21)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118.51(67.09, 169.93)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0.85(0.83, 0.87)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3.09(2.98, 3.20)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5.48(2.71, 8.25)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0.65(0.62, 0.67)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Eastern Europe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75.75(70.05, 81.44)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75.01(-35.41, 185.43)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-0.10(-0.12, -0.08)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5.03(4.84, 5.23)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3.23(-0.67, 7.12)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-0.51(-0.54, -0.47)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Southern Sub-Saharan Africa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118.6(110.76, 126.44)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107.39(61.96, 152.81)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-0.99(-1.06, -0.91)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7.25(6.97, 7.53)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4.11(1.28, 6.93)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-3.09(-3.15, -3.03)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Central Asia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99.30(95.64, 102.97)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89.27(51.17, 127.37)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-1.07(-1.12, -1.01)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5.62(5.27, 5.98)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4.37(2.51, 6.23)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-0.40(-0.47, -0.33)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Australasia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87.74(84.73, 90.74)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78.48(47.64, 109.33)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-1.11(-1.16, -1.07)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4.12(3.97, 4.27)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4.46(2.73, 6.18)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-0.84(-0.85, -0.84)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Tropical Latin America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82.60(80.25, 84.95)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73.05(46.02, 100.08)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-1.22(-1.23, -1.22)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7.59(7.40, 7.77)</w:t>
            </w:r>
          </w:p>
        </w:tc>
        <w:tc>
          <w:tcPr>
            <w:tcW w:w="21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3.75(2.33, 5.17)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-0.94(-0.95, -0.93)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81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East Asia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90.87(85.96, 95.77)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74.98(39.78, 110.19)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-1.91(-1.94, -1.88)</w:t>
            </w:r>
          </w:p>
        </w:tc>
        <w:tc>
          <w:tcPr>
            <w:tcW w:w="24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2.77(2.66, 2.88)</w:t>
            </w:r>
          </w:p>
        </w:tc>
        <w:tc>
          <w:tcPr>
            <w:tcW w:w="2154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4.69(1.71, 7.67)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Times New Roman"/>
                <w:b w:val="0"/>
                <w:color w:val="000000"/>
                <w:kern w:val="0"/>
                <w:sz w:val="20"/>
                <w:szCs w:val="20"/>
              </w:rPr>
              <w:t>-0.04(-0.06, -0.03)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40" w:line="480" w:lineRule="auto"/>
        <w:jc w:val="left"/>
        <w:textAlignment w:val="auto"/>
      </w:pPr>
      <w:r>
        <w:rPr>
          <w:rFonts w:ascii="Times New Roman" w:hAnsi="Times New Roman" w:eastAsia="Times New Roman"/>
          <w:kern w:val="0"/>
          <w:sz w:val="20"/>
          <w:szCs w:val="20"/>
        </w:rPr>
        <w:t>AS</w:t>
      </w:r>
      <w:r>
        <w:rPr>
          <w:rFonts w:hint="eastAsia" w:ascii="Times New Roman" w:hAnsi="Times New Roman"/>
          <w:kern w:val="0"/>
          <w:sz w:val="20"/>
          <w:szCs w:val="20"/>
        </w:rPr>
        <w:t>D</w:t>
      </w:r>
      <w:r>
        <w:rPr>
          <w:rFonts w:ascii="Times New Roman" w:hAnsi="Times New Roman" w:eastAsia="Times New Roman"/>
          <w:kern w:val="0"/>
          <w:sz w:val="20"/>
          <w:szCs w:val="20"/>
        </w:rPr>
        <w:t>R</w:t>
      </w:r>
      <w:r>
        <w:rPr>
          <w:rFonts w:hint="eastAsia" w:ascii="Times New Roman" w:hAnsi="Times New Roman"/>
          <w:kern w:val="0"/>
          <w:sz w:val="20"/>
          <w:szCs w:val="20"/>
        </w:rPr>
        <w:t xml:space="preserve">, </w:t>
      </w:r>
      <w:r>
        <w:rPr>
          <w:rFonts w:ascii="Times New Roman" w:hAnsi="Times New Roman" w:eastAsia="Times New Roman"/>
          <w:kern w:val="0"/>
          <w:sz w:val="20"/>
          <w:szCs w:val="20"/>
        </w:rPr>
        <w:t xml:space="preserve">age-standardized </w:t>
      </w:r>
      <w:r>
        <w:rPr>
          <w:rFonts w:hint="eastAsia" w:ascii="Times New Roman" w:hAnsi="Times New Roman"/>
          <w:kern w:val="0"/>
          <w:sz w:val="20"/>
          <w:szCs w:val="20"/>
        </w:rPr>
        <w:t>DALYs</w:t>
      </w:r>
      <w:r>
        <w:rPr>
          <w:rFonts w:ascii="Times New Roman" w:hAnsi="Times New Roman" w:eastAsia="Times New Roman"/>
          <w:kern w:val="0"/>
          <w:sz w:val="20"/>
          <w:szCs w:val="20"/>
        </w:rPr>
        <w:t xml:space="preserve"> rate; ASMR</w:t>
      </w:r>
      <w:r>
        <w:rPr>
          <w:rFonts w:hint="eastAsia" w:ascii="Times New Roman" w:hAnsi="Times New Roman"/>
          <w:kern w:val="0"/>
          <w:sz w:val="20"/>
          <w:szCs w:val="20"/>
        </w:rPr>
        <w:t xml:space="preserve">, </w:t>
      </w:r>
      <w:r>
        <w:rPr>
          <w:rFonts w:ascii="Times New Roman" w:hAnsi="Times New Roman" w:eastAsia="Times New Roman"/>
          <w:kern w:val="0"/>
          <w:sz w:val="20"/>
          <w:szCs w:val="20"/>
        </w:rPr>
        <w:t xml:space="preserve">age-standardized mortality rate; </w:t>
      </w:r>
      <w:r>
        <w:rPr>
          <w:rFonts w:hint="eastAsia" w:ascii="Times New Roman" w:hAnsi="Times New Roman"/>
          <w:kern w:val="0"/>
          <w:sz w:val="20"/>
          <w:szCs w:val="20"/>
        </w:rPr>
        <w:t xml:space="preserve">High-FPG, </w:t>
      </w:r>
      <w:r>
        <w:rPr>
          <w:rFonts w:hint="eastAsia" w:ascii="Times New Roman" w:hAnsi="Times New Roman" w:eastAsia="Times New Roman"/>
          <w:kern w:val="0"/>
          <w:sz w:val="20"/>
          <w:szCs w:val="20"/>
        </w:rPr>
        <w:t>high fasting plasma glucose</w:t>
      </w:r>
      <w:r>
        <w:rPr>
          <w:rFonts w:ascii="Times New Roman" w:hAnsi="Times New Roman" w:eastAsia="Times New Roman"/>
          <w:kern w:val="0"/>
          <w:sz w:val="20"/>
          <w:szCs w:val="20"/>
        </w:rPr>
        <w:t>; EAPC</w:t>
      </w:r>
      <w:r>
        <w:rPr>
          <w:rFonts w:hint="eastAsia" w:ascii="Times New Roman" w:hAnsi="Times New Roman"/>
          <w:kern w:val="0"/>
          <w:sz w:val="20"/>
          <w:szCs w:val="20"/>
        </w:rPr>
        <w:t xml:space="preserve">, </w:t>
      </w:r>
      <w:r>
        <w:rPr>
          <w:rFonts w:ascii="Times New Roman" w:hAnsi="Times New Roman" w:eastAsia="Times New Roman"/>
          <w:kern w:val="0"/>
          <w:sz w:val="20"/>
          <w:szCs w:val="20"/>
        </w:rPr>
        <w:t>estimated annual percentage change; CI</w:t>
      </w:r>
      <w:r>
        <w:rPr>
          <w:rFonts w:hint="eastAsia" w:ascii="Times New Roman" w:hAnsi="Times New Roman"/>
          <w:kern w:val="0"/>
          <w:sz w:val="20"/>
          <w:szCs w:val="20"/>
        </w:rPr>
        <w:t xml:space="preserve">, </w:t>
      </w:r>
      <w:r>
        <w:rPr>
          <w:rFonts w:ascii="Times New Roman" w:hAnsi="Times New Roman" w:eastAsia="Times New Roman"/>
          <w:kern w:val="0"/>
          <w:sz w:val="20"/>
          <w:szCs w:val="20"/>
        </w:rPr>
        <w:t>confidence interval; SDI</w:t>
      </w:r>
      <w:r>
        <w:rPr>
          <w:rFonts w:hint="eastAsia" w:ascii="Times New Roman" w:hAnsi="Times New Roman"/>
          <w:kern w:val="0"/>
          <w:sz w:val="20"/>
          <w:szCs w:val="20"/>
        </w:rPr>
        <w:t xml:space="preserve">, </w:t>
      </w:r>
      <w:r>
        <w:rPr>
          <w:rFonts w:ascii="Times New Roman" w:hAnsi="Times New Roman"/>
          <w:color w:val="000000"/>
          <w:kern w:val="0"/>
          <w:sz w:val="20"/>
          <w:szCs w:val="20"/>
          <w:shd w:val="clear" w:color="auto" w:fill="FFFFFF"/>
        </w:rPr>
        <w:t>sociodemographic index.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4Yjk4Mzk5NmZjZDg5NWZmN2Q3NGJlNDU4YjNmOGMifQ=="/>
  </w:docVars>
  <w:rsids>
    <w:rsidRoot w:val="57B16F3A"/>
    <w:rsid w:val="57B16F3A"/>
    <w:rsid w:val="71E73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2024-04-28T15:08:00Z</dcterms:created>
  <dc:creator>钟小婷</dc:creator>
  <cp:lastModifiedBy>钟小婷</cp:lastModifiedBy>
  <dcterms:modified xsi:type="dcterms:W3CDTF">2024-04-28T15:10:45Z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ZOTERO_PREF_1">
    <vt:lpwstr>1</vt:lpwstr>
  </property>
  <property fmtid="{D5CDD505-2E9C-101B-9397-08002B2CF9AE}" pid="4" name="ZOTERO_PREF_2">
    <vt:lpwstr>1</vt:lpwstr>
  </property>
  <property fmtid="{D5CDD505-2E9C-101B-9397-08002B2CF9AE}" pid="5" name="ICV">
    <vt:lpwstr>08D07DD7561B4769ABDE3732D2082CAD_11</vt:lpwstr>
  </property>
</Properties>
</file>