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8640"/>
      </w:tblGrid>
      <w:tr w:rsidR="004F79C3" w:rsidRPr="001A6DE6" w14:paraId="0F223816" w14:textId="77777777" w:rsidTr="003F3F6B">
        <w:tc>
          <w:tcPr>
            <w:tcW w:w="9628" w:type="dxa"/>
            <w:gridSpan w:val="2"/>
            <w:shd w:val="clear" w:color="auto" w:fill="auto"/>
          </w:tcPr>
          <w:p w14:paraId="70E4A887" w14:textId="3F207A86" w:rsidR="004F79C3" w:rsidRPr="004F79C3" w:rsidRDefault="004F79C3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4F79C3">
              <w:rPr>
                <w:rFonts w:ascii="Aptos Display" w:hAnsi="Aptos Display"/>
                <w:b/>
                <w:bCs/>
                <w:sz w:val="20"/>
                <w:szCs w:val="20"/>
                <w:lang w:val="en-US"/>
              </w:rPr>
              <w:t xml:space="preserve">Table 2. </w:t>
            </w:r>
            <w:r w:rsidRPr="00C451C1">
              <w:rPr>
                <w:rFonts w:ascii="Aptos Display" w:hAnsi="Aptos Display"/>
                <w:sz w:val="20"/>
                <w:szCs w:val="20"/>
                <w:lang w:val="en-US"/>
              </w:rPr>
              <w:t>Suggested course of treatment for TAAAD</w:t>
            </w:r>
            <w:r w:rsidR="001A6DE6" w:rsidRPr="00C451C1">
              <w:rPr>
                <w:rFonts w:ascii="Aptos Display" w:hAnsi="Aptos Display"/>
                <w:sz w:val="20"/>
                <w:szCs w:val="20"/>
                <w:lang w:val="en-US"/>
              </w:rPr>
              <w:t>.</w:t>
            </w:r>
            <w:r w:rsidR="001A6DE6">
              <w:rPr>
                <w:rFonts w:ascii="Aptos Display" w:hAnsi="Aptos Display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C451C1" w:rsidRPr="00C451C1">
              <w:rPr>
                <w:rFonts w:ascii="Aptos Display" w:hAnsi="Aptos Display"/>
                <w:sz w:val="20"/>
                <w:szCs w:val="20"/>
                <w:lang w:val="en-US"/>
              </w:rPr>
              <w:t>[25-30]</w:t>
            </w:r>
          </w:p>
        </w:tc>
      </w:tr>
      <w:tr w:rsidR="004F79C3" w:rsidRPr="003F3F6B" w14:paraId="2C0EA82A" w14:textId="77777777" w:rsidTr="003F3F6B">
        <w:tc>
          <w:tcPr>
            <w:tcW w:w="988" w:type="dxa"/>
            <w:shd w:val="clear" w:color="auto" w:fill="auto"/>
          </w:tcPr>
          <w:p w14:paraId="2ECE63C2" w14:textId="4BAC5A4D" w:rsidR="004F79C3" w:rsidRPr="004F79C3" w:rsidRDefault="004F79C3">
            <w:pPr>
              <w:rPr>
                <w:rFonts w:ascii="Aptos Display" w:hAnsi="Aptos Display"/>
                <w:sz w:val="20"/>
                <w:szCs w:val="20"/>
              </w:rPr>
            </w:pPr>
            <w:r w:rsidRPr="004F79C3">
              <w:rPr>
                <w:rFonts w:ascii="Aptos Display" w:hAnsi="Aptos Display"/>
                <w:sz w:val="20"/>
                <w:szCs w:val="20"/>
              </w:rPr>
              <w:t>1</w:t>
            </w:r>
          </w:p>
        </w:tc>
        <w:tc>
          <w:tcPr>
            <w:tcW w:w="8640" w:type="dxa"/>
            <w:shd w:val="clear" w:color="auto" w:fill="auto"/>
          </w:tcPr>
          <w:p w14:paraId="3ED5D30E" w14:textId="27783179" w:rsidR="004F79C3" w:rsidRPr="004F79C3" w:rsidRDefault="004F79C3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4F79C3">
              <w:rPr>
                <w:rFonts w:ascii="Aptos Display" w:hAnsi="Aptos Display"/>
                <w:sz w:val="20"/>
                <w:szCs w:val="20"/>
                <w:lang w:val="en-US"/>
              </w:rPr>
              <w:t xml:space="preserve">For those patients presenting with </w:t>
            </w:r>
            <w:r w:rsidR="00C451C1">
              <w:rPr>
                <w:rFonts w:ascii="Aptos Display" w:hAnsi="Aptos Display"/>
                <w:sz w:val="20"/>
                <w:szCs w:val="20"/>
                <w:lang w:val="en-US"/>
              </w:rPr>
              <w:t>TAAAD</w:t>
            </w:r>
            <w:r w:rsidRPr="004F79C3">
              <w:rPr>
                <w:rFonts w:ascii="Aptos Display" w:hAnsi="Aptos Display"/>
                <w:sz w:val="20"/>
                <w:szCs w:val="20"/>
                <w:lang w:val="en-US"/>
              </w:rPr>
              <w:t>, surgical evaluation and consultation is recommended, given the high risk of associated, potentially life-threatening complications.</w:t>
            </w:r>
          </w:p>
        </w:tc>
      </w:tr>
      <w:tr w:rsidR="004F79C3" w:rsidRPr="003F3F6B" w14:paraId="07B1EBC2" w14:textId="77777777" w:rsidTr="003F3F6B">
        <w:tc>
          <w:tcPr>
            <w:tcW w:w="988" w:type="dxa"/>
            <w:shd w:val="clear" w:color="auto" w:fill="auto"/>
          </w:tcPr>
          <w:p w14:paraId="49561233" w14:textId="2E11154A" w:rsidR="004F79C3" w:rsidRPr="004F79C3" w:rsidRDefault="004F79C3">
            <w:pPr>
              <w:rPr>
                <w:rFonts w:ascii="Aptos Display" w:hAnsi="Aptos Display"/>
                <w:sz w:val="20"/>
                <w:szCs w:val="20"/>
              </w:rPr>
            </w:pPr>
            <w:r w:rsidRPr="004F79C3">
              <w:rPr>
                <w:rFonts w:ascii="Aptos Display" w:hAnsi="Aptos Display"/>
                <w:sz w:val="20"/>
                <w:szCs w:val="20"/>
              </w:rPr>
              <w:t>2</w:t>
            </w:r>
          </w:p>
        </w:tc>
        <w:tc>
          <w:tcPr>
            <w:tcW w:w="8640" w:type="dxa"/>
            <w:shd w:val="clear" w:color="auto" w:fill="auto"/>
          </w:tcPr>
          <w:p w14:paraId="0604F830" w14:textId="4E1AD4D4" w:rsidR="004F79C3" w:rsidRPr="004F79C3" w:rsidRDefault="004F79C3">
            <w:pPr>
              <w:rPr>
                <w:rFonts w:ascii="Aptos Display" w:hAnsi="Aptos Display"/>
                <w:sz w:val="20"/>
                <w:szCs w:val="20"/>
                <w:lang w:val="en-US"/>
              </w:rPr>
            </w:pPr>
            <w:r w:rsidRPr="004F79C3">
              <w:rPr>
                <w:rFonts w:ascii="Aptos Display" w:hAnsi="Aptos Display"/>
                <w:sz w:val="20"/>
                <w:szCs w:val="20"/>
                <w:lang w:val="en-US"/>
              </w:rPr>
              <w:t>For those patients who are stable enough to be transferred, a transfer from a low-volume to a high-volume center may offer a chance to improve survival. In the case of an emergency, it is important to consider the potential risks and benefits of cardiopulmonary bypass for the patient.</w:t>
            </w:r>
          </w:p>
        </w:tc>
      </w:tr>
      <w:tr w:rsidR="004F79C3" w:rsidRPr="004F79C3" w14:paraId="03D83DBE" w14:textId="77777777" w:rsidTr="003F3F6B">
        <w:tc>
          <w:tcPr>
            <w:tcW w:w="988" w:type="dxa"/>
            <w:shd w:val="clear" w:color="auto" w:fill="auto"/>
          </w:tcPr>
          <w:p w14:paraId="4FAE2C4B" w14:textId="606A7F23" w:rsidR="004F79C3" w:rsidRPr="004F79C3" w:rsidRDefault="004F79C3">
            <w:pPr>
              <w:rPr>
                <w:rFonts w:ascii="Aptos Display" w:hAnsi="Aptos Display"/>
                <w:sz w:val="20"/>
                <w:szCs w:val="20"/>
              </w:rPr>
            </w:pPr>
            <w:r w:rsidRPr="004F79C3">
              <w:rPr>
                <w:rFonts w:ascii="Aptos Display" w:hAnsi="Aptos Display"/>
                <w:sz w:val="20"/>
                <w:szCs w:val="20"/>
              </w:rPr>
              <w:t>3</w:t>
            </w:r>
          </w:p>
        </w:tc>
        <w:tc>
          <w:tcPr>
            <w:tcW w:w="8640" w:type="dxa"/>
            <w:shd w:val="clear" w:color="auto" w:fill="auto"/>
          </w:tcPr>
          <w:p w14:paraId="67E629A3" w14:textId="07DE7F1C" w:rsidR="004F79C3" w:rsidRPr="004F79C3" w:rsidRDefault="004F79C3">
            <w:pPr>
              <w:rPr>
                <w:rFonts w:ascii="Aptos Display" w:hAnsi="Aptos Display"/>
                <w:sz w:val="20"/>
                <w:szCs w:val="20"/>
              </w:rPr>
            </w:pPr>
            <w:r w:rsidRPr="004F79C3">
              <w:rPr>
                <w:rFonts w:ascii="Aptos Display" w:hAnsi="Aptos Display"/>
                <w:sz w:val="20"/>
                <w:szCs w:val="20"/>
                <w:lang w:val="en-US"/>
              </w:rPr>
              <w:t xml:space="preserve">It is our considered opinion that surgical intervention may be considered a viable option in patients presenting with non-hemorrhagic stroke complications of acute type A aortic dissection. </w:t>
            </w:r>
            <w:proofErr w:type="spellStart"/>
            <w:r w:rsidRPr="004F79C3">
              <w:rPr>
                <w:rFonts w:ascii="Aptos Display" w:hAnsi="Aptos Display"/>
                <w:sz w:val="20"/>
                <w:szCs w:val="20"/>
              </w:rPr>
              <w:t>This</w:t>
            </w:r>
            <w:proofErr w:type="spellEnd"/>
            <w:r w:rsidRPr="004F79C3">
              <w:rPr>
                <w:rFonts w:ascii="Aptos Display" w:hAnsi="Aptos Display"/>
                <w:sz w:val="20"/>
                <w:szCs w:val="20"/>
              </w:rPr>
              <w:t xml:space="preserve"> may help reduce mortality and improve neurological </w:t>
            </w:r>
            <w:proofErr w:type="spellStart"/>
            <w:r w:rsidRPr="004F79C3">
              <w:rPr>
                <w:rFonts w:ascii="Aptos Display" w:hAnsi="Aptos Display"/>
                <w:sz w:val="20"/>
                <w:szCs w:val="20"/>
              </w:rPr>
              <w:t>outcomes</w:t>
            </w:r>
            <w:proofErr w:type="spellEnd"/>
            <w:r w:rsidRPr="004F79C3">
              <w:rPr>
                <w:rFonts w:ascii="Aptos Display" w:hAnsi="Aptos Display"/>
                <w:sz w:val="20"/>
                <w:szCs w:val="20"/>
              </w:rPr>
              <w:t>.</w:t>
            </w:r>
          </w:p>
        </w:tc>
      </w:tr>
    </w:tbl>
    <w:p w14:paraId="572DF776" w14:textId="496F11CD" w:rsidR="004F79C3" w:rsidRPr="003F3F6B" w:rsidRDefault="00C451C1">
      <w:pPr>
        <w:rPr>
          <w:rFonts w:ascii="Aptos Display" w:hAnsi="Aptos Display"/>
          <w:i/>
          <w:iCs/>
          <w:sz w:val="20"/>
          <w:szCs w:val="20"/>
          <w:lang w:val="en-US"/>
        </w:rPr>
      </w:pPr>
      <w:r w:rsidRPr="003F3F6B">
        <w:rPr>
          <w:rFonts w:ascii="Aptos Display" w:hAnsi="Aptos Display"/>
          <w:i/>
          <w:iCs/>
          <w:sz w:val="20"/>
          <w:szCs w:val="20"/>
          <w:lang w:val="en-US"/>
        </w:rPr>
        <w:t>TAAAD; type A acute aortic dissection</w:t>
      </w:r>
    </w:p>
    <w:sectPr w:rsidR="004F79C3" w:rsidRPr="003F3F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9C3"/>
    <w:rsid w:val="001A6DE6"/>
    <w:rsid w:val="003F3F6B"/>
    <w:rsid w:val="004F79C3"/>
    <w:rsid w:val="007D653B"/>
    <w:rsid w:val="00C4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EAC0E0"/>
  <w15:chartTrackingRefBased/>
  <w15:docId w15:val="{58E3D78D-4A7B-D145-9D17-D778C090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F7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F7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F7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F7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7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F7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F7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F7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F7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7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F7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F7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F79C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79C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F79C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F79C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F79C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F79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7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7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7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7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F7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F79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F79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F79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F7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F79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F79C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F7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Nappi</dc:creator>
  <cp:keywords/>
  <dc:description/>
  <cp:lastModifiedBy>Francesco Nappi</cp:lastModifiedBy>
  <cp:revision>4</cp:revision>
  <dcterms:created xsi:type="dcterms:W3CDTF">2024-05-01T11:24:00Z</dcterms:created>
  <dcterms:modified xsi:type="dcterms:W3CDTF">2024-05-01T15:12:00Z</dcterms:modified>
</cp:coreProperties>
</file>