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EB862A" w14:textId="77777777" w:rsidR="00C771E9" w:rsidRDefault="00C771E9" w:rsidP="00C771E9">
      <w:pPr>
        <w:pStyle w:val="Heading1"/>
        <w:ind w:left="432" w:hanging="432"/>
        <w:rPr>
          <w:rFonts w:ascii="Times New Roman" w:eastAsia="Arial" w:hAnsi="Times New Roman" w:cs="Times New Roman"/>
          <w:bCs/>
          <w:caps/>
          <w:sz w:val="24"/>
          <w:szCs w:val="24"/>
        </w:rPr>
      </w:pPr>
      <w:r w:rsidRPr="00124791">
        <w:rPr>
          <w:rFonts w:ascii="Times New Roman" w:eastAsia="Arial" w:hAnsi="Times New Roman" w:cs="Times New Roman"/>
          <w:bCs/>
          <w:caps/>
          <w:sz w:val="24"/>
          <w:szCs w:val="24"/>
        </w:rPr>
        <w:t>SUPPLEMENTAL MAERIAL</w:t>
      </w:r>
    </w:p>
    <w:p w14:paraId="6386D066" w14:textId="77777777" w:rsidR="00C771E9" w:rsidRPr="00124791" w:rsidRDefault="00C771E9" w:rsidP="00C771E9">
      <w:pPr>
        <w:pStyle w:val="Heading1"/>
        <w:ind w:left="432" w:hanging="432"/>
        <w:rPr>
          <w:rFonts w:ascii="Times New Roman" w:eastAsia="Arial" w:hAnsi="Times New Roman" w:cs="Times New Roman"/>
          <w:bCs/>
          <w:caps/>
          <w:sz w:val="24"/>
          <w:szCs w:val="24"/>
        </w:rPr>
      </w:pPr>
    </w:p>
    <w:p w14:paraId="45F5BC69" w14:textId="77777777" w:rsidR="00C771E9" w:rsidRPr="00124791" w:rsidRDefault="00C771E9" w:rsidP="00C771E9">
      <w:pPr>
        <w:pStyle w:val="Heading1"/>
        <w:ind w:left="432" w:hanging="432"/>
        <w:jc w:val="both"/>
        <w:rPr>
          <w:rFonts w:ascii="Times New Roman" w:eastAsia="Arial" w:hAnsi="Times New Roman" w:cs="Times New Roman"/>
          <w:bCs/>
          <w:caps/>
          <w:sz w:val="24"/>
          <w:szCs w:val="24"/>
        </w:rPr>
      </w:pPr>
      <w:r w:rsidRPr="00124791">
        <w:rPr>
          <w:rFonts w:ascii="Times New Roman" w:eastAsia="Arial" w:hAnsi="Times New Roman" w:cs="Times New Roman"/>
          <w:bCs/>
          <w:caps/>
          <w:sz w:val="24"/>
          <w:szCs w:val="24"/>
        </w:rPr>
        <w:t>Create and maintain Protected Areas (PA)</w:t>
      </w:r>
    </w:p>
    <w:p w14:paraId="7F49DC6F" w14:textId="77777777" w:rsidR="00C771E9" w:rsidRPr="00124791" w:rsidRDefault="00C771E9" w:rsidP="00C771E9">
      <w:pPr>
        <w:pStyle w:val="Heading2"/>
        <w:ind w:left="851"/>
      </w:pPr>
      <w:r w:rsidRPr="00124791">
        <w:t>Data and projections</w:t>
      </w:r>
    </w:p>
    <w:p w14:paraId="4F9A9BCA"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 xml:space="preserve">In 2018, the Legal Amazon encompassed 131 Mha of Conservation Units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{"citationID":"ncRUNSu9","properties":{"formattedCitation":"(\\uc0\\u8220{}Cadastro Nacional de Unidades de Conserva\\uc0\\u231{}\\uc0\\u227{}o (CNUC),\\uc0\\u8221{} 2021)","plainCitation":"(“Cadastro Nacional de Unidades de Conservação (CNUC),” 2021)","noteIndex":0},"citationItems":[{"id":2553,"uris":["http://zotero.org/users/146728/items/DN3S293N"],"itemData":{"id":2553,"type":"map","event-place":"Brasilia, DF, Brasil","genre":"Digital map","publisher":"MMA","publisher-place":"Brasilia, DF, Brasil","title":"Cadastro Nacional de Unidades de Conservação (CNUC)","URL":"https://cnuc.mma.gov.br/","collection-editor":[{"literal":"MMA"}],"issued":{"date-parts":[["2021"]]}}}],"schema":"https://github.com/citation-style-language/schema/raw/master/csl-citation.json"}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(“Cadastro Nacional de Unidades de Conservação (CNUC),” 2021)</w:t>
      </w:r>
      <w:r w:rsidRPr="00124791">
        <w:rPr>
          <w:rFonts w:ascii="Times New Roman" w:hAnsi="Times New Roman" w:cs="Times New Roman"/>
        </w:rPr>
        <w:fldChar w:fldCharType="end"/>
      </w:r>
      <w:r w:rsidRPr="00124791">
        <w:rPr>
          <w:rFonts w:ascii="Times New Roman" w:hAnsi="Times New Roman" w:cs="Times New Roman"/>
        </w:rPr>
        <w:t xml:space="preserve"> , 143 Mha of Indigenous Lands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{"citationID":"blcGwZ7W","properties":{"formattedCitation":"(\\uc0\\u8220{}Terras Ind\\uc0\\u237{}genas,\\uc0\\u8221{} 2020)","plainCitation":"(“Terras Indígenas,” 2020)","noteIndex":0},"citationItems":[{"id":2554,"uris":["http://zotero.org/users/146728/items/7GBGYJND"],"itemData":{"id":2554,"type":"map","event-place":"Brasilia, DF, Brasil","genre":"Digital map","publisher":"FUNAI","publisher-place":"Brasilia, DF, Brasil","title":"Terras Indígenas","URL":"https://www.gov.br/funai/pt-br/atuacao/terras-indigenas/geoprocessamento-e-mapas","collection-editor":[{"literal":"FUNAI"}],"issued":{"date-parts":[["2020"]]}}}],"schema":"https://github.com/citation-style-language/schema/raw/master/csl-citation.json"}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(“Terras Indígenas,” 2020)</w:t>
      </w:r>
      <w:r w:rsidRPr="00124791">
        <w:rPr>
          <w:rFonts w:ascii="Times New Roman" w:hAnsi="Times New Roman" w:cs="Times New Roman"/>
        </w:rPr>
        <w:fldChar w:fldCharType="end"/>
      </w:r>
      <w:r w:rsidRPr="00124791">
        <w:rPr>
          <w:rFonts w:ascii="Times New Roman" w:hAnsi="Times New Roman" w:cs="Times New Roman"/>
        </w:rPr>
        <w:t xml:space="preserve">, and 72.6 Mha of Undesignated Public Lands, the latter subsequently divided into Undesignated Public Forests (49.8 Mha) and Other Undesignated Public Lands without forests (22.8 Mha)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{"citationID":"9UbxzOWG","properties":{"formattedCitation":"(Alencar et al., 2021)","plainCitation":"(Alencar et al., 2021)","noteIndex":0},"citationItems":[{"id":1011,"uris":["http://zotero.org/users/146728/items/HZU35GMG"],"itemData":{"id":1011,"type":"report","collection-title":"Amazônia em Chamas","event-place":"Brasilia, DF, Brasil","genre":"Nota técnica / Technical Note","language":"Portuguese","number":"7","page":"12","publisher":"IPAM","publisher-place":"Brasilia, DF, Brasil","title":"Amazônia em Chamas - Desmatamento e fogo nas Florestas Públicas Não Destinadas: nota técnica nº 7","URL":"https://ipam.org.br/bibliotecas/amazonia-em-chamas-7-desmatamento-e-fogo-nas-florestas-publicas-nao-destinadas/","author":[{"family":"Alencar","given":"Ane A."},{"family":"Castro","given":"Isabel"},{"family":"Laureto","given":"L"},{"family":"Guyot","given":"Carolina"},{"family":"Stabile","given":"M. C. C."},{"family":"Moutinho","given":"P."}],"issued":{"date-parts":[["2021"]]}}}],"schema":"https://github.com/citation-style-language/schema/raw/master/csl-citation.json"}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(Alencar et al., 2021)</w:t>
      </w:r>
      <w:r w:rsidRPr="00124791">
        <w:rPr>
          <w:rFonts w:ascii="Times New Roman" w:hAnsi="Times New Roman" w:cs="Times New Roman"/>
        </w:rPr>
        <w:fldChar w:fldCharType="end"/>
      </w:r>
      <w:r w:rsidRPr="00124791">
        <w:rPr>
          <w:rFonts w:ascii="Times New Roman" w:hAnsi="Times New Roman" w:cs="Times New Roman"/>
        </w:rPr>
        <w:t>.</w:t>
      </w:r>
    </w:p>
    <w:p w14:paraId="79576BD2"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For simplicity, we only considered demand for allocation of public lands to Indigenous territories with demarcation/legal recognition already in progress, which totaled 103,000 km</w:t>
      </w:r>
      <w:r w:rsidRPr="00124791">
        <w:rPr>
          <w:rFonts w:ascii="Times New Roman" w:hAnsi="Times New Roman" w:cs="Times New Roman"/>
          <w:vertAlign w:val="superscript"/>
        </w:rPr>
        <w:t>2</w:t>
      </w:r>
      <w:r w:rsidRPr="00124791">
        <w:rPr>
          <w:rFonts w:ascii="Times New Roman" w:hAnsi="Times New Roman" w:cs="Times New Roman"/>
        </w:rPr>
        <w:t xml:space="preserve"> according to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{"citationID":"soFmjMlD","properties":{"formattedCitation":"(\\uc0\\u8220{}Terras Ind\\uc0\\u237{}genas,\\uc0\\u8221{} 2020)","plainCitation":"(“Terras Indígenas,” 2020)","noteIndex":0},"citationItems":[{"id":2554,"uris":["http://zotero.org/users/146728/items/7GBGYJND"],"itemData":{"id":2554,"type":"map","event-place":"Brasilia, DF, Brasil","genre":"Digital map","publisher":"FUNAI","publisher-place":"Brasilia, DF, Brasil","title":"Terras Indígenas","URL":"https://www.gov.br/funai/pt-br/atuacao/terras-indigenas/geoprocessamento-e-mapas","collection-editor":[{"literal":"FUNAI"}],"issued":{"date-parts":[["2020"]]}}}],"schema":"https://github.com/citation-style-language/schema/raw/master/csl-citation.json"}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(“Terras Indígenas,” 2020)</w:t>
      </w:r>
      <w:r w:rsidRPr="00124791">
        <w:rPr>
          <w:rFonts w:ascii="Times New Roman" w:hAnsi="Times New Roman" w:cs="Times New Roman"/>
        </w:rPr>
        <w:fldChar w:fldCharType="end"/>
      </w:r>
      <w:r w:rsidRPr="00124791">
        <w:rPr>
          <w:rFonts w:ascii="Times New Roman" w:hAnsi="Times New Roman" w:cs="Times New Roman"/>
        </w:rPr>
        <w:t xml:space="preserve">. Since deforestation trends are similar in Conservation Units (CUs) and Indigenous Lands (ILs)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{"citationID":"gYuOUe5z","properties":{"formattedCitation":"(Kruid et al., 2021; Walker et al., 2020)","plainCitation":"(Kruid et al., 2021; Walker et al., 2020)","noteIndex":0},"citationItems":[{"id":960,"uris":["http://zotero.org/users/146728/items/M3MUI3RL"],"itemData":{"id":960,"type":"article-journal","abstract":"Carbon losses from forest degradation and disturbances are significant and growing sources of emissions in the Brazilian Amazon. Between 2003 and 2019, degradation and disturbance accounted for 44% of forest carbon losses in the region, compared with 56% from deforestation (forest clearing). We found that land tenure played a decisive role in explaining these carbon losses, with Undesignated Public Forests and Other Lands (e.g., private properties) accounting for the majority (82%) of losses during the study period. Illegal deforestation and land grabbing in Undesignated Public Forests widespread and increasingly are important drivers of forest carbon emissions from the region. In contrast, indigenous Territories and Protected Natural Areas had the lowest emissions, demonstrating their effectiveness in preventing deforestation and maintaining carbon stocks. These trends underscore the urgent need to develop reliable systems for monitoring and reporting on carbon losses from forest degradation and disturbance. Together with improved governance, such actions will be crucial for Brazil to reduce pressure on standing forests; strengthen Indigenous land rights; and design effective climate mitigation strategies needed to achieve its national and international climate commitments.","container-title":"Frontiers in Forests and Global Change","DOI":"10.3389/ffgc.2021.645282","ISSN":"2624-893X","journalAbbreviation":"Front. For. Glob. Change","page":"645282","source":"DOI.org (Crossref)","title":"Beyond Deforestation: Carbon Emissions From Land Grabbing and Forest Degradation in the Brazilian Amazon","title-short":"Beyond Deforestation","volume":"4","author":[{"family":"Kruid","given":"Sanne"},{"family":"Macedo","given":"Marcia N."},{"family":"Gorelik","given":"Seth R."},{"family":"Walker","given":"Wayne"},{"family":"Moutinho","given":"Paulo"},{"family":"Brando","given":"Paulo M."},{"family":"Castanho","given":"Andrea"},{"family":"Alencar","given":"Ane"},{"family":"Baccini","given":"Alessandro"},{"family":"Coe","given":"Michael T."}],"issued":{"date-parts":[["2021",7,27]]}}},{"id":955,"uris":["http://zotero.org/users/146728/items/IMWSNWFU"],"itemData":{"id":955,"type":"article-journal","abstract":"Maintaining the abundance of carbon stored aboveground in Amazon forests is central to any comprehensive climate stabilization strategy. Growing evidence points to indigenous peoples and local communities (IPLCs) as buffers against large-scale carbon emissions across a nine-nation network of indigenous territories (ITs) and protected natural areas (PNAs). Previous studies have demonstrated a link between indigenous land management and avoided deforestation, yet few have accounted for forest degradation and natural disturbances—processes that occur without forest clearing but are increasingly important drivers of biomass loss. Here we provide a comprehensive accounting of aboveground carbon dynamics inside and outside Amazon protected lands. Using published data on changes in aboveground carbon density and forest cover, we track gains and losses in carbon density from forest conversion and degradation/disturbance. We find that ITs and PNAs stored more than one-half (58%; 41,991 MtC) of the region’s carbon in 2016 but were responsible for just 10% (−130 MtC) of the net change (−1,290 MtC). Nevertheless, nearly one-half billion tons of carbon were lost from both ITs and PNAs (−434 MtC and −423 MtC, respectively), with degradation/disturbance accounting for &gt;75% of the losses in 7 countries. With deforestation increasing, and degradation/disturbance a neglected but significant source of region-wide emissions (47%), our results suggest that sustained support for IPLC stewardship of Amazon forests is critical. IPLCs provide a global environmental service that merits increased political protection and financial support, particularly if Amazon Basin countries are to achieve their commitments under the Paris Climate Agreement.","container-title":"Proceedings of the National Academy of Sciences","DOI":"10.1073/pnas.1913321117","ISSN":"0027-8424, 1091-6490","issue":"6","journalAbbreviation":"Proc. Natl. Acad. Sci. U.S.A.","language":"en","page":"3015-3025","source":"DOI.org (Crossref)","title":"The role of forest conversion, degradation, and disturbance in the carbon dynamics of Amazon indigenous territories and protected areas","volume":"117","author":[{"family":"Walker","given":"Wayne S."},{"family":"Gorelik","given":"Seth R."},{"family":"Baccini","given":"Alessandro"},{"family":"Aragon-Osejo","given":"Jose Luis"},{"family":"Josse","given":"Carmen"},{"family":"Meyer","given":"Chris"},{"family":"Macedo","given":"Marcia N."},{"family":"Augusto","given":"Cicero"},{"family":"Rios","given":"Sandra"},{"family":"Katan","given":"Tuntiak"},{"family":"Souza","given":"Alana Almeida","non-dropping-particle":"de"},{"family":"Cuellar","given":"Saul"},{"family":"Llanos","given":"Andres"},{"family":"Zager","given":"Irene"},{"family":"Mirabal","given":"Gregorio Díaz"},{"family":"Solvik","given":"Kylen K."},{"family":"Farina","given":"Mary K."},{"family":"Moutinho","given":"Paulo"},{"family":"Schwartzman","given":"Stephan"}],"issued":{"date-parts":[["2020",2,11]]}}}],"schema":"https://github.com/citation-style-language/schema/raw/master/csl-citation.json"}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(Kruid et al., 2021; Walker et al., 2020)</w:t>
      </w:r>
      <w:r w:rsidRPr="00124791">
        <w:rPr>
          <w:rFonts w:ascii="Times New Roman" w:hAnsi="Times New Roman" w:cs="Times New Roman"/>
        </w:rPr>
        <w:fldChar w:fldCharType="end"/>
      </w:r>
      <w:r w:rsidRPr="00124791">
        <w:rPr>
          <w:rFonts w:ascii="Times New Roman" w:hAnsi="Times New Roman" w:cs="Times New Roman"/>
        </w:rPr>
        <w:t xml:space="preserve">, the impact of this designation should not significantly affect future deforestation projections. It does, however, alter the economic outcomes attributed to the use of the Conservation Units. </w:t>
      </w:r>
    </w:p>
    <w:p w14:paraId="29D05685"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Furthermore, we considered bill PL 2633/20, which stipulates that land parcels attributed to small-medium holders within Undesignated Public Lands without forests that were converted to other land uses before 2014, can be reallocated to private properties. Using PRODES Amazônia and Cerrado (2014-2019</w:t>
      </w:r>
      <w:r>
        <w:rPr>
          <w:rFonts w:ascii="Times New Roman" w:hAnsi="Times New Roman" w:cs="Times New Roman"/>
        </w:rPr>
        <w:t xml:space="preserve">) </w:t>
      </w:r>
      <w:r>
        <w:rPr>
          <w:rFonts w:ascii="Times New Roman" w:hAnsi="Times New Roman" w:cs="Times New Roman"/>
        </w:rPr>
        <w:fldChar w:fldCharType="begin"/>
      </w:r>
      <w:r>
        <w:rPr>
          <w:rFonts w:ascii="Times New Roman" w:hAnsi="Times New Roman" w:cs="Times New Roman"/>
        </w:rPr>
        <w:instrText xml:space="preserve"> ADDIN ZOTERO_ITEM CSL_CITATION {"citationID":"Z8Ohg8I0","properties":{"formattedCitation":"(INPE, 2021; Parente et al., 2021)","plainCitation":"(INPE, 2021; Parente et al., 2021)","noteIndex":0},"citationItems":[{"id":1015,"uris":["http://zotero.org/users/146728/items/UV6QHMCN"],"itemData":{"id":1015,"type":"webpage","container-title":"Projeto PRODES: Monitoramento da floresta Amazônica Brasileira por satélite","title":"Projeto PRODES","URL":"http://www.obt.inpe.br/OBT/assuntos/programas/amazonia/prodes","author":[{"literal":"INPE"}],"accessed":{"date-parts":[["2021",6,16]]},"issued":{"date-parts":[["2021"]]}}},{"id":1019,"uris":["http://zotero.org/users/146728/items/22XE9DC3"],"itemData":{"id":1019,"type":"article-journal","container-title":"Remote Sensing Applications: Society and Environment","DOI":"10.1016/j.rsase.2020.100444","ISSN":"23529385","journalAbbreviation":"Remote Sensing Applications: Society and Environment","language":"en","page":"100444","source":"DOI.org (Crossref)","title":"Quality assessment of the PRODES Cerrado deforestation data","volume":"21","author":[{"family":"Parente","given":"Leandro"},{"family":"Nogueira","given":"Sérgio"},{"family":"Baumann","given":"Luis"},{"family":"Almeida","given":"Cláudio"},{"family":"Maurano","given":"Luis"},{"family":"Affonso","given":"Adriana Gomes"},{"family":"Ferreira","given":"Laerte"}],"issued":{"date-parts":[["2021",1]]}}}],"schema":"https://github.com/citation-style-language/schema/raw/master/csl-citation.json"} </w:instrText>
      </w:r>
      <w:r>
        <w:rPr>
          <w:rFonts w:ascii="Times New Roman" w:hAnsi="Times New Roman" w:cs="Times New Roman"/>
        </w:rPr>
        <w:fldChar w:fldCharType="separate"/>
      </w:r>
      <w:r w:rsidRPr="00C44404">
        <w:rPr>
          <w:rFonts w:ascii="Times New Roman" w:hAnsi="Times New Roman" w:cs="Times New Roman"/>
        </w:rPr>
        <w:t>(INPE, 2021; Parente et al., 2021)</w:t>
      </w:r>
      <w:r>
        <w:rPr>
          <w:rFonts w:ascii="Times New Roman" w:hAnsi="Times New Roman" w:cs="Times New Roman"/>
        </w:rPr>
        <w:fldChar w:fldCharType="end"/>
      </w:r>
      <w:r w:rsidRPr="00124791">
        <w:rPr>
          <w:rFonts w:ascii="Times New Roman" w:hAnsi="Times New Roman" w:cs="Times New Roman"/>
        </w:rPr>
        <w:t xml:space="preserve"> and the Rural Environmental Registry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{"citationID":"lV5Yia0y","properties":{"formattedCitation":"(SFB, 2020)","plainCitation":"(SFB, 2020)","noteIndex":0},"citationItems":[{"id":1027,"uris":["http://zotero.org/users/146728/items/4LMNMF3T"],"itemData":{"id":1027,"type":"report","event-place":"Brasilia, DF, Brasil","publisher":"Serviço Florestal Brasileiro","publisher-place":"Brasilia, DF, Brasil","title":"SICAR - Sistema Nacional de Cadastro Ambiental Rural","URL":"https://www.car.gov.br/publico/imoveis/index","author":[{"literal":"SFB"}],"issued":{"date-parts":[["2020"]]}}}],"schema":"https://github.com/citation-style-language/schema/raw/master/csl-citation.json"}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(SFB, 2020)</w:t>
      </w:r>
      <w:r w:rsidRPr="00124791">
        <w:rPr>
          <w:rFonts w:ascii="Times New Roman" w:hAnsi="Times New Roman" w:cs="Times New Roman"/>
        </w:rPr>
        <w:fldChar w:fldCharType="end"/>
      </w:r>
      <w:r w:rsidRPr="00124791">
        <w:rPr>
          <w:rFonts w:ascii="Times New Roman" w:hAnsi="Times New Roman" w:cs="Times New Roman"/>
        </w:rPr>
        <w:t>, we estimate the area that could be allocated (legally) to private properties to total 0,2 Mha.</w:t>
      </w:r>
    </w:p>
    <w:p w14:paraId="3893F047" w14:textId="77777777" w:rsidR="00C771E9"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 xml:space="preserve">All remaining Undesignated Public Lands (with or without forests) would be converted to CUs ranging from more permissive to more restrictive categories. A relatively permissive designation would provide basic infrastructure for conservation (CU Type I) in more remote areas while a more restrictive designation would consolidate CUs in areas at greater risk of deforestation (CU Type II) through additional research and socio-environmental monitoring (e.g., technical reports from Programa Áreas Protegidas da Amazônia-ARPA). </w:t>
      </w:r>
      <w:r w:rsidRPr="00124791">
        <w:rPr>
          <w:rFonts w:ascii="Times New Roman" w:hAnsi="Times New Roman" w:cs="Times New Roman"/>
        </w:rPr>
        <w:lastRenderedPageBreak/>
        <w:t xml:space="preserve">Type II CUs are located up to 50km from roads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{"citationID":"d3wkc2gx","properties":{"formattedCitation":"(Geluda et al., 2012; Muanis et al., 2009)","plainCitation":"(Geluda et al., 2012; Muanis et al., 2009)","noteIndex":0},"citationItems":[{"id":1062,"uris":["http://zotero.org/users/146728/items/VIE2SYKB"],"itemData":{"id":1062,"type":"report","event-place":"Rio de Janeiro, RJ, Brasil","page":"46","publisher":"Fundo Brasileiro para a Biodiversidade - FUNBIO","publisher-place":"Rio de Janeiro, RJ, Brasil","title":"Quanto custa o Programa Áreas Protegidas da Amazônia?: Uma modelagem financeira para as Unidades de Conservação do Arpa","URL":"http://www.funbio.org.br/wp-content/uploads/2012/09/Quanto-custa-o-programa-Arpa.pdf","author":[{"family":"Geluda","given":"Leonardo"},{"family":"Serrão","given":"Manoel"},{"family":"Muanis","given":"Manuela Mossé"},{"family":"Oliveira","given":"Jon"},{"family":"Oliveira","given":"Daniela"},{"family":"Catapan","given":"Marisete"},{"family":"Tararan","given":"Samuel"}],"accessed":{"date-parts":[["2018",1,2]]},"issued":{"date-parts":[["2012"]]}}},{"id":14,"uris":["http://zotero.org/users/146728/items/CS5CAXHB"],"itemData":{"id":14,"type":"report","event-place":"Rio de Janeiro, RJ, Brasil","page":"52","publisher":"Fundo Brasileiro para a Biodiversidade - FUNBIO","publisher-place":"Rio de Janeiro, RJ, Brasil","title":"Quanto custa uma unidade de conservação federal?: uma visão estratégica para o financiamento do Sistema Nacional de Unidades de Conservação (Snuc)","URL":"https://www.funbio.org.br/wp-content/uploads/2017/07/QUANTO-CUSTA-UMA-UNIDADE-DE-CONSERVACAO-FEDERAL.pdf","author":[{"family":"Muanis","given":"Manuela Mossé"},{"family":"Serrão","given":"Manoel"},{"family":"Geluda","given":"Leonardo"}],"accessed":{"date-parts":[["2018",1,2]]},"issued":{"date-parts":[["2009"]]}}}],"schema":"https://github.com/citation-style-language/schema/raw/master/csl-citation.json"}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(Geluda et al., 2012; Muanis et al., 2009)</w:t>
      </w:r>
      <w:r w:rsidRPr="00124791">
        <w:rPr>
          <w:rFonts w:ascii="Times New Roman" w:hAnsi="Times New Roman" w:cs="Times New Roman"/>
        </w:rPr>
        <w:fldChar w:fldCharType="end"/>
      </w:r>
      <w:r w:rsidRPr="00124791">
        <w:rPr>
          <w:rFonts w:ascii="Times New Roman" w:hAnsi="Times New Roman" w:cs="Times New Roman"/>
        </w:rPr>
        <w:t>. The allocation of new CUs followed the same proportion of CU categories (e.g., national park, extractive reserve, etc.) found in 2018. Some of the CU categories allow for sustainable use. In these cases we considered income from non-timber forest products (NTFP) and selective logging for 77,000 km</w:t>
      </w:r>
      <w:r w:rsidRPr="00124791">
        <w:rPr>
          <w:rFonts w:ascii="Times New Roman" w:hAnsi="Times New Roman" w:cs="Times New Roman"/>
          <w:vertAlign w:val="superscript"/>
        </w:rPr>
        <w:t>2</w:t>
      </w:r>
      <w:r w:rsidRPr="00124791">
        <w:rPr>
          <w:rFonts w:ascii="Times New Roman" w:hAnsi="Times New Roman" w:cs="Times New Roman"/>
        </w:rPr>
        <w:t xml:space="preserve"> based on estimated demand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{"citationID":"LlVvWYhI","properties":{"formattedCitation":"(Servi\\uc0\\u231{}o Florestal Brasileiro, 2019)","plainCitation":"(Serviço Florestal Brasileiro, 2019)","noteIndex":0},"citationItems":[{"id":1161,"uris":["http://zotero.org/users/146728/items/MEIVJDUU"],"itemData":{"id":1161,"type":"report","event-place":"Brasilia, DF, Brasil","language":"Portuguese","page":"109","publisher":"MAPA","publisher-place":"Brasilia, DF, Brasil","title":"Plano Anual de Outorga Florestal (PAOF) 2020 [recurso eletrônico]","URL":"https://www.gov.br/agricultura/pt-br/assuntos/servico-florestal-brasileiro/concessao-florestal/plano-anual-de-outorga-florestal/paof_2020FINAL.pdf","author":[{"literal":"Serviço Florestal Brasileiro"}],"issued":{"date-parts":[["2019"]]}}}],"schema":"https://github.com/citation-style-language/schema/raw/master/csl-citation.json"}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(Serviço Florestal Brasileiro, 2019)</w:t>
      </w:r>
      <w:r w:rsidRPr="00124791">
        <w:rPr>
          <w:rFonts w:ascii="Times New Roman" w:hAnsi="Times New Roman" w:cs="Times New Roman"/>
        </w:rPr>
        <w:fldChar w:fldCharType="end"/>
      </w:r>
      <w:r w:rsidRPr="00124791">
        <w:rPr>
          <w:rFonts w:ascii="Times New Roman" w:hAnsi="Times New Roman" w:cs="Times New Roman"/>
        </w:rPr>
        <w:t>. Public use and its economic impacts, including tourism, were estimated only for new Type II areas since they are more easily accessible and would have the infrastructure to receive visitors.</w:t>
      </w:r>
    </w:p>
    <w:p w14:paraId="1E75A3F8" w14:textId="77777777" w:rsidR="00C771E9" w:rsidRPr="00124791" w:rsidRDefault="00C771E9" w:rsidP="00C771E9">
      <w:pPr>
        <w:spacing w:after="120" w:line="360" w:lineRule="auto"/>
        <w:jc w:val="both"/>
        <w:rPr>
          <w:rFonts w:ascii="Times New Roman" w:hAnsi="Times New Roman" w:cs="Times New Roman"/>
        </w:rPr>
      </w:pPr>
    </w:p>
    <w:p w14:paraId="22202235" w14:textId="77777777" w:rsidR="00C771E9" w:rsidRPr="00124791" w:rsidRDefault="00C771E9" w:rsidP="00C771E9">
      <w:pPr>
        <w:pStyle w:val="Heading2"/>
      </w:pPr>
      <w:r w:rsidRPr="00124791">
        <w:t>Existing and new costs</w:t>
      </w:r>
    </w:p>
    <w:p w14:paraId="45CD1F2C" w14:textId="77777777" w:rsidR="00C771E9"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 xml:space="preserve">Costs for establishing new CUs consist of one-time expenses for creation and consolidation, the latter depending on type I or II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{"citationID":"muyPkDv3","properties":{"formattedCitation":"(Geluda et al., 2012)","plainCitation":"(Geluda et al., 2012)","noteIndex":0},"citationItems":[{"id":1062,"uris":["http://zotero.org/users/146728/items/VIE2SYKB"],"itemData":{"id":1062,"type":"report","event-place":"Rio de Janeiro, RJ, Brasil","page":"46","publisher":"Fundo Brasileiro para a Biodiversidade - FUNBIO","publisher-place":"Rio de Janeiro, RJ, Brasil","title":"Quanto custa o Programa Áreas Protegidas da Amazônia?: Uma modelagem financeira para as Unidades de Conservação do Arpa","URL":"http://www.funbio.org.br/wp-content/uploads/2012/09/Quanto-custa-o-programa-Arpa.pdf","author":[{"family":"Geluda","given":"Leonardo"},{"family":"Serrão","given":"Manoel"},{"family":"Muanis","given":"Manuela Mossé"},{"family":"Oliveira","given":"Jon"},{"family":"Oliveira","given":"Daniela"},{"family":"Catapan","given":"Marisete"},{"family":"Tararan","given":"Samuel"}],"accessed":{"date-parts":[["2018",1,2]]},"issued":{"date-parts":[["2012"]]}}}],"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(Geluda et al., 2012)</w:t>
      </w:r>
      <w:r w:rsidRPr="00124791">
        <w:rPr>
          <w:rFonts w:ascii="Times New Roman" w:hAnsi="Times New Roman" w:cs="Times New Roman"/>
        </w:rPr>
        <w:fldChar w:fldCharType="end"/>
      </w:r>
      <w:r w:rsidRPr="00124791">
        <w:rPr>
          <w:rFonts w:ascii="Times New Roman" w:hAnsi="Times New Roman" w:cs="Times New Roman"/>
        </w:rPr>
        <w:t xml:space="preserve">. The one-time cost total for consolidated type I was around BRL 1.5 million per area and for type II BRL 3.5 million per area. This process can sometimes require extra costs for land tenure regularization, which we assumed to happen in 0.03% of the cases at a cost of BRL 567.65/ha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{"citationID":"gRJWE5D5","properties":{"formattedCitation":"(Ara\\uc0\\u250{}jo and Barreto, 2015)","plainCitation":"(Araújo and Barreto, 2015)","noteIndex":0},"citationItems":[{"id":1160,"uris":["http://zotero.org/users/146728/items/4PEJGHBM"],"itemData":{"id":1160,"type":"report","event-place":"Belém, PA, Brasil","page":"40","publisher":"IMAZON","publisher-place":"Belém, PA, Brasil","title":"Estratégias e fontes de recursos para proteger as unidades de conservação da Amazônia","URL":"https://imazon.org.br/PDFimazon/Portugues/livros/Estrategias_UCs.pdf","author":[{"family":"Araújo","given":"Elis"},{"family":"Barreto","given":"Paulo"}],"issued":{"date-parts":[["2015"]]}}}],"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(Araújo and Barreto, 2015)</w:t>
      </w:r>
      <w:r w:rsidRPr="00124791">
        <w:rPr>
          <w:rFonts w:ascii="Times New Roman" w:hAnsi="Times New Roman" w:cs="Times New Roman"/>
        </w:rPr>
        <w:fldChar w:fldCharType="end"/>
      </w:r>
      <w:r w:rsidRPr="00124791">
        <w:rPr>
          <w:rFonts w:ascii="Times New Roman" w:hAnsi="Times New Roman" w:cs="Times New Roman"/>
        </w:rPr>
        <w:t xml:space="preserve">. We assumed that </w:t>
      </w:r>
      <w:r w:rsidRPr="00636588">
        <w:rPr>
          <w:rFonts w:ascii="Times New Roman" w:hAnsi="Times New Roman" w:cs="Times New Roman"/>
        </w:rPr>
        <w:t xml:space="preserve">existing CUs were already fully consolidated. Annual costs were estimated at BRL 38,000 (40,000)/area for maintenance </w:t>
      </w:r>
      <w:r w:rsidRPr="00636588">
        <w:rPr>
          <w:rFonts w:ascii="Times New Roman" w:hAnsi="Times New Roman" w:cs="Times New Roman"/>
        </w:rPr>
        <w:fldChar w:fldCharType="begin"/>
      </w:r>
      <w:r w:rsidRPr="00636588">
        <w:rPr>
          <w:rFonts w:ascii="Times New Roman" w:hAnsi="Times New Roman" w:cs="Times New Roman"/>
        </w:rPr>
        <w:instrText xml:space="preserve"> ADDIN ZOTERO_ITEM CSL_CITATION {"citationID":"8OSf74Za","properties":{"formattedCitation":"(Minist\\uc0\\u233{}rio do Meio Ambiente, 2017)","plainCitation":"(Ministério do Meio Ambiente, 2017)","noteIndex":0},"citationItems":[{"id":1159,"uris":["http://zotero.org/users/146728/items/4UIMCET5"],"itemData":{"id":1159,"type":"book","event-place":"Brasilia, DF, Brasil","number-of-pages":"119","publisher":"MMA/SFB/ARPA","publisher-place":"Brasilia, DF, Brasil","title":"Manual Operacional do Programa Áreas Protegidas da Amazônia","URL":"https://www.funbio.org.br/wp-content/uploads/2017/07/MOP_atualizado_abril2017.pdf","author":[{"literal":"Ministério do Meio Ambiente"}],"issued":{"date-parts":[["2017"]]}}}],"schema":"https://github.com/citation-style-language/schema/raw/master/csl-citation.json"} </w:instrText>
      </w:r>
      <w:r w:rsidRPr="00636588">
        <w:rPr>
          <w:rFonts w:ascii="Times New Roman" w:hAnsi="Times New Roman" w:cs="Times New Roman"/>
        </w:rPr>
        <w:fldChar w:fldCharType="separate"/>
      </w:r>
      <w:r w:rsidRPr="00636588">
        <w:rPr>
          <w:rFonts w:ascii="Times New Roman" w:hAnsi="Times New Roman" w:cs="Times New Roman"/>
          <w:lang w:val="pt-BR"/>
        </w:rPr>
        <w:t>(Ministério do Meio Ambiente, 2017)</w:t>
      </w:r>
      <w:r w:rsidRPr="00636588">
        <w:rPr>
          <w:rFonts w:ascii="Times New Roman" w:hAnsi="Times New Roman" w:cs="Times New Roman"/>
        </w:rPr>
        <w:fldChar w:fldCharType="end"/>
      </w:r>
      <w:r w:rsidRPr="00636588">
        <w:rPr>
          <w:rFonts w:ascii="Times New Roman" w:hAnsi="Times New Roman" w:cs="Times New Roman"/>
          <w:lang w:val="pt-BR"/>
        </w:rPr>
        <w:t xml:space="preserve"> and BRL 90,000 (94,000)/area for surveillance </w:t>
      </w:r>
      <w:r w:rsidRPr="00124791">
        <w:rPr>
          <w:rFonts w:ascii="Times New Roman" w:hAnsi="Times New Roman" w:cs="Times New Roman"/>
        </w:rPr>
        <w:fldChar w:fldCharType="begin"/>
      </w:r>
      <w:r w:rsidRPr="00124791">
        <w:rPr>
          <w:rFonts w:ascii="Times New Roman" w:hAnsi="Times New Roman" w:cs="Times New Roman"/>
          <w:lang w:val="pt-BR"/>
        </w:rPr>
        <w:instrText xml:space="preserve"> ADDIN ZOTERO_ITEM CSL_CITATION {"citationID":"GUoB29sY","properties":{"formattedCitation":"(BNDES, 2019)","plainCitation":"(BNDES, 2019)","noteIndex":0},"citationItems":[{"id":1158,"uris":["http://zotero.org/users/146728/items/4VW9JFD3"],"itemData":{"id":1158,"type":"report","event-place":"Rio de Janeiro, RJ, Brasil","page":"243","publisher":"BNDES","publisher-place":"Rio de Janeiro, RJ, Brasil","title":"Relatório de Atividades do Fundo Amazônia 2018","URL":"https://www.fundoamazonia.gov.br/export/sites/default/pt/.galleries/documentos/rafa/RAFA_2018_port.pdf","author":[{"literal":"BNDES"}],"issued":{"date-parts":[["2019"]]}}}],"schema":"https://github.com/citation-style-language/schema/raw/master/csl-citation.json"}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lang w:val="pt-BR"/>
        </w:rPr>
        <w:t>(BNDES, 2019)</w:t>
      </w:r>
      <w:r w:rsidRPr="00124791">
        <w:rPr>
          <w:rFonts w:ascii="Times New Roman" w:hAnsi="Times New Roman" w:cs="Times New Roman"/>
        </w:rPr>
        <w:fldChar w:fldCharType="end"/>
      </w:r>
      <w:r w:rsidRPr="00124791">
        <w:rPr>
          <w:rFonts w:ascii="Times New Roman" w:hAnsi="Times New Roman" w:cs="Times New Roman"/>
        </w:rPr>
        <w:t xml:space="preserve"> for type I (type II)</w:t>
      </w:r>
      <w:r w:rsidRPr="00124791">
        <w:rPr>
          <w:rFonts w:ascii="Times New Roman" w:hAnsi="Times New Roman" w:cs="Times New Roman"/>
          <w:lang w:val="pt-BR"/>
        </w:rPr>
        <w:t xml:space="preserve">. </w:t>
      </w:r>
      <w:r w:rsidRPr="00124791">
        <w:rPr>
          <w:rFonts w:ascii="Times New Roman" w:hAnsi="Times New Roman" w:cs="Times New Roman"/>
        </w:rPr>
        <w:t>Indigenous Lands had a one-time cost of BRL 4.95 ha</w:t>
      </w:r>
      <w:r w:rsidRPr="00124791">
        <w:rPr>
          <w:rFonts w:ascii="Times New Roman" w:hAnsi="Times New Roman" w:cs="Times New Roman"/>
          <w:vertAlign w:val="superscript"/>
        </w:rPr>
        <w:t>-1</w:t>
      </w:r>
      <w:r w:rsidRPr="00124791">
        <w:rPr>
          <w:rFonts w:ascii="Times New Roman" w:hAnsi="Times New Roman" w:cs="Times New Roman"/>
        </w:rPr>
        <w:t xml:space="preserve"> for creation and a yearly operational cost of BRL 4.30 ha</w:t>
      </w:r>
      <w:r w:rsidRPr="00124791">
        <w:rPr>
          <w:rFonts w:ascii="Times New Roman" w:hAnsi="Times New Roman" w:cs="Times New Roman"/>
          <w:vertAlign w:val="superscript"/>
        </w:rPr>
        <w:t>-1</w:t>
      </w:r>
      <w:r w:rsidRPr="00124791">
        <w:rPr>
          <w:rFonts w:ascii="Times New Roman" w:hAnsi="Times New Roman" w:cs="Times New Roman"/>
        </w:rPr>
        <w:t xml:space="preserve">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{"citationID":"HGWbYQFk","properties":{"formattedCitation":"(Weigand, 2013)","plainCitation":"(Weigand, 2013)","noteIndex":0},"citationItems":[{"id":1157,"uris":["http://zotero.org/users/146728/items/894V3NA6"],"itemData":{"id":1157,"type":"report","language":"Portuguese","page":"157","publisher":"The Nature Conservancy","title":"Gestão Territorial e Ambiental em Terras Indígenas: Quanto custa e como financiá-la","URL":"https://www.tnc.org.br/content/dam/tnc/nature/en/documents/brasil/estudo-sutentabilidade-financeira-da-pngati.pdf","author":[{"family":"Weigand","given":"Ronaldo"}],"contributor":[{"family":"Nahur","given":"André"},{"family":"Pasca","given":"Dan"},{"family":"Silva","given":"Daniela de Oliveira","dropping-particle":"e"},{"family":"Menezes","given":"Marcela Nunes","dropping-particle":"de"},{"family":"Weigand","given":"Vera Maria"}],"issued":{"date-parts":[["2013"]]}}}],"schema":"https://github.com/citation-style-language/schema/raw/master/csl-citation.json"}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(Weigand, 2013)</w:t>
      </w:r>
      <w:r w:rsidRPr="00124791">
        <w:rPr>
          <w:rFonts w:ascii="Times New Roman" w:hAnsi="Times New Roman" w:cs="Times New Roman"/>
        </w:rPr>
        <w:fldChar w:fldCharType="end"/>
      </w:r>
      <w:r w:rsidRPr="00124791">
        <w:rPr>
          <w:rFonts w:ascii="Times New Roman" w:hAnsi="Times New Roman" w:cs="Times New Roman"/>
        </w:rPr>
        <w:t>.</w:t>
      </w:r>
    </w:p>
    <w:p w14:paraId="6931C59B" w14:textId="77777777" w:rsidR="00C771E9" w:rsidRPr="00124791" w:rsidRDefault="00C771E9" w:rsidP="00C771E9">
      <w:pPr>
        <w:spacing w:after="120" w:line="360" w:lineRule="auto"/>
        <w:jc w:val="both"/>
        <w:rPr>
          <w:rFonts w:ascii="Times New Roman" w:hAnsi="Times New Roman" w:cs="Times New Roman"/>
        </w:rPr>
      </w:pPr>
    </w:p>
    <w:p w14:paraId="3576B75B" w14:textId="77777777" w:rsidR="00C771E9" w:rsidRPr="00124791" w:rsidRDefault="00C771E9" w:rsidP="00C771E9">
      <w:pPr>
        <w:pStyle w:val="Heading2"/>
      </w:pPr>
      <w:r w:rsidRPr="00124791">
        <w:t>Revenues</w:t>
      </w:r>
    </w:p>
    <w:p w14:paraId="2664F50D" w14:textId="77777777" w:rsidR="00C771E9" w:rsidRPr="00124791" w:rsidRDefault="00C771E9" w:rsidP="00C771E9">
      <w:pPr>
        <w:pBdr>
          <w:top w:val="nil"/>
          <w:left w:val="nil"/>
          <w:bottom w:val="nil"/>
          <w:right w:val="nil"/>
          <w:between w:val="nil"/>
        </w:pBdr>
        <w:spacing w:after="120" w:line="360" w:lineRule="auto"/>
        <w:jc w:val="both"/>
        <w:rPr>
          <w:rFonts w:ascii="Times New Roman" w:hAnsi="Times New Roman" w:cs="Times New Roman"/>
        </w:rPr>
      </w:pPr>
      <w:r w:rsidRPr="00124791">
        <w:rPr>
          <w:rFonts w:ascii="Times New Roman" w:hAnsi="Times New Roman" w:cs="Times New Roman"/>
        </w:rPr>
        <w:t xml:space="preserve">To estimate the return on extractive activities from NTFPs (açaí, rubber, Brazil nuts) and forest management, we adopted the conservative scenario described in Young and Medeiros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{"citationID":"8oCDEdMI","properties":{"formattedCitation":"(2018)","plainCitation":"(2018)","noteIndex":0},"citationItems":[{"id":1156,"uris":["http://zotero.org/users/146728/items/8ZHQM7CT"],"itemData":{"id":1156,"type":"book","event-place":"Rio de Janeiro, RJ, Brasil","ISBN":"978-85-98830-34-6","number-of-pages":"180","publisher":"Conservation INternational","publisher-place":"Rio de Janeiro, RJ, Brasil","title":"Quanto vale o verde: a importância econômica das unidades de conservação brasileiras","URL":"https://www.funbio.org.br/wp-content/uploads/2018/08/Quanto-vale-o-verde.pdf","author":[{"family":"Young","given":"Carlos Eduardo Frickmann"},{"family":"Medeiros","given":"Rodrigo"}],"issued":{"date-parts":[["2018"]]}},"label":"page","suppress-author":true}],"schema":"https://github.com/citation-style-language/schema/raw/master/csl-citation.json"}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(2018)</w:t>
      </w:r>
      <w:r w:rsidRPr="00124791">
        <w:rPr>
          <w:rFonts w:ascii="Times New Roman" w:hAnsi="Times New Roman" w:cs="Times New Roman"/>
        </w:rPr>
        <w:fldChar w:fldCharType="end"/>
      </w:r>
      <w:r w:rsidRPr="00124791">
        <w:rPr>
          <w:rFonts w:ascii="Times New Roman" w:hAnsi="Times New Roman" w:cs="Times New Roman"/>
        </w:rPr>
        <w:t>, based on the Bolsa Verde Program and resulting in total annual revenue of BRL 6.09 ha</w:t>
      </w:r>
      <w:r w:rsidRPr="00124791">
        <w:rPr>
          <w:rFonts w:ascii="Times New Roman" w:hAnsi="Times New Roman" w:cs="Times New Roman"/>
          <w:vertAlign w:val="superscript"/>
        </w:rPr>
        <w:t>-1</w:t>
      </w:r>
      <w:r w:rsidRPr="00124791">
        <w:rPr>
          <w:rFonts w:ascii="Times New Roman" w:hAnsi="Times New Roman" w:cs="Times New Roman"/>
        </w:rPr>
        <w:t>yr</w:t>
      </w:r>
      <w:r w:rsidRPr="00124791">
        <w:rPr>
          <w:rFonts w:ascii="Times New Roman" w:hAnsi="Times New Roman" w:cs="Times New Roman"/>
          <w:vertAlign w:val="superscript"/>
        </w:rPr>
        <w:t>-1</w:t>
      </w:r>
      <w:r w:rsidRPr="00124791">
        <w:rPr>
          <w:rFonts w:ascii="Times New Roman" w:hAnsi="Times New Roman" w:cs="Times New Roman"/>
        </w:rPr>
        <w:t xml:space="preserve">. We calculated the economic impact of tourism based on Young and Medeiros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{"citationID":"c3qggc1q","properties":{"formattedCitation":"(2018)","plainCitation":"(2018)","noteIndex":0},"citationItems":[{"id":1156,"uris":["http://zotero.org/users/146728/items/8ZHQM7CT"],"itemData":{"id":1156,"type":"book","event-place":"Rio de Janeiro, RJ, Brasil","ISBN":"978-85-98830-34-6","number-of-pages":"180","publisher":"Conservation INternational","publisher-place":"Rio de Janeiro, RJ, Brasil","title":"Quanto vale o verde: a importância econômica das unidades de conservação brasileiras","URL":"https://www.funbio.org.br/wp-content/uploads/2018/08/Quanto-vale-o-verde.pdf","author":[{"family":"Young","given":"Carlos Eduardo Frickmann"},{"family":"Medeiros","given":"Rodrigo"}],"issued":{"date-parts":[["2018"]]}},"label":"page","suppress-author":true}],"schema":"https://github.com/citation-style-language/schema/raw/master/csl-citation.json"}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(2018)</w:t>
      </w:r>
      <w:r w:rsidRPr="00124791">
        <w:rPr>
          <w:rFonts w:ascii="Times New Roman" w:hAnsi="Times New Roman" w:cs="Times New Roman"/>
        </w:rPr>
        <w:fldChar w:fldCharType="end"/>
      </w:r>
      <w:r w:rsidRPr="00124791">
        <w:rPr>
          <w:rFonts w:ascii="Times New Roman" w:hAnsi="Times New Roman" w:cs="Times New Roman"/>
        </w:rPr>
        <w:t>, as follows:</w:t>
      </w:r>
    </w:p>
    <w:p w14:paraId="0A19C925" w14:textId="77777777" w:rsidR="00C771E9" w:rsidRPr="00124791" w:rsidRDefault="00C771E9" w:rsidP="00C771E9">
      <w:pPr>
        <w:spacing w:after="120" w:line="360" w:lineRule="auto"/>
        <w:jc w:val="both"/>
        <w:rPr>
          <w:rFonts w:ascii="Times New Roman" w:eastAsia="Cambria Math" w:hAnsi="Times New Roman" w:cs="Times New Roman"/>
        </w:rPr>
      </w:pPr>
      <w:bookmarkStart w:id="0" w:name="_heading=h.gjdgxs" w:colFirst="0" w:colLast="0"/>
      <w:bookmarkEnd w:id="0"/>
      <m:oMathPara>
        <m:oMath>
          <m:r>
            <w:rPr>
              <w:rFonts w:ascii="Cambria Math" w:eastAsia="Cambria Math" w:hAnsi="Cambria Math" w:cs="Times New Roman"/>
            </w:rPr>
            <m:t>impact=visitants×</m:t>
          </m:r>
          <m:sSub>
            <m:sSubPr>
              <m:ctrlPr>
                <w:rPr>
                  <w:rFonts w:ascii="Cambria Math" w:eastAsia="Cambria Math" w:hAnsi="Cambria Math" w:cs="Times New Roman"/>
                </w:rPr>
              </m:ctrlPr>
            </m:sSubPr>
            <m:e>
              <m:r>
                <w:rPr>
                  <w:rFonts w:ascii="Cambria Math" w:eastAsia="Cambria Math" w:hAnsi="Cambria Math" w:cs="Times New Roman"/>
                </w:rPr>
                <m:t>spending</m:t>
              </m:r>
            </m:e>
            <m:sub>
              <m:r>
                <w:rPr>
                  <w:rFonts w:ascii="Cambria Math" w:eastAsia="Cambria Math" w:hAnsi="Cambria Math" w:cs="Times New Roman"/>
                </w:rPr>
                <m:t>visitor</m:t>
              </m:r>
            </m:sub>
          </m:sSub>
          <m:r>
            <w:rPr>
              <w:rFonts w:ascii="Cambria Math" w:eastAsia="Cambria Math" w:hAnsi="Cambria Math" w:cs="Times New Roman"/>
            </w:rPr>
            <m:t>×multiplier</m:t>
          </m:r>
        </m:oMath>
      </m:oMathPara>
    </w:p>
    <w:p w14:paraId="1A46469E"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lastRenderedPageBreak/>
        <w:t xml:space="preserve">We considered all visitors as tourists based on visitation data collected from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{"citationID":"6vGWma3g","properties":{"formattedCitation":"(CNUC 2021)","plainCitation":"(CNUC 2021)","noteIndex":0},"citationItems":[{"id":2553,"uris":["http://zotero.org/users/146728/items/DN3S293N"],"itemData":{"id":2553,"type":"map","event-place":"Brasilia, DF, Brasil","genre":"Digital map","publisher":"MMA","publisher-place":"Brasilia, DF, Brasil","title":"Cadastro Nacional de Unidades de Conservação (CNUC)","URL":"https://cnuc.mma.gov.br/","collection-editor":[{"literal":"MMA"}],"issued":{"date-parts":[["2021"]]}},"label":"page","suppress-author":true,"prefix":"CNUC"}],"schema":"https://github.com/citation-style-language/schema/raw/master/csl-citation.json"}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(CNUC 2021)</w:t>
      </w:r>
      <w:r w:rsidRPr="00124791">
        <w:rPr>
          <w:rFonts w:ascii="Times New Roman" w:hAnsi="Times New Roman" w:cs="Times New Roman"/>
        </w:rPr>
        <w:fldChar w:fldCharType="end"/>
      </w:r>
      <w:r w:rsidRPr="00124791">
        <w:rPr>
          <w:rFonts w:ascii="Times New Roman" w:hAnsi="Times New Roman" w:cs="Times New Roman"/>
        </w:rPr>
        <w:t>. Average visitor spending and the multiplier depended on local prices. As recommended, we used municipal population estimated by IBGE to categorize the municipality and estimate the indicated parameters. The increase in visitation in CUs followed the geometric average of the 2014-2019 increase in the Legal Amazon. We assumed that only CUs classified as Consolidated type II (given easier road access and better infrastructure), yielding a conservative estimate of tourist potential.</w:t>
      </w:r>
    </w:p>
    <w:p w14:paraId="150FDB64" w14:textId="77777777" w:rsidR="00C771E9" w:rsidRPr="00124791" w:rsidRDefault="00C771E9" w:rsidP="00C771E9">
      <w:pPr>
        <w:keepNext/>
        <w:spacing w:after="120" w:line="360" w:lineRule="auto"/>
        <w:jc w:val="both"/>
        <w:rPr>
          <w:rFonts w:ascii="Times New Roman" w:hAnsi="Times New Roman" w:cs="Times New Roman"/>
        </w:rPr>
      </w:pPr>
      <w:r w:rsidRPr="00124791">
        <w:rPr>
          <w:rFonts w:ascii="Times New Roman" w:hAnsi="Times New Roman" w:cs="Times New Roman"/>
          <w:noProof/>
        </w:rPr>
        <w:drawing>
          <wp:inline distT="0" distB="0" distL="0" distR="0" wp14:anchorId="0D1A8E25" wp14:editId="4ECBCBDA">
            <wp:extent cx="5400040" cy="2710815"/>
            <wp:effectExtent l="0" t="0" r="0" b="0"/>
            <wp:docPr id="13" name="image5.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png" descr="Chart&#10;&#10;Description automatically generated"/>
                    <pic:cNvPicPr preferRelativeResize="0"/>
                  </pic:nvPicPr>
                  <pic:blipFill>
                    <a:blip r:embed="rId5"/>
                    <a:srcRect/>
                    <a:stretch>
                      <a:fillRect/>
                    </a:stretch>
                  </pic:blipFill>
                  <pic:spPr>
                    <a:xfrm>
                      <a:off x="0" y="0"/>
                      <a:ext cx="5400040" cy="2710815"/>
                    </a:xfrm>
                    <a:prstGeom prst="rect">
                      <a:avLst/>
                    </a:prstGeom>
                    <a:ln/>
                  </pic:spPr>
                </pic:pic>
              </a:graphicData>
            </a:graphic>
          </wp:inline>
        </w:drawing>
      </w:r>
    </w:p>
    <w:p w14:paraId="1C604374" w14:textId="77777777" w:rsidR="00C771E9" w:rsidRPr="00124791" w:rsidRDefault="00C771E9" w:rsidP="00C771E9">
      <w:pPr>
        <w:pBdr>
          <w:top w:val="nil"/>
          <w:left w:val="nil"/>
          <w:bottom w:val="nil"/>
          <w:right w:val="nil"/>
          <w:between w:val="nil"/>
        </w:pBdr>
        <w:spacing w:after="120" w:line="360" w:lineRule="auto"/>
        <w:jc w:val="both"/>
        <w:rPr>
          <w:rFonts w:ascii="Times New Roman" w:hAnsi="Times New Roman" w:cs="Times New Roman"/>
          <w:i/>
          <w:color w:val="000000"/>
        </w:rPr>
      </w:pPr>
      <w:r w:rsidRPr="00124791">
        <w:rPr>
          <w:rFonts w:ascii="Times New Roman" w:hAnsi="Times New Roman" w:cs="Times New Roman"/>
          <w:i/>
          <w:color w:val="000000"/>
        </w:rPr>
        <w:t xml:space="preserve">Figure </w:t>
      </w:r>
      <w:r>
        <w:rPr>
          <w:rFonts w:ascii="Times New Roman" w:hAnsi="Times New Roman" w:cs="Times New Roman"/>
          <w:i/>
          <w:color w:val="000000"/>
        </w:rPr>
        <w:t>S</w:t>
      </w:r>
      <w:r w:rsidRPr="00124791">
        <w:rPr>
          <w:rFonts w:ascii="Times New Roman" w:hAnsi="Times New Roman" w:cs="Times New Roman"/>
          <w:i/>
          <w:color w:val="000000"/>
        </w:rPr>
        <w:t xml:space="preserve">1: Evolution of </w:t>
      </w:r>
      <w:r w:rsidRPr="00124791">
        <w:rPr>
          <w:rFonts w:ascii="Times New Roman" w:hAnsi="Times New Roman" w:cs="Times New Roman"/>
          <w:i/>
        </w:rPr>
        <w:t xml:space="preserve">conservation units </w:t>
      </w:r>
      <w:r w:rsidRPr="00124791">
        <w:rPr>
          <w:rFonts w:ascii="Times New Roman" w:hAnsi="Times New Roman" w:cs="Times New Roman"/>
          <w:i/>
          <w:color w:val="000000"/>
        </w:rPr>
        <w:t xml:space="preserve">(CUs) and visitors from the </w:t>
      </w:r>
      <w:r w:rsidRPr="00124791">
        <w:rPr>
          <w:rFonts w:ascii="Times New Roman" w:hAnsi="Times New Roman" w:cs="Times New Roman"/>
          <w:i/>
        </w:rPr>
        <w:t xml:space="preserve">creation of the National System of Conservation Units (CNUC) in </w:t>
      </w:r>
      <w:r w:rsidRPr="00124791">
        <w:rPr>
          <w:rFonts w:ascii="Times New Roman" w:hAnsi="Times New Roman" w:cs="Times New Roman"/>
          <w:i/>
          <w:color w:val="000000"/>
        </w:rPr>
        <w:t>2000 until 2019. (Data from: CNUC)</w:t>
      </w:r>
    </w:p>
    <w:p w14:paraId="34086E7E" w14:textId="77777777" w:rsidR="00C771E9" w:rsidRPr="00124791" w:rsidRDefault="00C771E9" w:rsidP="00C771E9">
      <w:pPr>
        <w:keepNext/>
        <w:pBdr>
          <w:top w:val="nil"/>
          <w:left w:val="nil"/>
          <w:bottom w:val="nil"/>
          <w:right w:val="nil"/>
          <w:between w:val="nil"/>
        </w:pBdr>
        <w:spacing w:after="120" w:line="360" w:lineRule="auto"/>
        <w:ind w:firstLine="720"/>
        <w:jc w:val="both"/>
        <w:rPr>
          <w:rFonts w:ascii="Times New Roman" w:eastAsia="Arial" w:hAnsi="Times New Roman" w:cs="Times New Roman"/>
          <w:b/>
          <w:bCs/>
        </w:rPr>
      </w:pPr>
      <w:r w:rsidRPr="00124791">
        <w:rPr>
          <w:rFonts w:ascii="Times New Roman" w:eastAsia="Arial" w:hAnsi="Times New Roman" w:cs="Times New Roman"/>
          <w:b/>
          <w:bCs/>
        </w:rPr>
        <w:br w:type="page"/>
      </w:r>
    </w:p>
    <w:p w14:paraId="428397D6" w14:textId="77777777" w:rsidR="00C771E9" w:rsidRDefault="00C771E9" w:rsidP="00C771E9">
      <w:pPr>
        <w:pStyle w:val="Heading1"/>
        <w:ind w:left="432" w:hanging="432"/>
        <w:jc w:val="both"/>
        <w:rPr>
          <w:rFonts w:ascii="Times New Roman" w:eastAsia="Arial" w:hAnsi="Times New Roman" w:cs="Times New Roman"/>
          <w:caps/>
          <w:sz w:val="24"/>
          <w:szCs w:val="24"/>
        </w:rPr>
      </w:pPr>
      <w:r w:rsidRPr="00124791">
        <w:rPr>
          <w:rFonts w:ascii="Times New Roman" w:eastAsia="Arial" w:hAnsi="Times New Roman" w:cs="Times New Roman"/>
          <w:caps/>
          <w:sz w:val="24"/>
          <w:szCs w:val="24"/>
        </w:rPr>
        <w:lastRenderedPageBreak/>
        <w:t>Environmental compliance and incentives to avoid deforestation</w:t>
      </w:r>
    </w:p>
    <w:p w14:paraId="4D64D232" w14:textId="77777777" w:rsidR="00C771E9" w:rsidRPr="00636588" w:rsidRDefault="00C771E9" w:rsidP="00C771E9"/>
    <w:p w14:paraId="2FE09FC2" w14:textId="77777777" w:rsidR="00C771E9" w:rsidRPr="00124791" w:rsidRDefault="00C771E9" w:rsidP="00C771E9">
      <w:pPr>
        <w:pStyle w:val="Heading2"/>
      </w:pPr>
      <w:r w:rsidRPr="00124791">
        <w:t>Data and projections</w:t>
      </w:r>
    </w:p>
    <w:p w14:paraId="575D95EA"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The Legal Amazon has 14.1 Mha that could be legally cleared. According to Art. 61 of Federal Law 12.651/2012, these rural properties must restore/offset their forest deficits in one of three ways: natural regeneration, compensation or offsets using ERQ, or forest restoration. A consortium of exotic and native woody species is allowed for restoration in up to 50% of the total area on small properties or family agriculture and on properties above four fiscal modules, Riparian areas along streams (APPs) can be included in the calculation of the LR. However, according to Decree n° 8.235/2014, which instituted the Environmental Regularization Program (PRA), rural properties that were deforested after 2008 lose the option of compensation. Given that, only 4.2 Mha of the forest deficit could use compensation as a mechanism to comply with Brazilian legislation.</w:t>
      </w:r>
    </w:p>
    <w:p w14:paraId="3C4D13F1"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 xml:space="preserve">We used data from Planaveg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{"citationID":"yytzx1aD","properties":{"formattedCitation":"(Minist\\uc0\\u233{}rio do Meio Ambiente et al., 2017)","plainCitation":"(Ministério do Meio Ambiente et al., 2017)","noteIndex":0},"citationItems":[{"id":5,"uris":["http://zotero.org/users/146728/items/YFN9V46P"],"itemData":{"id":5,"type":"book","edition":"1","event-place":"Brasilia, DF, Brasil","ISBN":"978-85-7738-336-8","number-of-pages":"73","publisher":"MMA","publisher-place":"Brasilia, DF, Brasil","title":"Planaveg: Plano Nacional de Recuperação da Vegetação Nativa","URL":"http://snif.florestal.gov.br/images/pdf/publicacoes/planaveg_publicacao.pdf","author":[{"literal":"Ministério do Meio Ambiente"},{"literal":"Ministério da Agricultura, Pecuária e Abastecimento"},{"literal":"Ministério da Educação"}],"accessed":{"date-parts":[["2017",9,13]]},"issued":{"date-parts":[["2017"]]}}}],"schema":"https://github.com/citation-style-language/schema/raw/master/csl-citation.json"}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(Ministério do Meio Ambiente et al., 2017)</w:t>
      </w:r>
      <w:r w:rsidRPr="00124791">
        <w:rPr>
          <w:rFonts w:ascii="Times New Roman" w:hAnsi="Times New Roman" w:cs="Times New Roman"/>
        </w:rPr>
        <w:fldChar w:fldCharType="end"/>
      </w:r>
      <w:r w:rsidRPr="00124791">
        <w:rPr>
          <w:rFonts w:ascii="Times New Roman" w:hAnsi="Times New Roman" w:cs="Times New Roman"/>
        </w:rPr>
        <w:t xml:space="preserve"> to estimate the distribution of restoration strategies and Instituto Escolhas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{"citationID":"9aRhCZJt","properties":{"formattedCitation":"(2023)","plainCitation":"(2023)","noteIndex":0},"citationItems":[{"id":1155,"uris":["http://zotero.org/users/146728/items/95AZZ7PR"],"itemData":{"id":1155,"type":"dataset","abstract":"Esta plataforma serve para estimar o investimento para recuperar uma floresta em uma área e a receita que essa floresta poderia gerar. Ela foi inspirada no estudo que o Instituto Escolhas realizou para a Coalização Brasil, Clima, Florestas e Agricultura, que estimou o investimento que o Brasil teria que fazer para cumprir uma das metas apresentadas na Conferência do Clima de 2015 em Paris - a de restaurar e reflorestar 12 milhões de hectares até 2030. A plataforma pretende, ainda, ajudar proprietários rurais que precisam adequar suas propriedades ao Código Florestal, recuperando passivos florestais, fazendo o cálculo do quanto precisa investir para isso.\n\nO Instituto Escolhas oferece, com a Plataforma, um serviço, disponibilizado gratuitamente, que procura demonstrar que plantar floresta não precisa ser visto como custo nem ônus, e sim um investimento no futuro sustentável do Brasil.","title":"Quanto é plantar floresta?","URL":"http://quantoefloresta.escolhas.org/","author":[{"literal":"Instituto Escolhas"}],"contributor":[{"family":"Leitão","given":"Sergio"},{"family":"Watanabe","given":"Shigueo"},{"family":"Gusson","given":"Eduardo"}],"issued":{"date-parts":[["2023"]]}},"label":"page","suppress-author":true}],"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(2023)</w:t>
      </w:r>
      <w:r w:rsidRPr="00124791">
        <w:rPr>
          <w:rFonts w:ascii="Times New Roman" w:hAnsi="Times New Roman" w:cs="Times New Roman"/>
        </w:rPr>
        <w:fldChar w:fldCharType="end"/>
      </w:r>
      <w:r w:rsidRPr="00124791">
        <w:rPr>
          <w:rFonts w:ascii="Times New Roman" w:hAnsi="Times New Roman" w:cs="Times New Roman"/>
        </w:rPr>
        <w:t xml:space="preserve">, Bioflora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{"citationID":"7uFojQLr","properties":{"formattedCitation":"(Personal Communication, 2018)","plainCitation":"(Personal Communication, 2018)","noteIndex":0},"citationItems":[{"id":1154,"uris":["http://zotero.org/users/146728/items/6L2XBJKE"],"itemData":{"id":1154,"type":"document","publisher":"Bioflora","title":"Field data.","author":[{"literal":"Personal Communication"}],"issued":{"date-parts":[["2018"]]}}}],"schema":"https://github.com/citation-style-language/schema/raw/master/csl-citation.json"}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(Personal Communication, 2018)</w:t>
      </w:r>
      <w:r w:rsidRPr="00124791">
        <w:rPr>
          <w:rFonts w:ascii="Times New Roman" w:hAnsi="Times New Roman" w:cs="Times New Roman"/>
        </w:rPr>
        <w:fldChar w:fldCharType="end"/>
      </w:r>
      <w:r w:rsidRPr="00124791">
        <w:rPr>
          <w:rFonts w:ascii="Times New Roman" w:hAnsi="Times New Roman" w:cs="Times New Roman"/>
        </w:rPr>
        <w:t xml:space="preserve">, FGVces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{"citationID":"SjGzBpR7","properties":{"formattedCitation":"(2018)","plainCitation":"(2018)","noteIndex":0},"citationItems":[{"id":1153,"uris":["http://zotero.org/users/146728/items/EPPNFUNC"],"itemData":{"id":1153,"type":"report","event-place":"São Paulo, SP, Brasil","page":"38","publisher":"FEBRABAN","publisher-place":"São Paulo, SP, Brasil","title":"Financiamento da recomposição florestal da reserva legal com exploração econômica: Arranjos produtivos para a recomposição florestal","URL":"https://bibliotecadigital.fgv.br/dspace/bitstream/handle/10438/30643/final_l03_rec_florestal_suplemento_2%20%281%29.pdf?sequence=1&amp;isAllowed=y","author":[{"literal":"FGVces/FGV/EAESP"}],"issued":{"date-parts":[["2018",4]]}},"label":"page","suppress-author":true}],"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(2018)</w:t>
      </w:r>
      <w:r w:rsidRPr="00124791">
        <w:rPr>
          <w:rFonts w:ascii="Times New Roman" w:hAnsi="Times New Roman" w:cs="Times New Roman"/>
        </w:rPr>
        <w:fldChar w:fldCharType="end"/>
      </w:r>
      <w:r w:rsidRPr="00124791">
        <w:rPr>
          <w:rFonts w:ascii="Times New Roman" w:hAnsi="Times New Roman" w:cs="Times New Roman"/>
        </w:rPr>
        <w:t xml:space="preserve"> and Benini e Adeodato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{"citationID":"wxlKTfnc","properties":{"formattedCitation":"(2017)","plainCitation":"(2017)","noteIndex":0},"citationItems":[{"id":1152,"uris":["http://zotero.org/users/146728/items/IGWUEF4J"],"itemData":{"id":1152,"type":"book","event-place":"São Paulo, SP, Brasil","number-of-pages":"136","publisher":"The Nature Conservancy","publisher-place":"São Paulo, SP, Brasil","title":"Economia da restauração florestal / Forest restoration economy","URL":"lerf.eco.br/img/publicacoes/2017_TNC_Economia-da-restauracao-florestal-brasil.pdf","author":[{"family":"Benini,","given":"Rubens de Miranda"},{"family":"Adeodato.","given":"Sérgio"}],"issued":{"date-parts":[["2017"]]}},"label":"page","suppress-author":true}],"schema":"https://github.com/citation-style-language/schema/raw/master/csl-citation.json"}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(2017)</w:t>
      </w:r>
      <w:r w:rsidRPr="00124791">
        <w:rPr>
          <w:rFonts w:ascii="Times New Roman" w:hAnsi="Times New Roman" w:cs="Times New Roman"/>
        </w:rPr>
        <w:fldChar w:fldCharType="end"/>
      </w:r>
      <w:r w:rsidRPr="00124791">
        <w:rPr>
          <w:rFonts w:ascii="Times New Roman" w:hAnsi="Times New Roman" w:cs="Times New Roman"/>
        </w:rPr>
        <w:t xml:space="preserve"> to estimate the costs and revenues associated with each strategy. We then modeled subsequent restoration cycles which totaled seven, with a proportion of the total area implemented each year. This period coincides with the 7-year revenue cycle such that the last implementation year coincided with the first returns (revenue). </w:t>
      </w:r>
    </w:p>
    <w:p w14:paraId="7402C789"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Even though the restoration costs are higher than the returns until 2030, the returns can continue for up to 30 years depending on the species. To evaluate the net return on investments in restoration, we used the Net Present Value (NPV), standard financial indicator used to evaluate the net return on capital investments during a specified period. It consists of the cash flow of activity, discounting a rate relative to the opportunity cost of capital, formally:</w:t>
      </w:r>
    </w:p>
    <w:p w14:paraId="29ADBB72" w14:textId="77777777" w:rsidR="00C771E9" w:rsidRPr="00124791" w:rsidRDefault="00C771E9" w:rsidP="00C771E9">
      <w:pPr>
        <w:spacing w:after="120" w:line="360" w:lineRule="auto"/>
        <w:ind w:firstLine="720"/>
        <w:jc w:val="both"/>
        <w:rPr>
          <w:rFonts w:ascii="Times New Roman" w:eastAsia="Cambria Math" w:hAnsi="Times New Roman" w:cs="Times New Roman"/>
          <w:color w:val="000000"/>
        </w:rPr>
      </w:pPr>
      <m:oMathPara>
        <m:oMath>
          <m:r>
            <w:rPr>
              <w:rFonts w:ascii="Cambria Math" w:eastAsia="Cambria Math" w:hAnsi="Cambria Math" w:cs="Times New Roman"/>
              <w:color w:val="000000"/>
            </w:rPr>
            <m:t>NPV=</m:t>
          </m:r>
          <m:nary>
            <m:naryPr>
              <m:chr m:val="∑"/>
              <m:ctrlPr>
                <w:rPr>
                  <w:rFonts w:ascii="Cambria Math" w:eastAsia="Cambria Math" w:hAnsi="Cambria Math" w:cs="Times New Roman"/>
                  <w:color w:val="000000"/>
                </w:rPr>
              </m:ctrlPr>
            </m:naryPr>
            <m:sub>
              <m:r>
                <w:rPr>
                  <w:rFonts w:ascii="Cambria Math" w:eastAsia="Cambria Math" w:hAnsi="Cambria Math" w:cs="Times New Roman"/>
                  <w:color w:val="000000"/>
                </w:rPr>
                <m:t>0</m:t>
              </m:r>
            </m:sub>
            <m:sup>
              <m:r>
                <w:rPr>
                  <w:rFonts w:ascii="Cambria Math" w:eastAsia="Cambria Math" w:hAnsi="Cambria Math" w:cs="Times New Roman"/>
                  <w:color w:val="000000"/>
                </w:rPr>
                <m:t>t</m:t>
              </m:r>
            </m:sup>
            <m:e>
              <m:f>
                <m:fPr>
                  <m:ctrlPr>
                    <w:rPr>
                      <w:rFonts w:ascii="Cambria Math" w:eastAsia="Cambria Math" w:hAnsi="Cambria Math" w:cs="Times New Roman"/>
                      <w:color w:val="000000"/>
                    </w:rPr>
                  </m:ctrlPr>
                </m:fPr>
                <m:num>
                  <m:r>
                    <w:rPr>
                      <w:rFonts w:ascii="Cambria Math" w:eastAsia="Cambria Math" w:hAnsi="Cambria Math" w:cs="Times New Roman"/>
                      <w:color w:val="000000"/>
                    </w:rPr>
                    <m:t>(</m:t>
                  </m:r>
                  <m:sSub>
                    <m:sSubPr>
                      <m:ctrlPr>
                        <w:rPr>
                          <w:rFonts w:ascii="Cambria Math" w:eastAsia="Cambria Math" w:hAnsi="Cambria Math" w:cs="Times New Roman"/>
                          <w:color w:val="000000"/>
                        </w:rPr>
                      </m:ctrlPr>
                    </m:sSubPr>
                    <m:e>
                      <m:r>
                        <w:rPr>
                          <w:rFonts w:ascii="Cambria Math" w:eastAsia="Cambria Math" w:hAnsi="Cambria Math" w:cs="Times New Roman"/>
                          <w:color w:val="000000"/>
                        </w:rPr>
                        <m:t>B</m:t>
                      </m:r>
                    </m:e>
                    <m:sub>
                      <m:r>
                        <w:rPr>
                          <w:rFonts w:ascii="Cambria Math" w:eastAsia="Cambria Math" w:hAnsi="Cambria Math" w:cs="Times New Roman"/>
                          <w:color w:val="000000"/>
                        </w:rPr>
                        <m:t>t</m:t>
                      </m:r>
                    </m:sub>
                  </m:sSub>
                  <m:r>
                    <w:rPr>
                      <w:rFonts w:ascii="Cambria Math" w:eastAsia="Cambria Math" w:hAnsi="Cambria Math" w:cs="Times New Roman"/>
                      <w:color w:val="000000"/>
                    </w:rPr>
                    <m:t>-</m:t>
                  </m:r>
                  <m:sSub>
                    <m:sSubPr>
                      <m:ctrlPr>
                        <w:rPr>
                          <w:rFonts w:ascii="Cambria Math" w:eastAsia="Cambria Math" w:hAnsi="Cambria Math" w:cs="Times New Roman"/>
                          <w:color w:val="000000"/>
                        </w:rPr>
                      </m:ctrlPr>
                    </m:sSubPr>
                    <m:e>
                      <m:r>
                        <w:rPr>
                          <w:rFonts w:ascii="Cambria Math" w:eastAsia="Cambria Math" w:hAnsi="Cambria Math" w:cs="Times New Roman"/>
                          <w:color w:val="000000"/>
                        </w:rPr>
                        <m:t>C</m:t>
                      </m:r>
                    </m:e>
                    <m:sub>
                      <m:r>
                        <w:rPr>
                          <w:rFonts w:ascii="Cambria Math" w:eastAsia="Cambria Math" w:hAnsi="Cambria Math" w:cs="Times New Roman"/>
                          <w:color w:val="000000"/>
                        </w:rPr>
                        <m:t>t</m:t>
                      </m:r>
                    </m:sub>
                  </m:sSub>
                  <m:r>
                    <w:rPr>
                      <w:rFonts w:ascii="Cambria Math" w:eastAsia="Cambria Math" w:hAnsi="Cambria Math" w:cs="Times New Roman"/>
                      <w:color w:val="000000"/>
                    </w:rPr>
                    <m:t>)</m:t>
                  </m:r>
                </m:num>
                <m:den>
                  <m:sSup>
                    <m:sSupPr>
                      <m:ctrlPr>
                        <w:rPr>
                          <w:rFonts w:ascii="Cambria Math" w:eastAsia="Cambria Math" w:hAnsi="Cambria Math" w:cs="Times New Roman"/>
                          <w:color w:val="000000"/>
                        </w:rPr>
                      </m:ctrlPr>
                    </m:sSupPr>
                    <m:e>
                      <m:r>
                        <w:rPr>
                          <w:rFonts w:ascii="Cambria Math" w:eastAsia="Cambria Math" w:hAnsi="Cambria Math" w:cs="Times New Roman"/>
                          <w:color w:val="000000"/>
                        </w:rPr>
                        <m:t>(1+i)</m:t>
                      </m:r>
                    </m:e>
                    <m:sup>
                      <m:r>
                        <w:rPr>
                          <w:rFonts w:ascii="Cambria Math" w:eastAsia="Cambria Math" w:hAnsi="Cambria Math" w:cs="Times New Roman"/>
                          <w:color w:val="000000"/>
                        </w:rPr>
                        <m:t>t</m:t>
                      </m:r>
                    </m:sup>
                  </m:sSup>
                </m:den>
              </m:f>
            </m:e>
          </m:nary>
        </m:oMath>
      </m:oMathPara>
    </w:p>
    <w:p w14:paraId="08FCD4D1"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lastRenderedPageBreak/>
        <w:t xml:space="preserve">Where B represents the financial gains at year </w:t>
      </w:r>
      <w:r w:rsidRPr="00124791">
        <w:rPr>
          <w:rFonts w:ascii="Times New Roman" w:hAnsi="Times New Roman" w:cs="Times New Roman"/>
          <w:i/>
        </w:rPr>
        <w:t>t</w:t>
      </w:r>
      <w:r w:rsidRPr="00124791">
        <w:rPr>
          <w:rFonts w:ascii="Times New Roman" w:hAnsi="Times New Roman" w:cs="Times New Roman"/>
        </w:rPr>
        <w:t xml:space="preserve">, C the costs at year </w:t>
      </w:r>
      <w:r w:rsidRPr="00124791">
        <w:rPr>
          <w:rFonts w:ascii="Times New Roman" w:hAnsi="Times New Roman" w:cs="Times New Roman"/>
          <w:i/>
        </w:rPr>
        <w:t>t</w:t>
      </w:r>
      <w:r w:rsidRPr="00124791">
        <w:rPr>
          <w:rFonts w:ascii="Times New Roman" w:hAnsi="Times New Roman" w:cs="Times New Roman"/>
        </w:rPr>
        <w:t>, and i the discount rate. The discount rate was calculated by averaging data from PRONAF, PRONAMP, BNDES AGRO, resulting in an estimate of 6.7% yr</w:t>
      </w:r>
      <w:r w:rsidRPr="00124791">
        <w:rPr>
          <w:rFonts w:ascii="Times New Roman" w:hAnsi="Times New Roman" w:cs="Times New Roman"/>
          <w:vertAlign w:val="superscript"/>
        </w:rPr>
        <w:t>-1</w:t>
      </w:r>
      <w:r w:rsidRPr="00124791">
        <w:rPr>
          <w:rFonts w:ascii="Times New Roman" w:hAnsi="Times New Roman" w:cs="Times New Roman"/>
        </w:rPr>
        <w:t xml:space="preserve">. </w:t>
      </w:r>
    </w:p>
    <w:p w14:paraId="667D0594" w14:textId="77777777" w:rsidR="00C771E9" w:rsidRPr="00124791" w:rsidRDefault="00C771E9" w:rsidP="00C771E9">
      <w:pPr>
        <w:spacing w:after="120" w:line="360" w:lineRule="auto"/>
        <w:jc w:val="both"/>
        <w:rPr>
          <w:rFonts w:ascii="Times New Roman" w:eastAsia="Arial" w:hAnsi="Times New Roman" w:cs="Times New Roman"/>
        </w:rPr>
      </w:pPr>
      <w:r w:rsidRPr="00124791">
        <w:rPr>
          <w:rFonts w:ascii="Times New Roman" w:eastAsia="Arial" w:hAnsi="Times New Roman" w:cs="Times New Roman"/>
        </w:rPr>
        <w:t xml:space="preserve">The Environmental Reserve Quota (ERQ) is a legal mechanism established by Brazil's Native Vegetation Protection Law that allows landowners to trade forest certificates, but still lacks regulation. ERQ will enable landowners with forest deficits (i.e. illegally deforested land) to buy certificates from landowners that have a forest surplus </w:t>
      </w:r>
      <w:r w:rsidRPr="00124791">
        <w:rPr>
          <w:rFonts w:ascii="Times New Roman" w:eastAsia="Arial" w:hAnsi="Times New Roman" w:cs="Times New Roman"/>
        </w:rPr>
        <w:fldChar w:fldCharType="begin"/>
      </w:r>
      <w:r w:rsidRPr="00124791">
        <w:rPr>
          <w:rFonts w:ascii="Times New Roman" w:eastAsia="Arial" w:hAnsi="Times New Roman" w:cs="Times New Roman"/>
        </w:rPr>
        <w:instrText xml:space="preserve"> ADDIN ZOTERO_ITEM CSL_CITATION {"citationID":"6fDFqgKL","properties":{"formattedCitation":"(Soares-Filho et al., 2016)","plainCitation":"(Soares-Filho et al., 2016)","noteIndex":0},"citationItems":[{"id":1115,"uris":["http://zotero.org/users/146728/items/F97X8V22"],"itemData":{"id":1115,"type":"article-journal","abstract":"Brazil faces an enormous challenge to implement its revised Forest Code. Despite big losses for the environment, the law introduces new mechanisms to facilitate compliance and foster payment for ecosystem services (PES). The most promising of these is a market for trading forest certificates (CRAs) that allows landowners to offset their restoration obligations by paying for maintaining native vegetation elsewhere. We analyzed the economic potential for the emerging CRA market in Brazil and its implications for PES programs. Results indicate a potential market for trading 4.2 Mha of CRAs with a gross value of US$ 9.2</w:instrText>
      </w:r>
      <w:r w:rsidRPr="00124791">
        <w:rPr>
          <w:rFonts w:ascii="Tahoma" w:eastAsia="Arial" w:hAnsi="Tahoma" w:cs="Tahoma"/>
        </w:rPr>
        <w:instrText>�</w:instrText>
      </w:r>
      <w:r w:rsidRPr="00124791">
        <w:rPr>
          <w:rFonts w:ascii="Times New Roman" w:eastAsia="Arial" w:hAnsi="Times New Roman" w:cs="Times New Roman"/>
        </w:rPr>
        <w:instrText>2.4 billion, with main regional markets forming in the states of Mato Grosso and S</w:instrText>
      </w:r>
      <w:r w:rsidRPr="00124791">
        <w:rPr>
          <w:rFonts w:ascii="Tahoma" w:eastAsia="Arial" w:hAnsi="Tahoma" w:cs="Tahoma"/>
        </w:rPr>
        <w:instrText>�</w:instrText>
      </w:r>
      <w:r w:rsidRPr="00124791">
        <w:rPr>
          <w:rFonts w:ascii="Times New Roman" w:eastAsia="Arial" w:hAnsi="Times New Roman" w:cs="Times New Roman"/>
        </w:rPr>
        <w:instrText xml:space="preserve">o Paulo. This would be the largest market for trading forests in the world. Overall, the potential supply of CRAs in Brazilian states exceeds demand, creating an opportunity for additional PES programs to use the CRA market. This expanded market could provide not only monetary incentives to conserve native vegetation, but also environmental co-benefits by fostering PES programs focused on biodiversity, water conservation, and climate regulation. Effective implementation of the Forest Code will be vital to the success of this market and this hurdle brings uncertainty into the market. Long-term commitment, both within Brazil and abroad, will be essential to overcome the many challenges ahead.","container-title":"PLoS ONE","DOI":"10.1371/journal.pone.0152311","issue":"4","journalAbbreviation":"PLoS ONE","page":"e0152311","title":"Brazil's Market for Trading Forest Certificates","volume":"11","author":[{"family":"Soares-Filho","given":"Britaldo"},{"family":"Rajão","given":"Raoni"},{"family":"Merry","given":"Frank"},{"family":"Rodrigues","given":"Hermann"},{"family":"Davis","given":"Juliana"},{"family":"Lima","given":"Letícia"},{"family":"Macedo","given":"Marcia"},{"family":"Coe","given":"Michael"},{"family":"Carneiro","given":"Arnaldo"},{"family":"Santiago","given":"Leonardo"}],"issued":{"date-parts":[["2016",4,6]]}}}],"schema":"https://github.com/citation-style-language/schema/raw/master/csl-citation.json"} </w:instrText>
      </w:r>
      <w:r w:rsidRPr="00124791">
        <w:rPr>
          <w:rFonts w:ascii="Times New Roman" w:eastAsia="Arial" w:hAnsi="Times New Roman" w:cs="Times New Roman"/>
        </w:rPr>
        <w:fldChar w:fldCharType="separate"/>
      </w:r>
      <w:r w:rsidRPr="00124791">
        <w:rPr>
          <w:rFonts w:ascii="Times New Roman" w:hAnsi="Times New Roman" w:cs="Times New Roman"/>
        </w:rPr>
        <w:t>(Soares-Filho et al., 2016)</w:t>
      </w:r>
      <w:r w:rsidRPr="00124791">
        <w:rPr>
          <w:rFonts w:ascii="Times New Roman" w:eastAsia="Arial" w:hAnsi="Times New Roman" w:cs="Times New Roman"/>
        </w:rPr>
        <w:fldChar w:fldCharType="end"/>
      </w:r>
      <w:r w:rsidRPr="00124791">
        <w:rPr>
          <w:rFonts w:ascii="Times New Roman" w:eastAsia="Arial" w:hAnsi="Times New Roman" w:cs="Times New Roman"/>
        </w:rPr>
        <w:t>.</w:t>
      </w:r>
    </w:p>
    <w:p w14:paraId="654BECAF" w14:textId="77777777" w:rsidR="00C771E9"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 xml:space="preserve">We assumed that areas tradable under the ERQ scheme proposed in </w:t>
      </w:r>
      <w:r w:rsidRPr="00124791">
        <w:rPr>
          <w:rFonts w:ascii="Times New Roman" w:eastAsia="Arial" w:hAnsi="Times New Roman" w:cs="Times New Roman"/>
        </w:rPr>
        <w:t xml:space="preserve">Brazil's Native Vegetation Protection Law </w:t>
      </w:r>
      <w:r w:rsidRPr="00124791">
        <w:rPr>
          <w:rFonts w:ascii="Times New Roman" w:eastAsia="Arial" w:hAnsi="Times New Roman" w:cs="Times New Roman"/>
        </w:rPr>
        <w:fldChar w:fldCharType="begin"/>
      </w:r>
      <w:r w:rsidRPr="00124791">
        <w:rPr>
          <w:rFonts w:ascii="Times New Roman" w:eastAsia="Arial" w:hAnsi="Times New Roman" w:cs="Times New Roman"/>
        </w:rPr>
        <w:instrText xml:space="preserve"> ADDIN ZOTERO_ITEM CSL_CITATION {"citationID":"KRWCiDCS","properties":{"formattedCitation":"(Brasil, 2012)","plainCitation":"(Brasil, 2012)","noteIndex":0},"citationItems":[{"id":6,"uris":["http://zotero.org/users/146728/items/M76WBU6L"],"itemData":{"id":6,"type":"legislation","abstract":"Dispõe sobre a proteção da vegetação nativa; altera as Leis nos 6.938, de 31 de agosto de 1981, 9.393, de 19 de dezembro de 1996, e 11.428, de 22 de dezembro de 2006; revoga as Leis nos 4.771, de 15 de setembro de 1965, e 7.754, de 14 de abril de 1989, e a Medida Provisória no 2.166-67, de 24 de agosto de 2001; e dá outras providências.","number":"12.651","title":"Lei nº 12.651, de 25 de maio de 2012 (Dispõe sobre a proteção da vegetação nativa; altera as Leis nos 6.938, de 31 de agosto de 1981, 9.393, de 19 de dezembro de 1996, e 11.428, de 22 de dezembro de 2006; revoga as Leis nos 4.771, de 15 de setembro de 1965, e 7.754, de 14 de abril de 1989, e a Medida Provisória no 2.166-67, de 24 de agosto de 2001; e dá outras providências)","URL":"http://www.planalto.gov.br/ccivil_03/_ato2011-2014/2012/lei/l12651.htm","author":[{"literal":"Brasil"}],"contributor":[{"literal":"Presidente da República"}],"accessed":{"date-parts":[["2018",1,10]]},"issued":{"date-parts":[["2012",5,25]]}}}],"schema":"https://github.com/citation-style-language/schema/raw/master/csl-citation.json"} </w:instrText>
      </w:r>
      <w:r w:rsidRPr="00124791">
        <w:rPr>
          <w:rFonts w:ascii="Times New Roman" w:eastAsia="Arial" w:hAnsi="Times New Roman" w:cs="Times New Roman"/>
        </w:rPr>
        <w:fldChar w:fldCharType="separate"/>
      </w:r>
      <w:r w:rsidRPr="00124791">
        <w:rPr>
          <w:rFonts w:ascii="Times New Roman" w:hAnsi="Times New Roman" w:cs="Times New Roman"/>
        </w:rPr>
        <w:t>(Brasil, 2012)</w:t>
      </w:r>
      <w:r w:rsidRPr="00124791">
        <w:rPr>
          <w:rFonts w:ascii="Times New Roman" w:eastAsia="Arial" w:hAnsi="Times New Roman" w:cs="Times New Roman"/>
        </w:rPr>
        <w:fldChar w:fldCharType="end"/>
      </w:r>
      <w:r w:rsidRPr="00124791">
        <w:rPr>
          <w:rFonts w:ascii="Times New Roman" w:hAnsi="Times New Roman" w:cs="Times New Roman"/>
        </w:rPr>
        <w:t xml:space="preserve"> would opt to participate in such an instrument. The existing surplus of 23.2 Mh would be traded with an eligible area with “vegetation surplus” (i.e., cleared prior to 2008). The remaining areas of forest assets (14.1 Mha) that could be legally deforested and exceeded ERQ market demand were assumed to take advantage of nascent opportunities for Payments for Ecosystem Services (PES). Legislation on PES has recently passed in Brazil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{"citationID":"tQWRBzeZ","properties":{"formattedCitation":"(Brasil, 2021)","plainCitation":"(Brasil, 2021)","noteIndex":0},"citationItems":[{"id":1175,"uris":["http://zotero.org/users/146728/items/M7QCKUQL"],"itemData":{"id":1175,"type":"legislation","abstract":"Institui a Política Nacional de Pagamento por Serviços Ambientais; e altera as Leis n os 8.212, de 24 de julho de 1991, 8.629, de 25 de fevereiro de 1993, e 6.015, de 31 de dezembro de 1973, para adequá-las à nova política.","number":"14.119","title":"Lei nº 14.119, de 13 de Janeiro de 2021.Institui a Política Nacional de Pagamento por Serviços Ambientais; e altera as Leis n os 8.212, de 24 de julho de 1991, 8.629, de 25 de fevereiro de 1993, e 6.015, de 31 de dezembro de 1973, para adequá-las à nova política.","URL":"http://www.planalto.gov.br/ccivil_03/_ato2019-2022/2021/lei/L14119.htm","author":[{"literal":"Brasil"}],"issued":{"date-parts":[["2021",1,13]]}}}],"schema":"https://github.com/citation-style-language/schema/raw/master/csl-citation.json"}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(Brasil, 2021)</w:t>
      </w:r>
      <w:r w:rsidRPr="00124791">
        <w:rPr>
          <w:rFonts w:ascii="Times New Roman" w:hAnsi="Times New Roman" w:cs="Times New Roman"/>
        </w:rPr>
        <w:fldChar w:fldCharType="end"/>
      </w:r>
      <w:r w:rsidRPr="00124791">
        <w:rPr>
          <w:rFonts w:ascii="Times New Roman" w:hAnsi="Times New Roman" w:cs="Times New Roman"/>
        </w:rPr>
        <w:t>. We consider the ERQ to be a zero-sum market in terms of cash flow. Farmers with assets would lease their assets to farmers with deficits and, while there would be cash transfers, the sum of these operations would be zero. However, given the area (4.2 Mha) and an estimated annual payment of BRL 240,00 ha</w:t>
      </w:r>
      <w:r w:rsidRPr="00124791">
        <w:rPr>
          <w:rFonts w:ascii="Times New Roman" w:hAnsi="Times New Roman" w:cs="Times New Roman"/>
          <w:vertAlign w:val="superscript"/>
        </w:rPr>
        <w:t>-1</w:t>
      </w:r>
      <w:r w:rsidRPr="00124791">
        <w:rPr>
          <w:rFonts w:ascii="Times New Roman" w:hAnsi="Times New Roman" w:cs="Times New Roman"/>
        </w:rPr>
        <w:t xml:space="preserve"> based on the land value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{"citationID":"EL7ANmPp","properties":{"formattedCitation":"(Informa Economics FNP, 2018)","plainCitation":"(Informa Economics FNP, 2018)","noteIndex":0},"citationItems":[{"id":1151,"uris":["http://zotero.org/users/146728/items/6R3ZMG4C"],"itemData":{"id":1151,"type":"report","event-place":"São Paulo, SP, Brasil","page":"456","publisher":"FNP","publisher-place":"São Paulo, SP, Brasil","title":"Agrianual 2017: anuário da agricultura brasileira","author":[{"literal":"Informa Economics FNP"}],"issued":{"date-parts":[["2018"]]}}}],"schema":"https://github.com/citation-style-language/schema/raw/master/csl-citation.json"}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(Informa Economics FNP, 2018)</w:t>
      </w:r>
      <w:r w:rsidRPr="00124791">
        <w:rPr>
          <w:rFonts w:ascii="Times New Roman" w:hAnsi="Times New Roman" w:cs="Times New Roman"/>
        </w:rPr>
        <w:fldChar w:fldCharType="end"/>
      </w:r>
      <w:r w:rsidRPr="00124791">
        <w:rPr>
          <w:rFonts w:ascii="Times New Roman" w:hAnsi="Times New Roman" w:cs="Times New Roman"/>
        </w:rPr>
        <w:t>, this market would mobilize almost BRL 1 billion per year.</w:t>
      </w:r>
    </w:p>
    <w:p w14:paraId="2CC3E153" w14:textId="77777777" w:rsidR="00C771E9" w:rsidRPr="00124791" w:rsidRDefault="00C771E9" w:rsidP="00C771E9">
      <w:pPr>
        <w:spacing w:after="120" w:line="360" w:lineRule="auto"/>
        <w:jc w:val="both"/>
        <w:rPr>
          <w:rFonts w:ascii="Times New Roman" w:hAnsi="Times New Roman" w:cs="Times New Roman"/>
        </w:rPr>
      </w:pPr>
    </w:p>
    <w:p w14:paraId="71A7E845" w14:textId="77777777" w:rsidR="00C771E9" w:rsidRPr="00124791" w:rsidRDefault="00C771E9" w:rsidP="00C771E9">
      <w:pPr>
        <w:pStyle w:val="Heading2"/>
        <w:ind w:left="851"/>
      </w:pPr>
      <w:r w:rsidRPr="00124791">
        <w:t>Existing and new costs</w:t>
      </w:r>
    </w:p>
    <w:p w14:paraId="518684F8" w14:textId="77777777" w:rsidR="00C771E9"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 xml:space="preserve">Expenses of this strategy included operational restoration costs, implementation of </w:t>
      </w:r>
      <w:r w:rsidRPr="00124791">
        <w:rPr>
          <w:rFonts w:ascii="Times New Roman" w:eastAsia="Arial" w:hAnsi="Times New Roman" w:cs="Times New Roman"/>
        </w:rPr>
        <w:t>Brazil's Native Vegetation Protection Law</w:t>
      </w:r>
      <w:r w:rsidRPr="00124791">
        <w:rPr>
          <w:rFonts w:ascii="Times New Roman" w:hAnsi="Times New Roman" w:cs="Times New Roman"/>
        </w:rPr>
        <w:t xml:space="preserve">, and levying infraction notices or fines for rural properties that are not regularized. Restoration costs were obtained by taking the proportion of restoration practices contained in PLANAVEG, and the average costs per hectare from three different sources. These values varied depending on the strategy and year after implementation. Commercialization costs were not considered. The full implementation of </w:t>
      </w:r>
      <w:r w:rsidRPr="00124791">
        <w:rPr>
          <w:rFonts w:ascii="Times New Roman" w:eastAsia="Arial" w:hAnsi="Times New Roman" w:cs="Times New Roman"/>
        </w:rPr>
        <w:t xml:space="preserve">Brazil's Native Vegetation Protection Law </w:t>
      </w:r>
      <w:r w:rsidRPr="00124791">
        <w:rPr>
          <w:rFonts w:ascii="Times New Roman" w:hAnsi="Times New Roman" w:cs="Times New Roman"/>
        </w:rPr>
        <w:t xml:space="preserve">is estimated to cost BRL 0.7 B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{"citationID":"94dCCeIW","properties":{"formattedCitation":"(OCF, 2019)","plainCitation":"(OCF, 2019)","noteIndex":0},"citationItems":[{"id":1150,"uris":["http://zotero.org/users/146728/items/3HNADZ4G"],"itemData":{"id":1150,"type":"report","language":"Portuguese","page":"30","publisher":"Observatório do Código Florestal","title":"Caminho para a  validação do CAR pelos estados da Amazônia e do Cerrado.","URL":"https://observatorioflorestal.org.br/caminhos-para-a-validacao-do-car-pelos-estados-da-amazonia-e-do-cerrado/?_sft_tema=car&amp;doing_wp_cron=1682829206.1205320358276367187500","author":[{"literal":"OCF"}],"issued":{"date-parts":[["2019",11]]}}}],"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(OCF, 2019)</w:t>
      </w:r>
      <w:r w:rsidRPr="00124791">
        <w:rPr>
          <w:rFonts w:ascii="Times New Roman" w:hAnsi="Times New Roman" w:cs="Times New Roman"/>
        </w:rPr>
        <w:fldChar w:fldCharType="end"/>
      </w:r>
      <w:r w:rsidRPr="00124791">
        <w:rPr>
          <w:rFonts w:ascii="Times New Roman" w:hAnsi="Times New Roman" w:cs="Times New Roman"/>
        </w:rPr>
        <w:t xml:space="preserve">. </w:t>
      </w:r>
      <w:r w:rsidRPr="00124791">
        <w:rPr>
          <w:rFonts w:ascii="Times New Roman" w:hAnsi="Times New Roman" w:cs="Times New Roman"/>
        </w:rPr>
        <w:lastRenderedPageBreak/>
        <w:t xml:space="preserve">The individual infraction notices cost an estimated BRL 0.01 per year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{"citationID":"AqlRkXZY","properties":{"formattedCitation":"(Soares-Filho et al., 2016)","plainCitation":"(Soares-Filho et al., 2016)","noteIndex":0},"citationItems":[{"id":1115,"uris":["http://zotero.org/users/146728/items/F97X8V22"],"itemData":{"id":1115,"type":"article-journal","abstract":"Brazil faces an enormous challenge to implement its revised Forest Code. Despite big losses for the environment, the law introduces new mechanisms to facilitate compliance and foster payment for ecosystem services (PES). The most promising of these is a market for trading forest certificates (CRAs) that allows landowners to offset their restoration obligations by paying for maintaining native vegetation elsewhere. We analyzed the economic potential for the emerging CRA market in Brazil and its implications for PES programs. Results indicate a potential market for trading 4.2 Mha of CRAs with a gross value of US$ 9.2</w:instrText>
      </w:r>
      <w:r w:rsidRPr="00124791">
        <w:rPr>
          <w:rFonts w:ascii="Tahoma" w:hAnsi="Tahoma" w:cs="Tahoma"/>
        </w:rPr>
        <w:instrText>�</w:instrText>
      </w:r>
      <w:r w:rsidRPr="00124791">
        <w:rPr>
          <w:rFonts w:ascii="Times New Roman" w:hAnsi="Times New Roman" w:cs="Times New Roman"/>
        </w:rPr>
        <w:instrText>2.4 billion, with main regional markets forming in the states of Mato Grosso and S</w:instrText>
      </w:r>
      <w:r w:rsidRPr="00124791">
        <w:rPr>
          <w:rFonts w:ascii="Tahoma" w:hAnsi="Tahoma" w:cs="Tahoma"/>
        </w:rPr>
        <w:instrText>�</w:instrText>
      </w:r>
      <w:r w:rsidRPr="00124791">
        <w:rPr>
          <w:rFonts w:ascii="Times New Roman" w:hAnsi="Times New Roman" w:cs="Times New Roman"/>
        </w:rPr>
        <w:instrText xml:space="preserve">o Paulo. This would be the largest market for trading forests in the world. Overall, the potential supply of CRAs in Brazilian states exceeds demand, creating an opportunity for additional PES programs to use the CRA market. This expanded market could provide not only monetary incentives to conserve native vegetation, but also environmental co-benefits by fostering PES programs focused on biodiversity, water conservation, and climate regulation. Effective implementation of the Forest Code will be vital to the success of this market and this hurdle brings uncertainty into the market. Long-term commitment, both within Brazil and abroad, will be essential to overcome the many challenges ahead.","container-title":"PLoS ONE","DOI":"10.1371/journal.pone.0152311","issue":"4","journalAbbreviation":"PLoS ONE","page":"e0152311","title":"Brazil's Market for Trading Forest Certificates","volume":"11","author":[{"family":"Soares-Filho","given":"Britaldo"},{"family":"Rajão","given":"Raoni"},{"family":"Merry","given":"Frank"},{"family":"Rodrigues","given":"Hermann"},{"family":"Davis","given":"Juliana"},{"family":"Lima","given":"Letícia"},{"family":"Macedo","given":"Marcia"},{"family":"Coe","given":"Michael"},{"family":"Carneiro","given":"Arnaldo"},{"family":"Santiago","given":"Leonardo"}],"issued":{"date-parts":[["2016",4,6]]}}}],"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(Soares-Filho et al., 2016)</w:t>
      </w:r>
      <w:r w:rsidRPr="00124791">
        <w:rPr>
          <w:rFonts w:ascii="Times New Roman" w:hAnsi="Times New Roman" w:cs="Times New Roman"/>
        </w:rPr>
        <w:fldChar w:fldCharType="end"/>
      </w:r>
      <w:r w:rsidRPr="00124791">
        <w:rPr>
          <w:rFonts w:ascii="Times New Roman" w:hAnsi="Times New Roman" w:cs="Times New Roman"/>
        </w:rPr>
        <w:t>.</w:t>
      </w:r>
    </w:p>
    <w:p w14:paraId="30A7F922" w14:textId="77777777" w:rsidR="00C771E9" w:rsidRPr="00124791" w:rsidRDefault="00C771E9" w:rsidP="00C771E9">
      <w:pPr>
        <w:spacing w:after="120" w:line="360" w:lineRule="auto"/>
        <w:jc w:val="both"/>
        <w:rPr>
          <w:rFonts w:ascii="Times New Roman" w:hAnsi="Times New Roman" w:cs="Times New Roman"/>
        </w:rPr>
      </w:pPr>
    </w:p>
    <w:p w14:paraId="370D5B6D" w14:textId="77777777" w:rsidR="00C771E9" w:rsidRPr="00124791" w:rsidRDefault="00C771E9" w:rsidP="00C771E9">
      <w:pPr>
        <w:pStyle w:val="Heading2"/>
      </w:pPr>
      <w:r w:rsidRPr="00124791">
        <w:t>Revenue</w:t>
      </w:r>
    </w:p>
    <w:p w14:paraId="167948C8"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 xml:space="preserve">The primary revenue came from restoration activities. Given the diversity of biomes occurring within the territory of the Legal Amazon, we took an average of the estimated returns from different sources based on Planaveg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{"citationID":"fV63Gzl5","properties":{"formattedCitation":"(Minist\\uc0\\u233{}rio do Meio Ambiente et al., 2017)","plainCitation":"(Ministério do Meio Ambiente et al., 2017)","noteIndex":0},"citationItems":[{"id":5,"uris":["http://zotero.org/users/146728/items/YFN9V46P"],"itemData":{"id":5,"type":"book","edition":"1","event-place":"Brasilia, DF, Brasil","ISBN":"978-85-7738-336-8","number-of-pages":"73","publisher":"MMA","publisher-place":"Brasilia, DF, Brasil","title":"Planaveg: Plano Nacional de Recuperação da Vegetação Nativa","URL":"http://snif.florestal.gov.br/images/pdf/publicacoes/planaveg_publicacao.pdf","author":[{"literal":"Ministério do Meio Ambiente"},{"literal":"Ministério da Agricultura, Pecuária e Abastecimento"},{"literal":"Ministério da Educação"}],"accessed":{"date-parts":[["2017",9,13]]},"issued":{"date-parts":[["2017"]]}}}],"schema":"https://github.com/citation-style-language/schema/raw/master/csl-citation.json"}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(Ministério do Meio Ambiente et al., 2017)</w:t>
      </w:r>
      <w:r w:rsidRPr="00124791">
        <w:rPr>
          <w:rFonts w:ascii="Times New Roman" w:hAnsi="Times New Roman" w:cs="Times New Roman"/>
        </w:rPr>
        <w:fldChar w:fldCharType="end"/>
      </w:r>
      <w:r w:rsidRPr="00124791">
        <w:rPr>
          <w:rFonts w:ascii="Times New Roman" w:hAnsi="Times New Roman" w:cs="Times New Roman"/>
        </w:rPr>
        <w:t>. In some cases, the returns from restoration may take longer than the investments themselves. This study focuses on outcomes out to 2030, but restoration returns could come 7, 14, or even 30 years later. Given this time lag, revenues beyond the study horizon were brought to 2030 value using the NPV method described above. For the PES initiative, we considered a yearly payment of BRL 192.72 ha</w:t>
      </w:r>
      <w:r w:rsidRPr="00124791">
        <w:rPr>
          <w:rFonts w:ascii="Times New Roman" w:hAnsi="Times New Roman" w:cs="Times New Roman"/>
          <w:vertAlign w:val="superscript"/>
        </w:rPr>
        <w:t>-1</w:t>
      </w:r>
      <w:r w:rsidRPr="00124791">
        <w:rPr>
          <w:rFonts w:ascii="Times New Roman" w:hAnsi="Times New Roman" w:cs="Times New Roman"/>
        </w:rPr>
        <w:t xml:space="preserve">, obtained by dividing the total farmland lease value in the Amazon by the lease area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{"citationID":"kes1MN7c","properties":{"formattedCitation":"(IBGE, 2017)","plainCitation":"(IBGE, 2017)","noteIndex":0},"citationItems":[{"id":1214,"uris":["http://zotero.org/users/146728/items/6XWK44I9"],"itemData":{"id":1214,"type":"report","publisher":"IBGE","title":"Censo Agropecuário","URL":"https://sidra.ibge.gov.br/pesquisa/censo-agropecuario/censo-agropecuario-2017","author":[{"literal":"IBGE"}],"accessed":{"date-parts":[["2011",9,20]]},"issued":{"date-parts":[["2017"]]}}}],"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(IBGE, 2017)</w:t>
      </w:r>
      <w:r w:rsidRPr="00124791">
        <w:rPr>
          <w:rFonts w:ascii="Times New Roman" w:hAnsi="Times New Roman" w:cs="Times New Roman"/>
        </w:rPr>
        <w:fldChar w:fldCharType="end"/>
      </w:r>
      <w:r w:rsidRPr="00124791">
        <w:rPr>
          <w:rFonts w:ascii="Times New Roman" w:hAnsi="Times New Roman" w:cs="Times New Roman"/>
        </w:rPr>
        <w:t>.</w:t>
      </w:r>
    </w:p>
    <w:p w14:paraId="45E9CE83" w14:textId="77777777" w:rsidR="00C771E9" w:rsidRPr="00124791" w:rsidRDefault="00C771E9" w:rsidP="00C771E9">
      <w:pPr>
        <w:spacing w:after="120" w:line="360" w:lineRule="auto"/>
        <w:jc w:val="both"/>
        <w:rPr>
          <w:rFonts w:ascii="Times New Roman" w:eastAsia="Arial" w:hAnsi="Times New Roman" w:cs="Times New Roman"/>
          <w:b/>
          <w:bCs/>
        </w:rPr>
      </w:pPr>
      <w:r w:rsidRPr="00124791">
        <w:rPr>
          <w:rFonts w:ascii="Times New Roman" w:eastAsia="Arial" w:hAnsi="Times New Roman" w:cs="Times New Roman"/>
          <w:b/>
          <w:bCs/>
        </w:rPr>
        <w:br w:type="page"/>
      </w:r>
    </w:p>
    <w:p w14:paraId="35A457B9" w14:textId="77777777" w:rsidR="00C771E9" w:rsidRDefault="00C771E9" w:rsidP="00C771E9">
      <w:pPr>
        <w:pStyle w:val="Heading1"/>
        <w:ind w:left="432" w:hanging="432"/>
        <w:jc w:val="both"/>
        <w:rPr>
          <w:rFonts w:ascii="Times New Roman" w:eastAsia="Arial" w:hAnsi="Times New Roman" w:cs="Times New Roman"/>
          <w:caps/>
          <w:sz w:val="24"/>
          <w:szCs w:val="24"/>
        </w:rPr>
      </w:pPr>
      <w:r w:rsidRPr="00124791">
        <w:rPr>
          <w:rFonts w:ascii="Times New Roman" w:eastAsia="Arial" w:hAnsi="Times New Roman" w:cs="Times New Roman"/>
          <w:caps/>
          <w:sz w:val="24"/>
          <w:szCs w:val="24"/>
        </w:rPr>
        <w:lastRenderedPageBreak/>
        <w:t>Production intensification to meet future demand.</w:t>
      </w:r>
    </w:p>
    <w:p w14:paraId="7CC62FC4" w14:textId="77777777" w:rsidR="00C771E9" w:rsidRPr="00124791" w:rsidRDefault="00C771E9" w:rsidP="00C771E9"/>
    <w:p w14:paraId="5A23710E" w14:textId="77777777" w:rsidR="00C771E9" w:rsidRPr="00124791" w:rsidRDefault="00C771E9" w:rsidP="00C771E9">
      <w:pPr>
        <w:pStyle w:val="Heading2"/>
      </w:pPr>
      <w:r w:rsidRPr="00124791">
        <w:t>Data and projections</w:t>
      </w:r>
    </w:p>
    <w:p w14:paraId="1CB513DC"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 xml:space="preserve">This front comprises medium and large properties (over 4 MF in the rural environmental registry) located in the Legal Amazon. Meat production statistics for a 4 MF cut was not readily available, so we used the heads for slaughter from the Agricultural Census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{"citationID":"6O5h30B3","properties":{"formattedCitation":"(IBGE, 2017)","plainCitation":"(IBGE, 2017)","noteIndex":0},"citationItems":[{"id":1214,"uris":["http://zotero.org/users/146728/items/6XWK44I9"],"itemData":{"id":1214,"type":"report","publisher":"IBGE","title":"Censo Agropecuário","URL":"https://sidra.ibge.gov.br/pesquisa/censo-agropecuario/censo-agropecuario-2017","author":[{"literal":"IBGE"}],"accessed":{"date-parts":[["2011",9,20]]},"issued":{"date-parts":[["2017"]]}}}],"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(IBGE, 2017)</w:t>
      </w:r>
      <w:r w:rsidRPr="00124791">
        <w:rPr>
          <w:rFonts w:ascii="Times New Roman" w:hAnsi="Times New Roman" w:cs="Times New Roman"/>
        </w:rPr>
        <w:fldChar w:fldCharType="end"/>
      </w:r>
      <w:r w:rsidRPr="00124791">
        <w:rPr>
          <w:rFonts w:ascii="Times New Roman" w:hAnsi="Times New Roman" w:cs="Times New Roman"/>
        </w:rPr>
        <w:t xml:space="preserve">. To translate from the Census grouping to MF units we assumed values were equally distributed inside each area group. The result was the number of heads for slaughter in properties over 4 MF by municipality, which then was filtered for the Legal Amazon. We then multiplied it, 5 million heads, by 276 Kg, the average weight of the carcasses in the Legal Amazon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{"citationID":"TCgsu2bb","properties":{"formattedCitation":"(IBGE, 2019)","plainCitation":"(IBGE, 2019)","noteIndex":0},"citationItems":[{"id":1139,"uris":["http://zotero.org/users/146728/items/RI2C8TT3"],"itemData":{"id":1139,"type":"report","number":"Tabela 1092","publisher":"IBGE","title":"Pesquisa Trimestral do Abate de Animais - Tabela 1092 - Número de informantes, Quantidade e Peso total das carcaças dos bovinos abatidos, no mês e no trimestre, por tipo de rebanho e tipo de inspeção","URL":"http://www.sidra.ibge.gov.br/bda/tabela/listabl.asp?z=t&amp;o=1&amp;i=P&amp;c=1092","author":[{"literal":"IBGE"}],"accessed":{"date-parts":[["2012",4,16]]},"issued":{"date-parts":[["2019"]]}}}],"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(IBGE, 2019)</w:t>
      </w:r>
      <w:r w:rsidRPr="00124791">
        <w:rPr>
          <w:rFonts w:ascii="Times New Roman" w:hAnsi="Times New Roman" w:cs="Times New Roman"/>
        </w:rPr>
        <w:fldChar w:fldCharType="end"/>
      </w:r>
      <w:r w:rsidRPr="00124791">
        <w:rPr>
          <w:rFonts w:ascii="Times New Roman" w:hAnsi="Times New Roman" w:cs="Times New Roman"/>
        </w:rPr>
        <w:t>, resulting in a total of 1.4 million tons of meat.</w:t>
      </w:r>
    </w:p>
    <w:p w14:paraId="69C7965E" w14:textId="77777777" w:rsidR="00C771E9"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 xml:space="preserve">Beef production is estimated to increase 1.7% per year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{"citationID":"wwEEoY9A","properties":{"formattedCitation":"(Brasil and Secretaria de Pol\\uc0\\u237{}tica Agr\\uc0\\u237{}cola, 2020)","plainCitation":"(Brasil and Secretaria de Política Agrícola, 2020)","noteIndex":0},"citationItems":[{"id":1016,"uris":["http://zotero.org/users/146728/items/7MVQ6RVX"],"itemData":{"id":1016,"type":"report","event-place":"Brasilia, DF, Brasil","page":"104","publisher":"MAPA","publisher-place":"Brasilia, DF, Brasil","title":"Projeções do Agronegócio. Brasil 2019/20 a 2029/30. Projeções de Longo Prazo","URL":"https://www.gov.br/agricultura/pt-br/assuntos/politica-agricola/todas-publicacoes-de-politica-agricola/projecoes-do-agronegocio/projecoes-do-agronegocio_2019_20-a-2029_30.pdf/view","author":[{"literal":"Brasil"},{"literal":"Secretaria de Política Agrícola"}],"accessed":{"date-parts":[["2021",6,16]]},"issued":{"date-parts":[["2020",8]]}}}],"schema":"https://github.com/citation-style-language/schema/raw/master/csl-citation.json"}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(Brasil and Secretaria de Política Agrícola, 2020)</w:t>
      </w:r>
      <w:r w:rsidRPr="00124791">
        <w:rPr>
          <w:rFonts w:ascii="Times New Roman" w:hAnsi="Times New Roman" w:cs="Times New Roman"/>
        </w:rPr>
        <w:fldChar w:fldCharType="end"/>
      </w:r>
      <w:r w:rsidRPr="00124791">
        <w:rPr>
          <w:rFonts w:ascii="Times New Roman" w:hAnsi="Times New Roman" w:cs="Times New Roman"/>
        </w:rPr>
        <w:t xml:space="preserve">. Pastureland in areas above 4 MF was estimated to occupy 34 Mha in 2018, using data from MapBiomas collection 5 and clipping for areas above 4 MF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{"citationID":"hv9TfMrp","properties":{"formattedCitation":"(MapBiomas, 2020)","plainCitation":"(MapBiomas, 2020)","noteIndex":0},"citationItems":[{"id":1014,"uris":["http://zotero.org/users/146728/items/JMHTMUWQ"],"itemData":{"id":1014,"type":"report","abstract":"MapBiomas Project - is a multi-institutional initiative to generate annual land cover and use maps using automatic classification processes applied to satellite images. The complete description of the project can be found at http://mapbiomas.org.","event-place":"Brazil","publisher":"SEEG","publisher-place":"Brazil","title":"Collection 5 of Brazilian Land Cover &amp; Use Map Series.","URL":"www.mapbiomas.org","author":[{"literal":"MapBiomas"}],"accessed":{"date-parts":[["2020",9,13]]},"issued":{"date-parts":[["2020"]]}}}],"schema":"https://github.com/citation-style-language/schema/raw/master/csl-citation.json"}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(MapBiomas, 2020)</w:t>
      </w:r>
      <w:r w:rsidRPr="00124791">
        <w:rPr>
          <w:rFonts w:ascii="Times New Roman" w:hAnsi="Times New Roman" w:cs="Times New Roman"/>
        </w:rPr>
        <w:fldChar w:fldCharType="end"/>
      </w:r>
      <w:r w:rsidRPr="00124791">
        <w:rPr>
          <w:rFonts w:ascii="Times New Roman" w:hAnsi="Times New Roman" w:cs="Times New Roman"/>
        </w:rPr>
        <w:t xml:space="preserve">. For soy, the production is estimated to increase by 2.9% yearly and the area by 2.3%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{"citationID":"qCWvHmRD","properties":{"formattedCitation":"(Brasil and Secretaria de Pol\\uc0\\u237{}tica Agr\\uc0\\u237{}cola, 2020)","plainCitation":"(Brasil and Secretaria de Política Agrícola, 2020)","noteIndex":0},"citationItems":[{"id":1016,"uris":["http://zotero.org/users/146728/items/7MVQ6RVX"],"itemData":{"id":1016,"type":"report","event-place":"Brasilia, DF, Brasil","page":"104","publisher":"MAPA","publisher-place":"Brasilia, DF, Brasil","title":"Projeções do Agronegócio. Brasil 2019/20 a 2029/30. Projeções de Longo Prazo","URL":"https://www.gov.br/agricultura/pt-br/assuntos/politica-agricola/todas-publicacoes-de-politica-agricola/projecoes-do-agronegocio/projecoes-do-agronegocio_2019_20-a-2029_30.pdf/view","author":[{"literal":"Brasil"},{"literal":"Secretaria de Política Agrícola"}],"accessed":{"date-parts":[["2021",6,16]]},"issued":{"date-parts":[["2020",8]]}}}],"schema":"https://github.com/citation-style-language/schema/raw/master/csl-citation.json"}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(Brasil and Secretaria de Política Agrícola, 2020)</w:t>
      </w:r>
      <w:r w:rsidRPr="00124791">
        <w:rPr>
          <w:rFonts w:ascii="Times New Roman" w:hAnsi="Times New Roman" w:cs="Times New Roman"/>
        </w:rPr>
        <w:fldChar w:fldCharType="end"/>
      </w:r>
      <w:r w:rsidRPr="00124791">
        <w:rPr>
          <w:rFonts w:ascii="Times New Roman" w:hAnsi="Times New Roman" w:cs="Times New Roman"/>
        </w:rPr>
        <w:t xml:space="preserve">. In 2018, soy production was estimated at 39.5 million tons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{"citationID":"ne8n3uNS","properties":{"formattedCitation":"(IBGE, 2022b)","plainCitation":"(IBGE, 2022b)","noteIndex":0},"citationItems":[{"id":1237,"uris":["http://zotero.org/users/146728/items/84PIKW72"],"itemData":{"id":1237,"type":"report","number":"Tabela 1612","publisher":"IBGE","title":"Produção Agrícola Municipal - Tabela 1612 - Área plantada, área colhida, quantidade produzida e valor da produção da lavoura temporária","URL":"https://sidra.ibge.gov.br/Tabela/1612","author":[{"literal":"IBGE"}],"issued":{"date-parts":[["2022"]]}}}],"schema":"https://github.com/citation-style-language/schema/raw/master/csl-citation.json"}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(IBGE, 2022b)</w:t>
      </w:r>
      <w:r w:rsidRPr="00124791">
        <w:rPr>
          <w:rFonts w:ascii="Times New Roman" w:hAnsi="Times New Roman" w:cs="Times New Roman"/>
        </w:rPr>
        <w:fldChar w:fldCharType="end"/>
      </w:r>
      <w:r w:rsidRPr="00124791">
        <w:rPr>
          <w:rFonts w:ascii="Times New Roman" w:hAnsi="Times New Roman" w:cs="Times New Roman"/>
        </w:rPr>
        <w:t xml:space="preserve">, occupying an area of 12 Mha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{"citationID":"bTCYoyDR","properties":{"formattedCitation":"(MapBiomas, 2020)","plainCitation":"(MapBiomas, 2020)","noteIndex":0},"citationItems":[{"id":1014,"uris":["http://zotero.org/users/146728/items/JMHTMUWQ"],"itemData":{"id":1014,"type":"report","abstract":"MapBiomas Project - is a multi-institutional initiative to generate annual land cover and use maps using automatic classification processes applied to satellite images. The complete description of the project can be found at http://mapbiomas.org.","event-place":"Brazil","publisher":"SEEG","publisher-place":"Brazil","title":"Collection 5 of Brazilian Land Cover &amp; Use Map Series.","URL":"www.mapbiomas.org","author":[{"literal":"MapBiomas"}],"accessed":{"date-parts":[["2020",9,13]]},"issued":{"date-parts":[["2020"]]}}}],"schema":"https://github.com/citation-style-language/schema/raw/master/csl-citation.json"}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(MapBiomas, 2020)</w:t>
      </w:r>
      <w:r w:rsidRPr="00124791">
        <w:rPr>
          <w:rFonts w:ascii="Times New Roman" w:hAnsi="Times New Roman" w:cs="Times New Roman"/>
        </w:rPr>
        <w:fldChar w:fldCharType="end"/>
      </w:r>
      <w:r w:rsidRPr="00124791">
        <w:rPr>
          <w:rFonts w:ascii="Times New Roman" w:hAnsi="Times New Roman" w:cs="Times New Roman"/>
        </w:rPr>
        <w:t>. We assumed soy properties smaller than 4 MF to be negligible in the Brazilian Amazon.</w:t>
      </w:r>
    </w:p>
    <w:p w14:paraId="28E07DE0" w14:textId="77777777" w:rsidR="00C771E9" w:rsidRPr="00124791" w:rsidRDefault="00C771E9" w:rsidP="00C771E9">
      <w:pPr>
        <w:spacing w:after="120" w:line="360" w:lineRule="auto"/>
        <w:jc w:val="both"/>
        <w:rPr>
          <w:rFonts w:ascii="Times New Roman" w:hAnsi="Times New Roman" w:cs="Times New Roman"/>
        </w:rPr>
      </w:pPr>
    </w:p>
    <w:p w14:paraId="4749B92A" w14:textId="77777777" w:rsidR="00C771E9" w:rsidRPr="00124791" w:rsidRDefault="00C771E9" w:rsidP="00C771E9">
      <w:pPr>
        <w:pStyle w:val="Heading2"/>
        <w:ind w:left="851"/>
      </w:pPr>
      <w:r w:rsidRPr="00124791">
        <w:t>Existing and new costs</w:t>
      </w:r>
    </w:p>
    <w:p w14:paraId="72516256"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 xml:space="preserve">For the calculation of expenses, different levels of pasture productivity were considered. The increase in productivity was assumed to increase profitability, reducing relative costs. The baseline productivity increase was calculated based on the meat demand and the expected pastureland, the product of the linear trend from 2008 to 2018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{"citationID":"aQFAorj0","properties":{"formattedCitation":"(MapBiomas, 2020)","plainCitation":"(MapBiomas, 2020)","noteIndex":0},"citationItems":[{"id":1014,"uris":["http://zotero.org/users/146728/items/JMHTMUWQ"],"itemData":{"id":1014,"type":"report","abstract":"MapBiomas Project - is a multi-institutional initiative to generate annual land cover and use maps using automatic classification processes applied to satellite images. The complete description of the project can be found at http://mapbiomas.org.","event-place":"Brazil","publisher":"SEEG","publisher-place":"Brazil","title":"Collection 5 of Brazilian Land Cover &amp; Use Map Series.","URL":"www.mapbiomas.org","author":[{"literal":"MapBiomas"}],"accessed":{"date-parts":[["2020",9,13]]},"issued":{"date-parts":[["2020"]]}}}],"schema":"https://github.com/citation-style-language/schema/raw/master/csl-citation.json"}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(MapBiomas, 2020)</w:t>
      </w:r>
      <w:r w:rsidRPr="00124791">
        <w:rPr>
          <w:rFonts w:ascii="Times New Roman" w:hAnsi="Times New Roman" w:cs="Times New Roman"/>
        </w:rPr>
        <w:fldChar w:fldCharType="end"/>
      </w:r>
      <w:r w:rsidRPr="00124791">
        <w:rPr>
          <w:rFonts w:ascii="Times New Roman" w:hAnsi="Times New Roman" w:cs="Times New Roman"/>
        </w:rPr>
        <w:t>. The result is an increase from 41 Kg × ha</w:t>
      </w:r>
      <w:r w:rsidRPr="00124791">
        <w:rPr>
          <w:rFonts w:ascii="Times New Roman" w:hAnsi="Times New Roman" w:cs="Times New Roman"/>
          <w:vertAlign w:val="superscript"/>
        </w:rPr>
        <w:t>-1</w:t>
      </w:r>
      <w:r w:rsidRPr="00124791">
        <w:rPr>
          <w:rFonts w:ascii="Times New Roman" w:hAnsi="Times New Roman" w:cs="Times New Roman"/>
        </w:rPr>
        <w:t xml:space="preserve"> in 2018 to 46 Kg × ha</w:t>
      </w:r>
      <w:r w:rsidRPr="00124791">
        <w:rPr>
          <w:rFonts w:ascii="Times New Roman" w:hAnsi="Times New Roman" w:cs="Times New Roman"/>
          <w:vertAlign w:val="superscript"/>
        </w:rPr>
        <w:t>-1</w:t>
      </w:r>
      <w:r w:rsidRPr="00124791">
        <w:rPr>
          <w:rFonts w:ascii="Times New Roman" w:hAnsi="Times New Roman" w:cs="Times New Roman"/>
        </w:rPr>
        <w:t xml:space="preserve"> in 2030. The yearly expenses were assumed to vary accordingly to the productivity, and so at any point, the total cost was calculated using a linear trend based on the two levels described below:</w:t>
      </w:r>
    </w:p>
    <w:p w14:paraId="37367487" w14:textId="77777777" w:rsidR="00C771E9" w:rsidRPr="00124791" w:rsidRDefault="00C771E9" w:rsidP="00C771E9">
      <w:pPr>
        <w:keepNext/>
        <w:pBdr>
          <w:top w:val="nil"/>
          <w:left w:val="nil"/>
          <w:bottom w:val="nil"/>
          <w:right w:val="nil"/>
          <w:between w:val="nil"/>
        </w:pBdr>
        <w:spacing w:after="120" w:line="360" w:lineRule="auto"/>
        <w:ind w:firstLine="720"/>
        <w:jc w:val="both"/>
        <w:rPr>
          <w:rFonts w:ascii="Times New Roman" w:hAnsi="Times New Roman" w:cs="Times New Roman"/>
          <w:color w:val="000000"/>
        </w:rPr>
      </w:pPr>
      <w:r w:rsidRPr="00124791">
        <w:rPr>
          <w:rFonts w:ascii="Times New Roman" w:hAnsi="Times New Roman" w:cs="Times New Roman"/>
          <w:color w:val="000000"/>
        </w:rPr>
        <w:t xml:space="preserve">Table 1: </w:t>
      </w:r>
      <w:r w:rsidRPr="00124791">
        <w:rPr>
          <w:rFonts w:ascii="Times New Roman" w:hAnsi="Times New Roman" w:cs="Times New Roman"/>
        </w:rPr>
        <w:t xml:space="preserve">Productivity and associated costs (adapted from Rode et al.,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{"citationID":"RReioOBj","properties":{"formattedCitation":"(2019)","plainCitation":"(2019)","noteIndex":0},"citationItems":[{"id":1136,"uris":["http://zotero.org/users/146728/items/ZPUJ4UG8"],"itemData":{"id":1136,"type":"article-journal","abstract":"There is a momentum towards finding financing solutions for halting deforestation at the landscape level for the benefit of climate, biodiversity and delivery of ecosystem services. The Unlocking Forest Finance (UFF) project has, between 2013 and 2018, worked on the development of innovative financing mechanisms for sustainable landscapes in three sub-national Amazon regions of Brazil (Acre and Mato Grosso) and Peru (San Martín). This paper describes the approach of the UFF project as a case study of sustainable landscape financing, and portrays the key evolutions during the process. Relying on a reflection and consultation process among project partners, the paper then derives a set of lessons for sustainable landscape finance. It illustrates the current mismatch between the demand side of private ‘impact’ investors (i.e., those who look for social and environmental impact of investments beyond financial return) and the supply side of sustainable land use investments on the ground. The paper discusses how ‘blended finance’ models that combine funding from commercial, public, and philanthropic sources could contribute to financing sustainable landscapes.","container-title":"Ecosystem Services","DOI":"10.1016/j.ecoser.2019.100917","ISSN":"2212-0416","journalAbbreviation":"Ecosystem Services","license":"All rights reserved","page":"100917","title":"Why ‘blended finance’ could help transitions to sustainable landscapes: Lessons from the Unlocking Forest Finance project","volume":"37","author":[{"family":"Rode","given":"Julian"},{"family":"Pinzon","given":"Alexandra"},{"family":"Stabile","given":"Marcelo C.C."},{"family":"Pirker","given":"Johannes"},{"family":"Bauch","given":"Simone"},{"family":"Iribarrem","given":"Alvaro"},{"family":"Sammon","given":"Paul"},{"family":"Llerena","given":"Carlos A."},{"family":"Muniz Alves","given":"Lincoln"},{"family":"Orihuela","given":"Carlos E."},{"family":"Wittmer","given":"Heidi"}],"issued":{"date-parts":[["2019",6,1]]}},"label":"page","suppress-author":true}],"schema":"https://github.com/citation-style-language/schema/raw/master/csl-citation.json"}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(2019)</w:t>
      </w:r>
      <w:r w:rsidRPr="00124791">
        <w:rPr>
          <w:rFonts w:ascii="Times New Roman" w:hAnsi="Times New Roman" w:cs="Times New Roman"/>
        </w:rPr>
        <w:fldChar w:fldCharType="end"/>
      </w:r>
      <w:r w:rsidRPr="00124791">
        <w:rPr>
          <w:rFonts w:ascii="Times New Roman" w:hAnsi="Times New Roman" w:cs="Times New Roman"/>
        </w:rPr>
        <w:t>)</w:t>
      </w:r>
    </w:p>
    <w:tbl>
      <w:tblPr>
        <w:tblW w:w="8644"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4395"/>
        <w:gridCol w:w="1895"/>
        <w:gridCol w:w="2354"/>
      </w:tblGrid>
      <w:tr w:rsidR="00C771E9" w:rsidRPr="00124791" w14:paraId="22C579EF" w14:textId="77777777" w:rsidTr="007A7444">
        <w:tc>
          <w:tcPr>
            <w:tcW w:w="4395" w:type="dxa"/>
            <w:tcBorders>
              <w:top w:val="single" w:sz="4" w:space="0" w:color="000000"/>
              <w:bottom w:val="single" w:sz="4" w:space="0" w:color="000000"/>
            </w:tcBorders>
          </w:tcPr>
          <w:p w14:paraId="3F213F7A" w14:textId="77777777" w:rsidR="00C771E9" w:rsidRPr="00124791" w:rsidRDefault="00C771E9" w:rsidP="007A7444">
            <w:pPr>
              <w:ind w:firstLine="720"/>
              <w:jc w:val="both"/>
              <w:rPr>
                <w:rFonts w:ascii="Times New Roman" w:hAnsi="Times New Roman" w:cs="Times New Roman"/>
              </w:rPr>
            </w:pPr>
          </w:p>
        </w:tc>
        <w:tc>
          <w:tcPr>
            <w:tcW w:w="1895" w:type="dxa"/>
            <w:tcBorders>
              <w:top w:val="single" w:sz="4" w:space="0" w:color="000000"/>
              <w:bottom w:val="single" w:sz="4" w:space="0" w:color="000000"/>
            </w:tcBorders>
          </w:tcPr>
          <w:p w14:paraId="798CFC64" w14:textId="77777777" w:rsidR="00C771E9" w:rsidRPr="00124791" w:rsidRDefault="00C771E9" w:rsidP="007A7444">
            <w:pPr>
              <w:ind w:firstLine="720"/>
              <w:jc w:val="both"/>
              <w:rPr>
                <w:rFonts w:ascii="Times New Roman" w:hAnsi="Times New Roman" w:cs="Times New Roman"/>
              </w:rPr>
            </w:pPr>
            <w:r w:rsidRPr="00124791">
              <w:rPr>
                <w:rFonts w:ascii="Times New Roman" w:hAnsi="Times New Roman" w:cs="Times New Roman"/>
              </w:rPr>
              <w:t>Level 1</w:t>
            </w:r>
          </w:p>
        </w:tc>
        <w:tc>
          <w:tcPr>
            <w:tcW w:w="2354" w:type="dxa"/>
            <w:tcBorders>
              <w:top w:val="single" w:sz="4" w:space="0" w:color="000000"/>
              <w:bottom w:val="single" w:sz="4" w:space="0" w:color="000000"/>
            </w:tcBorders>
          </w:tcPr>
          <w:p w14:paraId="30BB76B3" w14:textId="77777777" w:rsidR="00C771E9" w:rsidRPr="00124791" w:rsidRDefault="00C771E9" w:rsidP="007A7444">
            <w:pPr>
              <w:ind w:firstLine="720"/>
              <w:jc w:val="both"/>
              <w:rPr>
                <w:rFonts w:ascii="Times New Roman" w:hAnsi="Times New Roman" w:cs="Times New Roman"/>
              </w:rPr>
            </w:pPr>
            <w:r w:rsidRPr="00124791">
              <w:rPr>
                <w:rFonts w:ascii="Times New Roman" w:hAnsi="Times New Roman" w:cs="Times New Roman"/>
              </w:rPr>
              <w:t>Level 2</w:t>
            </w:r>
          </w:p>
        </w:tc>
      </w:tr>
      <w:tr w:rsidR="00C771E9" w:rsidRPr="00124791" w14:paraId="3F3BDE8C" w14:textId="77777777" w:rsidTr="007A7444">
        <w:tc>
          <w:tcPr>
            <w:tcW w:w="4395" w:type="dxa"/>
            <w:tcBorders>
              <w:top w:val="single" w:sz="4" w:space="0" w:color="000000"/>
              <w:bottom w:val="nil"/>
            </w:tcBorders>
          </w:tcPr>
          <w:p w14:paraId="0CE3958D" w14:textId="77777777" w:rsidR="00C771E9" w:rsidRPr="00124791" w:rsidRDefault="00C771E9" w:rsidP="007A7444">
            <w:pPr>
              <w:ind w:firstLine="720"/>
              <w:jc w:val="both"/>
              <w:rPr>
                <w:rFonts w:ascii="Times New Roman" w:hAnsi="Times New Roman" w:cs="Times New Roman"/>
              </w:rPr>
            </w:pPr>
            <w:r w:rsidRPr="00124791">
              <w:rPr>
                <w:rFonts w:ascii="Times New Roman" w:hAnsi="Times New Roman" w:cs="Times New Roman"/>
              </w:rPr>
              <w:t>Productivity (Kg×ha</w:t>
            </w:r>
            <w:r w:rsidRPr="00124791">
              <w:rPr>
                <w:rFonts w:ascii="Times New Roman" w:hAnsi="Times New Roman" w:cs="Times New Roman"/>
                <w:vertAlign w:val="superscript"/>
              </w:rPr>
              <w:t>-1</w:t>
            </w:r>
            <w:r w:rsidRPr="00124791">
              <w:rPr>
                <w:rFonts w:ascii="Times New Roman" w:hAnsi="Times New Roman" w:cs="Times New Roman"/>
              </w:rPr>
              <w:t>×year</w:t>
            </w:r>
            <w:r w:rsidRPr="00124791">
              <w:rPr>
                <w:rFonts w:ascii="Times New Roman" w:hAnsi="Times New Roman" w:cs="Times New Roman"/>
                <w:vertAlign w:val="superscript"/>
              </w:rPr>
              <w:t>-1</w:t>
            </w:r>
            <w:r w:rsidRPr="00124791">
              <w:rPr>
                <w:rFonts w:ascii="Times New Roman" w:hAnsi="Times New Roman" w:cs="Times New Roman"/>
              </w:rPr>
              <w:t>)</w:t>
            </w:r>
          </w:p>
        </w:tc>
        <w:tc>
          <w:tcPr>
            <w:tcW w:w="1895" w:type="dxa"/>
            <w:tcBorders>
              <w:top w:val="single" w:sz="4" w:space="0" w:color="000000"/>
              <w:bottom w:val="nil"/>
            </w:tcBorders>
          </w:tcPr>
          <w:p w14:paraId="11ECFFE4" w14:textId="77777777" w:rsidR="00C771E9" w:rsidRPr="00124791" w:rsidRDefault="00C771E9" w:rsidP="007A7444">
            <w:pPr>
              <w:ind w:firstLine="720"/>
              <w:jc w:val="both"/>
              <w:rPr>
                <w:rFonts w:ascii="Times New Roman" w:hAnsi="Times New Roman" w:cs="Times New Roman"/>
              </w:rPr>
            </w:pPr>
            <w:r w:rsidRPr="00124791">
              <w:rPr>
                <w:rFonts w:ascii="Times New Roman" w:hAnsi="Times New Roman" w:cs="Times New Roman"/>
              </w:rPr>
              <w:t>61.5</w:t>
            </w:r>
          </w:p>
        </w:tc>
        <w:tc>
          <w:tcPr>
            <w:tcW w:w="2354" w:type="dxa"/>
            <w:tcBorders>
              <w:top w:val="single" w:sz="4" w:space="0" w:color="000000"/>
              <w:bottom w:val="nil"/>
            </w:tcBorders>
          </w:tcPr>
          <w:p w14:paraId="4C21941C" w14:textId="77777777" w:rsidR="00C771E9" w:rsidRPr="00124791" w:rsidRDefault="00C771E9" w:rsidP="007A7444">
            <w:pPr>
              <w:ind w:firstLine="720"/>
              <w:jc w:val="both"/>
              <w:rPr>
                <w:rFonts w:ascii="Times New Roman" w:hAnsi="Times New Roman" w:cs="Times New Roman"/>
              </w:rPr>
            </w:pPr>
            <w:r w:rsidRPr="00124791">
              <w:rPr>
                <w:rFonts w:ascii="Times New Roman" w:hAnsi="Times New Roman" w:cs="Times New Roman"/>
              </w:rPr>
              <w:t>145.7</w:t>
            </w:r>
          </w:p>
        </w:tc>
      </w:tr>
      <w:tr w:rsidR="00C771E9" w:rsidRPr="00124791" w14:paraId="20A06BAE" w14:textId="77777777" w:rsidTr="007A7444">
        <w:tc>
          <w:tcPr>
            <w:tcW w:w="4395" w:type="dxa"/>
            <w:tcBorders>
              <w:top w:val="nil"/>
              <w:bottom w:val="nil"/>
            </w:tcBorders>
          </w:tcPr>
          <w:p w14:paraId="76D57BAB" w14:textId="77777777" w:rsidR="00C771E9" w:rsidRPr="00124791" w:rsidRDefault="00C771E9" w:rsidP="007A7444">
            <w:pPr>
              <w:ind w:firstLine="720"/>
              <w:jc w:val="both"/>
              <w:rPr>
                <w:rFonts w:ascii="Times New Roman" w:hAnsi="Times New Roman" w:cs="Times New Roman"/>
              </w:rPr>
            </w:pPr>
            <w:r w:rsidRPr="00124791">
              <w:rPr>
                <w:rFonts w:ascii="Times New Roman" w:hAnsi="Times New Roman" w:cs="Times New Roman"/>
              </w:rPr>
              <w:lastRenderedPageBreak/>
              <w:t>Total cost (Kg</w:t>
            </w:r>
            <w:r w:rsidRPr="00124791">
              <w:rPr>
                <w:rFonts w:ascii="Times New Roman" w:hAnsi="Times New Roman" w:cs="Times New Roman"/>
                <w:vertAlign w:val="superscript"/>
              </w:rPr>
              <w:t>-1</w:t>
            </w:r>
            <w:r w:rsidRPr="00124791">
              <w:rPr>
                <w:rFonts w:ascii="Times New Roman" w:hAnsi="Times New Roman" w:cs="Times New Roman"/>
              </w:rPr>
              <w:t>, in 2019 prices)</w:t>
            </w:r>
            <w:r w:rsidRPr="00124791">
              <w:rPr>
                <w:rFonts w:ascii="Times New Roman" w:hAnsi="Times New Roman" w:cs="Times New Roman"/>
                <w:vertAlign w:val="superscript"/>
              </w:rPr>
              <w:t>*</w:t>
            </w:r>
          </w:p>
        </w:tc>
        <w:tc>
          <w:tcPr>
            <w:tcW w:w="1895" w:type="dxa"/>
            <w:tcBorders>
              <w:top w:val="nil"/>
              <w:bottom w:val="nil"/>
            </w:tcBorders>
          </w:tcPr>
          <w:p w14:paraId="76F65504" w14:textId="77777777" w:rsidR="00C771E9" w:rsidRPr="00124791" w:rsidRDefault="00C771E9" w:rsidP="007A7444">
            <w:pPr>
              <w:ind w:firstLine="720"/>
              <w:jc w:val="both"/>
              <w:rPr>
                <w:rFonts w:ascii="Times New Roman" w:hAnsi="Times New Roman" w:cs="Times New Roman"/>
              </w:rPr>
            </w:pPr>
            <w:r w:rsidRPr="00124791">
              <w:rPr>
                <w:rFonts w:ascii="Times New Roman" w:hAnsi="Times New Roman" w:cs="Times New Roman"/>
              </w:rPr>
              <w:t>BRL 10.90</w:t>
            </w:r>
          </w:p>
        </w:tc>
        <w:tc>
          <w:tcPr>
            <w:tcW w:w="2354" w:type="dxa"/>
            <w:tcBorders>
              <w:top w:val="nil"/>
              <w:bottom w:val="nil"/>
            </w:tcBorders>
          </w:tcPr>
          <w:p w14:paraId="63286B12" w14:textId="77777777" w:rsidR="00C771E9" w:rsidRPr="00124791" w:rsidRDefault="00C771E9" w:rsidP="007A7444">
            <w:pPr>
              <w:ind w:firstLine="720"/>
              <w:jc w:val="both"/>
              <w:rPr>
                <w:rFonts w:ascii="Times New Roman" w:hAnsi="Times New Roman" w:cs="Times New Roman"/>
              </w:rPr>
            </w:pPr>
            <w:r w:rsidRPr="00124791">
              <w:rPr>
                <w:rFonts w:ascii="Times New Roman" w:hAnsi="Times New Roman" w:cs="Times New Roman"/>
              </w:rPr>
              <w:t>BRL 9.50</w:t>
            </w:r>
          </w:p>
        </w:tc>
      </w:tr>
      <w:tr w:rsidR="00C771E9" w:rsidRPr="00124791" w14:paraId="1DA35D5E" w14:textId="77777777" w:rsidTr="007A7444">
        <w:tc>
          <w:tcPr>
            <w:tcW w:w="4395" w:type="dxa"/>
            <w:tcBorders>
              <w:top w:val="nil"/>
              <w:bottom w:val="single" w:sz="4" w:space="0" w:color="000000"/>
            </w:tcBorders>
          </w:tcPr>
          <w:p w14:paraId="454FB965" w14:textId="77777777" w:rsidR="00C771E9" w:rsidRPr="00124791" w:rsidRDefault="00C771E9" w:rsidP="007A7444">
            <w:pPr>
              <w:ind w:firstLine="720"/>
              <w:jc w:val="both"/>
              <w:rPr>
                <w:rFonts w:ascii="Times New Roman" w:hAnsi="Times New Roman" w:cs="Times New Roman"/>
              </w:rPr>
            </w:pPr>
            <w:r w:rsidRPr="00124791">
              <w:rPr>
                <w:rFonts w:ascii="Times New Roman" w:hAnsi="Times New Roman" w:cs="Times New Roman"/>
              </w:rPr>
              <w:t>Intensification cost (ha-1 in 2019 prices)</w:t>
            </w:r>
            <w:r w:rsidRPr="00124791">
              <w:rPr>
                <w:rFonts w:ascii="Times New Roman" w:hAnsi="Times New Roman" w:cs="Times New Roman"/>
                <w:vertAlign w:val="superscript"/>
              </w:rPr>
              <w:t>*</w:t>
            </w:r>
          </w:p>
        </w:tc>
        <w:tc>
          <w:tcPr>
            <w:tcW w:w="1895" w:type="dxa"/>
            <w:tcBorders>
              <w:top w:val="nil"/>
              <w:bottom w:val="single" w:sz="4" w:space="0" w:color="000000"/>
            </w:tcBorders>
          </w:tcPr>
          <w:p w14:paraId="1E882099" w14:textId="77777777" w:rsidR="00C771E9" w:rsidRPr="00124791" w:rsidRDefault="00C771E9" w:rsidP="007A7444">
            <w:pPr>
              <w:ind w:firstLine="720"/>
              <w:jc w:val="both"/>
              <w:rPr>
                <w:rFonts w:ascii="Times New Roman" w:hAnsi="Times New Roman" w:cs="Times New Roman"/>
              </w:rPr>
            </w:pPr>
            <w:r w:rsidRPr="00124791">
              <w:rPr>
                <w:rFonts w:ascii="Times New Roman" w:hAnsi="Times New Roman" w:cs="Times New Roman"/>
              </w:rPr>
              <w:t>-</w:t>
            </w:r>
          </w:p>
        </w:tc>
        <w:tc>
          <w:tcPr>
            <w:tcW w:w="2354" w:type="dxa"/>
            <w:tcBorders>
              <w:top w:val="nil"/>
              <w:bottom w:val="single" w:sz="4" w:space="0" w:color="000000"/>
            </w:tcBorders>
          </w:tcPr>
          <w:p w14:paraId="67575D4E" w14:textId="77777777" w:rsidR="00C771E9" w:rsidRPr="00124791" w:rsidRDefault="00C771E9" w:rsidP="007A7444">
            <w:pPr>
              <w:ind w:firstLine="720"/>
              <w:jc w:val="both"/>
              <w:rPr>
                <w:rFonts w:ascii="Times New Roman" w:hAnsi="Times New Roman" w:cs="Times New Roman"/>
              </w:rPr>
            </w:pPr>
            <w:r w:rsidRPr="00124791">
              <w:rPr>
                <w:rFonts w:ascii="Times New Roman" w:hAnsi="Times New Roman" w:cs="Times New Roman"/>
              </w:rPr>
              <w:t>BRL 627.00</w:t>
            </w:r>
          </w:p>
        </w:tc>
      </w:tr>
      <w:tr w:rsidR="00C771E9" w:rsidRPr="00124791" w14:paraId="34745556" w14:textId="77777777" w:rsidTr="007A7444">
        <w:tc>
          <w:tcPr>
            <w:tcW w:w="8644" w:type="dxa"/>
            <w:gridSpan w:val="3"/>
            <w:tcBorders>
              <w:top w:val="single" w:sz="4" w:space="0" w:color="000000"/>
              <w:bottom w:val="nil"/>
            </w:tcBorders>
          </w:tcPr>
          <w:p w14:paraId="1F41A56F" w14:textId="77777777" w:rsidR="00C771E9" w:rsidRPr="00124791" w:rsidRDefault="00C771E9" w:rsidP="00C771E9">
            <w:pPr>
              <w:numPr>
                <w:ilvl w:val="0"/>
                <w:numId w:val="1"/>
              </w:numPr>
              <w:pBdr>
                <w:top w:val="nil"/>
                <w:left w:val="nil"/>
                <w:bottom w:val="nil"/>
                <w:right w:val="nil"/>
                <w:between w:val="nil"/>
              </w:pBdr>
              <w:ind w:left="0" w:firstLine="720"/>
              <w:jc w:val="both"/>
              <w:rPr>
                <w:rFonts w:ascii="Times New Roman" w:hAnsi="Times New Roman" w:cs="Times New Roman"/>
              </w:rPr>
            </w:pPr>
            <w:r w:rsidRPr="00124791">
              <w:rPr>
                <w:rFonts w:ascii="Times New Roman" w:hAnsi="Times New Roman" w:cs="Times New Roman"/>
                <w:color w:val="000000"/>
              </w:rPr>
              <w:t>Prices deflated using IPCA</w:t>
            </w:r>
          </w:p>
        </w:tc>
      </w:tr>
    </w:tbl>
    <w:p w14:paraId="6DFA9F0E" w14:textId="77777777" w:rsidR="00C771E9" w:rsidRPr="00124791" w:rsidRDefault="00C771E9" w:rsidP="00C771E9">
      <w:pPr>
        <w:spacing w:after="120" w:line="360" w:lineRule="auto"/>
        <w:ind w:firstLine="720"/>
        <w:jc w:val="both"/>
        <w:rPr>
          <w:rFonts w:ascii="Times New Roman" w:hAnsi="Times New Roman" w:cs="Times New Roman"/>
        </w:rPr>
      </w:pPr>
    </w:p>
    <w:p w14:paraId="42B4BB9F"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For land-use conversion costs and due to the Soy Moratorium, we assumed that pastureland expanded over forests costing BRL 1,614.00 ha</w:t>
      </w:r>
      <w:r w:rsidRPr="00124791">
        <w:rPr>
          <w:rFonts w:ascii="Times New Roman" w:hAnsi="Times New Roman" w:cs="Times New Roman"/>
          <w:vertAlign w:val="superscript"/>
        </w:rPr>
        <w:t>-1</w:t>
      </w:r>
      <w:r w:rsidRPr="00124791">
        <w:rPr>
          <w:rFonts w:ascii="Times New Roman" w:hAnsi="Times New Roman" w:cs="Times New Roman"/>
        </w:rPr>
        <w:t xml:space="preserve">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{"citationID":"3HcRC39p","properties":{"formattedCitation":"(Benini, and Adeodato., 2017)","plainCitation":"(Benini, and Adeodato., 2017)","noteIndex":0},"citationItems":[{"id":1152,"uris":["http://zotero.org/users/146728/items/IGWUEF4J"],"itemData":{"id":1152,"type":"book","event-place":"São Paulo, SP, Brasil","number-of-pages":"136","publisher":"The Nature Conservancy","publisher-place":"São Paulo, SP, Brasil","title":"Economia da restauração florestal / Forest restoration economy","URL":"lerf.eco.br/img/publicacoes/2017_TNC_Economia-da-restauracao-florestal-brasil.pdf","author":[{"family":"Benini,","given":"Rubens de Miranda"},{"family":"Adeodato.","given":"Sérgio"}],"issued":{"date-parts":[["2017"]]}}}],"schema":"https://github.com/citation-style-language/schema/raw/master/csl-citation.json"}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(Benini, and Adeodato., 2017)</w:t>
      </w:r>
      <w:r w:rsidRPr="00124791">
        <w:rPr>
          <w:rFonts w:ascii="Times New Roman" w:hAnsi="Times New Roman" w:cs="Times New Roman"/>
        </w:rPr>
        <w:fldChar w:fldCharType="end"/>
      </w:r>
      <w:r w:rsidRPr="00124791">
        <w:rPr>
          <w:rFonts w:ascii="Times New Roman" w:hAnsi="Times New Roman" w:cs="Times New Roman"/>
        </w:rPr>
        <w:t>, and soy crops expanded exclusively over pastureland BRL 1,499.00 ha</w:t>
      </w:r>
      <w:r w:rsidRPr="00124791">
        <w:rPr>
          <w:rFonts w:ascii="Times New Roman" w:hAnsi="Times New Roman" w:cs="Times New Roman"/>
          <w:vertAlign w:val="superscript"/>
        </w:rPr>
        <w:t>-1</w:t>
      </w:r>
      <w:r w:rsidRPr="00124791">
        <w:rPr>
          <w:rFonts w:ascii="Times New Roman" w:hAnsi="Times New Roman" w:cs="Times New Roman"/>
        </w:rPr>
        <w:t xml:space="preserve">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{"citationID":"Ejau2R3j","properties":{"formattedCitation":"(Banco da Amaz\\uc0\\u244{}nia, 2011)","plainCitation":"(Banco da Amazônia, 2011)","noteIndex":0},"citationItems":[{"id":3,"uris":["http://zotero.org/users/146728/items/JA84LT9M"],"itemData":{"id":3,"type":"document","title":"Quarterly Information Report on land conversion costs and productive indexes","author":[{"literal":"Banco da Amazônia"}],"issued":{"date-parts":[["2011"]]}}}],"schema":"https://github.com/citation-style-language/schema/raw/master/csl-citation.json"}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(Banco da Amazônia, 2011)</w:t>
      </w:r>
      <w:r w:rsidRPr="00124791">
        <w:rPr>
          <w:rFonts w:ascii="Times New Roman" w:hAnsi="Times New Roman" w:cs="Times New Roman"/>
        </w:rPr>
        <w:fldChar w:fldCharType="end"/>
      </w:r>
      <w:r w:rsidRPr="00124791">
        <w:rPr>
          <w:rFonts w:ascii="Times New Roman" w:hAnsi="Times New Roman" w:cs="Times New Roman"/>
        </w:rPr>
        <w:t>, both values deflated using IPCA.</w:t>
      </w:r>
    </w:p>
    <w:p w14:paraId="2A8E8D04" w14:textId="77777777" w:rsidR="00C771E9"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For the soy, annual operational costs were assumed to be BRL 3,969.97 ha</w:t>
      </w:r>
      <w:r w:rsidRPr="00124791">
        <w:rPr>
          <w:rFonts w:ascii="Times New Roman" w:hAnsi="Times New Roman" w:cs="Times New Roman"/>
          <w:vertAlign w:val="superscript"/>
        </w:rPr>
        <w:t>-1</w:t>
      </w:r>
      <w:r w:rsidRPr="00124791">
        <w:rPr>
          <w:rFonts w:ascii="Times New Roman" w:hAnsi="Times New Roman" w:cs="Times New Roman"/>
        </w:rPr>
        <w:t xml:space="preserve">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{"citationID":"wceIAp8g","properties":{"formattedCitation":"(IMEA, 2018)","plainCitation":"(IMEA, 2018)","noteIndex":0},"citationItems":[{"id":12,"uris":["http://zotero.org/users/146728/items/X5JW3WQE"],"itemData":{"id":12,"type":"webpage","container-title":"Monthly production costs of soy and cattle ranching: historical series from 2014 to 2018","title":"Monthly production costs of soy and cattle ranching: historical series from 2014 to 2018","URL":"http://www.imea.com.br/imea-site/relatorios-mercado-detalhe?c=4&amp;s=3","author":[{"literal":"IMEA"}],"accessed":{"date-parts":[["2017",10,11]]},"issued":{"date-parts":[["2018"]]}}}],"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(IMEA, 2018)</w:t>
      </w:r>
      <w:r w:rsidRPr="00124791">
        <w:rPr>
          <w:rFonts w:ascii="Times New Roman" w:hAnsi="Times New Roman" w:cs="Times New Roman"/>
        </w:rPr>
        <w:fldChar w:fldCharType="end"/>
      </w:r>
      <w:r w:rsidRPr="00124791">
        <w:rPr>
          <w:rFonts w:ascii="Times New Roman" w:hAnsi="Times New Roman" w:cs="Times New Roman"/>
        </w:rPr>
        <w:t>, adding to the expansion land-use conversion cost. This expansion also means that the land demand for pasture must consider the expansion of soy.</w:t>
      </w:r>
    </w:p>
    <w:p w14:paraId="39C4AC85" w14:textId="77777777" w:rsidR="00C771E9" w:rsidRPr="00124791" w:rsidRDefault="00C771E9" w:rsidP="00C771E9">
      <w:pPr>
        <w:spacing w:after="120" w:line="360" w:lineRule="auto"/>
        <w:jc w:val="both"/>
        <w:rPr>
          <w:rFonts w:ascii="Times New Roman" w:hAnsi="Times New Roman" w:cs="Times New Roman"/>
        </w:rPr>
      </w:pPr>
    </w:p>
    <w:p w14:paraId="491B2A88" w14:textId="77777777" w:rsidR="00C771E9" w:rsidRPr="00124791" w:rsidRDefault="00C771E9" w:rsidP="00C771E9">
      <w:pPr>
        <w:pStyle w:val="Heading2"/>
        <w:ind w:left="851"/>
      </w:pPr>
      <w:r w:rsidRPr="00124791">
        <w:t>Revenue</w:t>
      </w:r>
    </w:p>
    <w:p w14:paraId="323B706F" w14:textId="77777777" w:rsidR="00C771E9" w:rsidRPr="00124791" w:rsidRDefault="00C771E9" w:rsidP="00C771E9">
      <w:pPr>
        <w:pBdr>
          <w:top w:val="nil"/>
          <w:left w:val="nil"/>
          <w:bottom w:val="nil"/>
          <w:right w:val="nil"/>
          <w:between w:val="nil"/>
        </w:pBdr>
        <w:spacing w:after="120" w:line="360" w:lineRule="auto"/>
        <w:jc w:val="both"/>
        <w:rPr>
          <w:rFonts w:ascii="Times New Roman" w:hAnsi="Times New Roman" w:cs="Times New Roman"/>
        </w:rPr>
      </w:pPr>
      <w:r w:rsidRPr="00124791">
        <w:rPr>
          <w:rFonts w:ascii="Times New Roman" w:hAnsi="Times New Roman" w:cs="Times New Roman"/>
        </w:rPr>
        <w:t xml:space="preserve">For revenues, CEPEA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QkEAYHQK","properties":{"formattedCitation":"(2023)","plainCitation":"(2023)","noteIndex":0},"citationItems":[{"id":1148,"uris":["http://zotero.org/users/146728/items/6KDUP84H"],"itemData":{"id":1148,"type":"dataset","publisher":"https://www.cepea.esalq.usp.br/br/indicador/series/boi-gordo.aspx?id=2","title":"Indicador do Boi Gordo CEPEA/B3","URL":"https://www.cepea.esalq.usp.br/br/indicador/boi-gordo.aspx","author":[{"literal":"CEPEA"}],"issued":{"date-parts":[["2023"]]}},"label":"page","suppress-author":true}],"schema":"https://github.com/citation-style-language/schema/raw/master/csl-citation.json"}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(2023)</w:t>
      </w:r>
      <w:r w:rsidRPr="00124791">
        <w:rPr>
          <w:rFonts w:ascii="Times New Roman" w:hAnsi="Times New Roman" w:cs="Times New Roman"/>
        </w:rPr>
        <w:fldChar w:fldCharType="end"/>
      </w:r>
      <w:r w:rsidRPr="00124791">
        <w:rPr>
          <w:rFonts w:ascii="Times New Roman" w:hAnsi="Times New Roman" w:cs="Times New Roman"/>
        </w:rPr>
        <w:t xml:space="preserve"> data was used for beef prices and IBGE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{"citationID":"H9ZLbZHA","properties":{"formattedCitation":"(2022b)","plainCitation":"(2022b)","noteIndex":0},"citationItems":[{"id":1237,"uris":["http://zotero.org/users/146728/items/84PIKW72"],"itemData":{"id":1237,"type":"report","number":"Tabela 1612","publisher":"IBGE","title":"Produção Agrícola Municipal - Tabela 1612 - Área plantada, área colhida, quantidade produzida e valor da produção da lavoura temporária","URL":"https://sidra.ibge.gov.br/Tabela/1612","author":[{"literal":"IBGE"}],"issued":{"date-parts":[["2022"]]}},"label":"page","suppress-author":true}],"schema":"https://github.com/citation-style-language/schema/raw/master/csl-citation.json"}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(2022b)</w:t>
      </w:r>
      <w:r w:rsidRPr="00124791">
        <w:rPr>
          <w:rFonts w:ascii="Times New Roman" w:hAnsi="Times New Roman" w:cs="Times New Roman"/>
        </w:rPr>
        <w:fldChar w:fldCharType="end"/>
      </w:r>
      <w:r w:rsidRPr="00124791">
        <w:rPr>
          <w:rFonts w:ascii="Times New Roman" w:hAnsi="Times New Roman" w:cs="Times New Roman"/>
        </w:rPr>
        <w:t xml:space="preserve"> for soybean prices. Projections were made based on the historical data and deflated by the Extended National Consumer Price Index (IPCA). The trend was estimated to increase based on a linear trend for beef. For soy, the study used the average from 2014 to 2019 to be conservative since using the linear trend would result in an almost stable but negative trend. Incorporating more elaborate economic models and projections to estimate prices was out of the scope of the work.</w:t>
      </w:r>
    </w:p>
    <w:p w14:paraId="2D5521AD" w14:textId="77777777" w:rsidR="00C771E9" w:rsidRPr="00124791" w:rsidRDefault="00C771E9" w:rsidP="00C771E9">
      <w:pPr>
        <w:keepNext/>
        <w:pBdr>
          <w:top w:val="nil"/>
          <w:left w:val="nil"/>
          <w:bottom w:val="nil"/>
          <w:right w:val="nil"/>
          <w:between w:val="nil"/>
        </w:pBdr>
        <w:spacing w:after="120" w:line="360" w:lineRule="auto"/>
        <w:ind w:firstLine="720"/>
        <w:jc w:val="both"/>
        <w:rPr>
          <w:rFonts w:ascii="Times New Roman" w:hAnsi="Times New Roman" w:cs="Times New Roman"/>
        </w:rPr>
      </w:pPr>
      <w:r w:rsidRPr="00124791">
        <w:rPr>
          <w:rFonts w:ascii="Times New Roman" w:hAnsi="Times New Roman" w:cs="Times New Roman"/>
          <w:noProof/>
        </w:rPr>
        <w:lastRenderedPageBreak/>
        <w:drawing>
          <wp:inline distT="0" distB="0" distL="0" distR="0" wp14:anchorId="7B583CB0" wp14:editId="031D2B9F">
            <wp:extent cx="5400040" cy="2333625"/>
            <wp:effectExtent l="0" t="0" r="0" b="0"/>
            <wp:docPr id="15" name="image3.png" descr="Chart, line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Chart, line chart&#10;&#10;Description automatically generated"/>
                    <pic:cNvPicPr preferRelativeResize="0"/>
                  </pic:nvPicPr>
                  <pic:blipFill>
                    <a:blip r:embed="rId6"/>
                    <a:srcRect/>
                    <a:stretch>
                      <a:fillRect/>
                    </a:stretch>
                  </pic:blipFill>
                  <pic:spPr>
                    <a:xfrm>
                      <a:off x="0" y="0"/>
                      <a:ext cx="5400040" cy="2333625"/>
                    </a:xfrm>
                    <a:prstGeom prst="rect">
                      <a:avLst/>
                    </a:prstGeom>
                    <a:ln/>
                  </pic:spPr>
                </pic:pic>
              </a:graphicData>
            </a:graphic>
          </wp:inline>
        </w:drawing>
      </w:r>
    </w:p>
    <w:p w14:paraId="35F9AB09" w14:textId="77777777" w:rsidR="00C771E9" w:rsidRDefault="00C771E9" w:rsidP="00C771E9">
      <w:pPr>
        <w:pBdr>
          <w:top w:val="nil"/>
          <w:left w:val="nil"/>
          <w:bottom w:val="nil"/>
          <w:right w:val="nil"/>
          <w:between w:val="nil"/>
        </w:pBdr>
        <w:spacing w:after="120" w:line="360" w:lineRule="auto"/>
        <w:jc w:val="center"/>
        <w:rPr>
          <w:rFonts w:ascii="Times New Roman" w:hAnsi="Times New Roman" w:cs="Times New Roman"/>
          <w:i/>
          <w:color w:val="000000"/>
        </w:rPr>
      </w:pPr>
      <w:r w:rsidRPr="00124791">
        <w:rPr>
          <w:rFonts w:ascii="Times New Roman" w:hAnsi="Times New Roman" w:cs="Times New Roman"/>
          <w:i/>
          <w:color w:val="000000"/>
        </w:rPr>
        <w:t xml:space="preserve">Figure </w:t>
      </w:r>
      <w:r>
        <w:rPr>
          <w:rFonts w:ascii="Times New Roman" w:hAnsi="Times New Roman" w:cs="Times New Roman"/>
          <w:i/>
          <w:color w:val="000000"/>
        </w:rPr>
        <w:t>S</w:t>
      </w:r>
      <w:r w:rsidRPr="00124791">
        <w:rPr>
          <w:rFonts w:ascii="Times New Roman" w:hAnsi="Times New Roman" w:cs="Times New Roman"/>
          <w:i/>
          <w:color w:val="000000"/>
        </w:rPr>
        <w:t xml:space="preserve">2: Beef and </w:t>
      </w:r>
      <w:r w:rsidRPr="00124791">
        <w:rPr>
          <w:rFonts w:ascii="Times New Roman" w:hAnsi="Times New Roman" w:cs="Times New Roman"/>
          <w:i/>
        </w:rPr>
        <w:t>soy p</w:t>
      </w:r>
      <w:r w:rsidRPr="00124791">
        <w:rPr>
          <w:rFonts w:ascii="Times New Roman" w:hAnsi="Times New Roman" w:cs="Times New Roman"/>
          <w:i/>
          <w:color w:val="000000"/>
        </w:rPr>
        <w:t>rices from 2008 to 201</w:t>
      </w:r>
      <w:r w:rsidRPr="00124791">
        <w:rPr>
          <w:rFonts w:ascii="Times New Roman" w:hAnsi="Times New Roman" w:cs="Times New Roman"/>
          <w:i/>
        </w:rPr>
        <w:t>9</w:t>
      </w:r>
      <w:r w:rsidRPr="00124791">
        <w:rPr>
          <w:rFonts w:ascii="Times New Roman" w:hAnsi="Times New Roman" w:cs="Times New Roman"/>
          <w:i/>
          <w:color w:val="000000"/>
        </w:rPr>
        <w:t xml:space="preserve"> a</w:t>
      </w:r>
      <w:r w:rsidRPr="00124791">
        <w:rPr>
          <w:rFonts w:ascii="Times New Roman" w:hAnsi="Times New Roman" w:cs="Times New Roman"/>
          <w:i/>
        </w:rPr>
        <w:t>nd projected until 2030. Values deflated using National Consumer Price Index (IPCA) and projected using linear trend</w:t>
      </w:r>
      <w:r w:rsidRPr="00124791">
        <w:rPr>
          <w:rFonts w:ascii="Times New Roman" w:hAnsi="Times New Roman" w:cs="Times New Roman"/>
          <w:i/>
          <w:color w:val="000000"/>
        </w:rPr>
        <w:t xml:space="preserve">. (Source </w:t>
      </w:r>
      <w:r w:rsidRPr="00124791">
        <w:rPr>
          <w:rFonts w:ascii="Times New Roman" w:hAnsi="Times New Roman" w:cs="Times New Roman"/>
          <w:i/>
        </w:rPr>
        <w:t xml:space="preserve">for 2008-2019 data: </w:t>
      </w:r>
      <w:r w:rsidRPr="00124791">
        <w:rPr>
          <w:rFonts w:ascii="Times New Roman" w:hAnsi="Times New Roman" w:cs="Times New Roman"/>
          <w:i/>
          <w:color w:val="000000"/>
        </w:rPr>
        <w:t xml:space="preserve">CEPEA </w:t>
      </w:r>
      <w:r w:rsidRPr="00124791">
        <w:rPr>
          <w:rFonts w:ascii="Times New Roman" w:hAnsi="Times New Roman" w:cs="Times New Roman"/>
          <w:i/>
        </w:rPr>
        <w:t xml:space="preserve">for beef, </w:t>
      </w:r>
      <w:r w:rsidRPr="00124791">
        <w:rPr>
          <w:rFonts w:ascii="Times New Roman" w:hAnsi="Times New Roman" w:cs="Times New Roman"/>
          <w:i/>
          <w:color w:val="000000"/>
        </w:rPr>
        <w:t>IBGE for soybean)</w:t>
      </w:r>
    </w:p>
    <w:p w14:paraId="46235328" w14:textId="77777777" w:rsidR="00C771E9" w:rsidRPr="00124791" w:rsidRDefault="00C771E9" w:rsidP="00C771E9"/>
    <w:p w14:paraId="543A0C08" w14:textId="77777777" w:rsidR="00C771E9" w:rsidRPr="00124791" w:rsidRDefault="00C771E9" w:rsidP="00C771E9">
      <w:pPr>
        <w:pStyle w:val="Heading2"/>
        <w:ind w:left="275"/>
      </w:pPr>
      <w:r w:rsidRPr="00124791">
        <w:t>Business as Usual x Governance scenario</w:t>
      </w:r>
    </w:p>
    <w:p w14:paraId="51EC7B54"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For the BAU scenario, the pasture extension in medium and large private land is estimated to have increased by 8%, from 34.4 Mha in 2018 to 37 Mha in 2030, requiring the clearing of new areas. Productivity was calculated by dividing annual production by grazing area, going from 41 Kg × ha</w:t>
      </w:r>
      <w:r w:rsidRPr="00124791">
        <w:rPr>
          <w:rFonts w:ascii="Times New Roman" w:hAnsi="Times New Roman" w:cs="Times New Roman"/>
          <w:vertAlign w:val="superscript"/>
        </w:rPr>
        <w:t>-1</w:t>
      </w:r>
      <w:r w:rsidRPr="00124791">
        <w:rPr>
          <w:rFonts w:ascii="Times New Roman" w:hAnsi="Times New Roman" w:cs="Times New Roman"/>
        </w:rPr>
        <w:t xml:space="preserve"> to 46 Kg × ha</w:t>
      </w:r>
      <w:r w:rsidRPr="00124791">
        <w:rPr>
          <w:rFonts w:ascii="Times New Roman" w:hAnsi="Times New Roman" w:cs="Times New Roman"/>
          <w:vertAlign w:val="superscript"/>
        </w:rPr>
        <w:t>-1</w:t>
      </w:r>
      <w:r w:rsidRPr="00124791">
        <w:rPr>
          <w:rFonts w:ascii="Times New Roman" w:hAnsi="Times New Roman" w:cs="Times New Roman"/>
        </w:rPr>
        <w:t>.</w:t>
      </w:r>
    </w:p>
    <w:p w14:paraId="784418FC"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 xml:space="preserve">As for soy, it was considered a 2.9% increase in production to meet demand, going from 39.5 Mton in 2018 to 55.6 Mton in 2030. There was also a yearly area increase of 2.3%, from 11.6 Mha in 2018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{"citationID":"RNu3CM2i","properties":{"formattedCitation":"(MapBiomas, 2020)","plainCitation":"(MapBiomas, 2020)","noteIndex":0},"citationItems":[{"id":1014,"uris":["http://zotero.org/users/146728/items/JMHTMUWQ"],"itemData":{"id":1014,"type":"report","abstract":"MapBiomas Project - is a multi-institutional initiative to generate annual land cover and use maps using automatic classification processes applied to satellite images. The complete description of the project can be found at http://mapbiomas.org.","event-place":"Brazil","publisher":"SEEG","publisher-place":"Brazil","title":"Collection 5 of Brazilian Land Cover &amp; Use Map Series.","URL":"www.mapbiomas.org","author":[{"literal":"MapBiomas"}],"accessed":{"date-parts":[["2020",9,13]]},"issued":{"date-parts":[["2020"]]}}}],"schema":"https://github.com/citation-style-language/schema/raw/master/csl-citation.json"}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(MapBiomas, 2020)</w:t>
      </w:r>
      <w:r w:rsidRPr="00124791">
        <w:rPr>
          <w:rFonts w:ascii="Times New Roman" w:hAnsi="Times New Roman" w:cs="Times New Roman"/>
        </w:rPr>
        <w:fldChar w:fldCharType="end"/>
      </w:r>
      <w:r w:rsidRPr="00124791">
        <w:rPr>
          <w:rFonts w:ascii="Times New Roman" w:hAnsi="Times New Roman" w:cs="Times New Roman"/>
        </w:rPr>
        <w:t xml:space="preserve"> to 15.2 Mha in 2030. This increase in 31% of land requires new areas to be converted.</w:t>
      </w:r>
    </w:p>
    <w:p w14:paraId="677F62B9"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In the governance scenario, some establishments invested in intensifying production, resulting in an increase in productivity going from 46 Kg × ha</w:t>
      </w:r>
      <w:r w:rsidRPr="00124791">
        <w:rPr>
          <w:rFonts w:ascii="Times New Roman" w:hAnsi="Times New Roman" w:cs="Times New Roman"/>
          <w:vertAlign w:val="superscript"/>
        </w:rPr>
        <w:t>-1</w:t>
      </w:r>
      <w:r w:rsidRPr="00124791">
        <w:rPr>
          <w:rFonts w:ascii="Times New Roman" w:hAnsi="Times New Roman" w:cs="Times New Roman"/>
        </w:rPr>
        <w:t xml:space="preserve"> to 120 Kg × ha</w:t>
      </w:r>
      <w:r w:rsidRPr="00124791">
        <w:rPr>
          <w:rFonts w:ascii="Times New Roman" w:hAnsi="Times New Roman" w:cs="Times New Roman"/>
          <w:vertAlign w:val="superscript"/>
        </w:rPr>
        <w:t>-1</w:t>
      </w:r>
      <w:r w:rsidRPr="00124791">
        <w:rPr>
          <w:rFonts w:ascii="Times New Roman" w:hAnsi="Times New Roman" w:cs="Times New Roman"/>
        </w:rPr>
        <w:t xml:space="preserve"> on average in these regions. This investment shows up as a transition cost, BRL 627.00 (jump from level I to level II, see table on the previous section). </w:t>
      </w:r>
    </w:p>
    <w:p w14:paraId="1CFB31B2" w14:textId="77777777" w:rsidR="00C771E9" w:rsidRPr="00124791" w:rsidRDefault="00C771E9" w:rsidP="00C771E9">
      <w:pPr>
        <w:keepNext/>
        <w:spacing w:after="120" w:line="360" w:lineRule="auto"/>
        <w:ind w:firstLine="720"/>
        <w:jc w:val="both"/>
        <w:rPr>
          <w:rFonts w:ascii="Times New Roman" w:hAnsi="Times New Roman" w:cs="Times New Roman"/>
        </w:rPr>
      </w:pPr>
      <w:r w:rsidRPr="00124791">
        <w:rPr>
          <w:rFonts w:ascii="Times New Roman" w:hAnsi="Times New Roman" w:cs="Times New Roman"/>
          <w:noProof/>
        </w:rPr>
        <w:lastRenderedPageBreak/>
        <w:drawing>
          <wp:inline distT="0" distB="0" distL="0" distR="0" wp14:anchorId="111F13A9" wp14:editId="7041E3E8">
            <wp:extent cx="5400040" cy="1874195"/>
            <wp:effectExtent l="0" t="0" r="0" b="0"/>
            <wp:docPr id="1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5400040" cy="1874195"/>
                    </a:xfrm>
                    <a:prstGeom prst="rect">
                      <a:avLst/>
                    </a:prstGeom>
                    <a:ln/>
                  </pic:spPr>
                </pic:pic>
              </a:graphicData>
            </a:graphic>
          </wp:inline>
        </w:drawing>
      </w:r>
    </w:p>
    <w:p w14:paraId="6BAE2F03" w14:textId="77777777" w:rsidR="00C771E9" w:rsidRPr="00124791" w:rsidRDefault="00C771E9" w:rsidP="00C771E9">
      <w:pPr>
        <w:pBdr>
          <w:top w:val="nil"/>
          <w:left w:val="nil"/>
          <w:bottom w:val="nil"/>
          <w:right w:val="nil"/>
          <w:between w:val="nil"/>
        </w:pBdr>
        <w:spacing w:after="120" w:line="360" w:lineRule="auto"/>
        <w:ind w:firstLine="720"/>
        <w:jc w:val="both"/>
        <w:rPr>
          <w:rFonts w:ascii="Times New Roman" w:hAnsi="Times New Roman" w:cs="Times New Roman"/>
          <w:i/>
        </w:rPr>
      </w:pPr>
      <w:r w:rsidRPr="00124791">
        <w:rPr>
          <w:rFonts w:ascii="Times New Roman" w:hAnsi="Times New Roman" w:cs="Times New Roman"/>
          <w:i/>
          <w:color w:val="000000"/>
        </w:rPr>
        <w:t xml:space="preserve">Figure </w:t>
      </w:r>
      <w:r>
        <w:rPr>
          <w:rFonts w:ascii="Times New Roman" w:hAnsi="Times New Roman" w:cs="Times New Roman"/>
          <w:i/>
          <w:color w:val="000000"/>
        </w:rPr>
        <w:t>S</w:t>
      </w:r>
      <w:r w:rsidRPr="00124791">
        <w:rPr>
          <w:rFonts w:ascii="Times New Roman" w:hAnsi="Times New Roman" w:cs="Times New Roman"/>
          <w:i/>
          <w:color w:val="000000"/>
        </w:rPr>
        <w:t xml:space="preserve">3: Typical </w:t>
      </w:r>
      <w:r w:rsidRPr="00124791">
        <w:rPr>
          <w:rFonts w:ascii="Times New Roman" w:hAnsi="Times New Roman" w:cs="Times New Roman"/>
          <w:i/>
        </w:rPr>
        <w:t>l</w:t>
      </w:r>
      <w:r w:rsidRPr="00124791">
        <w:rPr>
          <w:rFonts w:ascii="Times New Roman" w:hAnsi="Times New Roman" w:cs="Times New Roman"/>
          <w:i/>
          <w:color w:val="000000"/>
        </w:rPr>
        <w:t xml:space="preserve">and expansion scheme </w:t>
      </w:r>
      <w:r w:rsidRPr="00124791">
        <w:rPr>
          <w:rFonts w:ascii="Times New Roman" w:hAnsi="Times New Roman" w:cs="Times New Roman"/>
          <w:i/>
        </w:rPr>
        <w:t>post Soy-moratorium</w:t>
      </w:r>
      <w:r w:rsidRPr="00124791">
        <w:rPr>
          <w:rFonts w:ascii="Times New Roman" w:hAnsi="Times New Roman" w:cs="Times New Roman"/>
          <w:i/>
          <w:color w:val="000000"/>
        </w:rPr>
        <w:t>. Red arrows indicate expansion direction. Pasture e</w:t>
      </w:r>
      <w:r w:rsidRPr="00124791">
        <w:rPr>
          <w:rFonts w:ascii="Times New Roman" w:hAnsi="Times New Roman" w:cs="Times New Roman"/>
          <w:i/>
        </w:rPr>
        <w:t>xpands over forests and soy over pasture.</w:t>
      </w:r>
    </w:p>
    <w:p w14:paraId="144E6C85" w14:textId="77777777" w:rsidR="00C771E9" w:rsidRPr="00124791" w:rsidRDefault="00C771E9" w:rsidP="00C771E9">
      <w:pPr>
        <w:pBdr>
          <w:top w:val="nil"/>
          <w:left w:val="nil"/>
          <w:bottom w:val="nil"/>
          <w:right w:val="nil"/>
          <w:between w:val="nil"/>
        </w:pBdr>
        <w:spacing w:after="120" w:line="360" w:lineRule="auto"/>
        <w:ind w:firstLine="720"/>
        <w:jc w:val="both"/>
        <w:rPr>
          <w:rFonts w:ascii="Times New Roman" w:hAnsi="Times New Roman" w:cs="Times New Roman"/>
          <w:i/>
          <w:color w:val="000000"/>
        </w:rPr>
      </w:pPr>
    </w:p>
    <w:p w14:paraId="1FA5E97C"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For this framework, the area to be intensified should respond to the growing land demand driven by meat and soy and the shortening of land available due to restoration. Formally:</w:t>
      </w:r>
    </w:p>
    <w:p w14:paraId="3AFAF23E" w14:textId="77777777" w:rsidR="00C771E9" w:rsidRPr="00124791" w:rsidRDefault="00C771E9" w:rsidP="00C771E9">
      <w:pPr>
        <w:spacing w:after="120" w:line="360" w:lineRule="auto"/>
        <w:ind w:firstLine="720"/>
        <w:jc w:val="both"/>
        <w:rPr>
          <w:rFonts w:ascii="Times New Roman" w:eastAsia="Cambria Math" w:hAnsi="Times New Roman" w:cs="Times New Roman"/>
        </w:rPr>
      </w:pPr>
      <m:oMathPara>
        <m:oMath>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p</m:t>
              </m:r>
            </m:sub>
            <m:sup>
              <m:r>
                <w:rPr>
                  <w:rFonts w:ascii="Cambria Math" w:eastAsia="Cambria Math" w:hAnsi="Cambria Math" w:cs="Times New Roman"/>
                </w:rPr>
                <m:t>2018</m:t>
              </m:r>
            </m:sup>
          </m:sSubSup>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ip</m:t>
              </m:r>
            </m:sub>
            <m:sup>
              <m:r>
                <w:rPr>
                  <w:rFonts w:ascii="Cambria Math" w:eastAsia="Cambria Math" w:hAnsi="Cambria Math" w:cs="Times New Roman"/>
                </w:rPr>
                <m:t>t</m:t>
              </m:r>
            </m:sup>
          </m:sSubSup>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bp</m:t>
              </m:r>
            </m:sub>
            <m:sup>
              <m:r>
                <w:rPr>
                  <w:rFonts w:ascii="Cambria Math" w:eastAsia="Cambria Math" w:hAnsi="Cambria Math" w:cs="Times New Roman"/>
                </w:rPr>
                <m:t>t</m:t>
              </m:r>
            </m:sup>
          </m:sSubSup>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restoration</m:t>
              </m:r>
            </m:sub>
            <m:sup>
              <m:r>
                <w:rPr>
                  <w:rFonts w:ascii="Cambria Math" w:eastAsia="Cambria Math" w:hAnsi="Cambria Math" w:cs="Times New Roman"/>
                </w:rPr>
                <m:t>2018-t</m:t>
              </m:r>
            </m:sup>
          </m:sSubSup>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soy</m:t>
              </m:r>
            </m:sub>
            <m:sup>
              <m:r>
                <w:rPr>
                  <w:rFonts w:ascii="Cambria Math" w:eastAsia="Cambria Math" w:hAnsi="Cambria Math" w:cs="Times New Roman"/>
                </w:rPr>
                <m:t>2018-t</m:t>
              </m:r>
            </m:sup>
          </m:sSubSup>
        </m:oMath>
      </m:oMathPara>
    </w:p>
    <w:p w14:paraId="482C1734"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 xml:space="preserve">Where, </w:t>
      </w:r>
      <m:oMath>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landuse</m:t>
            </m:r>
          </m:sub>
          <m:sup>
            <m:r>
              <w:rPr>
                <w:rFonts w:ascii="Cambria Math" w:eastAsia="Cambria Math" w:hAnsi="Cambria Math" w:cs="Times New Roman"/>
              </w:rPr>
              <m:t>t</m:t>
            </m:r>
          </m:sup>
        </m:sSubSup>
      </m:oMath>
      <w:r w:rsidRPr="00124791">
        <w:rPr>
          <w:rFonts w:ascii="Times New Roman" w:hAnsi="Times New Roman" w:cs="Times New Roman"/>
        </w:rPr>
        <w:t xml:space="preserve"> is the area a given year </w:t>
      </w:r>
      <w:r w:rsidRPr="00124791">
        <w:rPr>
          <w:rFonts w:ascii="Times New Roman" w:hAnsi="Times New Roman" w:cs="Times New Roman"/>
          <w:i/>
        </w:rPr>
        <w:t>t</w:t>
      </w:r>
      <w:r w:rsidRPr="00124791">
        <w:rPr>
          <w:rFonts w:ascii="Times New Roman" w:hAnsi="Times New Roman" w:cs="Times New Roman"/>
        </w:rPr>
        <w:t xml:space="preserve"> for a pasture (p), intensive-only pasture (ip) extensive-only (BAU-like) pasture (bp), forest restoration since 2018, and soy expansion since 2018;</w:t>
      </w:r>
    </w:p>
    <w:p w14:paraId="5E830832" w14:textId="77777777" w:rsidR="00C771E9" w:rsidRPr="00124791" w:rsidRDefault="00C771E9" w:rsidP="00C771E9">
      <w:pPr>
        <w:spacing w:after="120" w:line="360" w:lineRule="auto"/>
        <w:jc w:val="both"/>
        <w:rPr>
          <w:rFonts w:ascii="Times New Roman" w:eastAsia="Cambria Math" w:hAnsi="Times New Roman" w:cs="Times New Roman"/>
        </w:rPr>
      </w:pPr>
      <w:r w:rsidRPr="00124791">
        <w:rPr>
          <w:rFonts w:ascii="Times New Roman" w:hAnsi="Times New Roman" w:cs="Times New Roman"/>
        </w:rPr>
        <w:t>At any year, production is the same, and productivity is fixed. Thus, the adjustment is made on the area to be intensified.</w:t>
      </w:r>
    </w:p>
    <w:p w14:paraId="63DE4BFD" w14:textId="77777777" w:rsidR="00C771E9" w:rsidRPr="00124791" w:rsidRDefault="00C771E9" w:rsidP="00C771E9">
      <w:pPr>
        <w:spacing w:after="120" w:line="360" w:lineRule="auto"/>
        <w:ind w:firstLine="720"/>
        <w:jc w:val="both"/>
        <w:rPr>
          <w:rFonts w:ascii="Times New Roman" w:eastAsia="Cambria Math" w:hAnsi="Times New Roman" w:cs="Times New Roman"/>
        </w:rPr>
      </w:pPr>
      <m:oMathPara>
        <m:oMath>
          <m:sSubSup>
            <m:sSubSupPr>
              <m:ctrlPr>
                <w:rPr>
                  <w:rFonts w:ascii="Cambria Math" w:eastAsia="Cambria Math" w:hAnsi="Cambria Math" w:cs="Times New Roman"/>
                </w:rPr>
              </m:ctrlPr>
            </m:sSubSupPr>
            <m:e>
              <m:r>
                <w:rPr>
                  <w:rFonts w:ascii="Cambria Math" w:eastAsia="Cambria Math" w:hAnsi="Cambria Math" w:cs="Times New Roman"/>
                </w:rPr>
                <m:t>Q</m:t>
              </m:r>
            </m:e>
            <m:sub>
              <m:r>
                <w:rPr>
                  <w:rFonts w:ascii="Cambria Math" w:eastAsia="Cambria Math" w:hAnsi="Cambria Math" w:cs="Times New Roman"/>
                </w:rPr>
                <m:t>p</m:t>
              </m:r>
            </m:sub>
            <m:sup>
              <m:r>
                <w:rPr>
                  <w:rFonts w:ascii="Cambria Math" w:eastAsia="Cambria Math" w:hAnsi="Cambria Math" w:cs="Times New Roman"/>
                </w:rPr>
                <m:t>t</m:t>
              </m:r>
            </m:sup>
          </m:sSubSup>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bp</m:t>
              </m:r>
            </m:sub>
            <m:sup>
              <m:r>
                <w:rPr>
                  <w:rFonts w:ascii="Cambria Math" w:eastAsia="Cambria Math" w:hAnsi="Cambria Math" w:cs="Times New Roman"/>
                </w:rPr>
                <m:t>t</m:t>
              </m:r>
            </m:sup>
          </m:sSubSup>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γ</m:t>
              </m:r>
            </m:e>
            <m:sub>
              <m:r>
                <w:rPr>
                  <w:rFonts w:ascii="Cambria Math" w:eastAsia="Cambria Math" w:hAnsi="Cambria Math" w:cs="Times New Roman"/>
                </w:rPr>
                <m:t>bp</m:t>
              </m:r>
            </m:sub>
            <m:sup>
              <m:r>
                <w:rPr>
                  <w:rFonts w:ascii="Cambria Math" w:eastAsia="Cambria Math" w:hAnsi="Cambria Math" w:cs="Times New Roman"/>
                </w:rPr>
                <m:t>t</m:t>
              </m:r>
            </m:sup>
          </m:sSubSup>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ip</m:t>
              </m:r>
            </m:sub>
            <m:sup>
              <m:r>
                <w:rPr>
                  <w:rFonts w:ascii="Cambria Math" w:eastAsia="Cambria Math" w:hAnsi="Cambria Math" w:cs="Times New Roman"/>
                </w:rPr>
                <m:t>t</m:t>
              </m:r>
            </m:sup>
          </m:sSubSup>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γ</m:t>
              </m:r>
            </m:e>
            <m:sub>
              <m:r>
                <w:rPr>
                  <w:rFonts w:ascii="Cambria Math" w:eastAsia="Cambria Math" w:hAnsi="Cambria Math" w:cs="Times New Roman"/>
                </w:rPr>
                <m:t>ip</m:t>
              </m:r>
            </m:sub>
            <m:sup>
              <m:r>
                <w:rPr>
                  <w:rFonts w:ascii="Cambria Math" w:eastAsia="Cambria Math" w:hAnsi="Cambria Math" w:cs="Times New Roman"/>
                </w:rPr>
                <m:t>t</m:t>
              </m:r>
            </m:sup>
          </m:sSubSup>
        </m:oMath>
      </m:oMathPara>
    </w:p>
    <w:p w14:paraId="62162357" w14:textId="77777777" w:rsidR="00C771E9" w:rsidRPr="00124791" w:rsidRDefault="00C771E9" w:rsidP="00C771E9">
      <w:pPr>
        <w:spacing w:after="120" w:line="360" w:lineRule="auto"/>
        <w:jc w:val="both"/>
        <w:rPr>
          <w:rFonts w:ascii="Times New Roman" w:eastAsia="Cambria Math" w:hAnsi="Times New Roman" w:cs="Times New Roman"/>
        </w:rPr>
      </w:pPr>
      <w:r w:rsidRPr="00124791">
        <w:rPr>
          <w:rFonts w:ascii="Times New Roman" w:hAnsi="Times New Roman" w:cs="Times New Roman"/>
        </w:rPr>
        <w:t xml:space="preserve">where </w:t>
      </w:r>
      <m:oMath>
        <m:sSubSup>
          <m:sSubSupPr>
            <m:ctrlPr>
              <w:rPr>
                <w:rFonts w:ascii="Cambria Math" w:eastAsia="Cambria Math" w:hAnsi="Cambria Math" w:cs="Times New Roman"/>
              </w:rPr>
            </m:ctrlPr>
          </m:sSubSupPr>
          <m:e>
            <m:r>
              <w:rPr>
                <w:rFonts w:ascii="Cambria Math" w:eastAsia="Cambria Math" w:hAnsi="Cambria Math" w:cs="Times New Roman"/>
              </w:rPr>
              <m:t>Q</m:t>
            </m:r>
          </m:e>
          <m:sub>
            <m:r>
              <w:rPr>
                <w:rFonts w:ascii="Cambria Math" w:eastAsia="Cambria Math" w:hAnsi="Cambria Math" w:cs="Times New Roman"/>
              </w:rPr>
              <m:t>landuse</m:t>
            </m:r>
          </m:sub>
          <m:sup>
            <m:r>
              <w:rPr>
                <w:rFonts w:ascii="Cambria Math" w:eastAsia="Cambria Math" w:hAnsi="Cambria Math" w:cs="Times New Roman"/>
              </w:rPr>
              <m:t>t</m:t>
            </m:r>
          </m:sup>
        </m:sSubSup>
      </m:oMath>
      <w:r w:rsidRPr="00124791">
        <w:rPr>
          <w:rFonts w:ascii="Times New Roman" w:hAnsi="Times New Roman" w:cs="Times New Roman"/>
        </w:rPr>
        <w:t xml:space="preserve"> refers to the quantity produced and </w:t>
      </w:r>
      <m:oMath>
        <m:sSubSup>
          <m:sSubSupPr>
            <m:ctrlPr>
              <w:rPr>
                <w:rFonts w:ascii="Cambria Math" w:eastAsia="Cambria Math" w:hAnsi="Cambria Math" w:cs="Times New Roman"/>
              </w:rPr>
            </m:ctrlPr>
          </m:sSubSupPr>
          <m:e>
            <m:r>
              <w:rPr>
                <w:rFonts w:ascii="Cambria Math" w:hAnsi="Cambria Math" w:cs="Times New Roman"/>
              </w:rPr>
              <m:t>γ</m:t>
            </m:r>
          </m:e>
          <m:sub>
            <m:r>
              <w:rPr>
                <w:rFonts w:ascii="Cambria Math" w:eastAsia="Cambria Math" w:hAnsi="Cambria Math" w:cs="Times New Roman"/>
              </w:rPr>
              <m:t>landuse</m:t>
            </m:r>
          </m:sub>
          <m:sup>
            <m:r>
              <w:rPr>
                <w:rFonts w:ascii="Cambria Math" w:eastAsia="Cambria Math" w:hAnsi="Cambria Math" w:cs="Times New Roman"/>
              </w:rPr>
              <m:t>t</m:t>
            </m:r>
          </m:sup>
        </m:sSubSup>
      </m:oMath>
      <w:r w:rsidRPr="00124791">
        <w:rPr>
          <w:rFonts w:ascii="Times New Roman" w:hAnsi="Times New Roman" w:cs="Times New Roman"/>
        </w:rPr>
        <w:t xml:space="preserve"> refers to the productivity at any year. Rewriting this equation, we have:</w:t>
      </w:r>
    </w:p>
    <w:p w14:paraId="0656B92B" w14:textId="77777777" w:rsidR="00C771E9" w:rsidRPr="00124791" w:rsidRDefault="00C771E9" w:rsidP="00C771E9">
      <w:pPr>
        <w:spacing w:after="120" w:line="360" w:lineRule="auto"/>
        <w:ind w:firstLine="720"/>
        <w:jc w:val="both"/>
        <w:rPr>
          <w:rFonts w:ascii="Times New Roman" w:eastAsia="Cambria Math" w:hAnsi="Times New Roman" w:cs="Times New Roman"/>
        </w:rPr>
      </w:pPr>
      <m:oMathPara>
        <m:oMath>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bp</m:t>
              </m:r>
            </m:sub>
            <m:sup>
              <m:r>
                <w:rPr>
                  <w:rFonts w:ascii="Cambria Math" w:eastAsia="Cambria Math" w:hAnsi="Cambria Math" w:cs="Times New Roman"/>
                </w:rPr>
                <m:t>t</m:t>
              </m:r>
            </m:sup>
          </m:sSubSup>
          <m:r>
            <w:rPr>
              <w:rFonts w:ascii="Cambria Math" w:eastAsia="Cambria Math" w:hAnsi="Cambria Math" w:cs="Times New Roman"/>
            </w:rPr>
            <m:t>=</m:t>
          </m:r>
          <m:f>
            <m:fPr>
              <m:ctrlPr>
                <w:rPr>
                  <w:rFonts w:ascii="Cambria Math" w:eastAsia="Cambria Math" w:hAnsi="Cambria Math" w:cs="Times New Roman"/>
                </w:rPr>
              </m:ctrlPr>
            </m:fPr>
            <m:num>
              <m:sSubSup>
                <m:sSubSupPr>
                  <m:ctrlPr>
                    <w:rPr>
                      <w:rFonts w:ascii="Cambria Math" w:eastAsia="Cambria Math" w:hAnsi="Cambria Math" w:cs="Times New Roman"/>
                    </w:rPr>
                  </m:ctrlPr>
                </m:sSubSupPr>
                <m:e>
                  <m:r>
                    <w:rPr>
                      <w:rFonts w:ascii="Cambria Math" w:eastAsia="Cambria Math" w:hAnsi="Cambria Math" w:cs="Times New Roman"/>
                    </w:rPr>
                    <m:t>Q</m:t>
                  </m:r>
                </m:e>
                <m:sub>
                  <m:r>
                    <w:rPr>
                      <w:rFonts w:ascii="Cambria Math" w:eastAsia="Cambria Math" w:hAnsi="Cambria Math" w:cs="Times New Roman"/>
                    </w:rPr>
                    <m:t>p</m:t>
                  </m:r>
                </m:sub>
                <m:sup>
                  <m:r>
                    <w:rPr>
                      <w:rFonts w:ascii="Cambria Math" w:eastAsia="Cambria Math" w:hAnsi="Cambria Math" w:cs="Times New Roman"/>
                    </w:rPr>
                    <m:t>t</m:t>
                  </m:r>
                </m:sup>
              </m:sSubSup>
              <m:r>
                <w:rPr>
                  <w:rFonts w:ascii="Cambria Math" w:eastAsia="Cambria Math" w:hAnsi="Cambria Math" w:cs="Times New Roman"/>
                </w:rPr>
                <m:t xml:space="preserve">- </m:t>
              </m:r>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ip</m:t>
                  </m:r>
                </m:sub>
                <m:sup>
                  <m:r>
                    <w:rPr>
                      <w:rFonts w:ascii="Cambria Math" w:eastAsia="Cambria Math" w:hAnsi="Cambria Math" w:cs="Times New Roman"/>
                    </w:rPr>
                    <m:t>t</m:t>
                  </m:r>
                </m:sup>
              </m:sSubSup>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γ</m:t>
                  </m:r>
                </m:e>
                <m:sub>
                  <m:r>
                    <w:rPr>
                      <w:rFonts w:ascii="Cambria Math" w:eastAsia="Cambria Math" w:hAnsi="Cambria Math" w:cs="Times New Roman"/>
                    </w:rPr>
                    <m:t>ip</m:t>
                  </m:r>
                </m:sub>
                <m:sup>
                  <m:r>
                    <w:rPr>
                      <w:rFonts w:ascii="Cambria Math" w:eastAsia="Cambria Math" w:hAnsi="Cambria Math" w:cs="Times New Roman"/>
                    </w:rPr>
                    <m:t>t</m:t>
                  </m:r>
                </m:sup>
              </m:sSubSup>
            </m:num>
            <m:den>
              <m:sSubSup>
                <m:sSubSupPr>
                  <m:ctrlPr>
                    <w:rPr>
                      <w:rFonts w:ascii="Cambria Math" w:eastAsia="Cambria Math" w:hAnsi="Cambria Math" w:cs="Times New Roman"/>
                    </w:rPr>
                  </m:ctrlPr>
                </m:sSubSupPr>
                <m:e>
                  <m:r>
                    <w:rPr>
                      <w:rFonts w:ascii="Cambria Math" w:eastAsia="Cambria Math" w:hAnsi="Cambria Math" w:cs="Times New Roman"/>
                    </w:rPr>
                    <m:t>γ</m:t>
                  </m:r>
                </m:e>
                <m:sub>
                  <m:r>
                    <w:rPr>
                      <w:rFonts w:ascii="Cambria Math" w:eastAsia="Cambria Math" w:hAnsi="Cambria Math" w:cs="Times New Roman"/>
                    </w:rPr>
                    <m:t>bp</m:t>
                  </m:r>
                </m:sub>
                <m:sup>
                  <m:r>
                    <w:rPr>
                      <w:rFonts w:ascii="Cambria Math" w:eastAsia="Cambria Math" w:hAnsi="Cambria Math" w:cs="Times New Roman"/>
                    </w:rPr>
                    <m:t>t</m:t>
                  </m:r>
                </m:sup>
              </m:sSubSup>
            </m:den>
          </m:f>
        </m:oMath>
      </m:oMathPara>
    </w:p>
    <w:p w14:paraId="480A6410"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Substituting it in the first equation gives us:</w:t>
      </w:r>
    </w:p>
    <w:p w14:paraId="51AD918E" w14:textId="77777777" w:rsidR="00C771E9" w:rsidRPr="00124791" w:rsidRDefault="00C771E9" w:rsidP="00C771E9">
      <w:pPr>
        <w:spacing w:after="120" w:line="360" w:lineRule="auto"/>
        <w:ind w:firstLine="720"/>
        <w:jc w:val="both"/>
        <w:rPr>
          <w:rFonts w:ascii="Times New Roman" w:eastAsia="Cambria Math" w:hAnsi="Times New Roman" w:cs="Times New Roman"/>
        </w:rPr>
      </w:pPr>
      <m:oMathPara>
        <m:oMath>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p</m:t>
              </m:r>
            </m:sub>
            <m:sup>
              <m:r>
                <w:rPr>
                  <w:rFonts w:ascii="Cambria Math" w:eastAsia="Cambria Math" w:hAnsi="Cambria Math" w:cs="Times New Roman"/>
                </w:rPr>
                <m:t>2018</m:t>
              </m:r>
            </m:sup>
          </m:sSubSup>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ip</m:t>
              </m:r>
            </m:sub>
            <m:sup>
              <m:r>
                <w:rPr>
                  <w:rFonts w:ascii="Cambria Math" w:eastAsia="Cambria Math" w:hAnsi="Cambria Math" w:cs="Times New Roman"/>
                </w:rPr>
                <m:t>t</m:t>
              </m:r>
            </m:sup>
          </m:sSubSup>
          <m:r>
            <w:rPr>
              <w:rFonts w:ascii="Cambria Math" w:eastAsia="Cambria Math" w:hAnsi="Cambria Math" w:cs="Times New Roman"/>
            </w:rPr>
            <m:t>+</m:t>
          </m:r>
          <m:f>
            <m:fPr>
              <m:ctrlPr>
                <w:rPr>
                  <w:rFonts w:ascii="Cambria Math" w:eastAsia="Cambria Math" w:hAnsi="Cambria Math" w:cs="Times New Roman"/>
                </w:rPr>
              </m:ctrlPr>
            </m:fPr>
            <m:num>
              <m:sSubSup>
                <m:sSubSupPr>
                  <m:ctrlPr>
                    <w:rPr>
                      <w:rFonts w:ascii="Cambria Math" w:eastAsia="Cambria Math" w:hAnsi="Cambria Math" w:cs="Times New Roman"/>
                    </w:rPr>
                  </m:ctrlPr>
                </m:sSubSupPr>
                <m:e>
                  <m:r>
                    <w:rPr>
                      <w:rFonts w:ascii="Cambria Math" w:eastAsia="Cambria Math" w:hAnsi="Cambria Math" w:cs="Times New Roman"/>
                    </w:rPr>
                    <m:t>Q</m:t>
                  </m:r>
                </m:e>
                <m:sub>
                  <m:r>
                    <w:rPr>
                      <w:rFonts w:ascii="Cambria Math" w:eastAsia="Cambria Math" w:hAnsi="Cambria Math" w:cs="Times New Roman"/>
                    </w:rPr>
                    <m:t>p</m:t>
                  </m:r>
                </m:sub>
                <m:sup>
                  <m:r>
                    <w:rPr>
                      <w:rFonts w:ascii="Cambria Math" w:eastAsia="Cambria Math" w:hAnsi="Cambria Math" w:cs="Times New Roman"/>
                    </w:rPr>
                    <m:t>t</m:t>
                  </m:r>
                </m:sup>
              </m:sSubSup>
              <m:r>
                <w:rPr>
                  <w:rFonts w:ascii="Cambria Math" w:eastAsia="Cambria Math" w:hAnsi="Cambria Math" w:cs="Times New Roman"/>
                </w:rPr>
                <m:t xml:space="preserve">- </m:t>
              </m:r>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ip</m:t>
                  </m:r>
                </m:sub>
                <m:sup>
                  <m:r>
                    <w:rPr>
                      <w:rFonts w:ascii="Cambria Math" w:eastAsia="Cambria Math" w:hAnsi="Cambria Math" w:cs="Times New Roman"/>
                    </w:rPr>
                    <m:t>t</m:t>
                  </m:r>
                </m:sup>
              </m:sSubSup>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γ</m:t>
                  </m:r>
                </m:e>
                <m:sub>
                  <m:r>
                    <w:rPr>
                      <w:rFonts w:ascii="Cambria Math" w:eastAsia="Cambria Math" w:hAnsi="Cambria Math" w:cs="Times New Roman"/>
                    </w:rPr>
                    <m:t>ip</m:t>
                  </m:r>
                </m:sub>
                <m:sup>
                  <m:r>
                    <w:rPr>
                      <w:rFonts w:ascii="Cambria Math" w:eastAsia="Cambria Math" w:hAnsi="Cambria Math" w:cs="Times New Roman"/>
                    </w:rPr>
                    <m:t>t</m:t>
                  </m:r>
                </m:sup>
              </m:sSubSup>
            </m:num>
            <m:den>
              <m:sSubSup>
                <m:sSubSupPr>
                  <m:ctrlPr>
                    <w:rPr>
                      <w:rFonts w:ascii="Cambria Math" w:eastAsia="Cambria Math" w:hAnsi="Cambria Math" w:cs="Times New Roman"/>
                    </w:rPr>
                  </m:ctrlPr>
                </m:sSubSupPr>
                <m:e>
                  <m:r>
                    <w:rPr>
                      <w:rFonts w:ascii="Cambria Math" w:eastAsia="Cambria Math" w:hAnsi="Cambria Math" w:cs="Times New Roman"/>
                    </w:rPr>
                    <m:t>γ</m:t>
                  </m:r>
                </m:e>
                <m:sub>
                  <m:r>
                    <w:rPr>
                      <w:rFonts w:ascii="Cambria Math" w:eastAsia="Cambria Math" w:hAnsi="Cambria Math" w:cs="Times New Roman"/>
                    </w:rPr>
                    <m:t>bp</m:t>
                  </m:r>
                </m:sub>
                <m:sup>
                  <m:r>
                    <w:rPr>
                      <w:rFonts w:ascii="Cambria Math" w:eastAsia="Cambria Math" w:hAnsi="Cambria Math" w:cs="Times New Roman"/>
                    </w:rPr>
                    <m:t>t</m:t>
                  </m:r>
                </m:sup>
              </m:sSubSup>
            </m:den>
          </m:f>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restoration</m:t>
              </m:r>
            </m:sub>
            <m:sup>
              <m:r>
                <w:rPr>
                  <w:rFonts w:ascii="Cambria Math" w:eastAsia="Cambria Math" w:hAnsi="Cambria Math" w:cs="Times New Roman"/>
                </w:rPr>
                <m:t>2018-t</m:t>
              </m:r>
            </m:sup>
          </m:sSubSup>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soy</m:t>
              </m:r>
            </m:sub>
            <m:sup>
              <m:r>
                <w:rPr>
                  <w:rFonts w:ascii="Cambria Math" w:eastAsia="Cambria Math" w:hAnsi="Cambria Math" w:cs="Times New Roman"/>
                </w:rPr>
                <m:t>2018-t</m:t>
              </m:r>
            </m:sup>
          </m:sSubSup>
        </m:oMath>
      </m:oMathPara>
    </w:p>
    <w:p w14:paraId="0AB5C2F7"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 xml:space="preserve">We can then rearrange it to isolate </w:t>
      </w:r>
      <m:oMath>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ip</m:t>
            </m:r>
          </m:sub>
          <m:sup>
            <m:r>
              <w:rPr>
                <w:rFonts w:ascii="Cambria Math" w:eastAsia="Cambria Math" w:hAnsi="Cambria Math" w:cs="Times New Roman"/>
              </w:rPr>
              <m:t>t</m:t>
            </m:r>
          </m:sup>
        </m:sSubSup>
      </m:oMath>
      <w:r w:rsidRPr="00124791">
        <w:rPr>
          <w:rFonts w:ascii="Times New Roman" w:hAnsi="Times New Roman" w:cs="Times New Roman"/>
        </w:rPr>
        <w:t xml:space="preserve"> :</w:t>
      </w:r>
    </w:p>
    <w:p w14:paraId="7A05310E" w14:textId="77777777" w:rsidR="00C771E9" w:rsidRPr="00124791" w:rsidRDefault="00C771E9" w:rsidP="00C771E9">
      <w:pPr>
        <w:spacing w:after="120" w:line="360" w:lineRule="auto"/>
        <w:ind w:firstLine="720"/>
        <w:jc w:val="both"/>
        <w:rPr>
          <w:rFonts w:ascii="Times New Roman" w:eastAsia="Cambria Math" w:hAnsi="Times New Roman" w:cs="Times New Roman"/>
        </w:rPr>
      </w:pPr>
      <m:oMathPara>
        <m:oMath>
          <m:f>
            <m:fPr>
              <m:ctrlPr>
                <w:rPr>
                  <w:rFonts w:ascii="Cambria Math" w:eastAsia="Cambria Math" w:hAnsi="Cambria Math" w:cs="Times New Roman"/>
                </w:rPr>
              </m:ctrlPr>
            </m:fPr>
            <m:num>
              <m:r>
                <w:rPr>
                  <w:rFonts w:ascii="Cambria Math" w:eastAsia="Cambria Math" w:hAnsi="Cambria Math" w:cs="Times New Roman"/>
                </w:rPr>
                <m:t xml:space="preserve"> </m:t>
              </m:r>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ip</m:t>
                  </m:r>
                </m:sub>
                <m:sup>
                  <m:r>
                    <w:rPr>
                      <w:rFonts w:ascii="Cambria Math" w:eastAsia="Cambria Math" w:hAnsi="Cambria Math" w:cs="Times New Roman"/>
                    </w:rPr>
                    <m:t>t</m:t>
                  </m:r>
                </m:sup>
              </m:sSubSup>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γ</m:t>
                  </m:r>
                </m:e>
                <m:sub>
                  <m:r>
                    <w:rPr>
                      <w:rFonts w:ascii="Cambria Math" w:eastAsia="Cambria Math" w:hAnsi="Cambria Math" w:cs="Times New Roman"/>
                    </w:rPr>
                    <m:t>ip</m:t>
                  </m:r>
                </m:sub>
                <m:sup>
                  <m:r>
                    <w:rPr>
                      <w:rFonts w:ascii="Cambria Math" w:eastAsia="Cambria Math" w:hAnsi="Cambria Math" w:cs="Times New Roman"/>
                    </w:rPr>
                    <m:t>t</m:t>
                  </m:r>
                </m:sup>
              </m:sSubSup>
            </m:num>
            <m:den>
              <m:sSubSup>
                <m:sSubSupPr>
                  <m:ctrlPr>
                    <w:rPr>
                      <w:rFonts w:ascii="Cambria Math" w:eastAsia="Cambria Math" w:hAnsi="Cambria Math" w:cs="Times New Roman"/>
                    </w:rPr>
                  </m:ctrlPr>
                </m:sSubSupPr>
                <m:e>
                  <m:r>
                    <w:rPr>
                      <w:rFonts w:ascii="Cambria Math" w:eastAsia="Cambria Math" w:hAnsi="Cambria Math" w:cs="Times New Roman"/>
                    </w:rPr>
                    <m:t>γ</m:t>
                  </m:r>
                </m:e>
                <m:sub>
                  <m:r>
                    <w:rPr>
                      <w:rFonts w:ascii="Cambria Math" w:eastAsia="Cambria Math" w:hAnsi="Cambria Math" w:cs="Times New Roman"/>
                    </w:rPr>
                    <m:t>bp</m:t>
                  </m:r>
                </m:sub>
                <m:sup>
                  <m:r>
                    <w:rPr>
                      <w:rFonts w:ascii="Cambria Math" w:eastAsia="Cambria Math" w:hAnsi="Cambria Math" w:cs="Times New Roman"/>
                    </w:rPr>
                    <m:t>t</m:t>
                  </m:r>
                </m:sup>
              </m:sSubSup>
            </m:den>
          </m:f>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ip</m:t>
              </m:r>
            </m:sub>
            <m:sup>
              <m:r>
                <w:rPr>
                  <w:rFonts w:ascii="Cambria Math" w:eastAsia="Cambria Math" w:hAnsi="Cambria Math" w:cs="Times New Roman"/>
                </w:rPr>
                <m:t>t</m:t>
              </m:r>
            </m:sup>
          </m:sSubSup>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p</m:t>
              </m:r>
            </m:sub>
            <m:sup>
              <m:r>
                <w:rPr>
                  <w:rFonts w:ascii="Cambria Math" w:eastAsia="Cambria Math" w:hAnsi="Cambria Math" w:cs="Times New Roman"/>
                </w:rPr>
                <m:t>2018</m:t>
              </m:r>
            </m:sup>
          </m:sSubSup>
          <m:r>
            <w:rPr>
              <w:rFonts w:ascii="Cambria Math" w:eastAsia="Cambria Math" w:hAnsi="Cambria Math" w:cs="Times New Roman"/>
            </w:rPr>
            <m:t>+</m:t>
          </m:r>
          <m:f>
            <m:fPr>
              <m:ctrlPr>
                <w:rPr>
                  <w:rFonts w:ascii="Cambria Math" w:eastAsia="Cambria Math" w:hAnsi="Cambria Math" w:cs="Times New Roman"/>
                </w:rPr>
              </m:ctrlPr>
            </m:fPr>
            <m:num>
              <m:sSubSup>
                <m:sSubSupPr>
                  <m:ctrlPr>
                    <w:rPr>
                      <w:rFonts w:ascii="Cambria Math" w:eastAsia="Cambria Math" w:hAnsi="Cambria Math" w:cs="Times New Roman"/>
                    </w:rPr>
                  </m:ctrlPr>
                </m:sSubSupPr>
                <m:e>
                  <m:r>
                    <w:rPr>
                      <w:rFonts w:ascii="Cambria Math" w:eastAsia="Cambria Math" w:hAnsi="Cambria Math" w:cs="Times New Roman"/>
                    </w:rPr>
                    <m:t>Q</m:t>
                  </m:r>
                </m:e>
                <m:sub>
                  <m:r>
                    <w:rPr>
                      <w:rFonts w:ascii="Cambria Math" w:eastAsia="Cambria Math" w:hAnsi="Cambria Math" w:cs="Times New Roman"/>
                    </w:rPr>
                    <m:t>p</m:t>
                  </m:r>
                </m:sub>
                <m:sup>
                  <m:r>
                    <w:rPr>
                      <w:rFonts w:ascii="Cambria Math" w:eastAsia="Cambria Math" w:hAnsi="Cambria Math" w:cs="Times New Roman"/>
                    </w:rPr>
                    <m:t>t</m:t>
                  </m:r>
                </m:sup>
              </m:sSubSup>
            </m:num>
            <m:den>
              <m:sSubSup>
                <m:sSubSupPr>
                  <m:ctrlPr>
                    <w:rPr>
                      <w:rFonts w:ascii="Cambria Math" w:eastAsia="Cambria Math" w:hAnsi="Cambria Math" w:cs="Times New Roman"/>
                    </w:rPr>
                  </m:ctrlPr>
                </m:sSubSupPr>
                <m:e>
                  <m:r>
                    <w:rPr>
                      <w:rFonts w:ascii="Cambria Math" w:eastAsia="Cambria Math" w:hAnsi="Cambria Math" w:cs="Times New Roman"/>
                    </w:rPr>
                    <m:t>γ</m:t>
                  </m:r>
                </m:e>
                <m:sub>
                  <m:r>
                    <w:rPr>
                      <w:rFonts w:ascii="Cambria Math" w:eastAsia="Cambria Math" w:hAnsi="Cambria Math" w:cs="Times New Roman"/>
                    </w:rPr>
                    <m:t>bp</m:t>
                  </m:r>
                </m:sub>
                <m:sup>
                  <m:r>
                    <w:rPr>
                      <w:rFonts w:ascii="Cambria Math" w:eastAsia="Cambria Math" w:hAnsi="Cambria Math" w:cs="Times New Roman"/>
                    </w:rPr>
                    <m:t>t</m:t>
                  </m:r>
                </m:sup>
              </m:sSubSup>
            </m:den>
          </m:f>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restoration</m:t>
              </m:r>
            </m:sub>
            <m:sup>
              <m:r>
                <w:rPr>
                  <w:rFonts w:ascii="Cambria Math" w:eastAsia="Cambria Math" w:hAnsi="Cambria Math" w:cs="Times New Roman"/>
                </w:rPr>
                <m:t>2018-t</m:t>
              </m:r>
            </m:sup>
          </m:sSubSup>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soy</m:t>
              </m:r>
            </m:sub>
            <m:sup>
              <m:r>
                <w:rPr>
                  <w:rFonts w:ascii="Cambria Math" w:eastAsia="Cambria Math" w:hAnsi="Cambria Math" w:cs="Times New Roman"/>
                </w:rPr>
                <m:t>2018-t</m:t>
              </m:r>
            </m:sup>
          </m:sSubSup>
        </m:oMath>
      </m:oMathPara>
    </w:p>
    <w:p w14:paraId="3437D02F" w14:textId="77777777" w:rsidR="00C771E9" w:rsidRPr="00124791" w:rsidRDefault="00C771E9" w:rsidP="00C771E9">
      <w:pPr>
        <w:spacing w:after="120" w:line="360" w:lineRule="auto"/>
        <w:ind w:firstLine="720"/>
        <w:jc w:val="both"/>
        <w:rPr>
          <w:rFonts w:ascii="Times New Roman" w:eastAsia="Cambria Math" w:hAnsi="Times New Roman" w:cs="Times New Roman"/>
        </w:rPr>
      </w:pPr>
      <m:oMathPara>
        <m:oMath>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ip</m:t>
              </m:r>
            </m:sub>
            <m:sup>
              <m:r>
                <w:rPr>
                  <w:rFonts w:ascii="Cambria Math" w:eastAsia="Cambria Math" w:hAnsi="Cambria Math" w:cs="Times New Roman"/>
                </w:rPr>
                <m:t>t</m:t>
              </m:r>
            </m:sup>
          </m:sSubSup>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γ</m:t>
              </m:r>
            </m:e>
            <m:sub>
              <m:r>
                <w:rPr>
                  <w:rFonts w:ascii="Cambria Math" w:eastAsia="Cambria Math" w:hAnsi="Cambria Math" w:cs="Times New Roman"/>
                </w:rPr>
                <m:t>ip</m:t>
              </m:r>
            </m:sub>
            <m:sup>
              <m:r>
                <w:rPr>
                  <w:rFonts w:ascii="Cambria Math" w:eastAsia="Cambria Math" w:hAnsi="Cambria Math" w:cs="Times New Roman"/>
                </w:rPr>
                <m:t>t</m:t>
              </m:r>
            </m:sup>
          </m:sSubSup>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γ</m:t>
              </m:r>
            </m:e>
            <m:sub>
              <m:r>
                <w:rPr>
                  <w:rFonts w:ascii="Cambria Math" w:eastAsia="Cambria Math" w:hAnsi="Cambria Math" w:cs="Times New Roman"/>
                </w:rPr>
                <m:t>bp</m:t>
              </m:r>
            </m:sub>
            <m:sup>
              <m:r>
                <w:rPr>
                  <w:rFonts w:ascii="Cambria Math" w:eastAsia="Cambria Math" w:hAnsi="Cambria Math" w:cs="Times New Roman"/>
                </w:rPr>
                <m:t>t</m:t>
              </m:r>
            </m:sup>
          </m:sSubSup>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Q</m:t>
              </m:r>
            </m:e>
            <m:sub>
              <m:r>
                <w:rPr>
                  <w:rFonts w:ascii="Cambria Math" w:eastAsia="Cambria Math" w:hAnsi="Cambria Math" w:cs="Times New Roman"/>
                </w:rPr>
                <m:t>p</m:t>
              </m:r>
            </m:sub>
            <m:sup>
              <m:r>
                <w:rPr>
                  <w:rFonts w:ascii="Cambria Math" w:eastAsia="Cambria Math" w:hAnsi="Cambria Math" w:cs="Times New Roman"/>
                </w:rPr>
                <m:t>t</m:t>
              </m:r>
            </m:sup>
          </m:sSubSup>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p</m:t>
              </m:r>
            </m:sub>
            <m:sup>
              <m:r>
                <w:rPr>
                  <w:rFonts w:ascii="Cambria Math" w:eastAsia="Cambria Math" w:hAnsi="Cambria Math" w:cs="Times New Roman"/>
                </w:rPr>
                <m:t>2018</m:t>
              </m:r>
            </m:sup>
          </m:sSubSup>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restoration</m:t>
              </m:r>
            </m:sub>
            <m:sup>
              <m:r>
                <w:rPr>
                  <w:rFonts w:ascii="Cambria Math" w:eastAsia="Cambria Math" w:hAnsi="Cambria Math" w:cs="Times New Roman"/>
                </w:rPr>
                <m:t>2018-t</m:t>
              </m:r>
            </m:sup>
          </m:sSubSup>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soy</m:t>
              </m:r>
            </m:sub>
            <m:sup>
              <m:r>
                <w:rPr>
                  <w:rFonts w:ascii="Cambria Math" w:eastAsia="Cambria Math" w:hAnsi="Cambria Math" w:cs="Times New Roman"/>
                </w:rPr>
                <m:t>2018-t</m:t>
              </m:r>
            </m:sup>
          </m:sSubSup>
          <m:r>
            <w:rPr>
              <w:rFonts w:ascii="Cambria Math" w:eastAsia="Cambria Math" w:hAnsi="Cambria Math" w:cs="Times New Roman"/>
            </w:rPr>
            <m:t xml:space="preserve"> )×</m:t>
          </m:r>
          <m:sSubSup>
            <m:sSubSupPr>
              <m:ctrlPr>
                <w:rPr>
                  <w:rFonts w:ascii="Cambria Math" w:eastAsia="Cambria Math" w:hAnsi="Cambria Math" w:cs="Times New Roman"/>
                </w:rPr>
              </m:ctrlPr>
            </m:sSubSupPr>
            <m:e>
              <m:r>
                <w:rPr>
                  <w:rFonts w:ascii="Cambria Math" w:eastAsia="Cambria Math" w:hAnsi="Cambria Math" w:cs="Times New Roman"/>
                </w:rPr>
                <m:t>γ</m:t>
              </m:r>
            </m:e>
            <m:sub>
              <m:r>
                <w:rPr>
                  <w:rFonts w:ascii="Cambria Math" w:eastAsia="Cambria Math" w:hAnsi="Cambria Math" w:cs="Times New Roman"/>
                </w:rPr>
                <m:t>bp</m:t>
              </m:r>
            </m:sub>
            <m:sup>
              <m:r>
                <w:rPr>
                  <w:rFonts w:ascii="Cambria Math" w:eastAsia="Cambria Math" w:hAnsi="Cambria Math" w:cs="Times New Roman"/>
                </w:rPr>
                <m:t>t</m:t>
              </m:r>
            </m:sup>
          </m:sSubSup>
        </m:oMath>
      </m:oMathPara>
    </w:p>
    <w:p w14:paraId="5C3A7CB4" w14:textId="77777777" w:rsidR="00C771E9" w:rsidRPr="00124791" w:rsidRDefault="00C771E9" w:rsidP="00C771E9">
      <w:pPr>
        <w:spacing w:after="120" w:line="360" w:lineRule="auto"/>
        <w:ind w:firstLine="720"/>
        <w:jc w:val="both"/>
        <w:rPr>
          <w:rFonts w:ascii="Times New Roman" w:eastAsia="Cambria Math" w:hAnsi="Times New Roman" w:cs="Times New Roman"/>
        </w:rPr>
      </w:pPr>
      <m:oMathPara>
        <m:oMath>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ip</m:t>
              </m:r>
            </m:sub>
            <m:sup>
              <m:r>
                <w:rPr>
                  <w:rFonts w:ascii="Cambria Math" w:eastAsia="Cambria Math" w:hAnsi="Cambria Math" w:cs="Times New Roman"/>
                </w:rPr>
                <m:t>t</m:t>
              </m:r>
            </m:sup>
          </m:sSubSup>
          <m:r>
            <w:rPr>
              <w:rFonts w:ascii="Cambria Math" w:eastAsia="Cambria Math" w:hAnsi="Cambria Math" w:cs="Times New Roman"/>
            </w:rPr>
            <m:t>=</m:t>
          </m:r>
          <m:f>
            <m:fPr>
              <m:ctrlPr>
                <w:rPr>
                  <w:rFonts w:ascii="Cambria Math" w:eastAsia="Cambria Math" w:hAnsi="Cambria Math" w:cs="Times New Roman"/>
                </w:rPr>
              </m:ctrlPr>
            </m:fPr>
            <m:num>
              <m:sSubSup>
                <m:sSubSupPr>
                  <m:ctrlPr>
                    <w:rPr>
                      <w:rFonts w:ascii="Cambria Math" w:eastAsia="Cambria Math" w:hAnsi="Cambria Math" w:cs="Times New Roman"/>
                    </w:rPr>
                  </m:ctrlPr>
                </m:sSubSupPr>
                <m:e>
                  <m:r>
                    <w:rPr>
                      <w:rFonts w:ascii="Cambria Math" w:eastAsia="Cambria Math" w:hAnsi="Cambria Math" w:cs="Times New Roman"/>
                    </w:rPr>
                    <m:t>Q</m:t>
                  </m:r>
                </m:e>
                <m:sub>
                  <m:r>
                    <w:rPr>
                      <w:rFonts w:ascii="Cambria Math" w:eastAsia="Cambria Math" w:hAnsi="Cambria Math" w:cs="Times New Roman"/>
                    </w:rPr>
                    <m:t>p</m:t>
                  </m:r>
                </m:sub>
                <m:sup>
                  <m:r>
                    <w:rPr>
                      <w:rFonts w:ascii="Cambria Math" w:eastAsia="Cambria Math" w:hAnsi="Cambria Math" w:cs="Times New Roman"/>
                    </w:rPr>
                    <m:t>t</m:t>
                  </m:r>
                </m:sup>
              </m:sSubSup>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p</m:t>
                  </m:r>
                </m:sub>
                <m:sup>
                  <m:r>
                    <w:rPr>
                      <w:rFonts w:ascii="Cambria Math" w:eastAsia="Cambria Math" w:hAnsi="Cambria Math" w:cs="Times New Roman"/>
                    </w:rPr>
                    <m:t>2018</m:t>
                  </m:r>
                </m:sup>
              </m:sSubSup>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restoration</m:t>
                  </m:r>
                </m:sub>
                <m:sup>
                  <m:r>
                    <w:rPr>
                      <w:rFonts w:ascii="Cambria Math" w:eastAsia="Cambria Math" w:hAnsi="Cambria Math" w:cs="Times New Roman"/>
                    </w:rPr>
                    <m:t>2018-t</m:t>
                  </m:r>
                </m:sup>
              </m:sSubSup>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∆A</m:t>
                  </m:r>
                </m:e>
                <m:sub>
                  <m:r>
                    <w:rPr>
                      <w:rFonts w:ascii="Cambria Math" w:eastAsia="Cambria Math" w:hAnsi="Cambria Math" w:cs="Times New Roman"/>
                    </w:rPr>
                    <m:t>soy</m:t>
                  </m:r>
                </m:sub>
                <m:sup>
                  <m:r>
                    <w:rPr>
                      <w:rFonts w:ascii="Cambria Math" w:eastAsia="Cambria Math" w:hAnsi="Cambria Math" w:cs="Times New Roman"/>
                    </w:rPr>
                    <m:t>2018-t</m:t>
                  </m:r>
                </m:sup>
              </m:sSubSup>
              <m:r>
                <w:rPr>
                  <w:rFonts w:ascii="Cambria Math" w:eastAsia="Cambria Math" w:hAnsi="Cambria Math" w:cs="Times New Roman"/>
                </w:rPr>
                <m:t xml:space="preserve"> )×</m:t>
              </m:r>
              <m:sSubSup>
                <m:sSubSupPr>
                  <m:ctrlPr>
                    <w:rPr>
                      <w:rFonts w:ascii="Cambria Math" w:eastAsia="Cambria Math" w:hAnsi="Cambria Math" w:cs="Times New Roman"/>
                    </w:rPr>
                  </m:ctrlPr>
                </m:sSubSupPr>
                <m:e>
                  <m:r>
                    <w:rPr>
                      <w:rFonts w:ascii="Cambria Math" w:eastAsia="Cambria Math" w:hAnsi="Cambria Math" w:cs="Times New Roman"/>
                    </w:rPr>
                    <m:t>γ</m:t>
                  </m:r>
                </m:e>
                <m:sub>
                  <m:r>
                    <w:rPr>
                      <w:rFonts w:ascii="Cambria Math" w:eastAsia="Cambria Math" w:hAnsi="Cambria Math" w:cs="Times New Roman"/>
                    </w:rPr>
                    <m:t>bp</m:t>
                  </m:r>
                </m:sub>
                <m:sup>
                  <m:r>
                    <w:rPr>
                      <w:rFonts w:ascii="Cambria Math" w:eastAsia="Cambria Math" w:hAnsi="Cambria Math" w:cs="Times New Roman"/>
                    </w:rPr>
                    <m:t>t</m:t>
                  </m:r>
                </m:sup>
              </m:sSubSup>
            </m:num>
            <m:den>
              <m:sSubSup>
                <m:sSubSupPr>
                  <m:ctrlPr>
                    <w:rPr>
                      <w:rFonts w:ascii="Cambria Math" w:eastAsia="Cambria Math" w:hAnsi="Cambria Math" w:cs="Times New Roman"/>
                    </w:rPr>
                  </m:ctrlPr>
                </m:sSubSupPr>
                <m:e>
                  <m:r>
                    <w:rPr>
                      <w:rFonts w:ascii="Cambria Math" w:eastAsia="Cambria Math" w:hAnsi="Cambria Math" w:cs="Times New Roman"/>
                    </w:rPr>
                    <m:t>γ</m:t>
                  </m:r>
                </m:e>
                <m:sub>
                  <m:r>
                    <w:rPr>
                      <w:rFonts w:ascii="Cambria Math" w:eastAsia="Cambria Math" w:hAnsi="Cambria Math" w:cs="Times New Roman"/>
                    </w:rPr>
                    <m:t>ip</m:t>
                  </m:r>
                </m:sub>
                <m:sup>
                  <m:r>
                    <w:rPr>
                      <w:rFonts w:ascii="Cambria Math" w:eastAsia="Cambria Math" w:hAnsi="Cambria Math" w:cs="Times New Roman"/>
                    </w:rPr>
                    <m:t>t</m:t>
                  </m:r>
                </m:sup>
              </m:sSubSup>
              <m:r>
                <w:rPr>
                  <w:rFonts w:ascii="Cambria Math" w:eastAsia="Cambria Math" w:hAnsi="Cambria Math" w:cs="Times New Roman"/>
                </w:rPr>
                <m:t>-</m:t>
              </m:r>
              <m:sSubSup>
                <m:sSubSupPr>
                  <m:ctrlPr>
                    <w:rPr>
                      <w:rFonts w:ascii="Cambria Math" w:eastAsia="Cambria Math" w:hAnsi="Cambria Math" w:cs="Times New Roman"/>
                    </w:rPr>
                  </m:ctrlPr>
                </m:sSubSupPr>
                <m:e>
                  <m:r>
                    <w:rPr>
                      <w:rFonts w:ascii="Cambria Math" w:eastAsia="Cambria Math" w:hAnsi="Cambria Math" w:cs="Times New Roman"/>
                    </w:rPr>
                    <m:t>γ</m:t>
                  </m:r>
                </m:e>
                <m:sub>
                  <m:r>
                    <w:rPr>
                      <w:rFonts w:ascii="Cambria Math" w:eastAsia="Cambria Math" w:hAnsi="Cambria Math" w:cs="Times New Roman"/>
                    </w:rPr>
                    <m:t>bp</m:t>
                  </m:r>
                </m:sub>
                <m:sup>
                  <m:r>
                    <w:rPr>
                      <w:rFonts w:ascii="Cambria Math" w:eastAsia="Cambria Math" w:hAnsi="Cambria Math" w:cs="Times New Roman"/>
                    </w:rPr>
                    <m:t>t</m:t>
                  </m:r>
                </m:sup>
              </m:sSubSup>
            </m:den>
          </m:f>
        </m:oMath>
      </m:oMathPara>
    </w:p>
    <w:p w14:paraId="4ACEF93B" w14:textId="77777777" w:rsidR="00C771E9" w:rsidRPr="00124791" w:rsidRDefault="00C771E9" w:rsidP="00C771E9">
      <w:pPr>
        <w:spacing w:after="120" w:line="360" w:lineRule="auto"/>
        <w:ind w:firstLine="720"/>
        <w:jc w:val="both"/>
        <w:rPr>
          <w:rFonts w:ascii="Times New Roman" w:hAnsi="Times New Roman" w:cs="Times New Roman"/>
        </w:rPr>
      </w:pPr>
    </w:p>
    <w:p w14:paraId="013C1F3C"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This formula guarantees that at any given year, the demand for land for restoration, soy expansion, and meat production is met by intensifying new areas. The result is a decrease of 12 Mha, from 34.4 Mha (equal in the BAU scenario) in 2018 to 21.6 Mha in 2030 (against 37 Mha in the BAU scenario).</w:t>
      </w:r>
    </w:p>
    <w:p w14:paraId="7A86E941"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Both scenarios are the same in terms of food production and meeting the demand. In 2030 medium and large farms in Amazon are expected to be producing 1.7 Mton of beef, totaling BRL 20.1 B and 55.6 Mton of soybean, resulting in BRL 67.6 Bi. The difference in the scenarios is in the cost to achieve this yield. In the BAU, extensive cattle ranching and agriculture require additional costs related to the conversion of new areas, while in the governance scenario, additional costs serve as investments in intensification, increasing its overall profitability already in the short term.</w:t>
      </w:r>
    </w:p>
    <w:p w14:paraId="24AF661E"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Thus, for the BAU scenario, until 2030, the accumulated cost for soy and meat was BRL 933 B and an accumulated revenue of BRL 968 Bi, thus resulting in a net of BRL 35 Bi (Figure X). Land expansion can be expected to reinforce existing land conflicts and generate new ones. It can also be expected to lose public goods with land grabbing, and large-scale wildfires.</w:t>
      </w:r>
    </w:p>
    <w:p w14:paraId="77ED4385"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For the governance scenario, in accumulated values from 2018 to 2030, the cost was BRL 917 B, while the revenue was BRL 968 Bi, resulting in a net income of BRL 51 Bi. In addition to the increase in profit, there would be zero deforestation, and 7.6 Mha of beef cattle pastures would average 120 kg/ha productivity.</w:t>
      </w:r>
    </w:p>
    <w:p w14:paraId="64442F1D" w14:textId="77777777" w:rsidR="00C771E9" w:rsidRPr="00124791" w:rsidRDefault="00C771E9" w:rsidP="00C771E9">
      <w:pPr>
        <w:spacing w:after="120" w:line="360" w:lineRule="auto"/>
        <w:jc w:val="both"/>
        <w:rPr>
          <w:rFonts w:ascii="Times New Roman" w:eastAsia="Arial" w:hAnsi="Times New Roman" w:cs="Times New Roman"/>
          <w:b/>
          <w:bCs/>
        </w:rPr>
      </w:pPr>
      <w:r w:rsidRPr="00124791">
        <w:rPr>
          <w:rFonts w:ascii="Times New Roman" w:eastAsia="Arial" w:hAnsi="Times New Roman" w:cs="Times New Roman"/>
          <w:b/>
          <w:bCs/>
        </w:rPr>
        <w:br w:type="page"/>
      </w:r>
    </w:p>
    <w:p w14:paraId="26D057A9" w14:textId="77777777" w:rsidR="00C771E9" w:rsidRDefault="00C771E9" w:rsidP="00C771E9">
      <w:pPr>
        <w:pStyle w:val="Heading1"/>
        <w:ind w:left="432" w:hanging="432"/>
        <w:jc w:val="both"/>
        <w:rPr>
          <w:rFonts w:ascii="Times New Roman" w:eastAsia="Arial" w:hAnsi="Times New Roman" w:cs="Times New Roman"/>
          <w:caps/>
          <w:sz w:val="24"/>
          <w:szCs w:val="24"/>
        </w:rPr>
      </w:pPr>
      <w:r w:rsidRPr="00124791">
        <w:rPr>
          <w:rFonts w:ascii="Times New Roman" w:eastAsia="Arial" w:hAnsi="Times New Roman" w:cs="Times New Roman"/>
          <w:caps/>
          <w:sz w:val="24"/>
          <w:szCs w:val="24"/>
        </w:rPr>
        <w:lastRenderedPageBreak/>
        <w:t>Fostering technical assistance to improve the livelihoods of smallholder farmers</w:t>
      </w:r>
    </w:p>
    <w:p w14:paraId="21BFA5FE" w14:textId="77777777" w:rsidR="00C771E9" w:rsidRPr="00124791" w:rsidRDefault="00C771E9" w:rsidP="00C771E9"/>
    <w:p w14:paraId="504FD292" w14:textId="77777777" w:rsidR="00C771E9" w:rsidRPr="00124791" w:rsidRDefault="00C771E9" w:rsidP="00C771E9">
      <w:pPr>
        <w:pStyle w:val="Heading2"/>
      </w:pPr>
      <w:r w:rsidRPr="00124791">
        <w:t xml:space="preserve">Data and projections </w:t>
      </w:r>
    </w:p>
    <w:p w14:paraId="214E07F4"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 xml:space="preserve">Smallholders’ land was defined as properties of up to 4 fiscal modules. Georeferenced data (Rural Environmental Registry) and socio-economic data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{"citationID":"eyp3tF1I","properties":{"formattedCitation":"(IBGE, 2017)","plainCitation":"(IBGE, 2017)","noteIndex":0},"citationItems":[{"id":1214,"uris":["http://zotero.org/users/146728/items/6XWK44I9"],"itemData":{"id":1214,"type":"report","publisher":"IBGE","title":"Censo Agropecuário","URL":"https://sidra.ibge.gov.br/pesquisa/censo-agropecuario/censo-agropecuario-2017","author":[{"literal":"IBGE"}],"accessed":{"date-parts":[["2011",9,20]]},"issued":{"date-parts":[["2017"]]}}}],"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(IBGE, 2017)</w:t>
      </w:r>
      <w:r w:rsidRPr="00124791">
        <w:rPr>
          <w:rFonts w:ascii="Times New Roman" w:hAnsi="Times New Roman" w:cs="Times New Roman"/>
        </w:rPr>
        <w:fldChar w:fldCharType="end"/>
      </w:r>
      <w:r w:rsidRPr="00124791">
        <w:rPr>
          <w:rFonts w:ascii="Times New Roman" w:hAnsi="Times New Roman" w:cs="Times New Roman"/>
        </w:rPr>
        <w:t xml:space="preserve"> were collected. For the latter, data was only available in groups of areas which had TARE. We assumed values were equally distributed inside each group, allowing us to regroup using municipality MF size to filter data below 4 MF. In this way, we arrived in an area occupied by smallholders of 71 Mha belonging to 776 thousand agricultural establishments, of which only 9% receive technical guidance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{"citationID":"JFHzuzGD","properties":{"formattedCitation":"(IBGE, 2017)","plainCitation":"(IBGE, 2017)","noteIndex":0},"citationItems":[{"id":1214,"uris":["http://zotero.org/users/146728/items/6XWK44I9"],"itemData":{"id":1214,"type":"report","publisher":"IBGE","title":"Censo Agropecuário","URL":"https://sidra.ibge.gov.br/pesquisa/censo-agropecuario/censo-agropecuario-2017","author":[{"literal":"IBGE"}],"accessed":{"date-parts":[["2011",9,20]]},"issued":{"date-parts":[["2017"]]}}}],"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(IBGE, 2017)</w:t>
      </w:r>
      <w:r w:rsidRPr="00124791">
        <w:rPr>
          <w:rFonts w:ascii="Times New Roman" w:hAnsi="Times New Roman" w:cs="Times New Roman"/>
        </w:rPr>
        <w:fldChar w:fldCharType="end"/>
      </w:r>
      <w:r w:rsidRPr="00124791">
        <w:rPr>
          <w:rFonts w:ascii="Times New Roman" w:hAnsi="Times New Roman" w:cs="Times New Roman"/>
        </w:rPr>
        <w:t>.</w:t>
      </w:r>
    </w:p>
    <w:p w14:paraId="4993D81C" w14:textId="77777777" w:rsidR="00C771E9" w:rsidRDefault="00C771E9" w:rsidP="00C771E9">
      <w:pPr>
        <w:spacing w:after="120" w:line="360" w:lineRule="auto"/>
        <w:jc w:val="both"/>
        <w:rPr>
          <w:rFonts w:ascii="Times New Roman" w:hAnsi="Times New Roman" w:cs="Times New Roman"/>
          <w:lang w:val="pt-BR"/>
        </w:rPr>
      </w:pPr>
      <w:r w:rsidRPr="00124791">
        <w:rPr>
          <w:rFonts w:ascii="Times New Roman" w:hAnsi="Times New Roman" w:cs="Times New Roman"/>
        </w:rPr>
        <w:t xml:space="preserve">Regarding technical guidance, two possible models were listed, the one carried out by INCRA, which encompasses virtually all current guidance, and the one carried out by the Amazon Sustainable Settlements Program (PAS)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{"citationID":"Lnv5mFHv","properties":{"formattedCitation":"(Ane Alencar and Maria Lucimar de Souza, 2021; Erika de Paula Pedro Pinto, 2016)","plainCitation":"(Ane Alencar and Maria Lucimar de Souza, 2021; Erika de Paula Pedro Pinto, 2016)","noteIndex":0},"citationItems":[{"id":1147,"uris":["http://zotero.org/users/146728/items/T6HW4CRJ"],"itemData":{"id":1147,"type":"book","edition":"1","event-place":"Brasilia, DF, Brasil","ISBN":"978-65-994327-4-3","publisher":"IPAM","publisher-place":"Brasilia, DF, Brasil","title":"Assentamentos sustentáveis na Amazônia: agricultura familiar e sustentabilidade ambiental na maior floresta tropical do mundo","editor":[{"literal":"Ane Alencar"},{"literal":"Maria Lucimar de Souza"}],"issued":{"date-parts":[["2021"]]}}},{"id":30,"uris":["http://zotero.org/users/146728/items/Y7M5QLTU"],"itemData":{"id":30,"type":"thesis","abstract":"A agricultura familiar na Amazônia tem um papel fundamental para o desenvolvimento da região e para os esforços de redução do desmatamento e a perda de serviços ambientais a ele associada. Porém, a forma desordenada de expansão das fronteiras agropecuárias, a falta de incentivos econômicos, de acesso às políticas públicas e de transferência tecnológica, entre outros fatores, têm impedido a melhoria das condições de vida de muitos pequenos(as) agricultores(as) que ali vivem. A transição da agricultura familiar para bases mais sustentáveis tem sido o foco de algumas iniciativas que visam conciliar incentivos econômicos para a conservação dos recursos naturais e melhoria das condições socioeconômicas da população. Nesse sentido, o objetivo do presente estudo foi o de analisar o papel do sistema do Pagamento por Serviços Ambientais (PSA) como instrumento econômico adotado em uma iniciativa conhecida como “Assentamentos Sustentáveis da Amazônia”, a partir das especificidades identificadas entre os provedores de tais serviços no que diz respeito às suas formas de uso do solo e os ativos florestais remanescentes nos seus lotes. Essa iniciativa está em curso desde 2013, liderada pelo Instituto de Pesquisa Ambiental da Amazônia (IPAM), com apoio do Fundo Amazônia. Em primeiro lugar, foram analisadas e comparadas as famílias desta iniciativa que acessam e outras que não acessam o PSA (grupo controle). A comparação da situação socioeconômica e ambiental destes dois grupos não mostrou diferenças significativas. Assim, considerando a importância de identificar a heterogeneidade existente neste grupo em relação a sua forma de uso do solo para, posteriormente, entender o papel dos incentivos econômicos, foi realizada uma análise de cluster. Foram identificados quatro perfis de produtores, sendo que os dois mais representativos (contemplando 65% de todas as famílias) são aqueles que detêm maior porcentagem média de mata nativa em seus lotes. Foi identificado um terceiro perfil voltado principalmente à atividade pecuária (23% das famílias), porém caracterizado também pela pouca quantidade de mata nativa. O último perfil representa apenas 12% das famílias e é caracterizado por grandes áreas abertas sem uso econômico. O presente estudo concluiu que as mudanças de comportamento esperadas a partir do acesso a incentivos econômicos dependem do perfil de agricultores familiares, os quais não podem ser avaliados como um grupo homogêneo. As especificidades encontradas nos diferentes perfis são capazes de indicar as melhores estratégias para conciliar produção agropecuária e conservação florestal.\nFamily farming in the Brazilian Amazon plays a key role in the development of the region and in efforts to reduce deforestation and the loss of associated environmental services. However, the disorderly form of agricultural frontiers expansion, the lack of economic incentives and access to public policies and technology transfer, among other factors, have prevented the improvement of the living conditions of many small farmers who live there. The transition from family farming to more sustainable basis has been the focus of some initiatives aimed at reconciling economic incentives to conserve natural resources and improve the socioeconomic conditions of the population. In this sense, the objective of the present study was to analyze the role of the Payment for Environmental Services (PES) system as an economic instrument adopted in an initiative known as \"Sustainable Settlements in the Amazon\". This analysis was carried out considering the specificities identified among the providers of these services with respect to their forms of land use and the remaining forest assets in their small farms. This initiative is in development since 2013, led by the Amazon Environmental Research Institute (IPAM), with support from the Amazon Fund. First, the families that access the payment for environmental services were analyzed and compared to the others that do not access this benefit (control group). The comparison of the socioeconomic and environmental situation of these two groups did not show significant differences. So, considering the importance of identifying the existing heterogeneity in this group in relation to its form of land use to later understand the role of such economic incentives, a cluster a</w:instrText>
      </w:r>
      <w:r w:rsidRPr="00124791">
        <w:rPr>
          <w:rFonts w:ascii="Times New Roman" w:hAnsi="Times New Roman" w:cs="Times New Roman"/>
          <w:lang w:val="fr-FR"/>
        </w:rPr>
        <w:instrText xml:space="preserve">nalysis was performed. The cluster analysis allowed the identification of four different profiles of producers, and the two most representative (covering 65% of all families) are those who have a higher average percentage of native forest on their small farms. A third profile was identified, mainly focused on cattle raising (23% of families), but also characterized by the low amount of native forest. The last profile represents only 12% of all families and is characterized by large open areas without economic use. This study found that behavioral changes expected from access to economic incentives depend on the profile of family farmers, which should not be evaluated as a homogeneous group. The identification of the particular characteristics of the different producers’ profiles subsidize the evaluation and definition of the best strategies to reconcile agricultural production and forest conservation.","event-place":"Brasilia, DF, Brasil","genre":"Mestrado em Desenvolvimento Sustentável","publisher":"Universidade de Brasília","publisher-place":"Brasilia, DF, Brasil","title":"O papel do pagamento por serviços ambientais conforme a realidade de diferentes perfis de agricultores familiares da Amazônia","URL":"http://repositorio.unb.br/handle/10482/23022","author":[{"literal":"Erika de Paula Pedro Pinto"}],"accessed":{"date-parts":[["2018",9,1]]},"issued":{"date-parts":[["2016",1,11]]}}}],"schema":"https://github.com/citation-style-language/schema/raw/master/csl-citation.json"}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lang w:val="pt-BR"/>
        </w:rPr>
        <w:t>(Ane Alencar and Maria Lucimar de Souza, 2021; Erika de Paula Pedro Pinto, 2016)</w:t>
      </w:r>
      <w:r w:rsidRPr="00124791">
        <w:rPr>
          <w:rFonts w:ascii="Times New Roman" w:hAnsi="Times New Roman" w:cs="Times New Roman"/>
        </w:rPr>
        <w:fldChar w:fldCharType="end"/>
      </w:r>
      <w:r w:rsidRPr="00124791">
        <w:rPr>
          <w:rFonts w:ascii="Times New Roman" w:hAnsi="Times New Roman" w:cs="Times New Roman"/>
          <w:lang w:val="pt-BR"/>
        </w:rPr>
        <w:t xml:space="preserve">. </w:t>
      </w:r>
    </w:p>
    <w:p w14:paraId="47D6740D" w14:textId="77777777" w:rsidR="00C771E9" w:rsidRPr="00124791" w:rsidRDefault="00C771E9" w:rsidP="00C771E9">
      <w:pPr>
        <w:spacing w:after="120" w:line="360" w:lineRule="auto"/>
        <w:jc w:val="both"/>
        <w:rPr>
          <w:rFonts w:ascii="Times New Roman" w:hAnsi="Times New Roman" w:cs="Times New Roman"/>
          <w:lang w:val="pt-BR"/>
        </w:rPr>
      </w:pPr>
    </w:p>
    <w:p w14:paraId="092EF450" w14:textId="77777777" w:rsidR="00C771E9" w:rsidRPr="00124791" w:rsidRDefault="00C771E9" w:rsidP="00C771E9">
      <w:pPr>
        <w:pStyle w:val="Heading2"/>
        <w:ind w:left="851"/>
      </w:pPr>
      <w:r w:rsidRPr="00124791">
        <w:t xml:space="preserve">Existing and new costs </w:t>
      </w:r>
    </w:p>
    <w:p w14:paraId="695F4F84" w14:textId="77777777" w:rsidR="00C771E9" w:rsidRDefault="00C771E9" w:rsidP="00C771E9">
      <w:pPr>
        <w:pBdr>
          <w:top w:val="nil"/>
          <w:left w:val="nil"/>
          <w:bottom w:val="nil"/>
          <w:right w:val="nil"/>
          <w:between w:val="nil"/>
        </w:pBdr>
        <w:spacing w:after="120" w:line="360" w:lineRule="auto"/>
        <w:jc w:val="both"/>
        <w:rPr>
          <w:rFonts w:ascii="Times New Roman" w:hAnsi="Times New Roman" w:cs="Times New Roman"/>
        </w:rPr>
      </w:pPr>
      <w:r w:rsidRPr="00124791">
        <w:rPr>
          <w:rFonts w:ascii="Times New Roman" w:hAnsi="Times New Roman" w:cs="Times New Roman"/>
        </w:rPr>
        <w:t xml:space="preserve">The total annual expenses are estimated at BRL 15.9 thousand/establishment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{"citationID":"SyHo3fQK","properties":{"formattedCitation":"(IBGE, 2017)","plainCitation":"(IBGE, 2017)","noteIndex":0},"citationItems":[{"id":1214,"uris":["http://zotero.org/users/146728/items/6XWK44I9"],"itemData":{"id":1214,"type":"report","publisher":"IBGE","title":"Censo Agropecuário","URL":"https://sidra.ibge.gov.br/pesquisa/censo-agropecuario/censo-agropecuario-2017","author":[{"literal":"IBGE"}],"accessed":{"date-parts":[["2011",9,20]]},"issued":{"date-parts":[["2017"]]}}}],"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(IBGE, 2017)</w:t>
      </w:r>
      <w:r w:rsidRPr="00124791">
        <w:rPr>
          <w:rFonts w:ascii="Times New Roman" w:hAnsi="Times New Roman" w:cs="Times New Roman"/>
        </w:rPr>
        <w:fldChar w:fldCharType="end"/>
      </w:r>
      <w:r w:rsidRPr="00124791">
        <w:rPr>
          <w:rFonts w:ascii="Times New Roman" w:hAnsi="Times New Roman" w:cs="Times New Roman"/>
        </w:rPr>
        <w:t>. According to data from the last contract implemented by INCRA for TARE in Settlements in the Legal Amazon, in the period 2014-2017, the average monthly aid per family was BRL 177.75. For PAS, there is a first-year investment of BRL 5,100.00 per family and monthly support of BRL 570.40.</w:t>
      </w:r>
    </w:p>
    <w:p w14:paraId="087A6C79" w14:textId="77777777" w:rsidR="00C771E9" w:rsidRPr="00124791" w:rsidRDefault="00C771E9" w:rsidP="00C771E9">
      <w:pPr>
        <w:pBdr>
          <w:top w:val="nil"/>
          <w:left w:val="nil"/>
          <w:bottom w:val="nil"/>
          <w:right w:val="nil"/>
          <w:between w:val="nil"/>
        </w:pBdr>
        <w:spacing w:after="120" w:line="360" w:lineRule="auto"/>
        <w:jc w:val="both"/>
        <w:rPr>
          <w:rFonts w:ascii="Times New Roman" w:hAnsi="Times New Roman" w:cs="Times New Roman"/>
        </w:rPr>
      </w:pPr>
    </w:p>
    <w:p w14:paraId="5BA0188D" w14:textId="77777777" w:rsidR="00C771E9" w:rsidRPr="00124791" w:rsidRDefault="00C771E9" w:rsidP="00C771E9">
      <w:pPr>
        <w:pStyle w:val="Heading2"/>
        <w:ind w:left="851"/>
      </w:pPr>
      <w:r w:rsidRPr="00124791">
        <w:t xml:space="preserve">Revenues </w:t>
      </w:r>
    </w:p>
    <w:p w14:paraId="27DAB4B6" w14:textId="77777777" w:rsidR="00C771E9" w:rsidRPr="00124791" w:rsidRDefault="00C771E9" w:rsidP="00C771E9">
      <w:pPr>
        <w:pBdr>
          <w:top w:val="nil"/>
          <w:left w:val="nil"/>
          <w:bottom w:val="nil"/>
          <w:right w:val="nil"/>
          <w:between w:val="nil"/>
        </w:pBdr>
        <w:spacing w:after="120" w:line="360" w:lineRule="auto"/>
        <w:jc w:val="both"/>
        <w:rPr>
          <w:rFonts w:ascii="Times New Roman" w:hAnsi="Times New Roman" w:cs="Times New Roman"/>
        </w:rPr>
      </w:pPr>
      <w:r w:rsidRPr="00124791">
        <w:rPr>
          <w:rFonts w:ascii="Times New Roman" w:hAnsi="Times New Roman" w:cs="Times New Roman"/>
        </w:rPr>
        <w:t xml:space="preserve">Annual family revenue is estimated as BRL 31,500, BRL 21,600 from production, BRL 1,000 from other activities, and BRL 8,800 from other sources </w:t>
      </w:r>
      <w:r w:rsidRPr="00124791">
        <w:rPr>
          <w:rFonts w:ascii="Times New Roman" w:hAnsi="Times New Roman" w:cs="Times New Roman"/>
        </w:rPr>
        <w:fldChar w:fldCharType="begin"/>
      </w:r>
      <w:r w:rsidRPr="00124791">
        <w:rPr>
          <w:rFonts w:ascii="Times New Roman" w:hAnsi="Times New Roman" w:cs="Times New Roman"/>
        </w:rPr>
        <w:instrText xml:space="preserve"> ADDIN ZOTERO_ITEM CSL_CITATION {"citationID":"KVrw6IFj","properties":{"formattedCitation":"(IBGE, 2017)","plainCitation":"(IBGE, 2017)","noteIndex":0},"citationItems":[{"id":1214,"uris":["http://zotero.org/users/146728/items/6XWK44I9"],"itemData":{"id":1214,"type":"report","publisher":"IBGE","title":"Censo Agropecuário","URL":"https://sidra.ibge.gov.br/pesquisa/censo-agropecuario/censo-agropecuario-2017","author":[{"literal":"IBGE"}],"accessed":{"date-parts":[["2011",9,20]]},"issued":{"date-parts":[["2017"]]}}}],"schema":"https://github.com/citation-style-language/schema/raw/master/csl-citation.json"} </w:instrText>
      </w:r>
      <w:r w:rsidRPr="00124791">
        <w:rPr>
          <w:rFonts w:ascii="Times New Roman" w:hAnsi="Times New Roman" w:cs="Times New Roman"/>
        </w:rPr>
        <w:fldChar w:fldCharType="separate"/>
      </w:r>
      <w:r w:rsidRPr="00124791">
        <w:rPr>
          <w:rFonts w:ascii="Times New Roman" w:hAnsi="Times New Roman" w:cs="Times New Roman"/>
        </w:rPr>
        <w:t>(IBGE, 2017)</w:t>
      </w:r>
      <w:r w:rsidRPr="00124791">
        <w:rPr>
          <w:rFonts w:ascii="Times New Roman" w:hAnsi="Times New Roman" w:cs="Times New Roman"/>
        </w:rPr>
        <w:fldChar w:fldCharType="end"/>
      </w:r>
      <w:r w:rsidRPr="00124791">
        <w:rPr>
          <w:rFonts w:ascii="Times New Roman" w:hAnsi="Times New Roman" w:cs="Times New Roman"/>
        </w:rPr>
        <w:t xml:space="preserve">. To estimate the return by financial aid, we calculated a “PAS Effect” based on the increase in gross income divided by the aid. The effect was estimated at 1.06%, meaning that for each BRL </w:t>
      </w:r>
      <w:r w:rsidRPr="00124791">
        <w:rPr>
          <w:rFonts w:ascii="Times New Roman" w:hAnsi="Times New Roman" w:cs="Times New Roman"/>
        </w:rPr>
        <w:lastRenderedPageBreak/>
        <w:t>1, the establishment increases its revenue by BRL 1.06. We can expect this effect to change based on the technical guidance associated.</w:t>
      </w:r>
    </w:p>
    <w:p w14:paraId="0C537BA5" w14:textId="77777777" w:rsidR="00C771E9" w:rsidRPr="00124791" w:rsidRDefault="00C771E9" w:rsidP="00C771E9">
      <w:pPr>
        <w:pBdr>
          <w:top w:val="nil"/>
          <w:left w:val="nil"/>
          <w:bottom w:val="nil"/>
          <w:right w:val="nil"/>
          <w:between w:val="nil"/>
        </w:pBdr>
        <w:spacing w:after="120" w:line="360" w:lineRule="auto"/>
        <w:ind w:firstLine="720"/>
        <w:jc w:val="both"/>
        <w:rPr>
          <w:rFonts w:ascii="Times New Roman" w:hAnsi="Times New Roman" w:cs="Times New Roman"/>
        </w:rPr>
      </w:pPr>
    </w:p>
    <w:p w14:paraId="79BB0E07" w14:textId="77777777" w:rsidR="00C771E9" w:rsidRPr="00124791" w:rsidRDefault="00C771E9" w:rsidP="00C771E9">
      <w:pPr>
        <w:spacing w:after="120" w:line="360" w:lineRule="auto"/>
        <w:ind w:firstLine="720"/>
        <w:jc w:val="both"/>
        <w:rPr>
          <w:rFonts w:ascii="Times New Roman" w:eastAsia="Cambria Math" w:hAnsi="Times New Roman" w:cs="Times New Roman"/>
        </w:rPr>
      </w:pPr>
      <m:oMathPara>
        <m:oMath>
          <m:sSub>
            <m:sSubPr>
              <m:ctrlPr>
                <w:rPr>
                  <w:rFonts w:ascii="Cambria Math" w:eastAsia="Cambria Math" w:hAnsi="Cambria Math" w:cs="Times New Roman"/>
                </w:rPr>
              </m:ctrlPr>
            </m:sSubPr>
            <m:e>
              <m:r>
                <w:rPr>
                  <w:rFonts w:ascii="Cambria Math" w:eastAsia="Cambria Math" w:hAnsi="Cambria Math" w:cs="Times New Roman"/>
                </w:rPr>
                <m:t>effect</m:t>
              </m:r>
            </m:e>
            <m:sub>
              <m:r>
                <w:rPr>
                  <w:rFonts w:ascii="Cambria Math" w:eastAsia="Cambria Math" w:hAnsi="Cambria Math" w:cs="Times New Roman"/>
                </w:rPr>
                <m:t>PAS</m:t>
              </m:r>
            </m:sub>
          </m:sSub>
          <m:r>
            <w:rPr>
              <w:rFonts w:ascii="Cambria Math" w:eastAsia="Cambria Math" w:hAnsi="Cambria Math" w:cs="Times New Roman"/>
            </w:rPr>
            <m:t>=</m:t>
          </m:r>
          <m:f>
            <m:fPr>
              <m:ctrlPr>
                <w:rPr>
                  <w:rFonts w:ascii="Cambria Math" w:eastAsia="Cambria Math" w:hAnsi="Cambria Math" w:cs="Times New Roman"/>
                </w:rPr>
              </m:ctrlPr>
            </m:fPr>
            <m:num>
              <m:sSub>
                <m:sSubPr>
                  <m:ctrlPr>
                    <w:rPr>
                      <w:rFonts w:ascii="Cambria Math" w:eastAsia="Cambria Math" w:hAnsi="Cambria Math" w:cs="Times New Roman"/>
                    </w:rPr>
                  </m:ctrlPr>
                </m:sSubPr>
                <m:e>
                  <m:r>
                    <w:rPr>
                      <w:rFonts w:ascii="Cambria Math" w:eastAsia="Cambria Math" w:hAnsi="Cambria Math" w:cs="Times New Roman"/>
                    </w:rPr>
                    <m:t>revenue</m:t>
                  </m:r>
                </m:e>
                <m:sub>
                  <m:r>
                    <w:rPr>
                      <w:rFonts w:ascii="Cambria Math" w:eastAsia="Cambria Math" w:hAnsi="Cambria Math" w:cs="Times New Roman"/>
                    </w:rPr>
                    <m:t>after</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eastAsia="Cambria Math" w:hAnsi="Cambria Math" w:cs="Times New Roman"/>
                    </w:rPr>
                    <m:t>revenue</m:t>
                  </m:r>
                </m:e>
                <m:sub>
                  <m:r>
                    <w:rPr>
                      <w:rFonts w:ascii="Cambria Math" w:eastAsia="Cambria Math" w:hAnsi="Cambria Math" w:cs="Times New Roman"/>
                    </w:rPr>
                    <m:t>before</m:t>
                  </m:r>
                </m:sub>
              </m:sSub>
            </m:num>
            <m:den>
              <m:sSub>
                <m:sSubPr>
                  <m:ctrlPr>
                    <w:rPr>
                      <w:rFonts w:ascii="Cambria Math" w:eastAsia="Cambria Math" w:hAnsi="Cambria Math" w:cs="Times New Roman"/>
                    </w:rPr>
                  </m:ctrlPr>
                </m:sSubPr>
                <m:e>
                  <m:r>
                    <w:rPr>
                      <w:rFonts w:ascii="Cambria Math" w:eastAsia="Cambria Math" w:hAnsi="Cambria Math" w:cs="Times New Roman"/>
                    </w:rPr>
                    <m:t>aid</m:t>
                  </m:r>
                </m:e>
                <m:sub>
                  <m:r>
                    <w:rPr>
                      <w:rFonts w:ascii="Cambria Math" w:eastAsia="Cambria Math" w:hAnsi="Cambria Math" w:cs="Times New Roman"/>
                    </w:rPr>
                    <m:t>monthly</m:t>
                  </m:r>
                </m:sub>
              </m:sSub>
              <m:r>
                <w:rPr>
                  <w:rFonts w:ascii="Cambria Math" w:eastAsia="Cambria Math" w:hAnsi="Cambria Math" w:cs="Times New Roman"/>
                </w:rPr>
                <m:t>*12</m:t>
              </m:r>
            </m:den>
          </m:f>
        </m:oMath>
      </m:oMathPara>
    </w:p>
    <w:p w14:paraId="18161F60" w14:textId="77777777" w:rsidR="00C771E9" w:rsidRPr="00124791" w:rsidRDefault="00C771E9" w:rsidP="00C771E9">
      <w:pPr>
        <w:spacing w:after="120" w:line="360" w:lineRule="auto"/>
        <w:ind w:firstLine="720"/>
        <w:jc w:val="both"/>
        <w:rPr>
          <w:rFonts w:ascii="Times New Roman" w:eastAsia="Cambria Math" w:hAnsi="Times New Roman" w:cs="Times New Roman"/>
        </w:rPr>
      </w:pPr>
    </w:p>
    <w:p w14:paraId="23BE7108" w14:textId="77777777" w:rsidR="00C771E9" w:rsidRPr="00124791" w:rsidRDefault="00C771E9" w:rsidP="00C771E9">
      <w:pPr>
        <w:pStyle w:val="Heading2"/>
      </w:pPr>
      <w:r w:rsidRPr="00124791">
        <w:t>Business as Usual x Governance scenario</w:t>
      </w:r>
    </w:p>
    <w:p w14:paraId="5C02FA80" w14:textId="77777777" w:rsidR="00C771E9" w:rsidRPr="00124791" w:rsidRDefault="00C771E9" w:rsidP="00C771E9">
      <w:pPr>
        <w:pBdr>
          <w:top w:val="nil"/>
          <w:left w:val="nil"/>
          <w:bottom w:val="nil"/>
          <w:right w:val="nil"/>
          <w:between w:val="nil"/>
        </w:pBdr>
        <w:spacing w:after="120" w:line="360" w:lineRule="auto"/>
        <w:jc w:val="both"/>
        <w:rPr>
          <w:rFonts w:ascii="Times New Roman" w:hAnsi="Times New Roman" w:cs="Times New Roman"/>
        </w:rPr>
      </w:pPr>
      <w:r w:rsidRPr="00124791">
        <w:rPr>
          <w:rFonts w:ascii="Times New Roman" w:hAnsi="Times New Roman" w:cs="Times New Roman"/>
        </w:rPr>
        <w:t>The BAU scenario assumed that the current technical guidance ratio (9%) and the current model (INCRA) would remain until 2030. For this reason, there would be no increase in income, thus remaining with the same revenue found in 2018.</w:t>
      </w:r>
    </w:p>
    <w:p w14:paraId="7950DBFC"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The governance scenario assumed farmers would gradually receive more assistance and move gradually towards the PAS model during the first 5 years. By 2030, 100% of farmers would receive PAS-like technical guidance. As for revenue, we apply the “PAS effect” over the additional aid given. Formally, we have:</w:t>
      </w:r>
    </w:p>
    <w:p w14:paraId="2E144A6F" w14:textId="77777777" w:rsidR="00C771E9" w:rsidRPr="00124791" w:rsidRDefault="00C771E9" w:rsidP="00C771E9">
      <w:pPr>
        <w:spacing w:after="120" w:line="360" w:lineRule="auto"/>
        <w:ind w:firstLine="720"/>
        <w:jc w:val="both"/>
        <w:rPr>
          <w:rFonts w:ascii="Times New Roman" w:eastAsia="Cambria Math" w:hAnsi="Times New Roman" w:cs="Times New Roman"/>
        </w:rPr>
      </w:pPr>
      <m:oMathPara>
        <m:oMath>
          <m:sSub>
            <m:sSubPr>
              <m:ctrlPr>
                <w:rPr>
                  <w:rFonts w:ascii="Cambria Math" w:eastAsia="Cambria Math" w:hAnsi="Cambria Math" w:cs="Times New Roman"/>
                </w:rPr>
              </m:ctrlPr>
            </m:sSubPr>
            <m:e>
              <m:r>
                <w:rPr>
                  <w:rFonts w:ascii="Cambria Math" w:eastAsia="Cambria Math" w:hAnsi="Cambria Math" w:cs="Times New Roman"/>
                </w:rPr>
                <m:t>revenue</m:t>
              </m:r>
            </m:e>
            <m:sub>
              <m:r>
                <w:rPr>
                  <w:rFonts w:ascii="Cambria Math" w:eastAsia="Cambria Math" w:hAnsi="Cambria Math" w:cs="Times New Roman"/>
                </w:rPr>
                <m:t>t</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eastAsia="Cambria Math" w:hAnsi="Cambria Math" w:cs="Times New Roman"/>
                </w:rPr>
                <m:t>revenue</m:t>
              </m:r>
            </m:e>
            <m:sub>
              <m:r>
                <w:rPr>
                  <w:rFonts w:ascii="Cambria Math" w:eastAsia="Cambria Math" w:hAnsi="Cambria Math" w:cs="Times New Roman"/>
                </w:rPr>
                <m:t>2018</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eastAsia="Cambria Math" w:hAnsi="Cambria Math" w:cs="Times New Roman"/>
                </w:rPr>
                <m:t>aid</m:t>
              </m:r>
            </m:e>
            <m:sub>
              <m:r>
                <w:rPr>
                  <w:rFonts w:ascii="Cambria Math" w:eastAsia="Cambria Math" w:hAnsi="Cambria Math" w:cs="Times New Roman"/>
                </w:rPr>
                <m:t>t</m:t>
              </m:r>
            </m:sub>
          </m:sSub>
          <m:r>
            <w:rPr>
              <w:rFonts w:ascii="Cambria Math" w:eastAsia="Cambria Math" w:hAnsi="Cambria Math" w:cs="Times New Roman"/>
            </w:rPr>
            <m:t>-</m:t>
          </m:r>
          <m:sSub>
            <m:sSubPr>
              <m:ctrlPr>
                <w:rPr>
                  <w:rFonts w:ascii="Cambria Math" w:eastAsia="Cambria Math" w:hAnsi="Cambria Math" w:cs="Times New Roman"/>
                </w:rPr>
              </m:ctrlPr>
            </m:sSubPr>
            <m:e>
              <m:r>
                <w:rPr>
                  <w:rFonts w:ascii="Cambria Math" w:eastAsia="Cambria Math" w:hAnsi="Cambria Math" w:cs="Times New Roman"/>
                </w:rPr>
                <m:t>aid</m:t>
              </m:r>
            </m:e>
            <m:sub>
              <m:r>
                <w:rPr>
                  <w:rFonts w:ascii="Cambria Math" w:eastAsia="Cambria Math" w:hAnsi="Cambria Math" w:cs="Times New Roman"/>
                </w:rPr>
                <m:t>2018</m:t>
              </m:r>
            </m:sub>
          </m:sSub>
          <m:r>
            <w:rPr>
              <w:rFonts w:ascii="Cambria Math" w:eastAsia="Cambria Math" w:hAnsi="Cambria Math" w:cs="Times New Roman"/>
            </w:rPr>
            <m:t>)*effect</m:t>
          </m:r>
        </m:oMath>
      </m:oMathPara>
    </w:p>
    <w:p w14:paraId="5B784FC7"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 xml:space="preserve">Where </w:t>
      </w:r>
      <w:r w:rsidRPr="00124791">
        <w:rPr>
          <w:rFonts w:ascii="Times New Roman" w:hAnsi="Times New Roman" w:cs="Times New Roman"/>
          <w:i/>
        </w:rPr>
        <w:t>t</w:t>
      </w:r>
      <w:r w:rsidRPr="00124791">
        <w:rPr>
          <w:rFonts w:ascii="Times New Roman" w:hAnsi="Times New Roman" w:cs="Times New Roman"/>
        </w:rPr>
        <w:t xml:space="preserve"> is a given year from 2018 to 2030, and the aid each year increases as new farmers receive guidance. The result is a shift from a BRL 1,803 monthly family income in 2018 to BRL 2,396 in 2030, following the gradual increase in the rate of establishments receiving guidance.</w:t>
      </w:r>
    </w:p>
    <w:p w14:paraId="31995BC3"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 xml:space="preserve">For the BAU scenario, until 2030, the accumulated cost was BRL 162 Bi and an accumulated revenue of BRL 218 Bi, thus resulting in a net of BRL 56 Bi (Figure X). In this scenario, we considered no expansion or reduction of the technical guidance, so there would be no increase in income. </w:t>
      </w:r>
    </w:p>
    <w:p w14:paraId="636212D7" w14:textId="77777777" w:rsidR="00C771E9" w:rsidRPr="00124791" w:rsidRDefault="00C771E9" w:rsidP="00C771E9">
      <w:pPr>
        <w:spacing w:after="120" w:line="360" w:lineRule="auto"/>
        <w:jc w:val="both"/>
        <w:rPr>
          <w:rFonts w:ascii="Times New Roman" w:hAnsi="Times New Roman" w:cs="Times New Roman"/>
        </w:rPr>
      </w:pPr>
      <w:r w:rsidRPr="00124791">
        <w:rPr>
          <w:rFonts w:ascii="Times New Roman" w:hAnsi="Times New Roman" w:cs="Times New Roman"/>
        </w:rPr>
        <w:t>In the governance scenario, 2018 to 2030 accumulated cost was BRL 200 Bi, while the accumulated revenue was BRL 319 Bi, resulting in a positive net return of BRL 119 Bi. In the governance scenario until 2030, 100% of agricultural establishments receive technical guidance (PAS Model), inducing a 33% increase in income.</w:t>
      </w:r>
    </w:p>
    <w:p w14:paraId="4479BB7D" w14:textId="77777777" w:rsidR="00C771E9" w:rsidRPr="00124791" w:rsidRDefault="00C771E9" w:rsidP="00C771E9">
      <w:pPr>
        <w:spacing w:after="120" w:line="360" w:lineRule="auto"/>
        <w:jc w:val="both"/>
        <w:rPr>
          <w:rFonts w:ascii="Times New Roman" w:eastAsia="Arial" w:hAnsi="Times New Roman" w:cs="Times New Roman"/>
        </w:rPr>
      </w:pPr>
      <w:r w:rsidRPr="00124791">
        <w:rPr>
          <w:rFonts w:ascii="Times New Roman" w:eastAsia="Arial" w:hAnsi="Times New Roman" w:cs="Times New Roman"/>
        </w:rPr>
        <w:lastRenderedPageBreak/>
        <w:t>Unlocking these benefits would require new investments on the order of $30 billion Brazilian Reais (BRL) until 2030. The return on that investment could be as high as BRL$100 billion in net revenue to the private sector, smallholders, and the government, while substantially reducing deforestation in the Brazilian Amazon, and its associated emissions. Adding restoration would require an additional BRL$77 billion, with a potential return of BRL$200 billion over the next 30 years.</w:t>
      </w:r>
    </w:p>
    <w:p w14:paraId="4D550131" w14:textId="77777777" w:rsidR="00C771E9" w:rsidRDefault="00C771E9"/>
    <w:sectPr w:rsidR="00C771E9" w:rsidSect="00C771E9">
      <w:headerReference w:type="default" r:id="rId8"/>
      <w:footerReference w:type="even" r:id="rId9"/>
      <w:footerReference w:type="default" r:id="rId10"/>
      <w:pgSz w:w="12240" w:h="15840"/>
      <w:pgMar w:top="1440" w:right="1800" w:bottom="1440"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E56A6D" w14:textId="77777777" w:rsidR="00000000" w:rsidRDefault="00000000">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14:paraId="633084ED" w14:textId="77777777" w:rsidR="00000000" w:rsidRDefault="00000000">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3DDAC2" w14:textId="77777777" w:rsidR="00000000" w:rsidRPr="005C6BAD" w:rsidRDefault="00000000">
    <w:pPr>
      <w:pBdr>
        <w:top w:val="nil"/>
        <w:left w:val="nil"/>
        <w:bottom w:val="nil"/>
        <w:right w:val="nil"/>
        <w:between w:val="nil"/>
      </w:pBdr>
      <w:tabs>
        <w:tab w:val="center" w:pos="4320"/>
        <w:tab w:val="right" w:pos="8640"/>
      </w:tabs>
      <w:jc w:val="right"/>
      <w:rPr>
        <w:rFonts w:ascii="Times New Roman" w:hAnsi="Times New Roman" w:cs="Times New Roman"/>
        <w:color w:val="000000"/>
      </w:rPr>
    </w:pPr>
    <w:r w:rsidRPr="005C6BAD">
      <w:rPr>
        <w:rFonts w:ascii="Times New Roman" w:hAnsi="Times New Roman" w:cs="Times New Roman"/>
        <w:color w:val="000000"/>
      </w:rPr>
      <w:fldChar w:fldCharType="begin"/>
    </w:r>
    <w:r w:rsidRPr="005C6BAD">
      <w:rPr>
        <w:rFonts w:ascii="Times New Roman" w:hAnsi="Times New Roman" w:cs="Times New Roman"/>
        <w:color w:val="000000"/>
      </w:rPr>
      <w:instrText>PAGE</w:instrText>
    </w:r>
    <w:r w:rsidRPr="005C6BAD">
      <w:rPr>
        <w:rFonts w:ascii="Times New Roman" w:hAnsi="Times New Roman" w:cs="Times New Roman"/>
        <w:color w:val="000000"/>
      </w:rPr>
      <w:fldChar w:fldCharType="separate"/>
    </w:r>
    <w:r w:rsidRPr="005C6BAD">
      <w:rPr>
        <w:rFonts w:ascii="Times New Roman" w:hAnsi="Times New Roman" w:cs="Times New Roman"/>
        <w:noProof/>
        <w:color w:val="000000"/>
      </w:rPr>
      <w:t>1</w:t>
    </w:r>
    <w:r w:rsidRPr="005C6BAD">
      <w:rPr>
        <w:rFonts w:ascii="Times New Roman" w:hAnsi="Times New Roman" w:cs="Times New Roman"/>
        <w:color w:val="000000"/>
      </w:rPr>
      <w:fldChar w:fldCharType="end"/>
    </w:r>
  </w:p>
  <w:p w14:paraId="28FE1A59" w14:textId="77777777" w:rsidR="00000000" w:rsidRDefault="00000000">
    <w:pPr>
      <w:pBdr>
        <w:top w:val="nil"/>
        <w:left w:val="nil"/>
        <w:bottom w:val="nil"/>
        <w:right w:val="nil"/>
        <w:between w:val="nil"/>
      </w:pBdr>
      <w:tabs>
        <w:tab w:val="center" w:pos="4320"/>
        <w:tab w:val="right" w:pos="8640"/>
      </w:tabs>
      <w:ind w:right="360"/>
      <w:rPr>
        <w:color w:val="00000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D11DE3" w14:textId="77777777" w:rsidR="00000000" w:rsidRDefault="00000000">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3503B28"/>
    <w:multiLevelType w:val="multilevel"/>
    <w:tmpl w:val="3DDEC542"/>
    <w:lvl w:ilvl="0">
      <w:start w:val="145"/>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8938114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71E9"/>
    <w:rsid w:val="009B0A3C"/>
    <w:rsid w:val="00C771E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BC8D04"/>
  <w15:chartTrackingRefBased/>
  <w15:docId w15:val="{9CA33476-2DAD-4076-9AC0-87E37376F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71E9"/>
    <w:pPr>
      <w:spacing w:after="0" w:line="240" w:lineRule="auto"/>
    </w:pPr>
    <w:rPr>
      <w:rFonts w:ascii="Cambria" w:eastAsia="Cambria" w:hAnsi="Cambria" w:cs="Cambria"/>
      <w:kern w:val="0"/>
      <w:lang w:val="en-US"/>
      <w14:ligatures w14:val="none"/>
    </w:rPr>
  </w:style>
  <w:style w:type="paragraph" w:styleId="Heading1">
    <w:name w:val="heading 1"/>
    <w:basedOn w:val="Normal"/>
    <w:next w:val="Normal"/>
    <w:link w:val="Heading1Char"/>
    <w:uiPriority w:val="9"/>
    <w:qFormat/>
    <w:rsid w:val="00C771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771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C771E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771E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771E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771E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771E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771E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771E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71E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771E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771E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771E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771E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771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771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771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771E9"/>
    <w:rPr>
      <w:rFonts w:eastAsiaTheme="majorEastAsia" w:cstheme="majorBidi"/>
      <w:color w:val="272727" w:themeColor="text1" w:themeTint="D8"/>
    </w:rPr>
  </w:style>
  <w:style w:type="paragraph" w:styleId="Title">
    <w:name w:val="Title"/>
    <w:basedOn w:val="Normal"/>
    <w:next w:val="Normal"/>
    <w:link w:val="TitleChar"/>
    <w:uiPriority w:val="10"/>
    <w:qFormat/>
    <w:rsid w:val="00C771E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771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771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771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771E9"/>
    <w:pPr>
      <w:spacing w:before="160"/>
      <w:jc w:val="center"/>
    </w:pPr>
    <w:rPr>
      <w:i/>
      <w:iCs/>
      <w:color w:val="404040" w:themeColor="text1" w:themeTint="BF"/>
    </w:rPr>
  </w:style>
  <w:style w:type="character" w:customStyle="1" w:styleId="QuoteChar">
    <w:name w:val="Quote Char"/>
    <w:basedOn w:val="DefaultParagraphFont"/>
    <w:link w:val="Quote"/>
    <w:uiPriority w:val="29"/>
    <w:rsid w:val="00C771E9"/>
    <w:rPr>
      <w:i/>
      <w:iCs/>
      <w:color w:val="404040" w:themeColor="text1" w:themeTint="BF"/>
    </w:rPr>
  </w:style>
  <w:style w:type="paragraph" w:styleId="ListParagraph">
    <w:name w:val="List Paragraph"/>
    <w:basedOn w:val="Normal"/>
    <w:uiPriority w:val="34"/>
    <w:qFormat/>
    <w:rsid w:val="00C771E9"/>
    <w:pPr>
      <w:ind w:left="720"/>
      <w:contextualSpacing/>
    </w:pPr>
  </w:style>
  <w:style w:type="character" w:styleId="IntenseEmphasis">
    <w:name w:val="Intense Emphasis"/>
    <w:basedOn w:val="DefaultParagraphFont"/>
    <w:uiPriority w:val="21"/>
    <w:qFormat/>
    <w:rsid w:val="00C771E9"/>
    <w:rPr>
      <w:i/>
      <w:iCs/>
      <w:color w:val="0F4761" w:themeColor="accent1" w:themeShade="BF"/>
    </w:rPr>
  </w:style>
  <w:style w:type="paragraph" w:styleId="IntenseQuote">
    <w:name w:val="Intense Quote"/>
    <w:basedOn w:val="Normal"/>
    <w:next w:val="Normal"/>
    <w:link w:val="IntenseQuoteChar"/>
    <w:uiPriority w:val="30"/>
    <w:qFormat/>
    <w:rsid w:val="00C771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771E9"/>
    <w:rPr>
      <w:i/>
      <w:iCs/>
      <w:color w:val="0F4761" w:themeColor="accent1" w:themeShade="BF"/>
    </w:rPr>
  </w:style>
  <w:style w:type="character" w:styleId="IntenseReference">
    <w:name w:val="Intense Reference"/>
    <w:basedOn w:val="DefaultParagraphFont"/>
    <w:uiPriority w:val="32"/>
    <w:qFormat/>
    <w:rsid w:val="00C771E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12100</Words>
  <Characters>68972</Characters>
  <Application>Microsoft Office Word</Application>
  <DocSecurity>0</DocSecurity>
  <Lines>574</Lines>
  <Paragraphs>161</Paragraphs>
  <ScaleCrop>false</ScaleCrop>
  <Company>Springer Nature</Company>
  <LinksUpToDate>false</LinksUpToDate>
  <CharactersWithSpaces>80911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2024-08-28T12:19:00Z</dcterms:created>
  <dcterms:modified xsi:type="dcterms:W3CDTF">2024-08-28T12:19:00Z</dcterms:modified>
</cp:coreProperties>
</file>