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339090</wp:posOffset>
            </wp:positionH>
            <wp:positionV relativeFrom="paragraph">
              <wp:posOffset>25400</wp:posOffset>
            </wp:positionV>
            <wp:extent cx="5765165" cy="3892550"/>
            <wp:effectExtent l="0" t="0" r="0" b="0"/>
            <wp:wrapSquare wrapText="largest"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165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Supporting Inofrmation Fig. S1. In vitro quantification of NOE proton exchange parameters using dot-product MRF. </w:t>
      </w:r>
      <w:r>
        <w:rPr>
          <w:rFonts w:ascii="arial" w:hAnsi="arial"/>
          <w:b w:val="false"/>
          <w:bCs w:val="false"/>
          <w:sz w:val="24"/>
          <w:szCs w:val="24"/>
        </w:rPr>
        <w:t>(</w:t>
      </w:r>
      <w:r>
        <w:rPr>
          <w:rFonts w:ascii="arial" w:hAnsi="arial"/>
          <w:b/>
          <w:bCs/>
          <w:sz w:val="24"/>
          <w:szCs w:val="24"/>
        </w:rPr>
        <w:t>a-d</w:t>
      </w:r>
      <w:r>
        <w:rPr>
          <w:rFonts w:ascii="arial" w:hAnsi="arial"/>
          <w:b w:val="false"/>
          <w:bCs w:val="false"/>
          <w:sz w:val="24"/>
          <w:szCs w:val="24"/>
        </w:rPr>
        <w:t>) Glucose-unit concentration and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 w:val="false"/>
          <w:bCs w:val="false"/>
          <w:sz w:val="24"/>
          <w:szCs w:val="24"/>
        </w:rPr>
        <w:t>(</w:t>
      </w:r>
      <w:r>
        <w:rPr>
          <w:rFonts w:ascii="arial" w:hAnsi="arial"/>
          <w:b/>
          <w:bCs/>
          <w:sz w:val="24"/>
          <w:szCs w:val="24"/>
        </w:rPr>
        <w:t>e-h</w:t>
      </w:r>
      <w:r>
        <w:rPr>
          <w:rFonts w:ascii="arial" w:hAnsi="arial"/>
          <w:b w:val="false"/>
          <w:bCs w:val="false"/>
          <w:sz w:val="24"/>
          <w:szCs w:val="24"/>
        </w:rPr>
        <w:t>) NOE proton exchange rate maps of bovine (</w:t>
      </w:r>
      <w:r>
        <w:rPr>
          <w:rFonts w:ascii="arial" w:hAnsi="arial"/>
          <w:b/>
          <w:bCs/>
          <w:sz w:val="24"/>
          <w:szCs w:val="24"/>
        </w:rPr>
        <w:t>a,b,e,f</w:t>
      </w:r>
      <w:r>
        <w:rPr>
          <w:rFonts w:ascii="arial" w:hAnsi="arial"/>
          <w:b w:val="false"/>
          <w:bCs w:val="false"/>
          <w:sz w:val="24"/>
          <w:szCs w:val="24"/>
        </w:rPr>
        <w:t>)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 w:val="false"/>
          <w:bCs w:val="false"/>
          <w:sz w:val="24"/>
          <w:szCs w:val="24"/>
        </w:rPr>
        <w:t>and rabbit (</w:t>
      </w:r>
      <w:r>
        <w:rPr>
          <w:rFonts w:ascii="arial" w:hAnsi="arial"/>
          <w:b/>
          <w:bCs/>
          <w:sz w:val="24"/>
          <w:szCs w:val="24"/>
        </w:rPr>
        <w:t>c,d,g,h</w:t>
      </w:r>
      <w:r>
        <w:rPr>
          <w:rFonts w:ascii="arial" w:hAnsi="arial"/>
          <w:b w:val="false"/>
          <w:bCs w:val="false"/>
          <w:sz w:val="24"/>
          <w:szCs w:val="24"/>
        </w:rPr>
        <w:t>) liver phantoms. The white text next to each vial represents the ground truth.</w:t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/>
      </w:pPr>
      <w:r>
        <w:rPr/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56806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Supporting Inofrmation Fig. S2</w:t>
      </w:r>
      <w:r>
        <w:rPr>
          <w:rFonts w:ascii="arial" w:hAnsi="arial"/>
          <w:b w:val="false"/>
          <w:bCs w:val="false"/>
          <w:sz w:val="24"/>
          <w:szCs w:val="24"/>
        </w:rPr>
        <w:t>.</w:t>
      </w:r>
      <w:r>
        <w:rPr>
          <w:rFonts w:ascii="arial" w:hAnsi="arial"/>
          <w:b/>
          <w:bCs/>
          <w:sz w:val="24"/>
          <w:szCs w:val="24"/>
        </w:rPr>
        <w:t xml:space="preserve"> Statistical analysis of the quantitative proton exchange parameters obtained in-vitro using dot-product matching.</w:t>
      </w:r>
      <w:r>
        <w:rPr>
          <w:rFonts w:ascii="arial" w:hAnsi="arial"/>
          <w:b w:val="false"/>
          <w:bCs w:val="false"/>
          <w:sz w:val="24"/>
          <w:szCs w:val="24"/>
        </w:rPr>
        <w:t xml:space="preserve"> 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>MRF determined glucose-unit concentrations in bovine (</w:t>
      </w:r>
      <w:r>
        <w:rPr>
          <w:rFonts w:ascii="arial" w:hAnsi="arial"/>
          <w:b/>
          <w:bCs/>
          <w:sz w:val="24"/>
          <w:szCs w:val="24"/>
          <w:shd w:fill="auto" w:val="clear"/>
        </w:rPr>
        <w:t>a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>) and rabbit (</w:t>
      </w:r>
      <w:r>
        <w:rPr>
          <w:rFonts w:ascii="arial" w:hAnsi="arial"/>
          <w:b/>
          <w:bCs/>
          <w:sz w:val="24"/>
          <w:szCs w:val="24"/>
          <w:shd w:fill="auto" w:val="clear"/>
        </w:rPr>
        <w:t>b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>) liver phantoms were significantly correlated (Pearson’s r &gt; 0.98, p&lt;0.001) with known concentrations. (</w:t>
      </w:r>
      <w:r>
        <w:rPr>
          <w:rFonts w:ascii="arial" w:hAnsi="arial"/>
          <w:b/>
          <w:bCs/>
          <w:sz w:val="24"/>
          <w:szCs w:val="24"/>
          <w:shd w:fill="auto" w:val="clear"/>
        </w:rPr>
        <w:t>c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>-</w:t>
      </w:r>
      <w:r>
        <w:rPr>
          <w:rFonts w:ascii="arial" w:hAnsi="arial"/>
          <w:b/>
          <w:bCs/>
          <w:sz w:val="24"/>
          <w:szCs w:val="24"/>
          <w:shd w:fill="auto" w:val="clear"/>
        </w:rPr>
        <w:t>d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 xml:space="preserve">) The NOE MRF determined proton exchange rates for the same phantoms. </w:t>
      </w:r>
      <w:r>
        <w:rPr>
          <w:rFonts w:eastAsia="Noto Serif CJK SC" w:cs="Lohit Devanagari" w:ascii="arial" w:hAnsi="arial"/>
          <w:b w:val="false"/>
          <w:bCs w:val="false"/>
          <w:color w:val="000000"/>
          <w:kern w:val="2"/>
          <w:sz w:val="24"/>
          <w:szCs w:val="24"/>
          <w:shd w:fill="auto" w:val="clear"/>
          <w:lang w:val="en-US" w:eastAsia="zh-CN" w:bidi="hi-IN"/>
        </w:rPr>
        <w:t xml:space="preserve">The black circles represent the mean and the bars represent the standard deviation. </w:t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87413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  <w:shd w:fill="auto" w:val="clear"/>
        </w:rPr>
        <w:t xml:space="preserve">Supporting Inofrmation Fig. S3. Quantitative 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>semisolid MT (f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ss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, k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ssw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)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 xml:space="preserve"> and rNOE 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(f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, k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sw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) parameter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 xml:space="preserve"> maps obtained using dot-product matching in four representative mice, alongside an anatomical T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2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-weighted image.</w:t>
      </w:r>
    </w:p>
    <w:p>
      <w:pPr>
        <w:pStyle w:val="Normal"/>
        <w:bidi w:val="0"/>
        <w:jc w:val="left"/>
        <w:rPr>
          <w:rFonts w:ascii="arial" w:hAnsi="arial" w:eastAsia="Noto Serif CJK SC" w:cs="Lohit Devanagari"/>
          <w:b/>
          <w:b/>
          <w:bCs/>
          <w:color w:val="auto"/>
          <w:kern w:val="2"/>
          <w:sz w:val="20"/>
          <w:szCs w:val="20"/>
          <w:shd w:fill="auto" w:val="clear"/>
          <w:lang w:val="en-IL" w:eastAsia="zh-CN" w:bidi="hi-IN"/>
        </w:rPr>
      </w:pPr>
      <w:r>
        <w:rPr>
          <w:rFonts w:eastAsia="Noto Serif CJK SC" w:cs="Lohit Devanagari" w:ascii="arial" w:hAnsi="arial"/>
          <w:b/>
          <w:bCs/>
          <w:color w:val="000000"/>
          <w:kern w:val="2"/>
          <w:sz w:val="20"/>
          <w:szCs w:val="20"/>
          <w:shd w:fill="auto" w:val="clear"/>
          <w:lang w:val="en-IL" w:eastAsia="zh-CN" w:bidi="hi-IN"/>
        </w:rPr>
      </w:r>
    </w:p>
    <w:p>
      <w:pPr>
        <w:pStyle w:val="Normal"/>
        <w:bidi w:val="0"/>
        <w:jc w:val="left"/>
        <w:rPr>
          <w:rFonts w:ascii="arial" w:hAnsi="arial" w:eastAsia="Noto Serif CJK SC" w:cs="Lohit Devanagari"/>
          <w:b/>
          <w:b/>
          <w:bCs/>
          <w:color w:val="auto"/>
          <w:kern w:val="2"/>
          <w:sz w:val="20"/>
          <w:szCs w:val="20"/>
          <w:shd w:fill="auto" w:val="clear"/>
          <w:lang w:val="en-IL" w:eastAsia="zh-CN" w:bidi="hi-IN"/>
        </w:rPr>
      </w:pPr>
      <w:r>
        <w:rPr>
          <w:rFonts w:eastAsia="Noto Serif CJK SC" w:cs="Lohit Devanagari" w:ascii="arial" w:hAnsi="arial"/>
          <w:b/>
          <w:bCs/>
          <w:color w:val="000000"/>
          <w:kern w:val="2"/>
          <w:sz w:val="20"/>
          <w:szCs w:val="20"/>
          <w:shd w:fill="auto" w:val="clear"/>
          <w:lang w:val="en-IL" w:eastAsia="zh-CN" w:bidi="hi-IN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796665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spacing w:lineRule="auto" w:line="360"/>
        <w:jc w:val="both"/>
        <w:rPr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  <w:shd w:fill="auto" w:val="clear"/>
        </w:rPr>
        <w:t>Supporting Inofrmation Fig. S4. Statistical analysis of the semisolid MT and rNOE proton volume fraction (f</w:t>
      </w:r>
      <w:r>
        <w:rPr>
          <w:rFonts w:ascii="arial" w:hAnsi="arial"/>
          <w:b/>
          <w:bCs/>
          <w:sz w:val="24"/>
          <w:szCs w:val="24"/>
          <w:shd w:fill="auto" w:val="clear"/>
          <w:vertAlign w:val="subscript"/>
        </w:rPr>
        <w:t>ss</w:t>
      </w:r>
      <w:r>
        <w:rPr>
          <w:rFonts w:ascii="arial" w:hAnsi="arial"/>
          <w:b/>
          <w:bCs/>
          <w:sz w:val="24"/>
          <w:szCs w:val="24"/>
          <w:shd w:fill="auto" w:val="clear"/>
        </w:rPr>
        <w:t>, f</w:t>
      </w:r>
      <w:r>
        <w:rPr>
          <w:rFonts w:ascii="arial" w:hAnsi="arial"/>
          <w:b/>
          <w:bCs/>
          <w:sz w:val="24"/>
          <w:szCs w:val="24"/>
          <w:shd w:fill="auto" w:val="clear"/>
          <w:vertAlign w:val="subscript"/>
        </w:rPr>
        <w:t>s</w:t>
      </w:r>
      <w:r>
        <w:rPr>
          <w:rFonts w:ascii="arial" w:hAnsi="arial"/>
          <w:b/>
          <w:bCs/>
          <w:sz w:val="24"/>
          <w:szCs w:val="24"/>
          <w:shd w:fill="auto" w:val="clear"/>
        </w:rPr>
        <w:t>) and exchange rate (k</w:t>
      </w:r>
      <w:r>
        <w:rPr>
          <w:rFonts w:ascii="arial" w:hAnsi="arial"/>
          <w:b/>
          <w:bCs/>
          <w:sz w:val="24"/>
          <w:szCs w:val="24"/>
          <w:shd w:fill="auto" w:val="clear"/>
          <w:vertAlign w:val="subscript"/>
        </w:rPr>
        <w:t>ssw</w:t>
      </w:r>
      <w:r>
        <w:rPr>
          <w:rFonts w:ascii="arial" w:hAnsi="arial"/>
          <w:b/>
          <w:bCs/>
          <w:sz w:val="24"/>
          <w:szCs w:val="24"/>
          <w:shd w:fill="auto" w:val="clear"/>
        </w:rPr>
        <w:t>, k</w:t>
      </w:r>
      <w:r>
        <w:rPr>
          <w:rFonts w:ascii="arial" w:hAnsi="arial"/>
          <w:b/>
          <w:bCs/>
          <w:sz w:val="24"/>
          <w:szCs w:val="24"/>
          <w:shd w:fill="auto" w:val="clear"/>
          <w:vertAlign w:val="subscript"/>
        </w:rPr>
        <w:t>sw</w:t>
      </w:r>
      <w:r>
        <w:rPr>
          <w:rFonts w:ascii="arial" w:hAnsi="arial"/>
          <w:b/>
          <w:bCs/>
          <w:sz w:val="24"/>
          <w:szCs w:val="24"/>
          <w:shd w:fill="auto" w:val="clear"/>
        </w:rPr>
        <w:t xml:space="preserve">)  parameters  extracted from in vivo mice brains (n=7) using dot-product matching.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>Note the false classification of the rNOE k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vertAlign w:val="subscript"/>
        </w:rPr>
        <w:t>sw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</w:rPr>
        <w:t xml:space="preserve"> (fixed at the maximum value available in the dictionary). **p&lt;0.01, ***p&lt;0.001, **** p&lt;0.0001, ns = not significant. 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618865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  <w:shd w:fill="auto" w:val="clear"/>
        </w:rPr>
        <w:t>Supporting Inofrmation Fig. S5</w:t>
      </w:r>
      <w:r>
        <w:rPr>
          <w:rFonts w:ascii="arial" w:hAnsi="arial"/>
          <w:shd w:fill="auto" w:val="clear"/>
        </w:rPr>
        <w:t xml:space="preserve">. </w:t>
      </w:r>
      <w:r>
        <w:rPr>
          <w:rFonts w:ascii="arial" w:hAnsi="arial"/>
          <w:b/>
          <w:bCs/>
          <w:shd w:fill="auto" w:val="clear"/>
        </w:rPr>
        <w:t>Quantitative semisolid MT and rNOE proton volume fraction (f</w:t>
      </w:r>
      <w:r>
        <w:rPr>
          <w:rFonts w:ascii="arial" w:hAnsi="arial"/>
          <w:b/>
          <w:bCs/>
          <w:shd w:fill="auto" w:val="clear"/>
          <w:vertAlign w:val="subscript"/>
        </w:rPr>
        <w:t>ss</w:t>
      </w:r>
      <w:r>
        <w:rPr>
          <w:rFonts w:ascii="arial" w:hAnsi="arial"/>
          <w:b/>
          <w:bCs/>
          <w:shd w:fill="auto" w:val="clear"/>
        </w:rPr>
        <w:t xml:space="preserve"> and f</w:t>
      </w:r>
      <w:r>
        <w:rPr>
          <w:rFonts w:ascii="arial" w:hAnsi="arial"/>
          <w:b/>
          <w:bCs/>
          <w:shd w:fill="auto" w:val="clear"/>
          <w:vertAlign w:val="subscript"/>
        </w:rPr>
        <w:t>s</w:t>
      </w:r>
      <w:r>
        <w:rPr>
          <w:rFonts w:ascii="arial" w:hAnsi="arial"/>
          <w:b w:val="false"/>
          <w:bCs w:val="false"/>
          <w:shd w:fill="auto" w:val="clear"/>
        </w:rPr>
        <w:t>,</w:t>
      </w:r>
      <w:r>
        <w:rPr>
          <w:rFonts w:ascii="arial" w:hAnsi="arial"/>
          <w:b/>
          <w:bCs/>
          <w:shd w:fill="auto" w:val="clear"/>
        </w:rPr>
        <w:t xml:space="preserve"> respectively) and exchange rate (k</w:t>
      </w:r>
      <w:r>
        <w:rPr>
          <w:rFonts w:ascii="arial" w:hAnsi="arial"/>
          <w:b/>
          <w:bCs/>
          <w:shd w:fill="auto" w:val="clear"/>
          <w:vertAlign w:val="subscript"/>
        </w:rPr>
        <w:t>ssw</w:t>
      </w:r>
      <w:r>
        <w:rPr>
          <w:rFonts w:ascii="arial" w:hAnsi="arial"/>
          <w:b/>
          <w:bCs/>
          <w:shd w:fill="auto" w:val="clear"/>
        </w:rPr>
        <w:t xml:space="preserve"> and k</w:t>
      </w:r>
      <w:r>
        <w:rPr>
          <w:rFonts w:ascii="arial" w:hAnsi="arial"/>
          <w:b/>
          <w:bCs/>
          <w:shd w:fill="auto" w:val="clear"/>
          <w:vertAlign w:val="subscript"/>
        </w:rPr>
        <w:t>sw</w:t>
      </w:r>
      <w:r>
        <w:rPr>
          <w:rFonts w:ascii="arial" w:hAnsi="arial"/>
          <w:b w:val="false"/>
          <w:bCs w:val="false"/>
          <w:shd w:fill="auto" w:val="clear"/>
        </w:rPr>
        <w:t>,</w:t>
      </w:r>
      <w:r>
        <w:rPr>
          <w:rFonts w:ascii="arial" w:hAnsi="arial"/>
          <w:b/>
          <w:bCs/>
          <w:shd w:fill="auto" w:val="clear"/>
        </w:rPr>
        <w:t xml:space="preserve"> respectively) parameter maps obtained from a representative human volunteer using dot-product matching.   </w:t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796665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796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b/>
          <w:bCs/>
          <w:sz w:val="24"/>
          <w:szCs w:val="24"/>
          <w:shd w:fill="auto" w:val="clear"/>
        </w:rPr>
        <w:t xml:space="preserve">Supporting Inofrmation Fig. S6. 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>Statistical analysis of the semisolid MT and rNOE proton volume fraction (f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ss</w:t>
      </w:r>
      <w:r>
        <w:rPr>
          <w:rFonts w:eastAsia="Noto Serif CJK SC" w:cs="Lohit Devanagari" w:ascii="arial" w:hAnsi="arial"/>
          <w:b w:val="false"/>
          <w:bCs w:val="false"/>
          <w:color w:val="000000"/>
          <w:kern w:val="2"/>
          <w:sz w:val="24"/>
          <w:szCs w:val="24"/>
          <w:shd w:fill="auto" w:val="clear"/>
          <w:lang w:val="en-IL" w:eastAsia="zh-CN" w:bidi="hi-IN"/>
        </w:rPr>
        <w:t>,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 xml:space="preserve"> f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>) and exchange rate (k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ssw</w:t>
      </w:r>
      <w:r>
        <w:rPr>
          <w:rFonts w:eastAsia="Noto Serif CJK SC" w:cs="Lohit Devanagari" w:ascii="arial" w:hAnsi="arial"/>
          <w:b w:val="false"/>
          <w:bCs w:val="false"/>
          <w:color w:val="000000"/>
          <w:kern w:val="2"/>
          <w:sz w:val="24"/>
          <w:szCs w:val="24"/>
          <w:shd w:fill="auto" w:val="clear"/>
          <w:lang w:val="en-IL" w:eastAsia="zh-CN" w:bidi="hi-IN"/>
        </w:rPr>
        <w:t>,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 xml:space="preserve"> k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vertAlign w:val="subscript"/>
          <w:lang w:val="en-IL" w:eastAsia="zh-CN" w:bidi="hi-IN"/>
        </w:rPr>
        <w:t>sw</w:t>
      </w:r>
      <w:r>
        <w:rPr>
          <w:rFonts w:eastAsia="Noto Serif CJK SC" w:cs="Lohit Devanagari" w:ascii="arial" w:hAnsi="arial"/>
          <w:b/>
          <w:bCs/>
          <w:color w:val="000000"/>
          <w:kern w:val="2"/>
          <w:sz w:val="24"/>
          <w:szCs w:val="24"/>
          <w:shd w:fill="auto" w:val="clear"/>
          <w:lang w:val="en-IL" w:eastAsia="zh-CN" w:bidi="hi-IN"/>
        </w:rPr>
        <w:t>)  parameters extracted from in vivo human volunteer brains (n=5) using dot-product matching. *p&lt;0.05, **p&lt;0.01, ***p&lt;0.001, ****p&lt;0.0001</w:t>
      </w:r>
      <w:r>
        <w:rPr>
          <w:rFonts w:eastAsia="Noto Serif CJK SC" w:cs="Lohit Devanagari" w:ascii="arial" w:hAnsi="arial"/>
          <w:b/>
          <w:bCs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IL" w:eastAsia="zh-CN" w:bidi="hi-IN"/>
        </w:rPr>
        <w:t>.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jc w:val="left"/>
        <w:rPr>
          <w:rFonts w:ascii="aRIAL" w:hAnsi="aRIAL" w:eastAsia="Noto Serif CJK SC" w:cs="Lohit Devanagari"/>
          <w:b w:val="false"/>
          <w:b w:val="false"/>
          <w:bCs w:val="false"/>
          <w:i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</w:pPr>
      <w:r>
        <w:rPr>
          <w:rFonts w:eastAsia="Noto Serif CJK SC" w:cs="Lohit Devanagari" w:ascii="arial" w:hAnsi="arial"/>
          <w:b/>
          <w:bCs/>
          <w:i w:val="false"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US" w:eastAsia="zh-CN" w:bidi="hi-IN"/>
        </w:rPr>
        <w:t xml:space="preserve">Supporting Information Table </w:t>
      </w:r>
      <w:r>
        <w:rPr>
          <w:rFonts w:eastAsia="Noto Serif CJK SC" w:cs="Lohit Devanagari" w:ascii="arial" w:hAnsi="arial"/>
          <w:b/>
          <w:bCs/>
          <w:i w:val="false"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US" w:eastAsia="zh-CN" w:bidi="hi-IN"/>
        </w:rPr>
        <w:t>S</w:t>
      </w:r>
      <w:r>
        <w:rPr>
          <w:rFonts w:eastAsia="Noto Serif CJK SC" w:cs="Lohit Devanagari" w:ascii="arial" w:hAnsi="arial"/>
          <w:b/>
          <w:bCs/>
          <w:i w:val="false"/>
          <w:color w:val="000000"/>
          <w:kern w:val="2"/>
          <w:position w:val="0"/>
          <w:sz w:val="24"/>
          <w:sz w:val="24"/>
          <w:szCs w:val="24"/>
          <w:shd w:fill="auto" w:val="clear"/>
          <w:vertAlign w:val="baseline"/>
          <w:lang w:val="en-US" w:eastAsia="zh-CN" w:bidi="hi-IN"/>
        </w:rPr>
        <w:t>1. Acquisition parameters used.</w:t>
      </w:r>
    </w:p>
    <w:tbl>
      <w:tblPr>
        <w:tblW w:w="10488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64"/>
        <w:gridCol w:w="1"/>
        <w:gridCol w:w="240"/>
        <w:gridCol w:w="7"/>
        <w:gridCol w:w="99"/>
        <w:gridCol w:w="2"/>
        <w:gridCol w:w="148"/>
        <w:gridCol w:w="67"/>
        <w:gridCol w:w="67"/>
        <w:gridCol w:w="1"/>
        <w:gridCol w:w="20"/>
        <w:gridCol w:w="65"/>
        <w:gridCol w:w="27"/>
        <w:gridCol w:w="167"/>
        <w:gridCol w:w="44"/>
        <w:gridCol w:w="1"/>
        <w:gridCol w:w="239"/>
        <w:gridCol w:w="42"/>
        <w:gridCol w:w="3"/>
        <w:gridCol w:w="36"/>
        <w:gridCol w:w="166"/>
        <w:gridCol w:w="46"/>
        <w:gridCol w:w="47"/>
        <w:gridCol w:w="60"/>
        <w:gridCol w:w="1"/>
        <w:gridCol w:w="85"/>
        <w:gridCol w:w="63"/>
        <w:gridCol w:w="126"/>
        <w:gridCol w:w="42"/>
        <w:gridCol w:w="2"/>
        <w:gridCol w:w="6"/>
        <w:gridCol w:w="67"/>
        <w:gridCol w:w="172"/>
        <w:gridCol w:w="77"/>
        <w:gridCol w:w="4"/>
        <w:gridCol w:w="158"/>
        <w:gridCol w:w="82"/>
        <w:gridCol w:w="6"/>
        <w:gridCol w:w="62"/>
        <w:gridCol w:w="1"/>
        <w:gridCol w:w="187"/>
        <w:gridCol w:w="141"/>
        <w:gridCol w:w="27"/>
        <w:gridCol w:w="48"/>
        <w:gridCol w:w="1"/>
        <w:gridCol w:w="32"/>
        <w:gridCol w:w="132"/>
        <w:gridCol w:w="57"/>
        <w:gridCol w:w="10"/>
        <w:gridCol w:w="48"/>
        <w:gridCol w:w="125"/>
        <w:gridCol w:w="116"/>
        <w:gridCol w:w="10"/>
        <w:gridCol w:w="34"/>
        <w:gridCol w:w="80"/>
        <w:gridCol w:w="97"/>
        <w:gridCol w:w="35"/>
        <w:gridCol w:w="76"/>
        <w:gridCol w:w="6"/>
        <w:gridCol w:w="111"/>
        <w:gridCol w:w="2"/>
        <w:gridCol w:w="57"/>
        <w:gridCol w:w="52"/>
        <w:gridCol w:w="9"/>
        <w:gridCol w:w="74"/>
        <w:gridCol w:w="37"/>
        <w:gridCol w:w="1"/>
        <w:gridCol w:w="73"/>
        <w:gridCol w:w="42"/>
        <w:gridCol w:w="1"/>
        <w:gridCol w:w="161"/>
        <w:gridCol w:w="24"/>
        <w:gridCol w:w="23"/>
        <w:gridCol w:w="76"/>
        <w:gridCol w:w="59"/>
        <w:gridCol w:w="106"/>
        <w:gridCol w:w="8"/>
        <w:gridCol w:w="68"/>
        <w:gridCol w:w="93"/>
        <w:gridCol w:w="87"/>
        <w:gridCol w:w="60"/>
        <w:gridCol w:w="23"/>
        <w:gridCol w:w="66"/>
        <w:gridCol w:w="1"/>
        <w:gridCol w:w="1"/>
        <w:gridCol w:w="98"/>
        <w:gridCol w:w="209"/>
        <w:gridCol w:w="18"/>
        <w:gridCol w:w="19"/>
        <w:gridCol w:w="2"/>
        <w:gridCol w:w="250"/>
        <w:gridCol w:w="28"/>
        <w:gridCol w:w="2"/>
        <w:gridCol w:w="1"/>
        <w:gridCol w:w="42"/>
        <w:gridCol w:w="285"/>
        <w:gridCol w:w="2"/>
        <w:gridCol w:w="137"/>
        <w:gridCol w:w="152"/>
        <w:gridCol w:w="47"/>
        <w:gridCol w:w="298"/>
        <w:gridCol w:w="47"/>
        <w:gridCol w:w="2"/>
        <w:gridCol w:w="1"/>
        <w:gridCol w:w="5"/>
        <w:gridCol w:w="266"/>
        <w:gridCol w:w="67"/>
        <w:gridCol w:w="88"/>
        <w:gridCol w:w="22"/>
        <w:gridCol w:w="69"/>
        <w:gridCol w:w="50"/>
        <w:gridCol w:w="1"/>
        <w:gridCol w:w="125"/>
        <w:gridCol w:w="5"/>
        <w:gridCol w:w="216"/>
        <w:gridCol w:w="3"/>
        <w:gridCol w:w="224"/>
        <w:gridCol w:w="1"/>
        <w:gridCol w:w="52"/>
        <w:gridCol w:w="172"/>
        <w:gridCol w:w="3"/>
        <w:gridCol w:w="227"/>
        <w:gridCol w:w="58"/>
        <w:gridCol w:w="38"/>
        <w:gridCol w:w="246"/>
        <w:gridCol w:w="1"/>
        <w:gridCol w:w="3"/>
        <w:gridCol w:w="249"/>
        <w:gridCol w:w="28"/>
        <w:gridCol w:w="4"/>
        <w:gridCol w:w="282"/>
        <w:gridCol w:w="4"/>
        <w:gridCol w:w="50"/>
        <w:gridCol w:w="129"/>
        <w:gridCol w:w="16"/>
        <w:gridCol w:w="142"/>
        <w:gridCol w:w="307"/>
      </w:tblGrid>
      <w:tr>
        <w:trPr/>
        <w:tc>
          <w:tcPr>
            <w:tcW w:w="10483" w:type="dxa"/>
            <w:gridSpan w:val="13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BSA / In Vivo Mice rNOE</w:t>
            </w:r>
          </w:p>
        </w:tc>
      </w:tr>
      <w:tr>
        <w:trPr/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B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1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/>
                <w:b w:val="false"/>
                <w:b w:val="false"/>
                <w:bCs w:val="false"/>
                <w:sz w:val="16"/>
                <w:szCs w:val="16"/>
              </w:rPr>
            </w:pPr>
            <w:r>
              <w:rPr>
                <w:rFonts w:ascii="arial" w:hAnsi="arial"/>
                <w:b w:val="false"/>
                <w:bCs w:val="false"/>
                <w:sz w:val="16"/>
                <w:szCs w:val="16"/>
              </w:rPr>
              <w:t>(</w:t>
            </w:r>
            <w:r>
              <w:rPr>
                <w:rFonts w:eastAsia="Noto Serif CJK SC" w:cs="Lohit Devanagari" w:ascii="arial" w:hAnsi="arial"/>
                <w:b w:val="false"/>
                <w:bCs w:val="false"/>
                <w:sz w:val="16"/>
                <w:szCs w:val="16"/>
              </w:rPr>
              <w:t>µ</w:t>
            </w:r>
            <w:r>
              <w:rPr>
                <w:rFonts w:ascii="arial" w:hAnsi="arial"/>
                <w:b w:val="false"/>
                <w:bCs w:val="false"/>
                <w:sz w:val="16"/>
                <w:szCs w:val="16"/>
              </w:rPr>
              <w:t>T)</w:t>
            </w:r>
          </w:p>
        </w:tc>
        <w:tc>
          <w:tcPr>
            <w:tcW w:w="24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323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347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1.7</w:t>
            </w:r>
          </w:p>
        </w:tc>
        <w:tc>
          <w:tcPr>
            <w:tcW w:w="326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98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335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366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44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  <w:tc>
          <w:tcPr>
            <w:tcW w:w="424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  <w:tc>
          <w:tcPr>
            <w:tcW w:w="270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  <w:tc>
          <w:tcPr>
            <w:tcW w:w="299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332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311" w:type="dxa"/>
            <w:gridSpan w:val="7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15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288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39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412" w:type="dxa"/>
            <w:gridSpan w:val="7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325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8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338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0.2</w:t>
            </w:r>
          </w:p>
        </w:tc>
        <w:tc>
          <w:tcPr>
            <w:tcW w:w="348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38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355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22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4</w:t>
            </w:r>
          </w:p>
        </w:tc>
        <w:tc>
          <w:tcPr>
            <w:tcW w:w="452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288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3.5</w:t>
            </w:r>
          </w:p>
        </w:tc>
        <w:tc>
          <w:tcPr>
            <w:tcW w:w="28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81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2.7</w:t>
            </w:r>
          </w:p>
        </w:tc>
        <w:tc>
          <w:tcPr>
            <w:tcW w:w="286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648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Noto Serif CJK SC" w:cs="Lohit Devanagari" w:ascii="arial" w:hAnsi="arial"/>
                <w:b/>
                <w:bCs/>
                <w:sz w:val="16"/>
                <w:szCs w:val="16"/>
              </w:rPr>
              <w:t>ω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rf</w:t>
            </w:r>
            <w:r>
              <w:rPr>
                <w:rFonts w:ascii="arial" w:hAnsi="arial"/>
                <w:b/>
                <w:bCs/>
                <w:position w:val="0"/>
                <w:sz w:val="16"/>
                <w:sz w:val="16"/>
                <w:szCs w:val="16"/>
                <w:vertAlign w:val="baseline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position w:val="0"/>
                <w:sz w:val="16"/>
                <w:sz w:val="16"/>
                <w:szCs w:val="16"/>
                <w:vertAlign w:val="baseline"/>
              </w:rPr>
              <w:t>(ppm)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-3.5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sat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rec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FA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(°)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90</w:t>
            </w:r>
          </w:p>
        </w:tc>
      </w:tr>
      <w:tr>
        <w:trPr/>
        <w:tc>
          <w:tcPr>
            <w:tcW w:w="10483" w:type="dxa"/>
            <w:gridSpan w:val="13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Glycogen Phantoms rNOE</w:t>
            </w:r>
          </w:p>
        </w:tc>
      </w:tr>
      <w:tr>
        <w:trPr/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B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1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(µT)</w:t>
            </w:r>
          </w:p>
        </w:tc>
        <w:tc>
          <w:tcPr>
            <w:tcW w:w="24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.26</w:t>
            </w:r>
          </w:p>
        </w:tc>
        <w:tc>
          <w:tcPr>
            <w:tcW w:w="323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.08</w:t>
            </w:r>
          </w:p>
        </w:tc>
        <w:tc>
          <w:tcPr>
            <w:tcW w:w="347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.46</w:t>
            </w:r>
          </w:p>
        </w:tc>
        <w:tc>
          <w:tcPr>
            <w:tcW w:w="326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.01</w:t>
            </w:r>
          </w:p>
        </w:tc>
        <w:tc>
          <w:tcPr>
            <w:tcW w:w="298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.07</w:t>
            </w:r>
          </w:p>
        </w:tc>
        <w:tc>
          <w:tcPr>
            <w:tcW w:w="335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.02</w:t>
            </w:r>
          </w:p>
        </w:tc>
        <w:tc>
          <w:tcPr>
            <w:tcW w:w="366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.09</w:t>
            </w:r>
          </w:p>
        </w:tc>
        <w:tc>
          <w:tcPr>
            <w:tcW w:w="244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.45</w:t>
            </w:r>
          </w:p>
        </w:tc>
        <w:tc>
          <w:tcPr>
            <w:tcW w:w="424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.09</w:t>
            </w:r>
          </w:p>
        </w:tc>
        <w:tc>
          <w:tcPr>
            <w:tcW w:w="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0.02</w:t>
            </w:r>
          </w:p>
        </w:tc>
        <w:tc>
          <w:tcPr>
            <w:tcW w:w="270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.02</w:t>
            </w:r>
          </w:p>
        </w:tc>
        <w:tc>
          <w:tcPr>
            <w:tcW w:w="299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.03</w:t>
            </w:r>
          </w:p>
        </w:tc>
        <w:tc>
          <w:tcPr>
            <w:tcW w:w="332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.42</w:t>
            </w:r>
          </w:p>
        </w:tc>
        <w:tc>
          <w:tcPr>
            <w:tcW w:w="311" w:type="dxa"/>
            <w:gridSpan w:val="7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.23</w:t>
            </w:r>
          </w:p>
        </w:tc>
        <w:tc>
          <w:tcPr>
            <w:tcW w:w="315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.11</w:t>
            </w:r>
          </w:p>
        </w:tc>
        <w:tc>
          <w:tcPr>
            <w:tcW w:w="288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.16</w:t>
            </w:r>
          </w:p>
        </w:tc>
        <w:tc>
          <w:tcPr>
            <w:tcW w:w="339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0</w:t>
            </w:r>
          </w:p>
        </w:tc>
        <w:tc>
          <w:tcPr>
            <w:tcW w:w="412" w:type="dxa"/>
            <w:gridSpan w:val="7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.38</w:t>
            </w:r>
          </w:p>
        </w:tc>
        <w:tc>
          <w:tcPr>
            <w:tcW w:w="325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.02</w:t>
            </w:r>
          </w:p>
        </w:tc>
        <w:tc>
          <w:tcPr>
            <w:tcW w:w="28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.09</w:t>
            </w:r>
          </w:p>
        </w:tc>
        <w:tc>
          <w:tcPr>
            <w:tcW w:w="338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.18</w:t>
            </w:r>
          </w:p>
        </w:tc>
        <w:tc>
          <w:tcPr>
            <w:tcW w:w="348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.31</w:t>
            </w:r>
          </w:p>
        </w:tc>
        <w:tc>
          <w:tcPr>
            <w:tcW w:w="338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.33</w:t>
            </w:r>
          </w:p>
        </w:tc>
        <w:tc>
          <w:tcPr>
            <w:tcW w:w="355" w:type="dxa"/>
            <w:gridSpan w:val="6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.38</w:t>
            </w:r>
          </w:p>
        </w:tc>
        <w:tc>
          <w:tcPr>
            <w:tcW w:w="221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.11</w:t>
            </w:r>
          </w:p>
        </w:tc>
        <w:tc>
          <w:tcPr>
            <w:tcW w:w="452" w:type="dxa"/>
            <w:gridSpan w:val="5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.03</w:t>
            </w:r>
          </w:p>
        </w:tc>
        <w:tc>
          <w:tcPr>
            <w:tcW w:w="288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.25</w:t>
            </w:r>
          </w:p>
        </w:tc>
        <w:tc>
          <w:tcPr>
            <w:tcW w:w="28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.03</w:t>
            </w:r>
          </w:p>
        </w:tc>
        <w:tc>
          <w:tcPr>
            <w:tcW w:w="281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.18</w:t>
            </w:r>
          </w:p>
        </w:tc>
        <w:tc>
          <w:tcPr>
            <w:tcW w:w="340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.27</w:t>
            </w:r>
          </w:p>
        </w:tc>
        <w:tc>
          <w:tcPr>
            <w:tcW w:w="59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 xml:space="preserve"> </w:t>
            </w: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.42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Noto Serif CJK SC" w:cs="Lohit Devanagari" w:ascii="arial" w:hAnsi="arial"/>
                <w:b/>
                <w:bCs/>
                <w:sz w:val="16"/>
                <w:szCs w:val="16"/>
              </w:rPr>
              <w:t>ω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rf</w:t>
            </w:r>
            <w:r>
              <w:rPr>
                <w:rFonts w:ascii="arial" w:hAnsi="arial"/>
                <w:b/>
                <w:bCs/>
                <w:position w:val="0"/>
                <w:sz w:val="16"/>
                <w:sz w:val="16"/>
                <w:szCs w:val="16"/>
                <w:vertAlign w:val="baseline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position w:val="0"/>
                <w:sz w:val="16"/>
                <w:sz w:val="16"/>
                <w:szCs w:val="16"/>
                <w:vertAlign w:val="baseline"/>
              </w:rPr>
              <w:t>(ppm)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-1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sat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rec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3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FA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(°)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90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vertAlign w:val="subscript"/>
              </w:rPr>
            </w:pPr>
            <w:r>
              <w:rPr>
                <w:vertAlign w:val="subscript"/>
              </w:rPr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In Vivo Mice MT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B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1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(µT)</w:t>
            </w:r>
          </w:p>
        </w:tc>
        <w:tc>
          <w:tcPr>
            <w:tcW w:w="247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101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303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1.7</w:t>
            </w:r>
          </w:p>
        </w:tc>
        <w:tc>
          <w:tcPr>
            <w:tcW w:w="304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47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39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39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  <w:tc>
          <w:tcPr>
            <w:tcW w:w="23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39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  <w:tc>
          <w:tcPr>
            <w:tcW w:w="479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240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240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40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214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31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227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285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41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40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0.2</w:t>
            </w:r>
          </w:p>
        </w:tc>
        <w:tc>
          <w:tcPr>
            <w:tcW w:w="416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02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466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497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4</w:t>
            </w:r>
          </w:p>
        </w:tc>
        <w:tc>
          <w:tcPr>
            <w:tcW w:w="476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491" w:type="dxa"/>
            <w:gridSpan w:val="8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3.5</w:t>
            </w:r>
          </w:p>
        </w:tc>
        <w:tc>
          <w:tcPr>
            <w:tcW w:w="452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573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2.7</w:t>
            </w:r>
          </w:p>
        </w:tc>
        <w:tc>
          <w:tcPr>
            <w:tcW w:w="567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644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Noto Serif CJK SC" w:cs="Lohit Devanagari" w:ascii="arial" w:hAnsi="arial"/>
                <w:b/>
                <w:bCs/>
                <w:sz w:val="16"/>
                <w:szCs w:val="16"/>
              </w:rPr>
              <w:t>ω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rf</w:t>
            </w:r>
            <w:r>
              <w:rPr>
                <w:rFonts w:ascii="arial" w:hAnsi="arial"/>
                <w:b/>
                <w:bCs/>
                <w:position w:val="0"/>
                <w:sz w:val="16"/>
                <w:sz w:val="16"/>
                <w:szCs w:val="16"/>
                <w:vertAlign w:val="baseline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position w:val="0"/>
                <w:sz w:val="16"/>
                <w:sz w:val="16"/>
                <w:szCs w:val="16"/>
                <w:vertAlign w:val="baseline"/>
              </w:rPr>
              <w:t>(ppm)</w:t>
            </w:r>
          </w:p>
        </w:tc>
        <w:tc>
          <w:tcPr>
            <w:tcW w:w="247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49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47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496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48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56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43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53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46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50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249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247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51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46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52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46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51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49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48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249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498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497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497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498" w:type="dxa"/>
            <w:gridSpan w:val="8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50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496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498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499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497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46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sat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2.5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rec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FA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(°)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90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Noto Serif CJK SC" w:cs="Lohit Devanagari" w:ascii="arial" w:hAnsi="arial"/>
                <w:b/>
                <w:bCs/>
                <w:sz w:val="16"/>
                <w:szCs w:val="16"/>
              </w:rPr>
              <w:t>ω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rf</w:t>
            </w:r>
            <w:r>
              <w:rPr>
                <w:rFonts w:ascii="arial" w:hAnsi="arial"/>
                <w:b/>
                <w:bCs/>
                <w:position w:val="0"/>
                <w:sz w:val="16"/>
                <w:sz w:val="16"/>
                <w:szCs w:val="16"/>
                <w:vertAlign w:val="baseline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position w:val="0"/>
                <w:sz w:val="16"/>
                <w:sz w:val="16"/>
                <w:szCs w:val="16"/>
                <w:vertAlign w:val="baseline"/>
              </w:rPr>
              <w:t>(ppm)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Human Subjects Semisolid MT</w:t>
            </w:r>
          </w:p>
        </w:tc>
      </w:tr>
      <w:tr>
        <w:trPr/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B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1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(µT)</w:t>
            </w:r>
          </w:p>
        </w:tc>
        <w:tc>
          <w:tcPr>
            <w:tcW w:w="347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285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323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1.7</w:t>
            </w:r>
          </w:p>
        </w:tc>
        <w:tc>
          <w:tcPr>
            <w:tcW w:w="321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20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318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322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313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  <w:tc>
          <w:tcPr>
            <w:tcW w:w="404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31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  <w:tc>
          <w:tcPr>
            <w:tcW w:w="333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  <w:tc>
          <w:tcPr>
            <w:tcW w:w="407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230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301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670" w:type="dxa"/>
            <w:gridSpan w:val="1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08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319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330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8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394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0.2</w:t>
            </w:r>
          </w:p>
        </w:tc>
        <w:tc>
          <w:tcPr>
            <w:tcW w:w="272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97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346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228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4</w:t>
            </w:r>
          </w:p>
        </w:tc>
        <w:tc>
          <w:tcPr>
            <w:tcW w:w="224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573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3.5</w:t>
            </w:r>
          </w:p>
        </w:tc>
        <w:tc>
          <w:tcPr>
            <w:tcW w:w="280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86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2.7</w:t>
            </w:r>
          </w:p>
        </w:tc>
        <w:tc>
          <w:tcPr>
            <w:tcW w:w="341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3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</w:tr>
      <w:tr>
        <w:trPr/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Noto Serif CJK SC" w:cs="Lohit Devanagari" w:ascii="arial" w:hAnsi="arial"/>
                <w:b/>
                <w:bCs/>
                <w:sz w:val="16"/>
                <w:szCs w:val="16"/>
              </w:rPr>
              <w:t>ω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rf</w:t>
            </w:r>
            <w:r>
              <w:rPr>
                <w:rFonts w:ascii="arial" w:hAnsi="arial"/>
                <w:b/>
                <w:bCs/>
                <w:position w:val="0"/>
                <w:sz w:val="16"/>
                <w:sz w:val="16"/>
                <w:szCs w:val="16"/>
                <w:vertAlign w:val="baseline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position w:val="0"/>
                <w:sz w:val="16"/>
                <w:sz w:val="16"/>
                <w:szCs w:val="16"/>
                <w:vertAlign w:val="baseline"/>
              </w:rPr>
              <w:t>(ppm)</w:t>
            </w:r>
          </w:p>
        </w:tc>
        <w:tc>
          <w:tcPr>
            <w:tcW w:w="347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84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324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82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358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317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324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312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404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22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343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405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231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302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669" w:type="dxa"/>
            <w:gridSpan w:val="11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346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80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330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291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392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74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96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347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6</w:t>
            </w:r>
          </w:p>
        </w:tc>
        <w:tc>
          <w:tcPr>
            <w:tcW w:w="227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2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572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14</w:t>
            </w:r>
          </w:p>
        </w:tc>
        <w:tc>
          <w:tcPr>
            <w:tcW w:w="281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  <w:tc>
          <w:tcPr>
            <w:tcW w:w="286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10</w:t>
            </w:r>
          </w:p>
        </w:tc>
        <w:tc>
          <w:tcPr>
            <w:tcW w:w="648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8</w:t>
            </w:r>
          </w:p>
        </w:tc>
      </w:tr>
      <w:tr>
        <w:trPr>
          <w:trHeight w:val="232" w:hRule="atLeast"/>
        </w:trPr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sat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A saturation pulse train of 13 rectangular pulses, 100 ms "on", 50% duty cycle.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rec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FA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(°)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Human Subjects rNOE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B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1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(µT)</w:t>
            </w:r>
          </w:p>
        </w:tc>
        <w:tc>
          <w:tcPr>
            <w:tcW w:w="247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101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368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1.7</w:t>
            </w:r>
          </w:p>
        </w:tc>
        <w:tc>
          <w:tcPr>
            <w:tcW w:w="239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47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39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39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  <w:tc>
          <w:tcPr>
            <w:tcW w:w="239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39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</w:t>
            </w:r>
          </w:p>
        </w:tc>
        <w:tc>
          <w:tcPr>
            <w:tcW w:w="479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240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240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337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339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37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2.2</w:t>
            </w:r>
          </w:p>
        </w:tc>
        <w:tc>
          <w:tcPr>
            <w:tcW w:w="343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275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1.2</w:t>
            </w:r>
          </w:p>
        </w:tc>
        <w:tc>
          <w:tcPr>
            <w:tcW w:w="238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346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0.2</w:t>
            </w:r>
          </w:p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</w:r>
          </w:p>
        </w:tc>
        <w:tc>
          <w:tcPr>
            <w:tcW w:w="281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466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2.5</w:t>
            </w:r>
          </w:p>
        </w:tc>
        <w:tc>
          <w:tcPr>
            <w:tcW w:w="552" w:type="dxa"/>
            <w:gridSpan w:val="7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512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4</w:t>
            </w:r>
          </w:p>
        </w:tc>
        <w:tc>
          <w:tcPr>
            <w:tcW w:w="400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3.2</w:t>
            </w:r>
          </w:p>
        </w:tc>
        <w:tc>
          <w:tcPr>
            <w:tcW w:w="679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/>
            </w:pPr>
            <w:r>
              <w:rPr>
                <w:rFonts w:ascii="arial" w:hAnsi="arial"/>
                <w:sz w:val="16"/>
                <w:szCs w:val="16"/>
              </w:rPr>
              <w:t>3.5</w:t>
            </w:r>
          </w:p>
        </w:tc>
        <w:tc>
          <w:tcPr>
            <w:tcW w:w="346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1.5</w:t>
            </w:r>
          </w:p>
        </w:tc>
        <w:tc>
          <w:tcPr>
            <w:tcW w:w="281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bidi w:val="0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2.7</w:t>
            </w:r>
          </w:p>
        </w:tc>
        <w:tc>
          <w:tcPr>
            <w:tcW w:w="481" w:type="dxa"/>
            <w:gridSpan w:val="5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0.7</w:t>
            </w:r>
          </w:p>
        </w:tc>
        <w:tc>
          <w:tcPr>
            <w:tcW w:w="44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Noto Serif CJK SC" w:cs="Lohit Devanagari" w:ascii="arial" w:hAnsi="arial"/>
                <w:b/>
                <w:bCs/>
                <w:sz w:val="16"/>
                <w:szCs w:val="16"/>
              </w:rPr>
              <w:t>ω</w:t>
            </w:r>
            <w:r>
              <w:rPr>
                <w:rFonts w:ascii="arial" w:hAnsi="arial"/>
                <w:b/>
                <w:bCs/>
                <w:sz w:val="16"/>
                <w:szCs w:val="16"/>
                <w:vertAlign w:val="subscript"/>
              </w:rPr>
              <w:t>rf</w:t>
            </w:r>
            <w:r>
              <w:rPr>
                <w:rFonts w:ascii="arial" w:hAnsi="arial"/>
                <w:b/>
                <w:bCs/>
                <w:position w:val="0"/>
                <w:sz w:val="16"/>
                <w:sz w:val="16"/>
                <w:szCs w:val="16"/>
                <w:vertAlign w:val="baseline"/>
              </w:rPr>
              <w:t xml:space="preserve"> </w:t>
            </w:r>
            <w:r>
              <w:rPr>
                <w:rFonts w:ascii="arial" w:hAnsi="arial"/>
                <w:b w:val="false"/>
                <w:bCs w:val="false"/>
                <w:position w:val="0"/>
                <w:sz w:val="16"/>
                <w:sz w:val="16"/>
                <w:szCs w:val="16"/>
                <w:vertAlign w:val="baseline"/>
              </w:rPr>
              <w:t>(ppm)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-3.5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sat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A saturation pulse train of 13 rectangular pulses, 100 ms "on", 50% duty cycle.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T</w:t>
            </w: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vertAlign w:val="subscript"/>
                <w:lang w:val="en-IL" w:eastAsia="zh-CN" w:bidi="hi-IN"/>
              </w:rPr>
              <w:t>rec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(s)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</w:t>
            </w:r>
          </w:p>
        </w:tc>
      </w:tr>
      <w:tr>
        <w:trPr/>
        <w:tc>
          <w:tcPr>
            <w:tcW w:w="5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/>
                <w:bCs/>
                <w:color w:val="auto"/>
                <w:kern w:val="2"/>
                <w:sz w:val="16"/>
                <w:szCs w:val="16"/>
                <w:lang w:val="en-IL" w:eastAsia="zh-CN" w:bidi="hi-IN"/>
              </w:rPr>
              <w:t>FA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color w:val="auto"/>
                <w:kern w:val="2"/>
                <w:sz w:val="16"/>
                <w:szCs w:val="16"/>
                <w:lang w:val="en-IL" w:eastAsia="zh-CN" w:bidi="hi-IN"/>
              </w:rPr>
              <w:t>(°)</w:t>
            </w:r>
          </w:p>
        </w:tc>
        <w:tc>
          <w:tcPr>
            <w:tcW w:w="9918" w:type="dxa"/>
            <w:gridSpan w:val="13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 w:eastAsia="Noto Serif CJK SC" w:cs="Lohit Devanagari"/>
                <w:color w:val="auto"/>
                <w:kern w:val="2"/>
                <w:sz w:val="16"/>
                <w:szCs w:val="16"/>
                <w:lang w:val="en-IL" w:eastAsia="zh-CN" w:bidi="hi-IN"/>
              </w:rPr>
            </w:pPr>
            <w:r>
              <w:rPr>
                <w:rFonts w:eastAsia="Noto Serif CJK SC" w:cs="Lohit Devanagari" w:ascii="arial" w:hAnsi="arial"/>
                <w:color w:val="auto"/>
                <w:kern w:val="2"/>
                <w:sz w:val="16"/>
                <w:szCs w:val="16"/>
                <w:lang w:val="en-IL" w:eastAsia="zh-CN" w:bidi="hi-IN"/>
              </w:rPr>
              <w:t>15</w:t>
            </w:r>
          </w:p>
        </w:tc>
      </w:tr>
    </w:tbl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B</w:t>
      </w:r>
      <w:r>
        <w:rPr>
          <w:rFonts w:ascii="aRIAL" w:hAnsi="aRIAL"/>
          <w:sz w:val="20"/>
          <w:szCs w:val="20"/>
          <w:vertAlign w:val="subscript"/>
        </w:rPr>
        <w:t xml:space="preserve">1 </w:t>
      </w:r>
      <w:r>
        <w:rPr>
          <w:rFonts w:ascii="aRIAL" w:hAnsi="aRIAL"/>
          <w:position w:val="0"/>
          <w:sz w:val="20"/>
          <w:sz w:val="20"/>
          <w:szCs w:val="20"/>
          <w:vertAlign w:val="baseline"/>
        </w:rPr>
        <w:t xml:space="preserve"> = Saturation pulse power; ω</w:t>
      </w:r>
      <w:r>
        <w:rPr>
          <w:rFonts w:ascii="aRIAL" w:hAnsi="aRIAL"/>
          <w:sz w:val="20"/>
          <w:szCs w:val="20"/>
          <w:vertAlign w:val="subscript"/>
        </w:rPr>
        <w:t>rf</w:t>
      </w:r>
      <w:r>
        <w:rPr>
          <w:rFonts w:ascii="aRIAL" w:hAnsi="aRIAL"/>
          <w:position w:val="0"/>
          <w:sz w:val="20"/>
          <w:sz w:val="20"/>
          <w:szCs w:val="20"/>
          <w:vertAlign w:val="baseline"/>
        </w:rPr>
        <w:t xml:space="preserve"> = sauration pulse frequency offset; T</w:t>
      </w:r>
      <w:r>
        <w:rPr>
          <w:rFonts w:ascii="aRIAL" w:hAnsi="aRIAL"/>
          <w:sz w:val="20"/>
          <w:szCs w:val="20"/>
          <w:vertAlign w:val="subscript"/>
        </w:rPr>
        <w:t>sat</w:t>
      </w:r>
      <w:r>
        <w:rPr>
          <w:rFonts w:ascii="aRIAL" w:hAnsi="aRIAL"/>
          <w:position w:val="0"/>
          <w:sz w:val="20"/>
          <w:sz w:val="20"/>
          <w:szCs w:val="20"/>
          <w:vertAlign w:val="baseline"/>
        </w:rPr>
        <w:t xml:space="preserve"> = saturaion pulse duration; T</w:t>
      </w:r>
      <w:r>
        <w:rPr>
          <w:rFonts w:ascii="aRIAL" w:hAnsi="aRIAL"/>
          <w:sz w:val="20"/>
          <w:szCs w:val="20"/>
          <w:vertAlign w:val="subscript"/>
        </w:rPr>
        <w:t>rec</w:t>
      </w:r>
      <w:r>
        <w:rPr>
          <w:rFonts w:ascii="aRIAL" w:hAnsi="aRIAL"/>
          <w:position w:val="0"/>
          <w:sz w:val="20"/>
          <w:sz w:val="20"/>
          <w:szCs w:val="20"/>
          <w:vertAlign w:val="baseline"/>
        </w:rPr>
        <w:t xml:space="preserve"> = recovery time; FA = flip angle.</w:t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/>
      </w:pPr>
      <w:r>
        <w:rPr>
          <w:rFonts w:ascii="arial" w:hAnsi="arial"/>
          <w:b/>
          <w:bCs/>
          <w:sz w:val="24"/>
          <w:szCs w:val="24"/>
        </w:rPr>
        <w:t xml:space="preserve">Supporting Information Table </w:t>
      </w:r>
      <w:r>
        <w:rPr>
          <w:rFonts w:ascii="arial" w:hAnsi="arial"/>
          <w:b/>
          <w:bCs/>
          <w:sz w:val="24"/>
          <w:szCs w:val="24"/>
        </w:rPr>
        <w:t>S</w:t>
      </w:r>
      <w:r>
        <w:rPr>
          <w:rFonts w:ascii="arial" w:hAnsi="arial"/>
          <w:b/>
          <w:bCs/>
          <w:sz w:val="24"/>
          <w:szCs w:val="24"/>
        </w:rPr>
        <w:t>2. Quantitative in vivo exchange parameters obtained in this study and previous literature.</w:t>
      </w:r>
    </w:p>
    <w:tbl>
      <w:tblPr>
        <w:tblW w:w="5000" w:type="pct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519"/>
        <w:gridCol w:w="1023"/>
        <w:gridCol w:w="976"/>
        <w:gridCol w:w="1187"/>
        <w:gridCol w:w="1186"/>
        <w:gridCol w:w="968"/>
        <w:gridCol w:w="922"/>
        <w:gridCol w:w="1036"/>
        <w:gridCol w:w="1154"/>
      </w:tblGrid>
      <w:tr>
        <w:trPr/>
        <w:tc>
          <w:tcPr>
            <w:tcW w:w="15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  <w:sz w:val="16"/>
                <w:szCs w:val="20"/>
              </w:rPr>
              <w:t>Proton pool</w:t>
            </w:r>
          </w:p>
        </w:tc>
        <w:tc>
          <w:tcPr>
            <w:tcW w:w="43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  <w:sz w:val="16"/>
                <w:szCs w:val="20"/>
              </w:rPr>
              <w:t>Semisolid MT</w:t>
            </w:r>
          </w:p>
        </w:tc>
        <w:tc>
          <w:tcPr>
            <w:tcW w:w="40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  <w:sz w:val="16"/>
                <w:szCs w:val="20"/>
              </w:rPr>
              <w:t>rNOE</w:t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b/>
                <w:b/>
                <w:bCs/>
              </w:rPr>
            </w:pPr>
            <w:r>
              <w:rPr>
                <w:rFonts w:ascii="aRIAL" w:hAnsi="aRIAL"/>
                <w:b/>
                <w:bCs/>
                <w:sz w:val="16"/>
                <w:szCs w:val="20"/>
              </w:rPr>
              <w:t>Parameter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WM f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ss 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(%)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GM f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ss 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(%)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WM k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ssw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(s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-1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)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GM kssw (s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-1</w:t>
            </w:r>
            <w:r>
              <w:rPr>
                <w:rFonts w:ascii="aRIAL" w:hAnsi="aRIAL"/>
                <w:sz w:val="16"/>
                <w:szCs w:val="20"/>
              </w:rPr>
              <w:t>)</w:t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WM f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 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(%)</w:t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GM f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 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(%)</w:t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WM k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sw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(s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-1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)</w:t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GM k</w:t>
            </w:r>
            <w:r>
              <w:rPr>
                <w:rFonts w:ascii="aRIAL" w:hAnsi="aRIAL"/>
                <w:sz w:val="16"/>
                <w:szCs w:val="20"/>
                <w:vertAlign w:val="subscript"/>
              </w:rPr>
              <w:t xml:space="preserve">sw 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(s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-1</w:t>
            </w:r>
            <w:r>
              <w:rPr>
                <w:rFonts w:ascii="aRIAL" w:hAnsi="aRIAL"/>
                <w:position w:val="0"/>
                <w:sz w:val="16"/>
                <w:sz w:val="16"/>
                <w:szCs w:val="20"/>
                <w:vertAlign w:val="baseline"/>
              </w:rPr>
              <w:t>)</w:t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ascii="aRIAL" w:hAnsi="aRIAL"/>
                <w:sz w:val="16"/>
                <w:szCs w:val="20"/>
              </w:rPr>
              <w:t>This study</w:t>
            </w:r>
          </w:p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ascii="aRIAL" w:hAnsi="aRIAL"/>
                <w:sz w:val="16"/>
                <w:szCs w:val="20"/>
              </w:rPr>
              <w:t>(mice)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15.00±0.34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9.20±0.75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36.06±1.64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43.55±2.00</w:t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1.49±0.06</w:t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0.99±0.2</w:t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67.51±0.41</w:t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53.50±4.21</w:t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ascii="aRIAL" w:hAnsi="aRIAL"/>
                <w:sz w:val="16"/>
                <w:szCs w:val="20"/>
              </w:rPr>
              <w:t>This study</w:t>
            </w:r>
          </w:p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ascii="aRIAL" w:hAnsi="aRIAL"/>
                <w:sz w:val="16"/>
                <w:szCs w:val="20"/>
              </w:rPr>
              <w:t>(humans)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11.28±1.50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5.44±0.54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22.20±1.57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29.19±0.93</w:t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1.43±0.07</w:t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1.15±0.08</w:t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41.46±1.15</w:t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/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37.46±1.79</w:t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Samsanov et al., 2012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34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(dogs)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12.1±0.4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5.4±0.2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21.05±0.5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30.09±1.1</w:t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Stanisz et al., 2005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31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(bovine)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>
                <w:rFonts w:ascii="Arial;Helvetica;sans-serif" w:hAnsi="Arial;Helvetica;sans-serif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24"/>
                <w:sz w:val="24"/>
                <w:szCs w:val="24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13.9 ±2.8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>
                <w:rFonts w:ascii="Arial;Helvetica;sans-serif" w:hAnsi="Arial;Helvetica;sans-serif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24"/>
                <w:sz w:val="24"/>
                <w:szCs w:val="24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5.0 ±0.5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>
                <w:rFonts w:ascii="Arial;Helvetica;sans-serif" w:hAnsi="Arial;Helvetica;sans-serif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24"/>
                <w:sz w:val="24"/>
                <w:szCs w:val="24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23±4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xtBody"/>
              <w:widowControl w:val="false"/>
              <w:bidi w:val="0"/>
              <w:spacing w:lineRule="auto" w:line="360" w:before="0" w:after="140"/>
              <w:jc w:val="center"/>
              <w:rPr>
                <w:rFonts w:ascii="Arial;Helvetica;sans-serif" w:hAnsi="Arial;Helvetica;sans-serif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24"/>
                <w:sz w:val="24"/>
                <w:szCs w:val="24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40±1</w:t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Liu et al., 2013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32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(humans)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6.18±0.43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3.43±0.42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67.5±6.98</w:t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63.48±4.5</w:t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2.39±0.22</w:t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1.18±0.16</w:t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27.45±2.18</w:t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24.50±1.65</w:t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Geades et al., 2017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36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(humans)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8.9 ± 0.3*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4.4 ± 0.4*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5 ± 0.1*</w:t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3 ± 0.1*</w:t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Xu et al., 2014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41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 xml:space="preserve"> </w:t>
            </w:r>
            <w:r>
              <w:rPr>
                <w:rFonts w:ascii="aRIAL" w:hAnsi="aRIAL"/>
                <w:sz w:val="16"/>
                <w:szCs w:val="20"/>
              </w:rPr>
              <w:t>(rats)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17</w:t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Jones et al., 2013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42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(humans)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11</w:t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</w:tr>
      <w:tr>
        <w:trPr/>
        <w:tc>
          <w:tcPr>
            <w:tcW w:w="151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Yarnykh et al., 2015</w:t>
            </w:r>
            <w:r>
              <w:rPr>
                <w:rFonts w:ascii="aRIAL" w:hAnsi="aRIAL"/>
                <w:sz w:val="16"/>
                <w:szCs w:val="20"/>
                <w:vertAlign w:val="superscript"/>
              </w:rPr>
              <w:t>33</w:t>
            </w:r>
          </w:p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/>
                <w:sz w:val="16"/>
                <w:szCs w:val="20"/>
              </w:rPr>
            </w:pPr>
            <w:r>
              <w:rPr>
                <w:rFonts w:ascii="aRIAL" w:hAnsi="aRIAL"/>
                <w:sz w:val="16"/>
                <w:szCs w:val="20"/>
              </w:rPr>
              <w:t>(humans)</w:t>
            </w:r>
          </w:p>
        </w:tc>
        <w:tc>
          <w:tcPr>
            <w:tcW w:w="102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13.48±0.37</w:t>
            </w:r>
          </w:p>
        </w:tc>
        <w:tc>
          <w:tcPr>
            <w:tcW w:w="97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  <w:t>5.77±0.34</w:t>
            </w:r>
          </w:p>
        </w:tc>
        <w:tc>
          <w:tcPr>
            <w:tcW w:w="118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6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92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03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  <w:tc>
          <w:tcPr>
            <w:tcW w:w="11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aRIAL" w:hAnsi="aRIAL" w:eastAsia="Noto Serif CJK SC" w:cs="Lohit Devanagari"/>
                <w:b w:val="false"/>
                <w:b w:val="false"/>
                <w:bCs w:val="false"/>
                <w:i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highlight w:val="none"/>
                <w:shd w:fill="auto" w:val="clear"/>
                <w:vertAlign w:val="baseline"/>
                <w:lang w:val="en-US" w:eastAsia="zh-CN" w:bidi="hi-IN"/>
              </w:rPr>
            </w:pPr>
            <w:r>
              <w:rPr>
                <w:rFonts w:eastAsia="Noto Serif CJK SC" w:cs="Lohit Devanagari" w:ascii="aRIAL" w:hAnsi="aRIAL"/>
                <w:b w:val="false"/>
                <w:bCs w:val="false"/>
                <w:i w:val="false"/>
                <w:color w:val="000000"/>
                <w:kern w:val="2"/>
                <w:position w:val="0"/>
                <w:sz w:val="16"/>
                <w:sz w:val="16"/>
                <w:szCs w:val="20"/>
                <w:shd w:fill="auto" w:val="clear"/>
                <w:vertAlign w:val="baseline"/>
                <w:lang w:val="en-US" w:eastAsia="zh-CN" w:bidi="hi-IN"/>
              </w:rPr>
            </w:r>
          </w:p>
        </w:tc>
      </w:tr>
    </w:tbl>
    <w:p>
      <w:pPr>
        <w:pStyle w:val="Normal"/>
        <w:bidi w:val="0"/>
        <w:jc w:val="left"/>
        <w:rPr>
          <w:rFonts w:ascii="aRIAL" w:hAnsi="aRIAL" w:eastAsia="Noto Serif CJK SC" w:cs="Lohit Devanagari"/>
          <w:b w:val="false"/>
          <w:b w:val="false"/>
          <w:bCs w:val="false"/>
          <w:i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</w:pP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  <w:t>WM = white matter. GM = gray matter. f = proton volume fraction. k = proton exchange rate.</w:t>
      </w:r>
    </w:p>
    <w:p>
      <w:pPr>
        <w:pStyle w:val="Normal"/>
        <w:bidi w:val="0"/>
        <w:jc w:val="left"/>
        <w:rPr>
          <w:rFonts w:ascii="aRIAL" w:hAnsi="aRIAL" w:eastAsia="Noto Serif CJK SC" w:cs="Lohit Devanagari"/>
          <w:b w:val="false"/>
          <w:b w:val="false"/>
          <w:bCs w:val="false"/>
          <w:i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</w:pP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  <w:t>*In the study by Geades et al the Kssw was restricted to 50 s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sz w:val="16"/>
          <w:szCs w:val="20"/>
          <w:shd w:fill="auto" w:val="clear"/>
          <w:vertAlign w:val="superscript"/>
          <w:lang w:val="en-US" w:eastAsia="zh-CN" w:bidi="hi-IN"/>
        </w:rPr>
        <w:t>-1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  <w:t xml:space="preserve"> and the ksw restricted to 10 s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sz w:val="16"/>
          <w:szCs w:val="20"/>
          <w:shd w:fill="auto" w:val="clear"/>
          <w:vertAlign w:val="superscript"/>
          <w:lang w:val="en-US" w:eastAsia="zh-CN" w:bidi="hi-IN"/>
        </w:rPr>
        <w:t>-1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  <w:t>.</w:t>
      </w:r>
    </w:p>
    <w:p>
      <w:pPr>
        <w:pStyle w:val="Normal"/>
        <w:bidi w:val="0"/>
        <w:jc w:val="left"/>
        <w:rPr>
          <w:rFonts w:ascii="aRIAL" w:hAnsi="aRIAL" w:eastAsia="Noto Serif CJK SC" w:cs="Lohit Devanagari"/>
          <w:b w:val="false"/>
          <w:b w:val="false"/>
          <w:bCs w:val="false"/>
          <w:i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</w:pP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16"/>
          <w:sz w:val="16"/>
          <w:szCs w:val="20"/>
          <w:shd w:fill="auto" w:val="clear"/>
          <w:vertAlign w:val="baseline"/>
          <w:lang w:val="en-US" w:eastAsia="zh-CN" w:bidi="hi-IN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bidi w:val="0"/>
        <w:jc w:val="left"/>
        <w:rPr/>
      </w:pPr>
      <w:r>
        <w:rPr>
          <w:rFonts w:ascii="arial" w:hAnsi="arial"/>
          <w:b/>
          <w:bCs/>
          <w:sz w:val="24"/>
          <w:szCs w:val="24"/>
        </w:rPr>
        <w:t xml:space="preserve">Supporting Information Table </w:t>
      </w:r>
      <w:r>
        <w:rPr>
          <w:rFonts w:ascii="arial" w:hAnsi="arial"/>
          <w:b/>
          <w:bCs/>
          <w:sz w:val="24"/>
          <w:szCs w:val="24"/>
        </w:rPr>
        <w:t>S</w:t>
      </w:r>
      <w:r>
        <w:rPr>
          <w:rFonts w:ascii="arial" w:hAnsi="arial"/>
          <w:b/>
          <w:bCs/>
          <w:sz w:val="24"/>
          <w:szCs w:val="24"/>
        </w:rPr>
        <w:t>3. P</w:t>
      </w:r>
      <w:r>
        <w:rPr>
          <w:rFonts w:eastAsia="Noto Serif CJK SC" w:cs="Lohit Devanagari" w:ascii="arial" w:hAnsi="arial"/>
          <w:b/>
          <w:bCs/>
          <w:color w:val="auto"/>
          <w:kern w:val="2"/>
          <w:sz w:val="24"/>
          <w:szCs w:val="24"/>
          <w:lang w:val="en-IL" w:eastAsia="zh-CN" w:bidi="hi-IN"/>
        </w:rPr>
        <w:t>roperties of the MR-fingerprinting dictionaries used for training the deep reconstruction networks.</w:t>
      </w:r>
    </w:p>
    <w:tbl>
      <w:tblPr>
        <w:tblW w:w="5000" w:type="pct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424"/>
        <w:gridCol w:w="1425"/>
        <w:gridCol w:w="1424"/>
        <w:gridCol w:w="1425"/>
        <w:gridCol w:w="1424"/>
        <w:gridCol w:w="1425"/>
        <w:gridCol w:w="1424"/>
      </w:tblGrid>
      <w:tr>
        <w:trPr/>
        <w:tc>
          <w:tcPr>
            <w:tcW w:w="1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Imaging target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Glycogen rNOE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(7T)</w:t>
            </w:r>
          </w:p>
        </w:tc>
        <w:tc>
          <w:tcPr>
            <w:tcW w:w="1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BSA rNOE</w:t>
            </w:r>
          </w:p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(7T)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Mouse Brain semisolid MT (7T)</w:t>
            </w:r>
          </w:p>
        </w:tc>
        <w:tc>
          <w:tcPr>
            <w:tcW w:w="1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Mouse Brain rNOE (7T)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Human Brain semisolid MT (3T)</w:t>
            </w:r>
          </w:p>
        </w:tc>
        <w:tc>
          <w:tcPr>
            <w:tcW w:w="14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Human Brain rNOE (3T)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Water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 (ms)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[2200, 3205]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[2600, 4000]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[1300, 1900]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[1425, 1925]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[800, 3000]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[1084, 1820]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Water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2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(ms)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[50, 1205]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[90, 500]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[40, 90]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[45, 95]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[50, 150]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[50, 150]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Semi-solid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1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(ms)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1000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1000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Equal to water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1000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Semi-solid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2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</w:t>
            </w:r>
            <w:r>
              <w:rPr>
                <w:rFonts w:eastAsia="Noto Serif CJK SC" w:cs="Lohit Devanagari" w:ascii="aakar" w:hAnsi="aakar"/>
                <w:position w:val="0"/>
                <w:sz w:val="20"/>
                <w:sz w:val="20"/>
                <w:szCs w:val="20"/>
                <w:vertAlign w:val="baseline"/>
              </w:rPr>
              <w:t>µ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>s)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10**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10**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10**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10**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k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ssw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(s</w:t>
            </w:r>
            <w:r>
              <w:rPr>
                <w:rFonts w:ascii="arial" w:hAnsi="arial"/>
                <w:sz w:val="20"/>
                <w:szCs w:val="20"/>
                <w:vertAlign w:val="superscript"/>
              </w:rPr>
              <w:t>-1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[5, 100]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[7, 102]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[5, 100]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[5, 100]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>f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ss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[1.82, 27.27]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[3.18, 28.64]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[1.82, 27.27]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[1.82, 27.27]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Semi-solid offset frequency (ppm)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-2.5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-2.5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-2.5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-2.5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Solute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1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(ms)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2600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3000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1300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1000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Solute T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2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(ms)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10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0.5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5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5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k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sw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(s</w:t>
            </w:r>
            <w:r>
              <w:rPr>
                <w:rFonts w:ascii="arial" w:hAnsi="arial"/>
                <w:sz w:val="20"/>
                <w:szCs w:val="20"/>
                <w:vertAlign w:val="superscript"/>
              </w:rPr>
              <w:t>-1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>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[20, 140]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[10, 50]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[7, 102]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[5, 60]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>f</w:t>
            </w:r>
            <w:r>
              <w:rPr>
                <w:rFonts w:ascii="arial" w:hAnsi="arial"/>
                <w:sz w:val="20"/>
                <w:szCs w:val="20"/>
                <w:vertAlign w:val="subscript"/>
              </w:rPr>
              <w:t>s</w:t>
            </w:r>
            <w:r>
              <w:rPr>
                <w:rFonts w:ascii="arial" w:hAnsi="arial"/>
                <w:position w:val="0"/>
                <w:sz w:val="20"/>
                <w:sz w:val="20"/>
                <w:szCs w:val="20"/>
                <w:vertAlign w:val="baseline"/>
              </w:rPr>
              <w:t xml:space="preserve"> (%)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[0, 0.309]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[0.045, 2.273]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[0.114, 1.84]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[0.114, 1.84]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Solute offset frequency (ppm)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-1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-3.5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-3.5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---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jc w:val="center"/>
              <w:rPr/>
            </w:pPr>
            <w:r>
              <w:rPr>
                <w:rFonts w:ascii="arial" w:hAnsi="arial"/>
                <w:sz w:val="20"/>
                <w:szCs w:val="20"/>
              </w:rPr>
              <w:t>-3.5</w:t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Number of dictionary entires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/>
            </w:pPr>
            <w:r>
              <w:rPr>
                <w:rFonts w:ascii="Arial" w:hAnsi="Arial"/>
                <w:spacing w:val="0"/>
                <w:sz w:val="20"/>
                <w:szCs w:val="20"/>
              </w:rPr>
              <w:t>4,757,688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/>
            </w:pPr>
            <w:r>
              <w:rPr>
                <w:rFonts w:ascii="Arial" w:hAnsi="Arial"/>
                <w:spacing w:val="0"/>
                <w:sz w:val="20"/>
                <w:szCs w:val="20"/>
              </w:rPr>
              <w:t>1,394,820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/>
            </w:pPr>
            <w:r>
              <w:rPr>
                <w:rFonts w:ascii="Arial" w:hAnsi="Arial"/>
                <w:spacing w:val="0"/>
                <w:sz w:val="20"/>
                <w:szCs w:val="20"/>
              </w:rPr>
              <w:t>12,600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/>
            </w:pPr>
            <w:r>
              <w:rPr>
                <w:rFonts w:ascii="Arial" w:hAnsi="Arial"/>
                <w:spacing w:val="0"/>
                <w:sz w:val="20"/>
                <w:szCs w:val="20"/>
              </w:rPr>
              <w:t>9,828,000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/>
            </w:pPr>
            <w:r>
              <w:rPr>
                <w:rFonts w:ascii="Arial" w:hAnsi="Arial"/>
                <w:spacing w:val="0"/>
                <w:sz w:val="20"/>
                <w:szCs w:val="20"/>
              </w:rPr>
              <w:t>531,300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/>
            </w:pPr>
            <w:r>
              <w:rPr>
                <w:rFonts w:ascii="Arial" w:hAnsi="Arial"/>
                <w:spacing w:val="0"/>
                <w:sz w:val="20"/>
                <w:szCs w:val="20"/>
              </w:rPr>
              <w:t>2,574,000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Dictionary generation time***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>
                <w:rFonts w:ascii="Arial" w:hAnsi="Arial" w:eastAsia="DejaVu Sans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</w:pPr>
            <w:r>
              <w:rPr>
                <w:rFonts w:eastAsia="DejaVu Sans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  <w:t>1.5 min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>
                <w:rFonts w:ascii="Arial" w:hAnsi="Arial" w:eastAsia="DejaVu Sans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</w:pPr>
            <w:r>
              <w:rPr>
                <w:rFonts w:eastAsia="DejaVu Sans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  <w:t>20 s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>
                <w:rFonts w:ascii="Arial" w:hAnsi="Arial" w:eastAsia="DejaVu Sans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</w:pPr>
            <w:r>
              <w:rPr>
                <w:rFonts w:eastAsia="DejaVu Sans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  <w:t>1 s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>
                <w:rFonts w:ascii="Arial" w:hAnsi="Arial" w:eastAsia="DejaVu Sans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</w:pPr>
            <w:r>
              <w:rPr>
                <w:rFonts w:eastAsia="DejaVu Sans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  <w:t>10.77 min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>
                <w:rFonts w:ascii="Arial" w:hAnsi="Arial" w:eastAsia="DejaVu Sans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</w:pPr>
            <w:r>
              <w:rPr>
                <w:rFonts w:eastAsia="DejaVu Sans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  <w:t>5.64 min</w:t>
            </w:r>
          </w:p>
        </w:tc>
        <w:tc>
          <w:tcPr>
            <w:tcW w:w="14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DefaultDrawingStyle"/>
              <w:widowControl w:val="false"/>
              <w:spacing w:lineRule="atLeast" w:line="200"/>
              <w:ind w:left="0" w:right="0" w:hanging="0"/>
              <w:jc w:val="center"/>
              <w:rPr>
                <w:rFonts w:ascii="Arial" w:hAnsi="Arial" w:eastAsia="DejaVu Sans" w:cs="arial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</w:pPr>
            <w:r>
              <w:rPr>
                <w:rFonts w:eastAsia="DejaVu Sans" w:cs="arial" w:ascii="Arial" w:hAnsi="Arial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spacing w:val="0"/>
                <w:kern w:val="2"/>
                <w:sz w:val="20"/>
                <w:szCs w:val="20"/>
                <w:u w:val="none"/>
                <w:em w:val="none"/>
                <w:lang w:val="en-IL" w:eastAsia="zh-CN" w:bidi="hi-IN"/>
              </w:rPr>
              <w:t>119.9 min</w:t>
            </w:r>
          </w:p>
        </w:tc>
      </w:tr>
    </w:tbl>
    <w:p>
      <w:pPr>
        <w:pStyle w:val="Normal"/>
        <w:bidi w:val="0"/>
        <w:jc w:val="both"/>
        <w:rPr>
          <w:rFonts w:ascii="arial" w:hAnsi="arial" w:eastAsia="Noto Serif CJK SC" w:cs="Lohit Devanagari"/>
          <w:b w:val="false"/>
          <w:b w:val="false"/>
          <w:bCs w:val="false"/>
          <w:i w:val="false"/>
          <w:i w:val="false"/>
          <w:color w:val="000000"/>
          <w:kern w:val="2"/>
          <w:position w:val="0"/>
          <w:sz w:val="20"/>
          <w:sz w:val="20"/>
          <w:szCs w:val="20"/>
          <w:highlight w:val="none"/>
          <w:shd w:fill="auto" w:val="clear"/>
          <w:vertAlign w:val="baseline"/>
          <w:lang w:val="en-US" w:eastAsia="zh-CN" w:bidi="hi-IN"/>
        </w:rPr>
      </w:pP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20"/>
          <w:sz w:val="20"/>
          <w:szCs w:val="20"/>
          <w:shd w:fill="auto" w:val="clear"/>
          <w:vertAlign w:val="baseline"/>
          <w:lang w:val="en-US" w:eastAsia="zh-CN" w:bidi="hi-IN"/>
        </w:rPr>
        <w:t xml:space="preserve">*The notation  [x, z] represents the [minimum, maximum] parameter values. Various uniformly sampled values were taken within each parameter range to ultimately yield the total number of dictionary entries specified in the 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20"/>
          <w:sz w:val="20"/>
          <w:szCs w:val="20"/>
          <w:shd w:fill="auto" w:val="clear"/>
          <w:vertAlign w:val="baseline"/>
          <w:lang w:val="en-US" w:eastAsia="zh-CN" w:bidi="hi-IN"/>
        </w:rPr>
        <w:t xml:space="preserve">second 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20"/>
          <w:sz w:val="20"/>
          <w:szCs w:val="20"/>
          <w:shd w:fill="auto" w:val="clear"/>
          <w:vertAlign w:val="baseline"/>
          <w:lang w:val="en-US" w:eastAsia="zh-CN" w:bidi="hi-IN"/>
        </w:rPr>
        <w:t xml:space="preserve">row 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20"/>
          <w:sz w:val="20"/>
          <w:szCs w:val="20"/>
          <w:shd w:fill="auto" w:val="clear"/>
          <w:vertAlign w:val="baseline"/>
          <w:lang w:val="en-US" w:eastAsia="zh-CN" w:bidi="hi-IN"/>
        </w:rPr>
        <w:t>from the bottom</w:t>
      </w:r>
      <w:r>
        <w:rPr>
          <w:rFonts w:eastAsia="Noto Serif CJK SC" w:cs="Lohit Devanagari" w:ascii="arial" w:hAnsi="arial"/>
          <w:b w:val="false"/>
          <w:bCs w:val="false"/>
          <w:i w:val="false"/>
          <w:color w:val="000000"/>
          <w:kern w:val="2"/>
          <w:position w:val="0"/>
          <w:sz w:val="20"/>
          <w:sz w:val="20"/>
          <w:szCs w:val="20"/>
          <w:shd w:fill="auto" w:val="clear"/>
          <w:vertAlign w:val="baseline"/>
          <w:lang w:val="en-US" w:eastAsia="zh-CN" w:bidi="hi-IN"/>
        </w:rPr>
        <w:t>.</w:t>
      </w:r>
    </w:p>
    <w:p>
      <w:pPr>
        <w:pStyle w:val="Normal"/>
        <w:bidi w:val="0"/>
        <w:jc w:val="both"/>
        <w:rPr>
          <w:rFonts w:ascii="arial" w:hAnsi="arial"/>
          <w:sz w:val="20"/>
          <w:szCs w:val="20"/>
          <w:highlight w:val="none"/>
          <w:shd w:fill="auto" w:val="clear"/>
        </w:rPr>
      </w:pPr>
      <w:r>
        <w:rPr>
          <w:rFonts w:ascii="arial" w:hAnsi="arial"/>
          <w:sz w:val="20"/>
          <w:szCs w:val="20"/>
          <w:shd w:fill="auto" w:val="clear"/>
        </w:rPr>
        <w:t>**The Bloch-McConnell equations based dictionary generator used a Lorentzian line-shape for the semi-solid pool. To generate a linewidth equivalent to the commonly reported super-Lorentzian of 10 μs</w:t>
      </w:r>
      <w:r>
        <w:rPr>
          <w:rFonts w:ascii="arial" w:hAnsi="arial"/>
          <w:b/>
          <w:bCs/>
          <w:sz w:val="20"/>
          <w:szCs w:val="20"/>
          <w:shd w:fill="auto" w:val="clear"/>
          <w:vertAlign w:val="superscript"/>
        </w:rPr>
        <w:t xml:space="preserve"> </w:t>
      </w:r>
      <w:r>
        <w:rPr>
          <w:rFonts w:ascii="arial" w:hAnsi="arial"/>
          <w:sz w:val="20"/>
          <w:szCs w:val="20"/>
          <w:shd w:fill="auto" w:val="clear"/>
        </w:rPr>
        <w:t>, a four times higher value (40 μs) was input to the dictionary generator</w:t>
      </w:r>
      <w:r>
        <w:rPr>
          <w:rFonts w:ascii="arial" w:hAnsi="arial"/>
          <w:sz w:val="20"/>
          <w:szCs w:val="20"/>
          <w:shd w:fill="auto" w:val="clear"/>
          <w:vertAlign w:val="superscript"/>
        </w:rPr>
        <w:t>25</w:t>
      </w:r>
      <w:r>
        <w:rPr>
          <w:rFonts w:ascii="arial" w:hAnsi="arial"/>
          <w:position w:val="0"/>
          <w:sz w:val="20"/>
          <w:sz w:val="20"/>
          <w:szCs w:val="20"/>
          <w:shd w:fill="auto" w:val="clear"/>
          <w:vertAlign w:val="baseline"/>
        </w:rPr>
        <w:t>.</w:t>
      </w:r>
    </w:p>
    <w:p>
      <w:pPr>
        <w:pStyle w:val="Normal"/>
        <w:bidi w:val="0"/>
        <w:jc w:val="both"/>
        <w:rPr>
          <w:rFonts w:ascii="arial" w:hAnsi="arial"/>
          <w:sz w:val="20"/>
          <w:szCs w:val="20"/>
          <w:highlight w:val="none"/>
          <w:shd w:fill="auto" w:val="clear"/>
        </w:rPr>
      </w:pPr>
      <w:r>
        <w:rPr/>
        <w:t>***</w:t>
      </w:r>
      <w:r>
        <w:rPr>
          <w:rFonts w:eastAsia="Noto Serif CJK SC" w:cs="Lohit Devanagari" w:ascii="arial" w:hAnsi="arial"/>
          <w:color w:val="000000"/>
          <w:kern w:val="2"/>
          <w:sz w:val="20"/>
          <w:szCs w:val="20"/>
          <w:shd w:fill="auto" w:val="clear"/>
          <w:lang w:val="en-IL" w:eastAsia="zh-CN" w:bidi="hi-IN"/>
        </w:rPr>
        <w:t xml:space="preserve">A desktop computer with an Intel I9-12900F processor and 32 GB RAM was used for dictionary generation.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ohit Devanagari">
    <w:charset w:val="01"/>
    <w:family w:val="roman"/>
    <w:pitch w:val="variable"/>
  </w:font>
  <w:font w:name="Noto Sans"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  <w:font w:name="Arial">
    <w:altName w:val="Helvetica"/>
    <w:charset w:val="01"/>
    <w:family w:val="roman"/>
    <w:pitch w:val="variable"/>
  </w:font>
  <w:font w:name="aakar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I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IL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oto Sans Mono CJK SC" w:cs="Liberation Mono"/>
      <w:sz w:val="20"/>
      <w:szCs w:val="20"/>
    </w:rPr>
  </w:style>
  <w:style w:type="paragraph" w:styleId="DefaultDrawingStyle">
    <w:name w:val="Default Drawing Style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IL" w:eastAsia="zh-CN" w:bidi="hi-IN"/>
    </w:rPr>
  </w:style>
  <w:style w:type="paragraph" w:styleId="Objectwithoutfill">
    <w:name w:val="Object without fill"/>
    <w:basedOn w:val="DefaultDrawingStyle"/>
    <w:qFormat/>
    <w:pPr>
      <w:spacing w:lineRule="atLeast" w:line="200" w:before="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Objectwithnofillandnoline">
    <w:name w:val="Object with no fill and no line"/>
    <w:basedOn w:val="DefaultDrawingStyle"/>
    <w:qFormat/>
    <w:pPr>
      <w:spacing w:lineRule="atLeast" w:line="200" w:before="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A4">
    <w:name w:val="A4"/>
    <w:basedOn w:val="Text"/>
    <w:qFormat/>
    <w:pPr/>
    <w:rPr>
      <w:rFonts w:ascii="Noto Sans" w:hAnsi="Noto Sans"/>
      <w:sz w:val="36"/>
    </w:rPr>
  </w:style>
  <w:style w:type="paragraph" w:styleId="Text">
    <w:name w:val="Text"/>
    <w:basedOn w:val="Caption"/>
    <w:qFormat/>
    <w:pPr/>
    <w:rPr/>
  </w:style>
  <w:style w:type="paragraph" w:styleId="TitleA4">
    <w:name w:val="Title A4"/>
    <w:basedOn w:val="A4"/>
    <w:qFormat/>
    <w:pPr/>
    <w:rPr>
      <w:rFonts w:ascii="Noto Sans" w:hAnsi="Noto Sans"/>
      <w:sz w:val="87"/>
    </w:rPr>
  </w:style>
  <w:style w:type="paragraph" w:styleId="HeadingA4">
    <w:name w:val="Heading A4"/>
    <w:basedOn w:val="A4"/>
    <w:qFormat/>
    <w:pPr/>
    <w:rPr>
      <w:rFonts w:ascii="Noto Sans" w:hAnsi="Noto Sans"/>
      <w:sz w:val="48"/>
    </w:rPr>
  </w:style>
  <w:style w:type="paragraph" w:styleId="TextA4">
    <w:name w:val="Text A4"/>
    <w:basedOn w:val="A4"/>
    <w:qFormat/>
    <w:pPr/>
    <w:rPr>
      <w:rFonts w:ascii="Noto Sans" w:hAnsi="Noto Sans"/>
      <w:sz w:val="36"/>
    </w:rPr>
  </w:style>
  <w:style w:type="paragraph" w:styleId="A0">
    <w:name w:val="A0"/>
    <w:basedOn w:val="Text"/>
    <w:qFormat/>
    <w:pPr/>
    <w:rPr>
      <w:rFonts w:ascii="Noto Sans" w:hAnsi="Noto Sans"/>
      <w:sz w:val="95"/>
    </w:rPr>
  </w:style>
  <w:style w:type="paragraph" w:styleId="TitleA0">
    <w:name w:val="Title A0"/>
    <w:basedOn w:val="A0"/>
    <w:qFormat/>
    <w:pPr/>
    <w:rPr>
      <w:rFonts w:ascii="Noto Sans" w:hAnsi="Noto Sans"/>
      <w:sz w:val="191"/>
    </w:rPr>
  </w:style>
  <w:style w:type="paragraph" w:styleId="HeadingA0">
    <w:name w:val="Heading A0"/>
    <w:basedOn w:val="A0"/>
    <w:qFormat/>
    <w:pPr/>
    <w:rPr>
      <w:rFonts w:ascii="Noto Sans" w:hAnsi="Noto Sans"/>
      <w:sz w:val="143"/>
    </w:rPr>
  </w:style>
  <w:style w:type="paragraph" w:styleId="TextA0">
    <w:name w:val="Text A0"/>
    <w:basedOn w:val="A0"/>
    <w:qFormat/>
    <w:pPr/>
    <w:rPr>
      <w:rFonts w:ascii="Noto Sans" w:hAnsi="Noto Sans"/>
      <w:sz w:val="95"/>
    </w:rPr>
  </w:style>
  <w:style w:type="paragraph" w:styleId="Graphic">
    <w:name w:val="Graphic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DejaVu Sans" w:cs="arial"/>
      <w:color w:val="auto"/>
      <w:kern w:val="2"/>
      <w:sz w:val="36"/>
      <w:szCs w:val="24"/>
      <w:lang w:val="en-IL" w:eastAsia="zh-CN" w:bidi="hi-IN"/>
    </w:rPr>
  </w:style>
  <w:style w:type="paragraph" w:styleId="Shapes">
    <w:name w:val="Shapes"/>
    <w:basedOn w:val="Graphic"/>
    <w:qFormat/>
    <w:pPr/>
    <w:rPr>
      <w:rFonts w:ascii="Liberation Sans" w:hAnsi="Liberation Sans"/>
      <w:b/>
      <w:sz w:val="28"/>
    </w:rPr>
  </w:style>
  <w:style w:type="paragraph" w:styleId="Filled">
    <w:name w:val="Filled"/>
    <w:basedOn w:val="Shapes"/>
    <w:qFormat/>
    <w:pPr/>
    <w:rPr>
      <w:rFonts w:ascii="Liberation Sans" w:hAnsi="Liberation Sans"/>
      <w:b/>
      <w:sz w:val="28"/>
    </w:rPr>
  </w:style>
  <w:style w:type="paragraph" w:styleId="FilledBlue">
    <w:name w:val="Filled Blue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Green">
    <w:name w:val="Filled Green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Red">
    <w:name w:val="Filled Red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Yellow">
    <w:name w:val="Filled Yellow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Outlined">
    <w:name w:val="Outlined"/>
    <w:basedOn w:val="Shapes"/>
    <w:qFormat/>
    <w:pPr/>
    <w:rPr>
      <w:rFonts w:ascii="Liberation Sans" w:hAnsi="Liberation Sans"/>
      <w:b/>
      <w:sz w:val="28"/>
    </w:rPr>
  </w:style>
  <w:style w:type="paragraph" w:styleId="OutlinedBlue">
    <w:name w:val="Outlined Blue"/>
    <w:basedOn w:val="Outlined"/>
    <w:qFormat/>
    <w:pPr/>
    <w:rPr>
      <w:rFonts w:ascii="Liberation Sans" w:hAnsi="Liberation Sans"/>
      <w:b/>
      <w:color w:val="355269"/>
      <w:sz w:val="28"/>
    </w:rPr>
  </w:style>
  <w:style w:type="paragraph" w:styleId="OutlinedGreen">
    <w:name w:val="Outlined Green"/>
    <w:basedOn w:val="Outlined"/>
    <w:qFormat/>
    <w:pPr/>
    <w:rPr>
      <w:rFonts w:ascii="Liberation Sans" w:hAnsi="Liberation Sans"/>
      <w:b/>
      <w:color w:val="127622"/>
      <w:sz w:val="28"/>
    </w:rPr>
  </w:style>
  <w:style w:type="paragraph" w:styleId="OutlinedRed">
    <w:name w:val="Outlined Red"/>
    <w:basedOn w:val="Outlined"/>
    <w:qFormat/>
    <w:pPr/>
    <w:rPr>
      <w:rFonts w:ascii="Liberation Sans" w:hAnsi="Liberation Sans"/>
      <w:b/>
      <w:color w:val="C9211E"/>
      <w:sz w:val="28"/>
    </w:rPr>
  </w:style>
  <w:style w:type="paragraph" w:styleId="OutlinedYellow">
    <w:name w:val="Outlined Yellow"/>
    <w:basedOn w:val="Outlined"/>
    <w:qFormat/>
    <w:pPr/>
    <w:rPr>
      <w:rFonts w:ascii="Liberation Sans" w:hAnsi="Liberation Sans"/>
      <w:b/>
      <w:color w:val="B47804"/>
      <w:sz w:val="28"/>
    </w:rPr>
  </w:style>
  <w:style w:type="paragraph" w:styleId="Lines">
    <w:name w:val="Lines"/>
    <w:basedOn w:val="Graphic"/>
    <w:qFormat/>
    <w:pPr/>
    <w:rPr>
      <w:rFonts w:ascii="Liberation Sans" w:hAnsi="Liberation Sans"/>
      <w:sz w:val="36"/>
    </w:rPr>
  </w:style>
  <w:style w:type="paragraph" w:styleId="ArrowLine">
    <w:name w:val="Arrow Line"/>
    <w:basedOn w:val="Lines"/>
    <w:qFormat/>
    <w:pPr/>
    <w:rPr>
      <w:rFonts w:ascii="Liberation Sans" w:hAnsi="Liberation Sans"/>
      <w:sz w:val="36"/>
    </w:rPr>
  </w:style>
  <w:style w:type="paragraph" w:styleId="DashedLine">
    <w:name w:val="Dashed Line"/>
    <w:basedOn w:val="Lines"/>
    <w:qFormat/>
    <w:pPr/>
    <w:rPr>
      <w:rFonts w:ascii="Liberation Sans" w:hAnsi="Liberation Sans"/>
      <w:sz w:val="36"/>
    </w:rPr>
  </w:style>
  <w:style w:type="paragraph" w:styleId="BlankSlideLTGliederung1">
    <w:name w:val="Blank Slide~LT~Gliederung 1"/>
    <w:qFormat/>
    <w:pPr>
      <w:widowControl/>
      <w:suppressAutoHyphens w:val="true"/>
      <w:bidi w:val="0"/>
      <w:spacing w:before="283" w:after="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IL" w:eastAsia="zh-CN" w:bidi="hi-IN"/>
    </w:rPr>
  </w:style>
  <w:style w:type="paragraph" w:styleId="BlankSlideLTGliederung2">
    <w:name w:val="Blank Slide~LT~Gliederung 2"/>
    <w:basedOn w:val="BlankSlideLTGliederung1"/>
    <w:qFormat/>
    <w:pPr>
      <w:spacing w:before="22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BlankSlideLTGliederung3">
    <w:name w:val="Blank Slide~LT~Gliederung 3"/>
    <w:basedOn w:val="BlankSlideLTGliederung2"/>
    <w:qFormat/>
    <w:pPr>
      <w:spacing w:before="17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BlankSlideLTGliederung4">
    <w:name w:val="Blank Slide~LT~Gliederung 4"/>
    <w:basedOn w:val="BlankSlideLTGliederung3"/>
    <w:qFormat/>
    <w:pPr>
      <w:spacing w:before="113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5">
    <w:name w:val="Blank Slide~LT~Gliederung 5"/>
    <w:basedOn w:val="BlankSlideLTGliederung4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6">
    <w:name w:val="Blank Slide~LT~Gliederung 6"/>
    <w:basedOn w:val="BlankSlideLTGliederung5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7">
    <w:name w:val="Blank Slide~LT~Gliederung 7"/>
    <w:basedOn w:val="BlankSlideLTGliederung6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8">
    <w:name w:val="Blank Slide~LT~Gliederung 8"/>
    <w:basedOn w:val="BlankSlideLTGliederung7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Gliederung9">
    <w:name w:val="Blank Slide~LT~Gliederung 9"/>
    <w:basedOn w:val="BlankSlideLTGliederung8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BlankSlideLTTitel">
    <w:name w:val="Blank Slide~LT~Titel"/>
    <w:qFormat/>
    <w:pPr>
      <w:widowControl/>
      <w:suppressAutoHyphens w:val="true"/>
      <w:bidi w:val="0"/>
      <w:spacing w:before="0" w:after="0"/>
      <w:jc w:val="center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en-IL" w:eastAsia="zh-CN" w:bidi="hi-IN"/>
    </w:rPr>
  </w:style>
  <w:style w:type="paragraph" w:styleId="BlankSlideLTUntertitel">
    <w:name w:val="Blank Slide~LT~Untertitel"/>
    <w:qFormat/>
    <w:pPr>
      <w:widowControl/>
      <w:suppressAutoHyphens w:val="true"/>
      <w:bidi w:val="0"/>
      <w:spacing w:before="0" w:after="0"/>
      <w:jc w:val="center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IL" w:eastAsia="zh-CN" w:bidi="hi-IN"/>
    </w:rPr>
  </w:style>
  <w:style w:type="paragraph" w:styleId="BlankSlideLTNotizen">
    <w:name w:val="Blank Slide~LT~Notizen"/>
    <w:qFormat/>
    <w:pPr>
      <w:widowControl/>
      <w:suppressAutoHyphens w:val="true"/>
      <w:bidi w:val="0"/>
      <w:spacing w:before="0" w:after="0"/>
      <w:ind w:left="340" w:hanging="34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IL" w:eastAsia="zh-CN" w:bidi="hi-IN"/>
    </w:rPr>
  </w:style>
  <w:style w:type="paragraph" w:styleId="BlankSlideLTHintergrundobjekte">
    <w:name w:val="Blank Slide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ejaVu Sans" w:cs="arial"/>
      <w:color w:val="auto"/>
      <w:kern w:val="2"/>
      <w:sz w:val="24"/>
      <w:szCs w:val="24"/>
      <w:lang w:val="en-IL" w:eastAsia="zh-CN" w:bidi="hi-IN"/>
    </w:rPr>
  </w:style>
  <w:style w:type="paragraph" w:styleId="BlankSlideLTHintergrund">
    <w:name w:val="Blank Slide~LT~Hintergrund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ejaVu Sans" w:cs="arial"/>
      <w:color w:val="auto"/>
      <w:kern w:val="2"/>
      <w:sz w:val="24"/>
      <w:szCs w:val="24"/>
      <w:lang w:val="en-IL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Lohit Devanagari" w:hAnsi="Lohit Devanagari" w:eastAsia="DejaVu Sans" w:cs="arial"/>
      <w:color w:val="auto"/>
      <w:kern w:val="2"/>
      <w:sz w:val="36"/>
      <w:szCs w:val="24"/>
      <w:lang w:val="en-IL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ackgroundobjects">
    <w:name w:val="Background objects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ejaVu Sans" w:cs="arial"/>
      <w:color w:val="auto"/>
      <w:kern w:val="2"/>
      <w:sz w:val="24"/>
      <w:szCs w:val="24"/>
      <w:lang w:val="en-IL" w:eastAsia="zh-CN" w:bidi="hi-IN"/>
    </w:rPr>
  </w:style>
  <w:style w:type="paragraph" w:styleId="Background">
    <w:name w:val="Background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ejaVu Sans" w:cs="arial"/>
      <w:color w:val="auto"/>
      <w:kern w:val="2"/>
      <w:sz w:val="24"/>
      <w:szCs w:val="24"/>
      <w:lang w:val="en-IL" w:eastAsia="zh-CN" w:bidi="hi-IN"/>
    </w:rPr>
  </w:style>
  <w:style w:type="paragraph" w:styleId="Notes">
    <w:name w:val="Notes"/>
    <w:qFormat/>
    <w:pPr>
      <w:widowControl/>
      <w:suppressAutoHyphens w:val="true"/>
      <w:bidi w:val="0"/>
      <w:spacing w:before="0" w:after="0"/>
      <w:ind w:left="340" w:hanging="34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IL" w:eastAsia="zh-CN" w:bidi="hi-IN"/>
    </w:rPr>
  </w:style>
  <w:style w:type="paragraph" w:styleId="Outline1">
    <w:name w:val="Outline 1"/>
    <w:qFormat/>
    <w:pPr>
      <w:widowControl/>
      <w:suppressAutoHyphens w:val="true"/>
      <w:bidi w:val="0"/>
      <w:spacing w:before="283" w:after="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IL" w:eastAsia="zh-CN" w:bidi="hi-IN"/>
    </w:rPr>
  </w:style>
  <w:style w:type="paragraph" w:styleId="Outline2">
    <w:name w:val="Outline 2"/>
    <w:basedOn w:val="Outline1"/>
    <w:qFormat/>
    <w:pPr>
      <w:spacing w:before="22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Outline3">
    <w:name w:val="Outline 3"/>
    <w:basedOn w:val="Outline2"/>
    <w:qFormat/>
    <w:pPr>
      <w:spacing w:before="17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Outline4">
    <w:name w:val="Outline 4"/>
    <w:basedOn w:val="Outline3"/>
    <w:qFormat/>
    <w:pPr>
      <w:spacing w:before="113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5">
    <w:name w:val="Outline 5"/>
    <w:basedOn w:val="Outline4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6">
    <w:name w:val="Outline 6"/>
    <w:basedOn w:val="Outline5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7">
    <w:name w:val="Outline 7"/>
    <w:basedOn w:val="Outline6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8">
    <w:name w:val="Outline 8"/>
    <w:basedOn w:val="Outline7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Outline9">
    <w:name w:val="Outline 9"/>
    <w:basedOn w:val="Outline8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1">
    <w:name w:val="Default~LT~Gliederung 1"/>
    <w:qFormat/>
    <w:pPr>
      <w:widowControl/>
      <w:suppressAutoHyphens w:val="true"/>
      <w:bidi w:val="0"/>
      <w:spacing w:before="283" w:after="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IL" w:eastAsia="zh-CN" w:bidi="hi-IN"/>
    </w:rPr>
  </w:style>
  <w:style w:type="paragraph" w:styleId="DefaultLTGliederung2">
    <w:name w:val="Default~LT~Gliederung 2"/>
    <w:basedOn w:val="DefaultLTGliederung1"/>
    <w:qFormat/>
    <w:pPr>
      <w:spacing w:before="22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DefaultLTGliederung3">
    <w:name w:val="Default~LT~Gliederung 3"/>
    <w:basedOn w:val="DefaultLTGliederung2"/>
    <w:qFormat/>
    <w:pPr>
      <w:spacing w:before="17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DefaultLTGliederung4">
    <w:name w:val="Default~LT~Gliederung 4"/>
    <w:basedOn w:val="DefaultLTGliederung3"/>
    <w:qFormat/>
    <w:pPr>
      <w:spacing w:before="113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5">
    <w:name w:val="Default~LT~Gliederung 5"/>
    <w:basedOn w:val="DefaultLTGliederung4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6">
    <w:name w:val="Default~LT~Gliederung 6"/>
    <w:basedOn w:val="DefaultLTGliederung5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7">
    <w:name w:val="Default~LT~Gliederung 7"/>
    <w:basedOn w:val="DefaultLTGliederung6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8">
    <w:name w:val="Default~LT~Gliederung 8"/>
    <w:basedOn w:val="DefaultLTGliederung7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Gliederung9">
    <w:name w:val="Default~LT~Gliederung 9"/>
    <w:basedOn w:val="DefaultLTGliederung8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DefaultLTTitel">
    <w:name w:val="Default~LT~Titel"/>
    <w:qFormat/>
    <w:pPr>
      <w:widowControl/>
      <w:suppressAutoHyphens w:val="true"/>
      <w:bidi w:val="0"/>
      <w:spacing w:before="0" w:after="0"/>
      <w:jc w:val="center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en-IL" w:eastAsia="zh-CN" w:bidi="hi-IN"/>
    </w:rPr>
  </w:style>
  <w:style w:type="paragraph" w:styleId="DefaultLTUntertitel">
    <w:name w:val="Default~LT~Untertitel"/>
    <w:qFormat/>
    <w:pPr>
      <w:widowControl/>
      <w:suppressAutoHyphens w:val="true"/>
      <w:bidi w:val="0"/>
      <w:spacing w:before="0" w:after="0"/>
      <w:jc w:val="center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IL" w:eastAsia="zh-CN" w:bidi="hi-IN"/>
    </w:rPr>
  </w:style>
  <w:style w:type="paragraph" w:styleId="DefaultLTNotizen">
    <w:name w:val="Default~LT~Notizen"/>
    <w:qFormat/>
    <w:pPr>
      <w:widowControl/>
      <w:suppressAutoHyphens w:val="true"/>
      <w:bidi w:val="0"/>
      <w:spacing w:before="0" w:after="0"/>
      <w:ind w:left="340" w:hanging="340"/>
      <w:jc w:val="left"/>
    </w:pPr>
    <w:rPr>
      <w:rFonts w:ascii="Lohit Devanagari" w:hAnsi="Lohit Devanagari" w:eastAsia="DejaVu Sans" w:cs="arial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IL" w:eastAsia="zh-CN" w:bidi="hi-IN"/>
    </w:rPr>
  </w:style>
  <w:style w:type="paragraph" w:styleId="DefaultLTHintergrundobjekte">
    <w:name w:val="Default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ejaVu Sans" w:cs="arial"/>
      <w:color w:val="auto"/>
      <w:kern w:val="2"/>
      <w:sz w:val="24"/>
      <w:szCs w:val="24"/>
      <w:lang w:val="en-IL" w:eastAsia="zh-CN" w:bidi="hi-IN"/>
    </w:rPr>
  </w:style>
  <w:style w:type="paragraph" w:styleId="DefaultLTHintergrund">
    <w:name w:val="Default~LT~Hintergrund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ejaVu Sans" w:cs="arial"/>
      <w:color w:val="auto"/>
      <w:kern w:val="2"/>
      <w:sz w:val="24"/>
      <w:szCs w:val="24"/>
      <w:lang w:val="en-IL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3029</TotalTime>
  <Application>LibreOffice/7.3.7.2$Linux_X86_64 LibreOffice_project/30$Build-2</Application>
  <AppVersion>15.0000</AppVersion>
  <Pages>9</Pages>
  <Words>1100</Words>
  <Characters>5123</Characters>
  <CharactersWithSpaces>5808</CharactersWithSpaces>
  <Paragraphs>475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2024-04-20T14:58:28Z</dcterms:created>
  <dc:creator/>
  <dc:description/>
  <dc:language>en-IL</dc:language>
  <cp:lastModifiedBy/>
  <dcterms:modified xsi:type="dcterms:W3CDTF">2024-05-04T00:23:43Z</dcterms:modified>
  <cp:revision>141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