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D63EE5" w14:textId="13F8EC16" w:rsidR="00A62843" w:rsidRPr="00E87B15" w:rsidRDefault="00E87B15" w:rsidP="00E87B15">
      <w:pPr>
        <w:pStyle w:val="Titre"/>
        <w:rPr>
          <w:rFonts w:eastAsia="Times"/>
          <w:sz w:val="28"/>
          <w:szCs w:val="28"/>
        </w:rPr>
      </w:pPr>
      <w:r w:rsidRPr="00E87B15">
        <w:rPr>
          <w:rFonts w:eastAsia="Times"/>
          <w:sz w:val="28"/>
          <w:szCs w:val="28"/>
        </w:rPr>
        <w:t>ADDITIONAL FILES</w:t>
      </w:r>
    </w:p>
    <w:p w14:paraId="3E37AA23" w14:textId="77777777" w:rsidR="00A62843" w:rsidRPr="00BD65C7" w:rsidRDefault="00000000" w:rsidP="00E87B15">
      <w:pPr>
        <w:pStyle w:val="Titre1"/>
        <w:numPr>
          <w:ilvl w:val="0"/>
          <w:numId w:val="0"/>
        </w:numPr>
        <w:ind w:left="720" w:hanging="720"/>
      </w:pPr>
      <w:r w:rsidRPr="00BD65C7">
        <w:t xml:space="preserve">Supplementary Figures </w:t>
      </w:r>
    </w:p>
    <w:p w14:paraId="7886DD79" w14:textId="7779B794" w:rsidR="00A62843" w:rsidRPr="00BD65C7" w:rsidRDefault="00000000">
      <w:pPr>
        <w:spacing w:line="360" w:lineRule="auto"/>
        <w:rPr>
          <w:rFonts w:ascii="Times" w:eastAsia="Times" w:hAnsi="Times" w:cs="Times"/>
          <w:b/>
        </w:rPr>
      </w:pPr>
      <w:r w:rsidRPr="00BD65C7">
        <w:rPr>
          <w:rFonts w:ascii="Times" w:eastAsia="Times" w:hAnsi="Times" w:cs="Times"/>
          <w:b/>
        </w:rPr>
        <w:t>Figure S1. Volcano plots of differentially expressed genes (DEGs).</w:t>
      </w:r>
      <w:r w:rsidRPr="00BD65C7">
        <w:rPr>
          <w:rFonts w:ascii="Times" w:eastAsia="Times" w:hAnsi="Times" w:cs="Times"/>
        </w:rPr>
        <w:t xml:space="preserve"> Volcano plots of DEGs are presented for days 0, 14, 18 and 22 (A-D). </w:t>
      </w:r>
      <w:proofErr w:type="spellStart"/>
      <w:r w:rsidRPr="00BD65C7">
        <w:rPr>
          <w:rFonts w:ascii="Times" w:eastAsia="Times" w:hAnsi="Times" w:cs="Times"/>
        </w:rPr>
        <w:t>Unigenes</w:t>
      </w:r>
      <w:proofErr w:type="spellEnd"/>
      <w:r w:rsidRPr="00BD65C7">
        <w:rPr>
          <w:rFonts w:ascii="Times" w:eastAsia="Times" w:hAnsi="Times" w:cs="Times"/>
        </w:rPr>
        <w:t xml:space="preserve"> in blue are under-represented in stressed seedlings (FDR </w:t>
      </w:r>
      <w:r w:rsidRPr="00BD65C7">
        <w:rPr>
          <w:rFonts w:ascii="Cambria Math" w:eastAsia="Cambria Math" w:hAnsi="Cambria Math" w:cs="Cambria Math"/>
        </w:rPr>
        <w:t>⩽</w:t>
      </w:r>
      <w:r w:rsidRPr="00BD65C7">
        <w:rPr>
          <w:rFonts w:ascii="Times" w:eastAsia="Times" w:hAnsi="Times" w:cs="Times"/>
        </w:rPr>
        <w:t xml:space="preserve"> 0.05 and a log2FC </w:t>
      </w:r>
      <w:r w:rsidRPr="00BD65C7">
        <w:rPr>
          <w:rFonts w:ascii="Cambria Math" w:eastAsia="Cambria Math" w:hAnsi="Cambria Math" w:cs="Cambria Math"/>
        </w:rPr>
        <w:t>⩽</w:t>
      </w:r>
      <w:r w:rsidRPr="00BD65C7">
        <w:rPr>
          <w:rFonts w:ascii="Times" w:eastAsia="Times" w:hAnsi="Times" w:cs="Times"/>
        </w:rPr>
        <w:t xml:space="preserve"> -2), while transcripts in red are over-represented in stressed seedlings (FDR </w:t>
      </w:r>
      <w:r w:rsidRPr="00BD65C7">
        <w:rPr>
          <w:rFonts w:ascii="Cambria Math" w:eastAsia="Cambria Math" w:hAnsi="Cambria Math" w:cs="Cambria Math"/>
        </w:rPr>
        <w:t>⩽</w:t>
      </w:r>
      <w:r w:rsidRPr="00BD65C7">
        <w:rPr>
          <w:rFonts w:ascii="Times" w:eastAsia="Times" w:hAnsi="Times" w:cs="Times"/>
        </w:rPr>
        <w:t xml:space="preserve"> 0.05 and a log2FC </w:t>
      </w:r>
      <w:r w:rsidRPr="00BD65C7">
        <w:rPr>
          <w:rFonts w:ascii="Cambria Math" w:eastAsia="Cambria Math" w:hAnsi="Cambria Math" w:cs="Cambria Math"/>
        </w:rPr>
        <w:t>⩾</w:t>
      </w:r>
      <w:r w:rsidRPr="00BD65C7">
        <w:rPr>
          <w:rFonts w:ascii="Times" w:eastAsia="Times" w:hAnsi="Times" w:cs="Times"/>
        </w:rPr>
        <w:t xml:space="preserve"> 2). </w:t>
      </w:r>
      <w:proofErr w:type="spellStart"/>
      <w:r w:rsidRPr="00BD65C7">
        <w:rPr>
          <w:rFonts w:ascii="Times" w:eastAsia="Times" w:hAnsi="Times" w:cs="Times"/>
        </w:rPr>
        <w:t>Unigenes</w:t>
      </w:r>
      <w:proofErr w:type="spellEnd"/>
      <w:r w:rsidRPr="00BD65C7">
        <w:rPr>
          <w:rFonts w:ascii="Times" w:eastAsia="Times" w:hAnsi="Times" w:cs="Times"/>
        </w:rPr>
        <w:t xml:space="preserve"> in gray are not significantly different between the two groups.</w:t>
      </w:r>
    </w:p>
    <w:p w14:paraId="68EB6636" w14:textId="13849B69" w:rsidR="00A62843" w:rsidRPr="00BD65C7" w:rsidRDefault="00E87B15">
      <w:pPr>
        <w:spacing w:line="360" w:lineRule="auto"/>
        <w:rPr>
          <w:rFonts w:ascii="Times" w:eastAsia="Times" w:hAnsi="Times" w:cs="Times"/>
          <w:b/>
        </w:rPr>
      </w:pPr>
      <w:r w:rsidRPr="00BD65C7">
        <w:rPr>
          <w:noProof/>
        </w:rPr>
        <w:drawing>
          <wp:anchor distT="114300" distB="114300" distL="114300" distR="114300" simplePos="0" relativeHeight="251658240" behindDoc="0" locked="0" layoutInCell="1" hidden="0" allowOverlap="1" wp14:anchorId="7907237B" wp14:editId="5109B252">
            <wp:simplePos x="0" y="0"/>
            <wp:positionH relativeFrom="page">
              <wp:align>center</wp:align>
            </wp:positionH>
            <wp:positionV relativeFrom="paragraph">
              <wp:posOffset>5715</wp:posOffset>
            </wp:positionV>
            <wp:extent cx="5229543" cy="4965622"/>
            <wp:effectExtent l="0" t="0" r="0" b="6985"/>
            <wp:wrapSquare wrapText="bothSides" distT="114300" distB="114300" distL="114300" distR="114300"/>
            <wp:docPr id="6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229543" cy="4965622"/>
                    </a:xfrm>
                    <a:prstGeom prst="rect">
                      <a:avLst/>
                    </a:prstGeom>
                    <a:ln/>
                  </pic:spPr>
                </pic:pic>
              </a:graphicData>
            </a:graphic>
          </wp:anchor>
        </w:drawing>
      </w:r>
    </w:p>
    <w:p w14:paraId="29BD1E2E" w14:textId="77777777" w:rsidR="00A62843" w:rsidRPr="00BD65C7" w:rsidRDefault="00A62843">
      <w:pPr>
        <w:rPr>
          <w:rFonts w:ascii="Times" w:eastAsia="Times" w:hAnsi="Times" w:cs="Times"/>
          <w:b/>
        </w:rPr>
      </w:pPr>
    </w:p>
    <w:p w14:paraId="573B8827" w14:textId="77777777" w:rsidR="00A62843" w:rsidRPr="00BD65C7" w:rsidRDefault="00A62843">
      <w:pPr>
        <w:rPr>
          <w:rFonts w:ascii="Times" w:eastAsia="Times" w:hAnsi="Times" w:cs="Times"/>
          <w:b/>
        </w:rPr>
      </w:pPr>
    </w:p>
    <w:p w14:paraId="21E317E9" w14:textId="77777777" w:rsidR="00A62843" w:rsidRPr="00BD65C7" w:rsidRDefault="00A62843">
      <w:pPr>
        <w:rPr>
          <w:rFonts w:ascii="Times" w:eastAsia="Times" w:hAnsi="Times" w:cs="Times"/>
          <w:b/>
          <w:u w:val="single"/>
        </w:rPr>
      </w:pPr>
    </w:p>
    <w:p w14:paraId="20191406" w14:textId="77777777" w:rsidR="00A62843" w:rsidRPr="00BD65C7" w:rsidRDefault="00A62843">
      <w:pPr>
        <w:rPr>
          <w:rFonts w:ascii="Times" w:eastAsia="Times" w:hAnsi="Times" w:cs="Times"/>
          <w:b/>
          <w:u w:val="single"/>
        </w:rPr>
      </w:pPr>
    </w:p>
    <w:p w14:paraId="7D21DD81" w14:textId="77777777" w:rsidR="00A62843" w:rsidRPr="00BD65C7" w:rsidRDefault="00A62843">
      <w:pPr>
        <w:rPr>
          <w:rFonts w:ascii="Times" w:eastAsia="Times" w:hAnsi="Times" w:cs="Times"/>
          <w:b/>
          <w:u w:val="single"/>
        </w:rPr>
      </w:pPr>
    </w:p>
    <w:p w14:paraId="173B87F7" w14:textId="77777777" w:rsidR="00A62843" w:rsidRPr="00BD65C7" w:rsidRDefault="00A62843">
      <w:pPr>
        <w:rPr>
          <w:rFonts w:ascii="Times" w:eastAsia="Times" w:hAnsi="Times" w:cs="Times"/>
          <w:b/>
          <w:u w:val="single"/>
        </w:rPr>
      </w:pPr>
    </w:p>
    <w:p w14:paraId="61DBC9FF" w14:textId="77777777" w:rsidR="00A62843" w:rsidRPr="00BD65C7" w:rsidRDefault="00A62843">
      <w:pPr>
        <w:rPr>
          <w:rFonts w:ascii="Times" w:eastAsia="Times" w:hAnsi="Times" w:cs="Times"/>
          <w:b/>
          <w:u w:val="single"/>
        </w:rPr>
      </w:pPr>
    </w:p>
    <w:p w14:paraId="47E12F7A" w14:textId="77777777" w:rsidR="00A62843" w:rsidRPr="00BD65C7" w:rsidRDefault="00A62843">
      <w:pPr>
        <w:rPr>
          <w:rFonts w:ascii="Times" w:eastAsia="Times" w:hAnsi="Times" w:cs="Times"/>
          <w:b/>
          <w:u w:val="single"/>
        </w:rPr>
      </w:pPr>
    </w:p>
    <w:p w14:paraId="24E72E1E" w14:textId="77777777" w:rsidR="00A62843" w:rsidRPr="00BD65C7" w:rsidRDefault="00A62843">
      <w:pPr>
        <w:rPr>
          <w:rFonts w:ascii="Times" w:eastAsia="Times" w:hAnsi="Times" w:cs="Times"/>
          <w:b/>
          <w:u w:val="single"/>
        </w:rPr>
      </w:pPr>
    </w:p>
    <w:p w14:paraId="53E103B9" w14:textId="77777777" w:rsidR="00A62843" w:rsidRPr="00BD65C7" w:rsidRDefault="00A62843">
      <w:pPr>
        <w:rPr>
          <w:rFonts w:ascii="Times" w:eastAsia="Times" w:hAnsi="Times" w:cs="Times"/>
          <w:b/>
          <w:u w:val="single"/>
        </w:rPr>
      </w:pPr>
    </w:p>
    <w:p w14:paraId="7A58AD57" w14:textId="77777777" w:rsidR="00A62843" w:rsidRPr="00BD65C7" w:rsidRDefault="00A62843">
      <w:pPr>
        <w:rPr>
          <w:rFonts w:ascii="Times" w:eastAsia="Times" w:hAnsi="Times" w:cs="Times"/>
          <w:b/>
          <w:u w:val="single"/>
        </w:rPr>
      </w:pPr>
    </w:p>
    <w:p w14:paraId="36FEDA57" w14:textId="77777777" w:rsidR="00A62843" w:rsidRPr="00BD65C7" w:rsidRDefault="00A62843">
      <w:pPr>
        <w:rPr>
          <w:rFonts w:ascii="Times" w:eastAsia="Times" w:hAnsi="Times" w:cs="Times"/>
          <w:b/>
          <w:u w:val="single"/>
        </w:rPr>
      </w:pPr>
    </w:p>
    <w:p w14:paraId="6A0B1FA2" w14:textId="77777777" w:rsidR="00A62843" w:rsidRPr="00BD65C7" w:rsidRDefault="00A62843">
      <w:pPr>
        <w:rPr>
          <w:rFonts w:ascii="Times" w:eastAsia="Times" w:hAnsi="Times" w:cs="Times"/>
          <w:b/>
          <w:u w:val="single"/>
        </w:rPr>
      </w:pPr>
    </w:p>
    <w:p w14:paraId="47C9767F" w14:textId="77777777" w:rsidR="00A62843" w:rsidRPr="00BD65C7" w:rsidRDefault="00A62843">
      <w:pPr>
        <w:rPr>
          <w:rFonts w:ascii="Times" w:eastAsia="Times" w:hAnsi="Times" w:cs="Times"/>
          <w:b/>
          <w:u w:val="single"/>
        </w:rPr>
      </w:pPr>
    </w:p>
    <w:p w14:paraId="16D3CE84" w14:textId="77777777" w:rsidR="00380F1E" w:rsidRPr="00BD65C7" w:rsidRDefault="00380F1E">
      <w:pPr>
        <w:spacing w:line="360" w:lineRule="auto"/>
        <w:rPr>
          <w:rFonts w:ascii="Times" w:eastAsia="Times" w:hAnsi="Times" w:cs="Times"/>
          <w:b/>
        </w:rPr>
      </w:pPr>
    </w:p>
    <w:p w14:paraId="74F49B07" w14:textId="77777777" w:rsidR="00BD65C7" w:rsidRPr="00BD65C7" w:rsidRDefault="00BD65C7">
      <w:pPr>
        <w:spacing w:line="360" w:lineRule="auto"/>
        <w:rPr>
          <w:rFonts w:ascii="Times" w:eastAsia="Times" w:hAnsi="Times" w:cs="Times"/>
          <w:b/>
        </w:rPr>
      </w:pPr>
    </w:p>
    <w:p w14:paraId="56A65267" w14:textId="2FEBE4B7" w:rsidR="00A62843" w:rsidRPr="00BD65C7" w:rsidRDefault="00000000">
      <w:pPr>
        <w:spacing w:line="360" w:lineRule="auto"/>
        <w:rPr>
          <w:rFonts w:ascii="Times" w:eastAsia="Times" w:hAnsi="Times" w:cs="Times"/>
        </w:rPr>
      </w:pPr>
      <w:r w:rsidRPr="00BD65C7">
        <w:rPr>
          <w:rFonts w:ascii="Times" w:eastAsia="Times" w:hAnsi="Times" w:cs="Times"/>
          <w:b/>
        </w:rPr>
        <w:lastRenderedPageBreak/>
        <w:t>Figure S2. Major protein families involved in the drought response among the differentially expressed genes (DEGs) at day 22.</w:t>
      </w:r>
      <w:r w:rsidRPr="00BD65C7">
        <w:rPr>
          <w:rFonts w:ascii="Times" w:eastAsia="Times" w:hAnsi="Times" w:cs="Times"/>
        </w:rPr>
        <w:t xml:space="preserve"> The plot represents the number of up- and down-regulated DEGs at day 22 encoding selected protein families with known roles in plant drought response.</w:t>
      </w:r>
    </w:p>
    <w:p w14:paraId="45B418F4" w14:textId="07B213BB" w:rsidR="00A62843" w:rsidRPr="00BD65C7" w:rsidRDefault="00E87B15" w:rsidP="00BD65C7">
      <w:pPr>
        <w:jc w:val="center"/>
        <w:rPr>
          <w:rFonts w:ascii="Times" w:eastAsia="Times" w:hAnsi="Times" w:cs="Times"/>
          <w:b/>
          <w:u w:val="single"/>
        </w:rPr>
      </w:pPr>
      <w:r w:rsidRPr="00BD65C7">
        <w:rPr>
          <w:rFonts w:ascii="Times" w:eastAsia="Times" w:hAnsi="Times" w:cs="Times"/>
          <w:b/>
          <w:noProof/>
        </w:rPr>
        <w:drawing>
          <wp:anchor distT="0" distB="0" distL="114300" distR="114300" simplePos="0" relativeHeight="251659264" behindDoc="1" locked="0" layoutInCell="1" allowOverlap="1" wp14:anchorId="072BC084" wp14:editId="03A2837C">
            <wp:simplePos x="0" y="0"/>
            <wp:positionH relativeFrom="margin">
              <wp:posOffset>474980</wp:posOffset>
            </wp:positionH>
            <wp:positionV relativeFrom="paragraph">
              <wp:posOffset>7620</wp:posOffset>
            </wp:positionV>
            <wp:extent cx="5554345" cy="2404745"/>
            <wp:effectExtent l="0" t="0" r="8255" b="0"/>
            <wp:wrapSquare wrapText="bothSides"/>
            <wp:docPr id="6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cstate="print">
                      <a:extLst>
                        <a:ext uri="{28A0092B-C50C-407E-A947-70E740481C1C}">
                          <a14:useLocalDpi xmlns:a14="http://schemas.microsoft.com/office/drawing/2010/main" val="0"/>
                        </a:ext>
                      </a:extLst>
                    </a:blip>
                    <a:srcRect/>
                    <a:stretch>
                      <a:fillRect/>
                    </a:stretch>
                  </pic:blipFill>
                  <pic:spPr>
                    <a:xfrm>
                      <a:off x="0" y="0"/>
                      <a:ext cx="5554345" cy="2404745"/>
                    </a:xfrm>
                    <a:prstGeom prst="rect">
                      <a:avLst/>
                    </a:prstGeom>
                    <a:ln/>
                  </pic:spPr>
                </pic:pic>
              </a:graphicData>
            </a:graphic>
            <wp14:sizeRelH relativeFrom="margin">
              <wp14:pctWidth>0</wp14:pctWidth>
            </wp14:sizeRelH>
            <wp14:sizeRelV relativeFrom="margin">
              <wp14:pctHeight>0</wp14:pctHeight>
            </wp14:sizeRelV>
          </wp:anchor>
        </w:drawing>
      </w:r>
    </w:p>
    <w:p w14:paraId="292E12D2" w14:textId="77777777" w:rsidR="00A62843" w:rsidRPr="00BD65C7" w:rsidRDefault="00A62843">
      <w:pPr>
        <w:rPr>
          <w:rFonts w:ascii="Times" w:eastAsia="Times" w:hAnsi="Times" w:cs="Times"/>
          <w:b/>
          <w:u w:val="single"/>
        </w:rPr>
      </w:pPr>
    </w:p>
    <w:p w14:paraId="6794D562" w14:textId="77777777" w:rsidR="00A62843" w:rsidRPr="00BD65C7" w:rsidRDefault="00A62843">
      <w:pPr>
        <w:rPr>
          <w:rFonts w:ascii="Times" w:eastAsia="Times" w:hAnsi="Times" w:cs="Times"/>
          <w:b/>
          <w:u w:val="single"/>
        </w:rPr>
      </w:pPr>
    </w:p>
    <w:p w14:paraId="53CAFB4C" w14:textId="77777777" w:rsidR="00A62843" w:rsidRPr="00BD65C7" w:rsidRDefault="00A62843">
      <w:pPr>
        <w:rPr>
          <w:rFonts w:ascii="Times" w:eastAsia="Times" w:hAnsi="Times" w:cs="Times"/>
          <w:b/>
          <w:u w:val="single"/>
        </w:rPr>
      </w:pPr>
    </w:p>
    <w:p w14:paraId="2D1785A0" w14:textId="77777777" w:rsidR="00A62843" w:rsidRPr="00BD65C7" w:rsidRDefault="00A62843">
      <w:pPr>
        <w:rPr>
          <w:rFonts w:ascii="Times" w:eastAsia="Times" w:hAnsi="Times" w:cs="Times"/>
          <w:b/>
          <w:u w:val="single"/>
        </w:rPr>
      </w:pPr>
    </w:p>
    <w:p w14:paraId="7A6E1DFE" w14:textId="77777777" w:rsidR="00A62843" w:rsidRPr="00BD65C7" w:rsidRDefault="00A62843">
      <w:pPr>
        <w:rPr>
          <w:rFonts w:ascii="Times" w:eastAsia="Times" w:hAnsi="Times" w:cs="Times"/>
          <w:b/>
          <w:u w:val="single"/>
        </w:rPr>
      </w:pPr>
    </w:p>
    <w:p w14:paraId="6D81956D" w14:textId="77777777" w:rsidR="00A62843" w:rsidRPr="00BD65C7" w:rsidRDefault="00A62843">
      <w:pPr>
        <w:rPr>
          <w:rFonts w:ascii="Times" w:eastAsia="Times" w:hAnsi="Times" w:cs="Times"/>
          <w:b/>
          <w:u w:val="single"/>
        </w:rPr>
      </w:pPr>
    </w:p>
    <w:p w14:paraId="1F4E760E" w14:textId="77777777" w:rsidR="00A62843" w:rsidRPr="00BD65C7" w:rsidRDefault="00A62843">
      <w:pPr>
        <w:rPr>
          <w:rFonts w:ascii="Times" w:eastAsia="Times" w:hAnsi="Times" w:cs="Times"/>
          <w:b/>
          <w:u w:val="single"/>
        </w:rPr>
      </w:pPr>
    </w:p>
    <w:p w14:paraId="2013A984" w14:textId="77777777" w:rsidR="00A62843" w:rsidRPr="00BD65C7" w:rsidRDefault="00A62843">
      <w:pPr>
        <w:rPr>
          <w:rFonts w:ascii="Times" w:eastAsia="Times" w:hAnsi="Times" w:cs="Times"/>
          <w:b/>
          <w:u w:val="single"/>
        </w:rPr>
      </w:pPr>
    </w:p>
    <w:p w14:paraId="2D5AE9CC" w14:textId="77777777" w:rsidR="00A62843" w:rsidRPr="00BD65C7" w:rsidRDefault="00A62843">
      <w:pPr>
        <w:rPr>
          <w:rFonts w:ascii="Times" w:eastAsia="Times" w:hAnsi="Times" w:cs="Times"/>
          <w:b/>
          <w:u w:val="single"/>
        </w:rPr>
      </w:pPr>
    </w:p>
    <w:p w14:paraId="13C7FD78" w14:textId="77777777" w:rsidR="00A62843" w:rsidRPr="00BD65C7" w:rsidRDefault="00A62843">
      <w:pPr>
        <w:rPr>
          <w:rFonts w:ascii="Times" w:eastAsia="Times" w:hAnsi="Times" w:cs="Times"/>
          <w:b/>
          <w:u w:val="single"/>
        </w:rPr>
      </w:pPr>
    </w:p>
    <w:p w14:paraId="7A53AD92" w14:textId="77777777" w:rsidR="00A62843" w:rsidRPr="00BD65C7" w:rsidRDefault="00A62843">
      <w:pPr>
        <w:rPr>
          <w:rFonts w:ascii="Times" w:eastAsia="Times" w:hAnsi="Times" w:cs="Times"/>
          <w:b/>
          <w:u w:val="single"/>
        </w:rPr>
      </w:pPr>
    </w:p>
    <w:p w14:paraId="7736B717" w14:textId="77777777" w:rsidR="00A62843" w:rsidRPr="00BD65C7" w:rsidRDefault="00A62843">
      <w:pPr>
        <w:rPr>
          <w:rFonts w:ascii="Times" w:eastAsia="Times" w:hAnsi="Times" w:cs="Times"/>
          <w:b/>
          <w:u w:val="single"/>
        </w:rPr>
      </w:pPr>
    </w:p>
    <w:p w14:paraId="091AF3B5" w14:textId="77777777" w:rsidR="00A62843" w:rsidRDefault="00A62843">
      <w:pPr>
        <w:rPr>
          <w:rFonts w:ascii="Times" w:eastAsia="Times" w:hAnsi="Times" w:cs="Times"/>
          <w:b/>
          <w:u w:val="single"/>
        </w:rPr>
      </w:pPr>
    </w:p>
    <w:p w14:paraId="5E2845D6" w14:textId="77777777" w:rsidR="00E87B15" w:rsidRDefault="00E87B15">
      <w:pPr>
        <w:rPr>
          <w:rFonts w:ascii="Times" w:eastAsia="Times" w:hAnsi="Times" w:cs="Times"/>
          <w:b/>
          <w:u w:val="single"/>
        </w:rPr>
      </w:pPr>
    </w:p>
    <w:p w14:paraId="704F106B" w14:textId="77777777" w:rsidR="00E87B15" w:rsidRDefault="00E87B15">
      <w:pPr>
        <w:rPr>
          <w:rFonts w:ascii="Times" w:eastAsia="Times" w:hAnsi="Times" w:cs="Times"/>
          <w:b/>
          <w:u w:val="single"/>
        </w:rPr>
      </w:pPr>
    </w:p>
    <w:p w14:paraId="48DFF137" w14:textId="77777777" w:rsidR="00E87B15" w:rsidRDefault="00E87B15">
      <w:pPr>
        <w:rPr>
          <w:rFonts w:ascii="Times" w:eastAsia="Times" w:hAnsi="Times" w:cs="Times"/>
          <w:b/>
          <w:u w:val="single"/>
        </w:rPr>
      </w:pPr>
    </w:p>
    <w:p w14:paraId="3DDDBE61" w14:textId="77777777" w:rsidR="00E87B15" w:rsidRDefault="00E87B15">
      <w:pPr>
        <w:rPr>
          <w:rFonts w:ascii="Times" w:eastAsia="Times" w:hAnsi="Times" w:cs="Times"/>
          <w:b/>
          <w:u w:val="single"/>
        </w:rPr>
      </w:pPr>
    </w:p>
    <w:p w14:paraId="671DAC57" w14:textId="77777777" w:rsidR="00E87B15" w:rsidRDefault="00E87B15">
      <w:pPr>
        <w:rPr>
          <w:rFonts w:ascii="Times" w:eastAsia="Times" w:hAnsi="Times" w:cs="Times"/>
          <w:b/>
          <w:u w:val="single"/>
        </w:rPr>
      </w:pPr>
    </w:p>
    <w:p w14:paraId="6BB011EF" w14:textId="77777777" w:rsidR="00E87B15" w:rsidRPr="00BD65C7" w:rsidRDefault="00E87B15">
      <w:pPr>
        <w:rPr>
          <w:rFonts w:ascii="Times" w:eastAsia="Times" w:hAnsi="Times" w:cs="Times"/>
          <w:b/>
          <w:u w:val="single"/>
        </w:rPr>
      </w:pPr>
    </w:p>
    <w:p w14:paraId="6A040E17" w14:textId="77777777" w:rsidR="00A62843" w:rsidRPr="00BD65C7" w:rsidRDefault="00A62843">
      <w:pPr>
        <w:rPr>
          <w:rFonts w:ascii="Times" w:eastAsia="Times" w:hAnsi="Times" w:cs="Times"/>
          <w:b/>
          <w:u w:val="single"/>
        </w:rPr>
      </w:pPr>
    </w:p>
    <w:p w14:paraId="389D700F" w14:textId="706FAF7C" w:rsidR="00A62843" w:rsidRPr="00BD65C7" w:rsidRDefault="00000000">
      <w:pPr>
        <w:spacing w:line="360" w:lineRule="auto"/>
        <w:rPr>
          <w:rFonts w:ascii="Times" w:eastAsia="Times" w:hAnsi="Times" w:cs="Times"/>
        </w:rPr>
      </w:pPr>
      <w:r w:rsidRPr="00BD65C7">
        <w:rPr>
          <w:rFonts w:ascii="Times" w:eastAsia="Times" w:hAnsi="Times" w:cs="Times"/>
          <w:b/>
        </w:rPr>
        <w:lastRenderedPageBreak/>
        <w:t xml:space="preserve">Figure S3. Unique and shared differentially expressed genes (DEGs) among clones. </w:t>
      </w:r>
      <w:r w:rsidRPr="00BD65C7">
        <w:rPr>
          <w:rFonts w:ascii="Times" w:eastAsia="Times" w:hAnsi="Times" w:cs="Times"/>
        </w:rPr>
        <w:t>The Venn diagrams depict the overlaps of (A) up-regulated (red) and (B) down-regulated (blue) DEGs across the C8, C11, and C95 clones. The total number of DEGs are shown in bold brackets.</w:t>
      </w:r>
    </w:p>
    <w:p w14:paraId="0AE0B1EA" w14:textId="07AC2CE6" w:rsidR="00A62843" w:rsidRPr="00BD65C7" w:rsidRDefault="00E87B15" w:rsidP="00BD65C7">
      <w:pPr>
        <w:spacing w:line="360" w:lineRule="auto"/>
        <w:jc w:val="center"/>
        <w:rPr>
          <w:rFonts w:ascii="Times" w:eastAsia="Times" w:hAnsi="Times" w:cs="Times"/>
        </w:rPr>
      </w:pPr>
      <w:r w:rsidRPr="00BD65C7">
        <w:rPr>
          <w:rFonts w:ascii="Times" w:eastAsia="Times" w:hAnsi="Times" w:cs="Times"/>
          <w:noProof/>
        </w:rPr>
        <w:drawing>
          <wp:anchor distT="0" distB="0" distL="114300" distR="114300" simplePos="0" relativeHeight="251660288" behindDoc="0" locked="0" layoutInCell="1" allowOverlap="1" wp14:anchorId="78E37E7F" wp14:editId="12709220">
            <wp:simplePos x="0" y="0"/>
            <wp:positionH relativeFrom="margin">
              <wp:align>center</wp:align>
            </wp:positionH>
            <wp:positionV relativeFrom="paragraph">
              <wp:posOffset>12700</wp:posOffset>
            </wp:positionV>
            <wp:extent cx="5457190" cy="1788795"/>
            <wp:effectExtent l="0" t="0" r="0" b="1905"/>
            <wp:wrapSquare wrapText="bothSides"/>
            <wp:docPr id="69"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1" cstate="print">
                      <a:extLst>
                        <a:ext uri="{28A0092B-C50C-407E-A947-70E740481C1C}">
                          <a14:useLocalDpi xmlns:a14="http://schemas.microsoft.com/office/drawing/2010/main" val="0"/>
                        </a:ext>
                      </a:extLst>
                    </a:blip>
                    <a:srcRect/>
                    <a:stretch>
                      <a:fillRect/>
                    </a:stretch>
                  </pic:blipFill>
                  <pic:spPr>
                    <a:xfrm>
                      <a:off x="0" y="0"/>
                      <a:ext cx="5457190" cy="1788795"/>
                    </a:xfrm>
                    <a:prstGeom prst="rect">
                      <a:avLst/>
                    </a:prstGeom>
                    <a:ln/>
                  </pic:spPr>
                </pic:pic>
              </a:graphicData>
            </a:graphic>
            <wp14:sizeRelH relativeFrom="margin">
              <wp14:pctWidth>0</wp14:pctWidth>
            </wp14:sizeRelH>
            <wp14:sizeRelV relativeFrom="margin">
              <wp14:pctHeight>0</wp14:pctHeight>
            </wp14:sizeRelV>
          </wp:anchor>
        </w:drawing>
      </w:r>
    </w:p>
    <w:p w14:paraId="691615E7" w14:textId="77777777" w:rsidR="00A62843" w:rsidRPr="00BD65C7" w:rsidRDefault="00A62843">
      <w:pPr>
        <w:rPr>
          <w:rFonts w:ascii="Times" w:eastAsia="Times" w:hAnsi="Times" w:cs="Times"/>
          <w:b/>
          <w:u w:val="single"/>
        </w:rPr>
      </w:pPr>
    </w:p>
    <w:p w14:paraId="0F532C17" w14:textId="77777777" w:rsidR="00A62843" w:rsidRPr="00BD65C7" w:rsidRDefault="00A62843">
      <w:pPr>
        <w:rPr>
          <w:rFonts w:ascii="Times" w:eastAsia="Times" w:hAnsi="Times" w:cs="Times"/>
          <w:b/>
          <w:u w:val="single"/>
        </w:rPr>
      </w:pPr>
    </w:p>
    <w:p w14:paraId="04CF3AC9" w14:textId="77777777" w:rsidR="00A62843" w:rsidRPr="00BD65C7" w:rsidRDefault="00A62843">
      <w:pPr>
        <w:rPr>
          <w:rFonts w:ascii="Times" w:eastAsia="Times" w:hAnsi="Times" w:cs="Times"/>
          <w:b/>
          <w:u w:val="single"/>
        </w:rPr>
      </w:pPr>
    </w:p>
    <w:p w14:paraId="1D0EEEFD" w14:textId="77777777" w:rsidR="00A62843" w:rsidRPr="00BD65C7" w:rsidRDefault="00A62843">
      <w:pPr>
        <w:rPr>
          <w:rFonts w:ascii="Times" w:eastAsia="Times" w:hAnsi="Times" w:cs="Times"/>
          <w:b/>
          <w:u w:val="single"/>
        </w:rPr>
      </w:pPr>
    </w:p>
    <w:p w14:paraId="60F31BB4" w14:textId="77777777" w:rsidR="00A62843" w:rsidRPr="00BD65C7" w:rsidRDefault="00A62843">
      <w:pPr>
        <w:rPr>
          <w:rFonts w:ascii="Times" w:eastAsia="Times" w:hAnsi="Times" w:cs="Times"/>
          <w:b/>
          <w:u w:val="single"/>
        </w:rPr>
      </w:pPr>
    </w:p>
    <w:p w14:paraId="697AA048" w14:textId="77777777" w:rsidR="00A62843" w:rsidRPr="00BD65C7" w:rsidRDefault="00A62843">
      <w:pPr>
        <w:rPr>
          <w:rFonts w:ascii="Times" w:eastAsia="Times" w:hAnsi="Times" w:cs="Times"/>
          <w:b/>
          <w:u w:val="single"/>
        </w:rPr>
      </w:pPr>
    </w:p>
    <w:p w14:paraId="2063C678" w14:textId="77777777" w:rsidR="00A62843" w:rsidRPr="00BD65C7" w:rsidRDefault="00A62843">
      <w:pPr>
        <w:rPr>
          <w:rFonts w:ascii="Times" w:eastAsia="Times" w:hAnsi="Times" w:cs="Times"/>
          <w:b/>
          <w:u w:val="single"/>
        </w:rPr>
      </w:pPr>
    </w:p>
    <w:p w14:paraId="2EC1BB0B" w14:textId="77777777" w:rsidR="00A62843" w:rsidRPr="00BD65C7" w:rsidRDefault="00A62843">
      <w:pPr>
        <w:rPr>
          <w:rFonts w:ascii="Times" w:eastAsia="Times" w:hAnsi="Times" w:cs="Times"/>
          <w:b/>
          <w:u w:val="single"/>
        </w:rPr>
      </w:pPr>
    </w:p>
    <w:p w14:paraId="5931597B" w14:textId="77777777" w:rsidR="00A62843" w:rsidRPr="00BD65C7" w:rsidRDefault="00A62843">
      <w:pPr>
        <w:rPr>
          <w:rFonts w:ascii="Times" w:eastAsia="Times" w:hAnsi="Times" w:cs="Times"/>
          <w:b/>
          <w:u w:val="single"/>
        </w:rPr>
      </w:pPr>
    </w:p>
    <w:p w14:paraId="55429E45" w14:textId="77777777" w:rsidR="00A62843" w:rsidRPr="00BD65C7" w:rsidRDefault="00A62843">
      <w:pPr>
        <w:rPr>
          <w:rFonts w:ascii="Times" w:eastAsia="Times" w:hAnsi="Times" w:cs="Times"/>
          <w:b/>
          <w:u w:val="single"/>
        </w:rPr>
      </w:pPr>
    </w:p>
    <w:p w14:paraId="77BEAE0E" w14:textId="77777777" w:rsidR="00A62843" w:rsidRPr="00BD65C7" w:rsidRDefault="00A62843">
      <w:pPr>
        <w:rPr>
          <w:rFonts w:ascii="Times" w:eastAsia="Times" w:hAnsi="Times" w:cs="Times"/>
          <w:b/>
          <w:u w:val="single"/>
        </w:rPr>
      </w:pPr>
    </w:p>
    <w:p w14:paraId="69284BFD" w14:textId="77777777" w:rsidR="00A62843" w:rsidRPr="00BD65C7" w:rsidRDefault="00A62843">
      <w:pPr>
        <w:rPr>
          <w:rFonts w:ascii="Times" w:eastAsia="Times" w:hAnsi="Times" w:cs="Times"/>
          <w:b/>
          <w:u w:val="single"/>
        </w:rPr>
      </w:pPr>
    </w:p>
    <w:p w14:paraId="49F82152" w14:textId="77777777" w:rsidR="00A62843" w:rsidRPr="00BD65C7" w:rsidRDefault="00A62843">
      <w:pPr>
        <w:rPr>
          <w:rFonts w:ascii="Times" w:eastAsia="Times" w:hAnsi="Times" w:cs="Times"/>
          <w:b/>
          <w:u w:val="single"/>
        </w:rPr>
      </w:pPr>
    </w:p>
    <w:p w14:paraId="4F231CA8" w14:textId="77777777" w:rsidR="00A62843" w:rsidRPr="00BD65C7" w:rsidRDefault="00A62843">
      <w:pPr>
        <w:rPr>
          <w:rFonts w:ascii="Times" w:eastAsia="Times" w:hAnsi="Times" w:cs="Times"/>
          <w:b/>
          <w:u w:val="single"/>
        </w:rPr>
      </w:pPr>
    </w:p>
    <w:p w14:paraId="110F3905" w14:textId="77777777" w:rsidR="00A62843" w:rsidRDefault="00A62843">
      <w:pPr>
        <w:rPr>
          <w:rFonts w:ascii="Times" w:eastAsia="Times" w:hAnsi="Times" w:cs="Times"/>
          <w:b/>
          <w:u w:val="single"/>
        </w:rPr>
      </w:pPr>
    </w:p>
    <w:p w14:paraId="6AB9484A" w14:textId="77777777" w:rsidR="00E87B15" w:rsidRDefault="00E87B15">
      <w:pPr>
        <w:rPr>
          <w:rFonts w:ascii="Times" w:eastAsia="Times" w:hAnsi="Times" w:cs="Times"/>
          <w:b/>
          <w:u w:val="single"/>
        </w:rPr>
      </w:pPr>
    </w:p>
    <w:p w14:paraId="1CC26FD9" w14:textId="77777777" w:rsidR="00E87B15" w:rsidRDefault="00E87B15">
      <w:pPr>
        <w:rPr>
          <w:rFonts w:ascii="Times" w:eastAsia="Times" w:hAnsi="Times" w:cs="Times"/>
          <w:b/>
          <w:u w:val="single"/>
        </w:rPr>
      </w:pPr>
    </w:p>
    <w:p w14:paraId="6F74095D" w14:textId="77777777" w:rsidR="00E87B15" w:rsidRDefault="00E87B15">
      <w:pPr>
        <w:rPr>
          <w:rFonts w:ascii="Times" w:eastAsia="Times" w:hAnsi="Times" w:cs="Times"/>
          <w:b/>
          <w:u w:val="single"/>
        </w:rPr>
      </w:pPr>
    </w:p>
    <w:p w14:paraId="3FA8A3CE" w14:textId="77777777" w:rsidR="00E87B15" w:rsidRDefault="00E87B15">
      <w:pPr>
        <w:rPr>
          <w:rFonts w:ascii="Times" w:eastAsia="Times" w:hAnsi="Times" w:cs="Times"/>
          <w:b/>
          <w:u w:val="single"/>
        </w:rPr>
      </w:pPr>
    </w:p>
    <w:p w14:paraId="3FB1E601" w14:textId="77777777" w:rsidR="00E87B15" w:rsidRPr="00BD65C7" w:rsidRDefault="00E87B15">
      <w:pPr>
        <w:rPr>
          <w:rFonts w:ascii="Times" w:eastAsia="Times" w:hAnsi="Times" w:cs="Times"/>
          <w:b/>
          <w:u w:val="single"/>
        </w:rPr>
      </w:pPr>
    </w:p>
    <w:p w14:paraId="100B1C15" w14:textId="77777777" w:rsidR="00380F1E" w:rsidRPr="00BD65C7" w:rsidRDefault="00380F1E">
      <w:pPr>
        <w:rPr>
          <w:rFonts w:ascii="Times" w:eastAsia="Times" w:hAnsi="Times" w:cs="Times"/>
          <w:b/>
          <w:u w:val="single"/>
        </w:rPr>
      </w:pPr>
    </w:p>
    <w:p w14:paraId="15410C00" w14:textId="0E54CC99" w:rsidR="00A62843" w:rsidRPr="00BD65C7" w:rsidRDefault="00000000">
      <w:pPr>
        <w:spacing w:line="360" w:lineRule="auto"/>
        <w:rPr>
          <w:rFonts w:ascii="Times" w:eastAsia="Times" w:hAnsi="Times" w:cs="Times"/>
        </w:rPr>
      </w:pPr>
      <w:r w:rsidRPr="00BD65C7">
        <w:rPr>
          <w:rFonts w:ascii="Times" w:eastAsia="Times" w:hAnsi="Times" w:cs="Times"/>
          <w:b/>
        </w:rPr>
        <w:lastRenderedPageBreak/>
        <w:t xml:space="preserve">Figure S4. Gene Ontology (GO) annotation of unique and shared differentially expressed genes (DEGs) among clones. </w:t>
      </w:r>
      <w:r w:rsidRPr="00BD65C7">
        <w:rPr>
          <w:rFonts w:ascii="Times" w:eastAsia="Times" w:hAnsi="Times" w:cs="Times"/>
        </w:rPr>
        <w:t>GO annotation of biological process (BP) of (A) up- and (B) down-regulated DEGs of clones and GO annotation of molecular functions (MF) of (C) up- and (D) down-regulated DEGs. Unique DEGs correspond to C8, C11 or C95 and the shared DEGs among clones correspond to C8-C11, C11-C95 and C8-C11-C95.</w:t>
      </w:r>
    </w:p>
    <w:p w14:paraId="7B762294" w14:textId="6639D28F" w:rsidR="00A62843" w:rsidRPr="00BD65C7" w:rsidRDefault="00E87B15" w:rsidP="00BD65C7">
      <w:pPr>
        <w:jc w:val="center"/>
        <w:rPr>
          <w:rFonts w:ascii="Times" w:eastAsia="Times" w:hAnsi="Times" w:cs="Times"/>
          <w:b/>
          <w:u w:val="single"/>
        </w:rPr>
      </w:pPr>
      <w:r w:rsidRPr="00BD65C7">
        <w:rPr>
          <w:rFonts w:ascii="Times" w:eastAsia="Times" w:hAnsi="Times" w:cs="Times"/>
          <w:b/>
          <w:noProof/>
        </w:rPr>
        <w:drawing>
          <wp:anchor distT="0" distB="0" distL="114300" distR="114300" simplePos="0" relativeHeight="251661312" behindDoc="0" locked="0" layoutInCell="1" allowOverlap="1" wp14:anchorId="17545425" wp14:editId="535F84A5">
            <wp:simplePos x="0" y="0"/>
            <wp:positionH relativeFrom="margin">
              <wp:align>right</wp:align>
            </wp:positionH>
            <wp:positionV relativeFrom="paragraph">
              <wp:posOffset>5715</wp:posOffset>
            </wp:positionV>
            <wp:extent cx="5608955" cy="4328795"/>
            <wp:effectExtent l="0" t="0" r="0" b="0"/>
            <wp:wrapSquare wrapText="bothSides"/>
            <wp:docPr id="6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cstate="print">
                      <a:extLst>
                        <a:ext uri="{28A0092B-C50C-407E-A947-70E740481C1C}">
                          <a14:useLocalDpi xmlns:a14="http://schemas.microsoft.com/office/drawing/2010/main" val="0"/>
                        </a:ext>
                      </a:extLst>
                    </a:blip>
                    <a:srcRect/>
                    <a:stretch>
                      <a:fillRect/>
                    </a:stretch>
                  </pic:blipFill>
                  <pic:spPr>
                    <a:xfrm>
                      <a:off x="0" y="0"/>
                      <a:ext cx="5608955" cy="4328795"/>
                    </a:xfrm>
                    <a:prstGeom prst="rect">
                      <a:avLst/>
                    </a:prstGeom>
                    <a:ln/>
                  </pic:spPr>
                </pic:pic>
              </a:graphicData>
            </a:graphic>
          </wp:anchor>
        </w:drawing>
      </w:r>
    </w:p>
    <w:p w14:paraId="7E198C03" w14:textId="77777777" w:rsidR="00A62843" w:rsidRPr="00BD65C7" w:rsidRDefault="00A62843">
      <w:pPr>
        <w:rPr>
          <w:rFonts w:ascii="Times" w:eastAsia="Times" w:hAnsi="Times" w:cs="Times"/>
          <w:b/>
          <w:u w:val="single"/>
        </w:rPr>
      </w:pPr>
    </w:p>
    <w:p w14:paraId="351D3FDC" w14:textId="77777777" w:rsidR="00A62843" w:rsidRPr="00BD65C7" w:rsidRDefault="00A62843">
      <w:pPr>
        <w:rPr>
          <w:rFonts w:ascii="Times" w:eastAsia="Times" w:hAnsi="Times" w:cs="Times"/>
          <w:b/>
          <w:u w:val="single"/>
        </w:rPr>
      </w:pPr>
    </w:p>
    <w:p w14:paraId="3E279CA2" w14:textId="77777777" w:rsidR="00A62843" w:rsidRPr="00BD65C7" w:rsidRDefault="00A62843">
      <w:pPr>
        <w:rPr>
          <w:rFonts w:ascii="Times" w:eastAsia="Times" w:hAnsi="Times" w:cs="Times"/>
          <w:b/>
          <w:u w:val="single"/>
        </w:rPr>
      </w:pPr>
    </w:p>
    <w:p w14:paraId="10B0D828" w14:textId="77777777" w:rsidR="00A62843" w:rsidRDefault="00A62843">
      <w:pPr>
        <w:rPr>
          <w:rFonts w:ascii="Times" w:eastAsia="Times" w:hAnsi="Times" w:cs="Times"/>
          <w:b/>
          <w:u w:val="single"/>
        </w:rPr>
      </w:pPr>
    </w:p>
    <w:p w14:paraId="0281CD88" w14:textId="77777777" w:rsidR="00BD65C7" w:rsidRDefault="00BD65C7">
      <w:pPr>
        <w:rPr>
          <w:rFonts w:ascii="Times" w:eastAsia="Times" w:hAnsi="Times" w:cs="Times"/>
          <w:b/>
          <w:u w:val="single"/>
        </w:rPr>
      </w:pPr>
    </w:p>
    <w:p w14:paraId="5B40E8A5" w14:textId="77777777" w:rsidR="00BD65C7" w:rsidRPr="00BD65C7" w:rsidRDefault="00BD65C7">
      <w:pPr>
        <w:rPr>
          <w:rFonts w:ascii="Times" w:eastAsia="Times" w:hAnsi="Times" w:cs="Times"/>
          <w:b/>
          <w:u w:val="single"/>
        </w:rPr>
      </w:pPr>
    </w:p>
    <w:p w14:paraId="6B61402F" w14:textId="77777777" w:rsidR="00A62843" w:rsidRDefault="00A62843">
      <w:pPr>
        <w:rPr>
          <w:rFonts w:ascii="Times" w:eastAsia="Times" w:hAnsi="Times" w:cs="Times"/>
          <w:b/>
          <w:u w:val="single"/>
        </w:rPr>
      </w:pPr>
    </w:p>
    <w:p w14:paraId="744F819E" w14:textId="77777777" w:rsidR="00E87B15" w:rsidRDefault="00E87B15">
      <w:pPr>
        <w:rPr>
          <w:rFonts w:ascii="Times" w:eastAsia="Times" w:hAnsi="Times" w:cs="Times"/>
          <w:b/>
          <w:u w:val="single"/>
        </w:rPr>
      </w:pPr>
    </w:p>
    <w:p w14:paraId="214FF071" w14:textId="77777777" w:rsidR="00E87B15" w:rsidRDefault="00E87B15">
      <w:pPr>
        <w:rPr>
          <w:rFonts w:ascii="Times" w:eastAsia="Times" w:hAnsi="Times" w:cs="Times"/>
          <w:b/>
          <w:u w:val="single"/>
        </w:rPr>
      </w:pPr>
    </w:p>
    <w:p w14:paraId="01F1A2F5" w14:textId="77777777" w:rsidR="00E87B15" w:rsidRDefault="00E87B15">
      <w:pPr>
        <w:rPr>
          <w:rFonts w:ascii="Times" w:eastAsia="Times" w:hAnsi="Times" w:cs="Times"/>
          <w:b/>
          <w:u w:val="single"/>
        </w:rPr>
      </w:pPr>
    </w:p>
    <w:p w14:paraId="35229D6E" w14:textId="77777777" w:rsidR="00E87B15" w:rsidRDefault="00E87B15">
      <w:pPr>
        <w:rPr>
          <w:rFonts w:ascii="Times" w:eastAsia="Times" w:hAnsi="Times" w:cs="Times"/>
          <w:b/>
          <w:u w:val="single"/>
        </w:rPr>
      </w:pPr>
    </w:p>
    <w:p w14:paraId="1D365AEB" w14:textId="77777777" w:rsidR="00E87B15" w:rsidRDefault="00E87B15">
      <w:pPr>
        <w:rPr>
          <w:rFonts w:ascii="Times" w:eastAsia="Times" w:hAnsi="Times" w:cs="Times"/>
          <w:b/>
          <w:u w:val="single"/>
        </w:rPr>
      </w:pPr>
    </w:p>
    <w:p w14:paraId="761A8D48" w14:textId="77777777" w:rsidR="00E87B15" w:rsidRDefault="00E87B15">
      <w:pPr>
        <w:rPr>
          <w:rFonts w:ascii="Times" w:eastAsia="Times" w:hAnsi="Times" w:cs="Times"/>
          <w:b/>
          <w:u w:val="single"/>
        </w:rPr>
      </w:pPr>
    </w:p>
    <w:p w14:paraId="7F11B887" w14:textId="77777777" w:rsidR="00E87B15" w:rsidRDefault="00E87B15">
      <w:pPr>
        <w:rPr>
          <w:rFonts w:ascii="Times" w:eastAsia="Times" w:hAnsi="Times" w:cs="Times"/>
          <w:b/>
          <w:u w:val="single"/>
        </w:rPr>
      </w:pPr>
    </w:p>
    <w:p w14:paraId="51F0DD07" w14:textId="77777777" w:rsidR="00E87B15" w:rsidRDefault="00E87B15">
      <w:pPr>
        <w:rPr>
          <w:rFonts w:ascii="Times" w:eastAsia="Times" w:hAnsi="Times" w:cs="Times"/>
          <w:b/>
          <w:u w:val="single"/>
        </w:rPr>
      </w:pPr>
    </w:p>
    <w:p w14:paraId="4FAD5578" w14:textId="77777777" w:rsidR="00E87B15" w:rsidRDefault="00E87B15">
      <w:pPr>
        <w:rPr>
          <w:rFonts w:ascii="Times" w:eastAsia="Times" w:hAnsi="Times" w:cs="Times"/>
          <w:b/>
          <w:u w:val="single"/>
        </w:rPr>
      </w:pPr>
    </w:p>
    <w:p w14:paraId="1BD33134" w14:textId="77777777" w:rsidR="00E87B15" w:rsidRDefault="00E87B15">
      <w:pPr>
        <w:rPr>
          <w:rFonts w:ascii="Times" w:eastAsia="Times" w:hAnsi="Times" w:cs="Times"/>
          <w:b/>
          <w:u w:val="single"/>
        </w:rPr>
      </w:pPr>
    </w:p>
    <w:p w14:paraId="288E64FD" w14:textId="77777777" w:rsidR="00E87B15" w:rsidRDefault="00E87B15">
      <w:pPr>
        <w:rPr>
          <w:rFonts w:ascii="Times" w:eastAsia="Times" w:hAnsi="Times" w:cs="Times"/>
          <w:b/>
          <w:u w:val="single"/>
        </w:rPr>
      </w:pPr>
    </w:p>
    <w:p w14:paraId="6466BA5D" w14:textId="77777777" w:rsidR="00E87B15" w:rsidRDefault="00E87B15">
      <w:pPr>
        <w:rPr>
          <w:rFonts w:ascii="Times" w:eastAsia="Times" w:hAnsi="Times" w:cs="Times"/>
          <w:b/>
          <w:u w:val="single"/>
        </w:rPr>
      </w:pPr>
    </w:p>
    <w:p w14:paraId="154FAC9C" w14:textId="77777777" w:rsidR="00E87B15" w:rsidRPr="00BD65C7" w:rsidRDefault="00E87B15">
      <w:pPr>
        <w:rPr>
          <w:rFonts w:ascii="Times" w:eastAsia="Times" w:hAnsi="Times" w:cs="Times"/>
          <w:b/>
          <w:u w:val="single"/>
        </w:rPr>
      </w:pPr>
    </w:p>
    <w:p w14:paraId="12862C2A" w14:textId="77777777" w:rsidR="00E87B15" w:rsidRDefault="00E87B15" w:rsidP="00E87B15">
      <w:pPr>
        <w:pStyle w:val="Titre1"/>
        <w:numPr>
          <w:ilvl w:val="0"/>
          <w:numId w:val="0"/>
        </w:numPr>
        <w:ind w:left="720" w:hanging="720"/>
        <w:sectPr w:rsidR="00E87B15" w:rsidSect="00723421">
          <w:headerReference w:type="even" r:id="rId13"/>
          <w:footerReference w:type="default" r:id="rId14"/>
          <w:pgSz w:w="12240" w:h="15840"/>
          <w:pgMar w:top="1138" w:right="1181" w:bottom="1138" w:left="1282" w:header="720" w:footer="720" w:gutter="0"/>
          <w:lnNumType w:countBy="1" w:restart="continuous"/>
          <w:pgNumType w:start="1"/>
          <w:cols w:space="720"/>
          <w:titlePg/>
        </w:sectPr>
      </w:pPr>
    </w:p>
    <w:p w14:paraId="0CE83A1F" w14:textId="77777777" w:rsidR="00A62843" w:rsidRPr="00BD65C7" w:rsidRDefault="00000000" w:rsidP="00E87B15">
      <w:pPr>
        <w:pStyle w:val="Titre1"/>
        <w:numPr>
          <w:ilvl w:val="0"/>
          <w:numId w:val="0"/>
        </w:numPr>
        <w:ind w:left="720" w:hanging="720"/>
      </w:pPr>
      <w:r w:rsidRPr="00BD65C7">
        <w:lastRenderedPageBreak/>
        <w:t xml:space="preserve">Supplementary Tables </w:t>
      </w:r>
    </w:p>
    <w:p w14:paraId="440A723B" w14:textId="1EC7E038" w:rsidR="00A62843" w:rsidRPr="00BD65C7" w:rsidRDefault="00000000">
      <w:pPr>
        <w:rPr>
          <w:rFonts w:ascii="Times" w:eastAsia="Times" w:hAnsi="Times" w:cs="Times"/>
          <w:b/>
        </w:rPr>
      </w:pPr>
      <w:r w:rsidRPr="00BD65C7">
        <w:rPr>
          <w:rFonts w:ascii="Times" w:eastAsia="Times" w:hAnsi="Times" w:cs="Times"/>
          <w:b/>
        </w:rPr>
        <w:t>Table S1. Summary of plant materi</w:t>
      </w:r>
      <w:sdt>
        <w:sdtPr>
          <w:tag w:val="goog_rdk_0"/>
          <w:id w:val="-1580359545"/>
        </w:sdtPr>
        <w:sdtContent/>
      </w:sdt>
      <w:r w:rsidRPr="00BD65C7">
        <w:rPr>
          <w:rFonts w:ascii="Times" w:eastAsia="Times" w:hAnsi="Times" w:cs="Times"/>
          <w:b/>
        </w:rPr>
        <w:t>al</w:t>
      </w:r>
      <w:r w:rsidR="00976EA5">
        <w:rPr>
          <w:rFonts w:ascii="Times" w:eastAsia="Times" w:hAnsi="Times" w:cs="Times"/>
          <w:b/>
        </w:rPr>
        <w:t xml:space="preserve"> used for de novo transcriptome assembly and transcriptomic analyses.</w:t>
      </w:r>
    </w:p>
    <w:p w14:paraId="5FCD1966" w14:textId="605D1FFB" w:rsidR="00A62843" w:rsidRPr="00BD65C7" w:rsidRDefault="00A62843">
      <w:pPr>
        <w:rPr>
          <w:rFonts w:ascii="Times" w:eastAsia="Times" w:hAnsi="Times" w:cs="Times"/>
          <w:b/>
        </w:rPr>
      </w:pPr>
    </w:p>
    <w:p w14:paraId="5A544155" w14:textId="016B8644" w:rsidR="00A62843" w:rsidRDefault="00E87B15">
      <w:pPr>
        <w:rPr>
          <w:rFonts w:ascii="Times" w:eastAsia="Times" w:hAnsi="Times" w:cs="Times"/>
          <w:b/>
        </w:rPr>
      </w:pPr>
      <w:r w:rsidRPr="00BD65C7">
        <w:rPr>
          <w:rFonts w:ascii="Times" w:eastAsia="Times" w:hAnsi="Times" w:cs="Times"/>
          <w:b/>
          <w:noProof/>
        </w:rPr>
        <w:drawing>
          <wp:anchor distT="0" distB="0" distL="114300" distR="114300" simplePos="0" relativeHeight="251662336" behindDoc="0" locked="0" layoutInCell="1" allowOverlap="1" wp14:anchorId="68BC7AD2" wp14:editId="122434DB">
            <wp:simplePos x="0" y="0"/>
            <wp:positionH relativeFrom="margin">
              <wp:align>center</wp:align>
            </wp:positionH>
            <wp:positionV relativeFrom="paragraph">
              <wp:posOffset>11430</wp:posOffset>
            </wp:positionV>
            <wp:extent cx="7629525" cy="3126105"/>
            <wp:effectExtent l="0" t="0" r="9525" b="0"/>
            <wp:wrapSquare wrapText="bothSides"/>
            <wp:docPr id="66"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5">
                      <a:extLst>
                        <a:ext uri="{28A0092B-C50C-407E-A947-70E740481C1C}">
                          <a14:useLocalDpi xmlns:a14="http://schemas.microsoft.com/office/drawing/2010/main" val="0"/>
                        </a:ext>
                      </a:extLst>
                    </a:blip>
                    <a:srcRect/>
                    <a:stretch>
                      <a:fillRect/>
                    </a:stretch>
                  </pic:blipFill>
                  <pic:spPr>
                    <a:xfrm>
                      <a:off x="0" y="0"/>
                      <a:ext cx="7629525" cy="3126105"/>
                    </a:xfrm>
                    <a:prstGeom prst="rect">
                      <a:avLst/>
                    </a:prstGeom>
                    <a:ln/>
                  </pic:spPr>
                </pic:pic>
              </a:graphicData>
            </a:graphic>
            <wp14:sizeRelH relativeFrom="margin">
              <wp14:pctWidth>0</wp14:pctWidth>
            </wp14:sizeRelH>
            <wp14:sizeRelV relativeFrom="margin">
              <wp14:pctHeight>0</wp14:pctHeight>
            </wp14:sizeRelV>
          </wp:anchor>
        </w:drawing>
      </w:r>
    </w:p>
    <w:p w14:paraId="79BBA2BB" w14:textId="77777777" w:rsidR="00BD65C7" w:rsidRDefault="00BD65C7">
      <w:pPr>
        <w:rPr>
          <w:rFonts w:ascii="Times" w:eastAsia="Times" w:hAnsi="Times" w:cs="Times"/>
          <w:b/>
        </w:rPr>
      </w:pPr>
    </w:p>
    <w:p w14:paraId="6EB5E090" w14:textId="77777777" w:rsidR="00BD65C7" w:rsidRDefault="00BD65C7">
      <w:pPr>
        <w:rPr>
          <w:rFonts w:ascii="Times" w:eastAsia="Times" w:hAnsi="Times" w:cs="Times"/>
          <w:b/>
        </w:rPr>
      </w:pPr>
    </w:p>
    <w:p w14:paraId="623E3AB0" w14:textId="77777777" w:rsidR="00E87B15" w:rsidRDefault="00E87B15">
      <w:pPr>
        <w:rPr>
          <w:rFonts w:ascii="Times" w:eastAsia="Times" w:hAnsi="Times" w:cs="Times"/>
          <w:b/>
        </w:rPr>
      </w:pPr>
    </w:p>
    <w:p w14:paraId="38BA9B66" w14:textId="77777777" w:rsidR="00E87B15" w:rsidRDefault="00E87B15">
      <w:pPr>
        <w:rPr>
          <w:rFonts w:ascii="Times" w:eastAsia="Times" w:hAnsi="Times" w:cs="Times"/>
          <w:b/>
        </w:rPr>
      </w:pPr>
    </w:p>
    <w:p w14:paraId="53A7DBAB" w14:textId="77777777" w:rsidR="00E87B15" w:rsidRDefault="00E87B15">
      <w:pPr>
        <w:rPr>
          <w:rFonts w:ascii="Times" w:eastAsia="Times" w:hAnsi="Times" w:cs="Times"/>
          <w:b/>
        </w:rPr>
      </w:pPr>
    </w:p>
    <w:p w14:paraId="75E4B395" w14:textId="77777777" w:rsidR="00E87B15" w:rsidRDefault="00E87B15">
      <w:pPr>
        <w:rPr>
          <w:rFonts w:ascii="Times" w:eastAsia="Times" w:hAnsi="Times" w:cs="Times"/>
          <w:b/>
        </w:rPr>
      </w:pPr>
    </w:p>
    <w:p w14:paraId="61DA3CD4" w14:textId="77777777" w:rsidR="00E87B15" w:rsidRDefault="00E87B15">
      <w:pPr>
        <w:rPr>
          <w:rFonts w:ascii="Times" w:eastAsia="Times" w:hAnsi="Times" w:cs="Times"/>
          <w:b/>
        </w:rPr>
      </w:pPr>
    </w:p>
    <w:p w14:paraId="6ADD321A" w14:textId="77777777" w:rsidR="00E87B15" w:rsidRDefault="00E87B15">
      <w:pPr>
        <w:rPr>
          <w:rFonts w:ascii="Times" w:eastAsia="Times" w:hAnsi="Times" w:cs="Times"/>
          <w:b/>
        </w:rPr>
      </w:pPr>
    </w:p>
    <w:p w14:paraId="5E553404" w14:textId="77777777" w:rsidR="00E87B15" w:rsidRDefault="00E87B15">
      <w:pPr>
        <w:rPr>
          <w:rFonts w:ascii="Times" w:eastAsia="Times" w:hAnsi="Times" w:cs="Times"/>
          <w:b/>
        </w:rPr>
      </w:pPr>
    </w:p>
    <w:p w14:paraId="4059012D" w14:textId="77777777" w:rsidR="00E87B15" w:rsidRDefault="00E87B15">
      <w:pPr>
        <w:rPr>
          <w:rFonts w:ascii="Times" w:eastAsia="Times" w:hAnsi="Times" w:cs="Times"/>
          <w:b/>
        </w:rPr>
        <w:sectPr w:rsidR="00E87B15" w:rsidSect="00723421">
          <w:pgSz w:w="15840" w:h="12240" w:orient="landscape"/>
          <w:pgMar w:top="1281" w:right="1140" w:bottom="1179" w:left="1140" w:header="720" w:footer="720" w:gutter="0"/>
          <w:lnNumType w:countBy="1" w:restart="continuous"/>
          <w:pgNumType w:start="1"/>
          <w:cols w:space="720"/>
          <w:titlePg/>
        </w:sectPr>
      </w:pPr>
    </w:p>
    <w:p w14:paraId="6D5B4D91" w14:textId="77777777" w:rsidR="00A62843" w:rsidRPr="00BD65C7" w:rsidRDefault="00000000">
      <w:pPr>
        <w:rPr>
          <w:rFonts w:ascii="Times" w:eastAsia="Times" w:hAnsi="Times" w:cs="Times"/>
        </w:rPr>
      </w:pPr>
      <w:r w:rsidRPr="00BD65C7">
        <w:rPr>
          <w:rFonts w:ascii="Times" w:eastAsia="Times" w:hAnsi="Times" w:cs="Times"/>
          <w:b/>
        </w:rPr>
        <w:lastRenderedPageBreak/>
        <w:t xml:space="preserve">Table S2. Statistics summary of the </w:t>
      </w:r>
      <w:r w:rsidRPr="00BD65C7">
        <w:rPr>
          <w:rFonts w:ascii="Times" w:eastAsia="Times" w:hAnsi="Times" w:cs="Times"/>
          <w:b/>
          <w:i/>
        </w:rPr>
        <w:t>de novo</w:t>
      </w:r>
      <w:r w:rsidRPr="00BD65C7">
        <w:rPr>
          <w:rFonts w:ascii="Times" w:eastAsia="Times" w:hAnsi="Times" w:cs="Times"/>
          <w:b/>
        </w:rPr>
        <w:t xml:space="preserve"> transcriptome assembly GCAT 4.0.</w:t>
      </w:r>
    </w:p>
    <w:tbl>
      <w:tblPr>
        <w:tblStyle w:val="2"/>
        <w:tblpPr w:leftFromText="141" w:rightFromText="141" w:horzAnchor="margin" w:tblpXSpec="center" w:tblpY="559"/>
        <w:tblW w:w="3402"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943"/>
        <w:gridCol w:w="1459"/>
      </w:tblGrid>
      <w:tr w:rsidR="00A62843" w:rsidRPr="00BD65C7" w14:paraId="6BDFF404" w14:textId="77777777" w:rsidTr="00C021C3">
        <w:trPr>
          <w:trHeight w:val="381"/>
        </w:trPr>
        <w:tc>
          <w:tcPr>
            <w:tcW w:w="1943" w:type="dxa"/>
            <w:tcBorders>
              <w:top w:val="single" w:sz="4" w:space="0" w:color="000000"/>
              <w:left w:val="nil"/>
              <w:bottom w:val="single" w:sz="4" w:space="0" w:color="000000"/>
              <w:right w:val="nil"/>
            </w:tcBorders>
            <w:tcMar>
              <w:top w:w="100" w:type="dxa"/>
              <w:left w:w="100" w:type="dxa"/>
              <w:bottom w:w="100" w:type="dxa"/>
              <w:right w:w="100" w:type="dxa"/>
            </w:tcMar>
          </w:tcPr>
          <w:p w14:paraId="62BB9EE5" w14:textId="77777777" w:rsidR="00A62843" w:rsidRPr="00BD65C7" w:rsidRDefault="00000000" w:rsidP="00C021C3">
            <w:pPr>
              <w:widowControl w:val="0"/>
              <w:spacing w:after="0"/>
              <w:jc w:val="center"/>
              <w:rPr>
                <w:rFonts w:ascii="Times" w:eastAsia="Times" w:hAnsi="Times" w:cs="Times"/>
                <w:b/>
              </w:rPr>
            </w:pPr>
            <w:r w:rsidRPr="00BD65C7">
              <w:rPr>
                <w:rFonts w:ascii="Times" w:eastAsia="Times" w:hAnsi="Times" w:cs="Times"/>
                <w:b/>
              </w:rPr>
              <w:t>Statistic</w:t>
            </w:r>
          </w:p>
        </w:tc>
        <w:tc>
          <w:tcPr>
            <w:tcW w:w="1459" w:type="dxa"/>
            <w:tcBorders>
              <w:top w:val="single" w:sz="4" w:space="0" w:color="000000"/>
              <w:left w:val="nil"/>
              <w:bottom w:val="single" w:sz="4" w:space="0" w:color="000000"/>
              <w:right w:val="nil"/>
            </w:tcBorders>
            <w:tcMar>
              <w:top w:w="100" w:type="dxa"/>
              <w:left w:w="100" w:type="dxa"/>
              <w:bottom w:w="100" w:type="dxa"/>
              <w:right w:w="100" w:type="dxa"/>
            </w:tcMar>
          </w:tcPr>
          <w:p w14:paraId="52CBB4B2" w14:textId="77777777" w:rsidR="00A62843" w:rsidRPr="00BD65C7" w:rsidRDefault="00000000" w:rsidP="00C021C3">
            <w:pPr>
              <w:spacing w:after="0"/>
              <w:jc w:val="center"/>
              <w:rPr>
                <w:rFonts w:ascii="Times" w:eastAsia="Times" w:hAnsi="Times" w:cs="Times"/>
                <w:b/>
              </w:rPr>
            </w:pPr>
            <w:r w:rsidRPr="00BD65C7">
              <w:rPr>
                <w:rFonts w:ascii="Times" w:eastAsia="Times" w:hAnsi="Times" w:cs="Times"/>
                <w:b/>
              </w:rPr>
              <w:t>Transcripts</w:t>
            </w:r>
          </w:p>
        </w:tc>
      </w:tr>
      <w:tr w:rsidR="00A62843" w:rsidRPr="00BD65C7" w14:paraId="57F341BE" w14:textId="77777777" w:rsidTr="00C021C3">
        <w:trPr>
          <w:trHeight w:val="381"/>
        </w:trPr>
        <w:tc>
          <w:tcPr>
            <w:tcW w:w="1943" w:type="dxa"/>
            <w:tcBorders>
              <w:top w:val="single" w:sz="4" w:space="0" w:color="000000"/>
            </w:tcBorders>
            <w:tcMar>
              <w:top w:w="100" w:type="dxa"/>
              <w:left w:w="100" w:type="dxa"/>
              <w:bottom w:w="100" w:type="dxa"/>
              <w:right w:w="100" w:type="dxa"/>
            </w:tcMar>
          </w:tcPr>
          <w:p w14:paraId="09A1381D"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Total Number</w:t>
            </w:r>
          </w:p>
        </w:tc>
        <w:tc>
          <w:tcPr>
            <w:tcW w:w="1459" w:type="dxa"/>
            <w:tcBorders>
              <w:top w:val="single" w:sz="4" w:space="0" w:color="000000"/>
            </w:tcBorders>
            <w:tcMar>
              <w:top w:w="100" w:type="dxa"/>
              <w:left w:w="100" w:type="dxa"/>
              <w:bottom w:w="100" w:type="dxa"/>
              <w:right w:w="100" w:type="dxa"/>
            </w:tcMar>
          </w:tcPr>
          <w:p w14:paraId="08F2715A"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33,287</w:t>
            </w:r>
          </w:p>
        </w:tc>
      </w:tr>
      <w:tr w:rsidR="00A62843" w:rsidRPr="00BD65C7" w14:paraId="5A2AE9D4" w14:textId="77777777" w:rsidTr="00C021C3">
        <w:trPr>
          <w:trHeight w:val="381"/>
        </w:trPr>
        <w:tc>
          <w:tcPr>
            <w:tcW w:w="1943" w:type="dxa"/>
            <w:tcMar>
              <w:top w:w="100" w:type="dxa"/>
              <w:left w:w="100" w:type="dxa"/>
              <w:bottom w:w="100" w:type="dxa"/>
              <w:right w:w="100" w:type="dxa"/>
            </w:tcMar>
          </w:tcPr>
          <w:p w14:paraId="2A2DEAC5"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Average length (bp)</w:t>
            </w:r>
          </w:p>
        </w:tc>
        <w:tc>
          <w:tcPr>
            <w:tcW w:w="1459" w:type="dxa"/>
            <w:tcMar>
              <w:top w:w="100" w:type="dxa"/>
              <w:left w:w="100" w:type="dxa"/>
              <w:bottom w:w="100" w:type="dxa"/>
              <w:right w:w="100" w:type="dxa"/>
            </w:tcMar>
          </w:tcPr>
          <w:p w14:paraId="3E944BC0"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1,488.6</w:t>
            </w:r>
          </w:p>
        </w:tc>
      </w:tr>
      <w:tr w:rsidR="00A62843" w:rsidRPr="00BD65C7" w14:paraId="10158AF8" w14:textId="77777777" w:rsidTr="00C021C3">
        <w:trPr>
          <w:trHeight w:val="381"/>
        </w:trPr>
        <w:tc>
          <w:tcPr>
            <w:tcW w:w="1943" w:type="dxa"/>
            <w:tcMar>
              <w:top w:w="100" w:type="dxa"/>
              <w:left w:w="100" w:type="dxa"/>
              <w:bottom w:w="100" w:type="dxa"/>
              <w:right w:w="100" w:type="dxa"/>
            </w:tcMar>
          </w:tcPr>
          <w:p w14:paraId="3B594521"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Median length (bp)</w:t>
            </w:r>
          </w:p>
        </w:tc>
        <w:tc>
          <w:tcPr>
            <w:tcW w:w="1459" w:type="dxa"/>
            <w:tcMar>
              <w:top w:w="100" w:type="dxa"/>
              <w:left w:w="100" w:type="dxa"/>
              <w:bottom w:w="100" w:type="dxa"/>
              <w:right w:w="100" w:type="dxa"/>
            </w:tcMar>
          </w:tcPr>
          <w:p w14:paraId="6ABDD808"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1,173.0</w:t>
            </w:r>
          </w:p>
        </w:tc>
      </w:tr>
      <w:tr w:rsidR="00A62843" w:rsidRPr="00BD65C7" w14:paraId="65790C29" w14:textId="77777777" w:rsidTr="00C021C3">
        <w:trPr>
          <w:trHeight w:val="381"/>
        </w:trPr>
        <w:tc>
          <w:tcPr>
            <w:tcW w:w="1943" w:type="dxa"/>
            <w:tcMar>
              <w:top w:w="100" w:type="dxa"/>
              <w:left w:w="100" w:type="dxa"/>
              <w:bottom w:w="100" w:type="dxa"/>
              <w:right w:w="100" w:type="dxa"/>
            </w:tcMar>
          </w:tcPr>
          <w:p w14:paraId="2580FA54"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N50 (bp)</w:t>
            </w:r>
          </w:p>
        </w:tc>
        <w:tc>
          <w:tcPr>
            <w:tcW w:w="1459" w:type="dxa"/>
            <w:tcMar>
              <w:top w:w="100" w:type="dxa"/>
              <w:left w:w="100" w:type="dxa"/>
              <w:bottom w:w="100" w:type="dxa"/>
              <w:right w:w="100" w:type="dxa"/>
            </w:tcMar>
          </w:tcPr>
          <w:p w14:paraId="60101EC3"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1,816</w:t>
            </w:r>
          </w:p>
        </w:tc>
      </w:tr>
      <w:tr w:rsidR="00A62843" w:rsidRPr="00BD65C7" w14:paraId="4CBD7BCB" w14:textId="77777777" w:rsidTr="00C021C3">
        <w:trPr>
          <w:trHeight w:val="381"/>
        </w:trPr>
        <w:tc>
          <w:tcPr>
            <w:tcW w:w="1943" w:type="dxa"/>
            <w:tcMar>
              <w:top w:w="100" w:type="dxa"/>
              <w:left w:w="100" w:type="dxa"/>
              <w:bottom w:w="100" w:type="dxa"/>
              <w:right w:w="100" w:type="dxa"/>
            </w:tcMar>
          </w:tcPr>
          <w:p w14:paraId="6FD45B41"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L50</w:t>
            </w:r>
          </w:p>
        </w:tc>
        <w:tc>
          <w:tcPr>
            <w:tcW w:w="1459" w:type="dxa"/>
            <w:tcMar>
              <w:top w:w="100" w:type="dxa"/>
              <w:left w:w="100" w:type="dxa"/>
              <w:bottom w:w="100" w:type="dxa"/>
              <w:right w:w="100" w:type="dxa"/>
            </w:tcMar>
          </w:tcPr>
          <w:p w14:paraId="40BDCF10"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8,661</w:t>
            </w:r>
          </w:p>
        </w:tc>
      </w:tr>
      <w:tr w:rsidR="00A62843" w:rsidRPr="00BD65C7" w14:paraId="3D76299A" w14:textId="77777777" w:rsidTr="00C021C3">
        <w:trPr>
          <w:trHeight w:val="381"/>
        </w:trPr>
        <w:tc>
          <w:tcPr>
            <w:tcW w:w="1943" w:type="dxa"/>
            <w:tcMar>
              <w:top w:w="100" w:type="dxa"/>
              <w:left w:w="100" w:type="dxa"/>
              <w:bottom w:w="100" w:type="dxa"/>
              <w:right w:w="100" w:type="dxa"/>
            </w:tcMar>
          </w:tcPr>
          <w:p w14:paraId="1C42F291"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N90 (bp)</w:t>
            </w:r>
          </w:p>
        </w:tc>
        <w:tc>
          <w:tcPr>
            <w:tcW w:w="1459" w:type="dxa"/>
            <w:tcMar>
              <w:top w:w="100" w:type="dxa"/>
              <w:left w:w="100" w:type="dxa"/>
              <w:bottom w:w="100" w:type="dxa"/>
              <w:right w:w="100" w:type="dxa"/>
            </w:tcMar>
          </w:tcPr>
          <w:p w14:paraId="4F6053A8"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746</w:t>
            </w:r>
          </w:p>
        </w:tc>
      </w:tr>
      <w:tr w:rsidR="00A62843" w:rsidRPr="00BD65C7" w14:paraId="64217D65" w14:textId="77777777" w:rsidTr="00C021C3">
        <w:trPr>
          <w:trHeight w:val="381"/>
        </w:trPr>
        <w:tc>
          <w:tcPr>
            <w:tcW w:w="1943" w:type="dxa"/>
            <w:tcMar>
              <w:top w:w="100" w:type="dxa"/>
              <w:left w:w="100" w:type="dxa"/>
              <w:bottom w:w="100" w:type="dxa"/>
              <w:right w:w="100" w:type="dxa"/>
            </w:tcMar>
          </w:tcPr>
          <w:p w14:paraId="7926BD0D"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L90</w:t>
            </w:r>
          </w:p>
        </w:tc>
        <w:tc>
          <w:tcPr>
            <w:tcW w:w="1459" w:type="dxa"/>
            <w:tcMar>
              <w:top w:w="100" w:type="dxa"/>
              <w:left w:w="100" w:type="dxa"/>
              <w:bottom w:w="100" w:type="dxa"/>
              <w:right w:w="100" w:type="dxa"/>
            </w:tcMar>
          </w:tcPr>
          <w:p w14:paraId="5E2FA032"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25,238</w:t>
            </w:r>
          </w:p>
        </w:tc>
      </w:tr>
      <w:tr w:rsidR="00A62843" w:rsidRPr="00BD65C7" w14:paraId="52DEEA4B" w14:textId="77777777" w:rsidTr="00C021C3">
        <w:trPr>
          <w:trHeight w:val="381"/>
        </w:trPr>
        <w:tc>
          <w:tcPr>
            <w:tcW w:w="1943" w:type="dxa"/>
            <w:tcMar>
              <w:top w:w="100" w:type="dxa"/>
              <w:left w:w="100" w:type="dxa"/>
              <w:bottom w:w="100" w:type="dxa"/>
              <w:right w:w="100" w:type="dxa"/>
            </w:tcMar>
          </w:tcPr>
          <w:p w14:paraId="73D486B9"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Number of ORF</w:t>
            </w:r>
          </w:p>
        </w:tc>
        <w:tc>
          <w:tcPr>
            <w:tcW w:w="1459" w:type="dxa"/>
            <w:tcMar>
              <w:top w:w="100" w:type="dxa"/>
              <w:left w:w="100" w:type="dxa"/>
              <w:bottom w:w="100" w:type="dxa"/>
              <w:right w:w="100" w:type="dxa"/>
            </w:tcMar>
          </w:tcPr>
          <w:p w14:paraId="3B414ACA"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33,283</w:t>
            </w:r>
          </w:p>
        </w:tc>
      </w:tr>
      <w:tr w:rsidR="00A62843" w:rsidRPr="00BD65C7" w14:paraId="6A3FEBAA" w14:textId="77777777" w:rsidTr="00C021C3">
        <w:trPr>
          <w:trHeight w:val="381"/>
        </w:trPr>
        <w:tc>
          <w:tcPr>
            <w:tcW w:w="1943" w:type="dxa"/>
            <w:tcMar>
              <w:top w:w="100" w:type="dxa"/>
              <w:left w:w="100" w:type="dxa"/>
              <w:bottom w:w="100" w:type="dxa"/>
              <w:right w:w="100" w:type="dxa"/>
            </w:tcMar>
          </w:tcPr>
          <w:p w14:paraId="4CCF20F4"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Average ORF length</w:t>
            </w:r>
          </w:p>
        </w:tc>
        <w:tc>
          <w:tcPr>
            <w:tcW w:w="1459" w:type="dxa"/>
            <w:tcMar>
              <w:top w:w="100" w:type="dxa"/>
              <w:left w:w="100" w:type="dxa"/>
              <w:bottom w:w="100" w:type="dxa"/>
              <w:right w:w="100" w:type="dxa"/>
            </w:tcMar>
          </w:tcPr>
          <w:p w14:paraId="41300516" w14:textId="77777777" w:rsidR="00A62843" w:rsidRPr="00BD65C7" w:rsidRDefault="00000000" w:rsidP="00C021C3">
            <w:pPr>
              <w:spacing w:after="0"/>
              <w:jc w:val="center"/>
              <w:rPr>
                <w:rFonts w:ascii="Times" w:eastAsia="Times" w:hAnsi="Times" w:cs="Times"/>
              </w:rPr>
            </w:pPr>
            <w:r w:rsidRPr="00BD65C7">
              <w:rPr>
                <w:rFonts w:ascii="Times" w:eastAsia="Times" w:hAnsi="Times" w:cs="Times"/>
              </w:rPr>
              <w:t>852.2</w:t>
            </w:r>
          </w:p>
        </w:tc>
      </w:tr>
    </w:tbl>
    <w:p w14:paraId="1566D7E4" w14:textId="77777777" w:rsidR="00BD65C7" w:rsidRPr="00BD65C7" w:rsidRDefault="00BD65C7">
      <w:pPr>
        <w:spacing w:line="360" w:lineRule="auto"/>
        <w:rPr>
          <w:rFonts w:ascii="Times" w:eastAsia="Times" w:hAnsi="Times" w:cs="Times"/>
          <w:b/>
        </w:rPr>
      </w:pPr>
    </w:p>
    <w:p w14:paraId="1AE3C6AD" w14:textId="77777777" w:rsidR="00E87B15" w:rsidRDefault="00E87B15">
      <w:pPr>
        <w:spacing w:line="360" w:lineRule="auto"/>
        <w:rPr>
          <w:rFonts w:ascii="Times" w:eastAsia="Times" w:hAnsi="Times" w:cs="Times"/>
          <w:b/>
        </w:rPr>
      </w:pPr>
    </w:p>
    <w:p w14:paraId="18DE171F" w14:textId="77777777" w:rsidR="00E87B15" w:rsidRDefault="00E87B15">
      <w:pPr>
        <w:spacing w:line="360" w:lineRule="auto"/>
        <w:rPr>
          <w:rFonts w:ascii="Times" w:eastAsia="Times" w:hAnsi="Times" w:cs="Times"/>
          <w:b/>
        </w:rPr>
      </w:pPr>
    </w:p>
    <w:p w14:paraId="1AB52A20" w14:textId="77777777" w:rsidR="00E87B15" w:rsidRDefault="00E87B15">
      <w:pPr>
        <w:spacing w:line="360" w:lineRule="auto"/>
        <w:rPr>
          <w:rFonts w:ascii="Times" w:eastAsia="Times" w:hAnsi="Times" w:cs="Times"/>
          <w:b/>
        </w:rPr>
      </w:pPr>
    </w:p>
    <w:p w14:paraId="12BE09BE" w14:textId="77777777" w:rsidR="00E87B15" w:rsidRDefault="00E87B15">
      <w:pPr>
        <w:spacing w:line="360" w:lineRule="auto"/>
        <w:rPr>
          <w:rFonts w:ascii="Times" w:eastAsia="Times" w:hAnsi="Times" w:cs="Times"/>
          <w:b/>
        </w:rPr>
      </w:pPr>
    </w:p>
    <w:p w14:paraId="787C25AF" w14:textId="77777777" w:rsidR="00E87B15" w:rsidRDefault="00E87B15">
      <w:pPr>
        <w:spacing w:line="360" w:lineRule="auto"/>
        <w:rPr>
          <w:rFonts w:ascii="Times" w:eastAsia="Times" w:hAnsi="Times" w:cs="Times"/>
          <w:b/>
        </w:rPr>
      </w:pPr>
    </w:p>
    <w:p w14:paraId="0B1B9C61" w14:textId="77777777" w:rsidR="00E87B15" w:rsidRDefault="00E87B15">
      <w:pPr>
        <w:spacing w:line="360" w:lineRule="auto"/>
        <w:rPr>
          <w:rFonts w:ascii="Times" w:eastAsia="Times" w:hAnsi="Times" w:cs="Times"/>
          <w:b/>
        </w:rPr>
      </w:pPr>
    </w:p>
    <w:p w14:paraId="4DB137CE" w14:textId="77777777" w:rsidR="00E87B15" w:rsidRDefault="00E87B15">
      <w:pPr>
        <w:spacing w:line="360" w:lineRule="auto"/>
        <w:rPr>
          <w:rFonts w:ascii="Times" w:eastAsia="Times" w:hAnsi="Times" w:cs="Times"/>
          <w:b/>
        </w:rPr>
      </w:pPr>
    </w:p>
    <w:p w14:paraId="4802780B" w14:textId="77777777" w:rsidR="00C021C3" w:rsidRDefault="00C021C3">
      <w:pPr>
        <w:spacing w:line="360" w:lineRule="auto"/>
        <w:rPr>
          <w:rFonts w:ascii="Times" w:eastAsia="Times" w:hAnsi="Times" w:cs="Times"/>
          <w:b/>
        </w:rPr>
      </w:pPr>
    </w:p>
    <w:p w14:paraId="04AB9499" w14:textId="77777777" w:rsidR="00C021C3" w:rsidRDefault="00C021C3">
      <w:pPr>
        <w:spacing w:line="360" w:lineRule="auto"/>
        <w:rPr>
          <w:rFonts w:ascii="Times" w:eastAsia="Times" w:hAnsi="Times" w:cs="Times"/>
          <w:b/>
        </w:rPr>
      </w:pPr>
    </w:p>
    <w:p w14:paraId="40012171" w14:textId="77777777" w:rsidR="00C021C3" w:rsidRDefault="00C021C3">
      <w:pPr>
        <w:spacing w:line="360" w:lineRule="auto"/>
        <w:rPr>
          <w:rFonts w:ascii="Times" w:eastAsia="Times" w:hAnsi="Times" w:cs="Times"/>
          <w:b/>
        </w:rPr>
      </w:pPr>
    </w:p>
    <w:p w14:paraId="5BAAD98B" w14:textId="77777777" w:rsidR="00C021C3" w:rsidRDefault="00C021C3">
      <w:pPr>
        <w:spacing w:line="360" w:lineRule="auto"/>
        <w:rPr>
          <w:rFonts w:ascii="Times" w:eastAsia="Times" w:hAnsi="Times" w:cs="Times"/>
          <w:b/>
        </w:rPr>
      </w:pPr>
    </w:p>
    <w:p w14:paraId="7FDF7E00" w14:textId="77777777" w:rsidR="00C021C3" w:rsidRDefault="00C021C3">
      <w:pPr>
        <w:spacing w:line="360" w:lineRule="auto"/>
        <w:rPr>
          <w:rFonts w:ascii="Times" w:eastAsia="Times" w:hAnsi="Times" w:cs="Times"/>
          <w:b/>
        </w:rPr>
      </w:pPr>
    </w:p>
    <w:p w14:paraId="1E37F968" w14:textId="5371BECA" w:rsidR="00A62843" w:rsidRPr="00BD65C7" w:rsidRDefault="00000000">
      <w:pPr>
        <w:spacing w:line="360" w:lineRule="auto"/>
        <w:rPr>
          <w:rFonts w:ascii="Times" w:eastAsia="Times" w:hAnsi="Times" w:cs="Times"/>
          <w:i/>
        </w:rPr>
      </w:pPr>
      <w:r w:rsidRPr="00BD65C7">
        <w:rPr>
          <w:rFonts w:ascii="Times" w:eastAsia="Times" w:hAnsi="Times" w:cs="Times"/>
          <w:b/>
        </w:rPr>
        <w:t xml:space="preserve">Table S3. Complete functional annotation of the </w:t>
      </w:r>
      <w:r w:rsidRPr="00BD65C7">
        <w:rPr>
          <w:rFonts w:ascii="Times" w:eastAsia="Times" w:hAnsi="Times" w:cs="Times"/>
          <w:b/>
          <w:i/>
        </w:rPr>
        <w:t>de novo</w:t>
      </w:r>
      <w:r w:rsidRPr="00BD65C7">
        <w:rPr>
          <w:rFonts w:ascii="Times" w:eastAsia="Times" w:hAnsi="Times" w:cs="Times"/>
          <w:b/>
        </w:rPr>
        <w:t xml:space="preserve"> transcriptome assembly GCAT 4.0 based on the </w:t>
      </w:r>
      <w:proofErr w:type="spellStart"/>
      <w:r w:rsidR="00590140" w:rsidRPr="00BD65C7">
        <w:rPr>
          <w:rFonts w:ascii="Times" w:eastAsia="Times" w:hAnsi="Times" w:cs="Times"/>
          <w:b/>
        </w:rPr>
        <w:t>OmicsBox</w:t>
      </w:r>
      <w:proofErr w:type="spellEnd"/>
      <w:r w:rsidRPr="00BD65C7">
        <w:rPr>
          <w:rFonts w:ascii="Times" w:eastAsia="Times" w:hAnsi="Times" w:cs="Times"/>
          <w:b/>
        </w:rPr>
        <w:t xml:space="preserve"> analysis. </w:t>
      </w:r>
      <w:bookmarkStart w:id="0" w:name="_Hlk164879141"/>
      <w:r w:rsidRPr="00BD65C7">
        <w:rPr>
          <w:rFonts w:ascii="Times" w:eastAsia="Times" w:hAnsi="Times" w:cs="Times"/>
          <w:i/>
        </w:rPr>
        <w:t xml:space="preserve">See the separate Table_S3.xls. </w:t>
      </w:r>
      <w:r w:rsidRPr="00BD65C7">
        <w:rPr>
          <w:rFonts w:ascii="Times" w:eastAsia="Times" w:hAnsi="Times" w:cs="Times"/>
        </w:rPr>
        <w:t>The Excel file contains four sheets; Caption, Table S3.1 (Blast2GO annotation and BLASTX), Table S3.2 (BLASTN WS77111v2), Table S3.3 (BLASTN GCAT3.3).</w:t>
      </w:r>
    </w:p>
    <w:bookmarkEnd w:id="0"/>
    <w:p w14:paraId="6467C78C" w14:textId="77777777" w:rsidR="00A62843" w:rsidRDefault="00A62843">
      <w:pPr>
        <w:rPr>
          <w:rFonts w:ascii="Times" w:eastAsia="Times" w:hAnsi="Times" w:cs="Times"/>
        </w:rPr>
      </w:pPr>
    </w:p>
    <w:p w14:paraId="11D94264" w14:textId="77777777" w:rsidR="00BD65C7" w:rsidRDefault="00BD65C7">
      <w:pPr>
        <w:rPr>
          <w:rFonts w:ascii="Times" w:eastAsia="Times" w:hAnsi="Times" w:cs="Times"/>
        </w:rPr>
      </w:pPr>
    </w:p>
    <w:p w14:paraId="07CDC044" w14:textId="77777777" w:rsidR="00976EA5" w:rsidRDefault="00976EA5">
      <w:pPr>
        <w:rPr>
          <w:rFonts w:ascii="Times" w:eastAsia="Times" w:hAnsi="Times" w:cs="Times"/>
        </w:rPr>
      </w:pPr>
    </w:p>
    <w:p w14:paraId="0B040AE0" w14:textId="77777777" w:rsidR="00976EA5" w:rsidRDefault="00976EA5">
      <w:pPr>
        <w:rPr>
          <w:rFonts w:ascii="Times" w:eastAsia="Times" w:hAnsi="Times" w:cs="Times"/>
        </w:rPr>
      </w:pPr>
    </w:p>
    <w:p w14:paraId="6C76439E" w14:textId="77777777" w:rsidR="00976EA5" w:rsidRDefault="00976EA5">
      <w:pPr>
        <w:rPr>
          <w:rFonts w:ascii="Times" w:eastAsia="Times" w:hAnsi="Times" w:cs="Times"/>
        </w:rPr>
      </w:pPr>
    </w:p>
    <w:p w14:paraId="6E185DB3" w14:textId="77777777" w:rsidR="00976EA5" w:rsidRDefault="00976EA5">
      <w:pPr>
        <w:spacing w:line="360" w:lineRule="auto"/>
        <w:rPr>
          <w:rFonts w:ascii="Times" w:eastAsia="Times" w:hAnsi="Times" w:cs="Times"/>
          <w:b/>
        </w:rPr>
        <w:sectPr w:rsidR="00976EA5" w:rsidSect="00723421">
          <w:pgSz w:w="12240" w:h="15840"/>
          <w:pgMar w:top="1138" w:right="1181" w:bottom="1138" w:left="1282" w:header="720" w:footer="720" w:gutter="0"/>
          <w:lnNumType w:countBy="1" w:restart="continuous"/>
          <w:pgNumType w:start="1"/>
          <w:cols w:space="720"/>
          <w:titlePg/>
        </w:sectPr>
      </w:pPr>
    </w:p>
    <w:tbl>
      <w:tblPr>
        <w:tblStyle w:val="1"/>
        <w:tblpPr w:leftFromText="141" w:rightFromText="141" w:vertAnchor="page" w:horzAnchor="margin" w:tblpXSpec="center" w:tblpY="4486"/>
        <w:tblW w:w="10703"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526"/>
        <w:gridCol w:w="1977"/>
        <w:gridCol w:w="2474"/>
        <w:gridCol w:w="1625"/>
        <w:gridCol w:w="2101"/>
      </w:tblGrid>
      <w:tr w:rsidR="00976EA5" w:rsidRPr="00BD65C7" w14:paraId="4DA5B0A5" w14:textId="77777777" w:rsidTr="00976EA5">
        <w:trPr>
          <w:trHeight w:val="513"/>
        </w:trPr>
        <w:tc>
          <w:tcPr>
            <w:tcW w:w="2526" w:type="dxa"/>
            <w:tcBorders>
              <w:top w:val="single" w:sz="8" w:space="0" w:color="000000"/>
              <w:left w:val="nil"/>
              <w:bottom w:val="single" w:sz="8" w:space="0" w:color="000000"/>
              <w:right w:val="nil"/>
            </w:tcBorders>
            <w:tcMar>
              <w:top w:w="100" w:type="dxa"/>
              <w:left w:w="100" w:type="dxa"/>
              <w:bottom w:w="100" w:type="dxa"/>
              <w:right w:w="100" w:type="dxa"/>
            </w:tcMar>
            <w:vAlign w:val="center"/>
          </w:tcPr>
          <w:p w14:paraId="25D14A6A" w14:textId="77777777" w:rsidR="00976EA5" w:rsidRPr="00BD65C7" w:rsidRDefault="00976EA5" w:rsidP="00976EA5">
            <w:pPr>
              <w:spacing w:before="240" w:after="0"/>
              <w:jc w:val="center"/>
              <w:rPr>
                <w:rFonts w:ascii="Times" w:eastAsia="Times" w:hAnsi="Times" w:cs="Times"/>
                <w:b/>
              </w:rPr>
            </w:pPr>
            <w:r w:rsidRPr="00BD65C7">
              <w:rPr>
                <w:rFonts w:ascii="Times" w:eastAsia="Times" w:hAnsi="Times" w:cs="Times"/>
                <w:b/>
              </w:rPr>
              <w:lastRenderedPageBreak/>
              <w:t>DB</w:t>
            </w:r>
          </w:p>
        </w:tc>
        <w:tc>
          <w:tcPr>
            <w:tcW w:w="1977" w:type="dxa"/>
            <w:tcBorders>
              <w:top w:val="single" w:sz="8" w:space="0" w:color="000000"/>
              <w:left w:val="nil"/>
              <w:bottom w:val="single" w:sz="8" w:space="0" w:color="000000"/>
              <w:right w:val="nil"/>
            </w:tcBorders>
            <w:tcMar>
              <w:top w:w="100" w:type="dxa"/>
              <w:left w:w="100" w:type="dxa"/>
              <w:bottom w:w="100" w:type="dxa"/>
              <w:right w:w="100" w:type="dxa"/>
            </w:tcMar>
            <w:vAlign w:val="center"/>
          </w:tcPr>
          <w:p w14:paraId="69208CBD" w14:textId="77777777" w:rsidR="00976EA5" w:rsidRPr="00BD65C7" w:rsidRDefault="00976EA5" w:rsidP="00976EA5">
            <w:pPr>
              <w:spacing w:before="240" w:after="0"/>
              <w:jc w:val="center"/>
              <w:rPr>
                <w:rFonts w:ascii="Times" w:eastAsia="Times" w:hAnsi="Times" w:cs="Times"/>
                <w:b/>
              </w:rPr>
            </w:pPr>
            <w:r w:rsidRPr="00BD65C7">
              <w:rPr>
                <w:rFonts w:ascii="Times" w:eastAsia="Times" w:hAnsi="Times" w:cs="Times"/>
                <w:b/>
              </w:rPr>
              <w:t>DB sequences (%)</w:t>
            </w:r>
          </w:p>
        </w:tc>
        <w:tc>
          <w:tcPr>
            <w:tcW w:w="2474" w:type="dxa"/>
            <w:tcBorders>
              <w:top w:val="single" w:sz="8" w:space="0" w:color="000000"/>
              <w:left w:val="nil"/>
              <w:bottom w:val="single" w:sz="8" w:space="0" w:color="000000"/>
              <w:right w:val="nil"/>
            </w:tcBorders>
            <w:tcMar>
              <w:top w:w="100" w:type="dxa"/>
              <w:left w:w="100" w:type="dxa"/>
              <w:bottom w:w="100" w:type="dxa"/>
              <w:right w:w="100" w:type="dxa"/>
            </w:tcMar>
            <w:vAlign w:val="center"/>
          </w:tcPr>
          <w:p w14:paraId="20C40C66" w14:textId="77777777" w:rsidR="00976EA5" w:rsidRPr="00BD65C7" w:rsidRDefault="00976EA5" w:rsidP="00976EA5">
            <w:pPr>
              <w:spacing w:before="240" w:after="0"/>
              <w:jc w:val="center"/>
              <w:rPr>
                <w:rFonts w:ascii="Times" w:eastAsia="Times" w:hAnsi="Times" w:cs="Times"/>
                <w:b/>
              </w:rPr>
            </w:pPr>
            <w:r w:rsidRPr="00BD65C7">
              <w:rPr>
                <w:rFonts w:ascii="Times" w:eastAsia="Times" w:hAnsi="Times" w:cs="Times"/>
                <w:b/>
              </w:rPr>
              <w:t>DB unique sequences (%)</w:t>
            </w:r>
          </w:p>
        </w:tc>
        <w:tc>
          <w:tcPr>
            <w:tcW w:w="1625" w:type="dxa"/>
            <w:tcBorders>
              <w:top w:val="single" w:sz="8" w:space="0" w:color="000000"/>
              <w:left w:val="nil"/>
              <w:bottom w:val="single" w:sz="8" w:space="0" w:color="000000"/>
              <w:right w:val="nil"/>
            </w:tcBorders>
            <w:tcMar>
              <w:top w:w="100" w:type="dxa"/>
              <w:left w:w="100" w:type="dxa"/>
              <w:bottom w:w="100" w:type="dxa"/>
              <w:right w:w="100" w:type="dxa"/>
            </w:tcMar>
            <w:vAlign w:val="center"/>
          </w:tcPr>
          <w:p w14:paraId="1C1C6173" w14:textId="77777777" w:rsidR="00976EA5" w:rsidRPr="00BD65C7" w:rsidRDefault="00976EA5" w:rsidP="00976EA5">
            <w:pPr>
              <w:spacing w:before="240" w:after="0"/>
              <w:jc w:val="center"/>
              <w:rPr>
                <w:rFonts w:ascii="Times" w:eastAsia="Times" w:hAnsi="Times" w:cs="Times"/>
                <w:b/>
              </w:rPr>
            </w:pPr>
            <w:proofErr w:type="spellStart"/>
            <w:r w:rsidRPr="00BD65C7">
              <w:rPr>
                <w:rFonts w:ascii="Times" w:eastAsia="Times" w:hAnsi="Times" w:cs="Times"/>
                <w:b/>
              </w:rPr>
              <w:t>Unigenes</w:t>
            </w:r>
            <w:proofErr w:type="spellEnd"/>
            <w:r w:rsidRPr="00BD65C7">
              <w:rPr>
                <w:rFonts w:ascii="Times" w:eastAsia="Times" w:hAnsi="Times" w:cs="Times"/>
                <w:b/>
              </w:rPr>
              <w:t xml:space="preserve"> (%)</w:t>
            </w:r>
          </w:p>
        </w:tc>
        <w:tc>
          <w:tcPr>
            <w:tcW w:w="2101" w:type="dxa"/>
            <w:tcBorders>
              <w:top w:val="single" w:sz="8" w:space="0" w:color="000000"/>
              <w:left w:val="nil"/>
              <w:bottom w:val="single" w:sz="8" w:space="0" w:color="000000"/>
              <w:right w:val="nil"/>
            </w:tcBorders>
            <w:tcMar>
              <w:top w:w="100" w:type="dxa"/>
              <w:left w:w="100" w:type="dxa"/>
              <w:bottom w:w="100" w:type="dxa"/>
              <w:right w:w="100" w:type="dxa"/>
            </w:tcMar>
            <w:vAlign w:val="center"/>
          </w:tcPr>
          <w:p w14:paraId="07D33BB1" w14:textId="77777777" w:rsidR="00976EA5" w:rsidRPr="00BD65C7" w:rsidRDefault="00976EA5" w:rsidP="00976EA5">
            <w:pPr>
              <w:spacing w:before="240" w:after="0"/>
              <w:jc w:val="center"/>
              <w:rPr>
                <w:rFonts w:ascii="Times" w:eastAsia="Times" w:hAnsi="Times" w:cs="Times"/>
                <w:b/>
              </w:rPr>
            </w:pPr>
            <w:r w:rsidRPr="00BD65C7">
              <w:rPr>
                <w:rFonts w:ascii="Times" w:eastAsia="Times" w:hAnsi="Times" w:cs="Times"/>
                <w:b/>
              </w:rPr>
              <w:t xml:space="preserve">Unique </w:t>
            </w:r>
            <w:proofErr w:type="spellStart"/>
            <w:r w:rsidRPr="00BD65C7">
              <w:rPr>
                <w:rFonts w:ascii="Times" w:eastAsia="Times" w:hAnsi="Times" w:cs="Times"/>
                <w:b/>
              </w:rPr>
              <w:t>unigenes</w:t>
            </w:r>
            <w:proofErr w:type="spellEnd"/>
            <w:r w:rsidRPr="00BD65C7">
              <w:rPr>
                <w:rFonts w:ascii="Times" w:eastAsia="Times" w:hAnsi="Times" w:cs="Times"/>
                <w:b/>
              </w:rPr>
              <w:t xml:space="preserve"> (%)</w:t>
            </w:r>
          </w:p>
        </w:tc>
      </w:tr>
      <w:tr w:rsidR="00976EA5" w:rsidRPr="00BD65C7" w14:paraId="190803E6" w14:textId="77777777" w:rsidTr="00976EA5">
        <w:trPr>
          <w:trHeight w:val="367"/>
        </w:trPr>
        <w:tc>
          <w:tcPr>
            <w:tcW w:w="2526" w:type="dxa"/>
            <w:tcBorders>
              <w:top w:val="nil"/>
              <w:left w:val="nil"/>
              <w:bottom w:val="nil"/>
              <w:right w:val="nil"/>
            </w:tcBorders>
            <w:tcMar>
              <w:top w:w="100" w:type="dxa"/>
              <w:left w:w="100" w:type="dxa"/>
              <w:bottom w:w="100" w:type="dxa"/>
              <w:right w:w="100" w:type="dxa"/>
            </w:tcMar>
          </w:tcPr>
          <w:p w14:paraId="68767E62" w14:textId="77777777" w:rsidR="00976EA5" w:rsidRPr="00BD65C7" w:rsidRDefault="00976EA5" w:rsidP="00976EA5">
            <w:pPr>
              <w:spacing w:before="0" w:after="0"/>
              <w:jc w:val="center"/>
              <w:rPr>
                <w:rFonts w:ascii="Times" w:eastAsia="Times" w:hAnsi="Times" w:cs="Times"/>
              </w:rPr>
            </w:pPr>
            <w:proofErr w:type="spellStart"/>
            <w:r w:rsidRPr="00BD65C7">
              <w:rPr>
                <w:rFonts w:ascii="Times" w:eastAsia="Times" w:hAnsi="Times" w:cs="Times"/>
              </w:rPr>
              <w:t>UniProt</w:t>
            </w:r>
            <w:proofErr w:type="spellEnd"/>
            <w:r w:rsidRPr="00BD65C7">
              <w:rPr>
                <w:rFonts w:ascii="Times" w:eastAsia="Times" w:hAnsi="Times" w:cs="Times"/>
              </w:rPr>
              <w:t xml:space="preserve"> (</w:t>
            </w:r>
            <w:proofErr w:type="spellStart"/>
            <w:r w:rsidRPr="00BD65C7">
              <w:rPr>
                <w:rFonts w:ascii="Times" w:eastAsia="Times" w:hAnsi="Times" w:cs="Times"/>
              </w:rPr>
              <w:t>SwissProt</w:t>
            </w:r>
            <w:proofErr w:type="spellEnd"/>
            <w:r w:rsidRPr="00BD65C7">
              <w:rPr>
                <w:rFonts w:ascii="Times" w:eastAsia="Times" w:hAnsi="Times" w:cs="Times"/>
              </w:rPr>
              <w:t>)</w:t>
            </w:r>
          </w:p>
        </w:tc>
        <w:tc>
          <w:tcPr>
            <w:tcW w:w="1977" w:type="dxa"/>
            <w:tcBorders>
              <w:top w:val="nil"/>
              <w:left w:val="nil"/>
              <w:bottom w:val="nil"/>
              <w:right w:val="nil"/>
            </w:tcBorders>
            <w:tcMar>
              <w:top w:w="100" w:type="dxa"/>
              <w:left w:w="100" w:type="dxa"/>
              <w:bottom w:w="100" w:type="dxa"/>
              <w:right w:w="100" w:type="dxa"/>
            </w:tcMar>
          </w:tcPr>
          <w:p w14:paraId="24DB6AA4" w14:textId="77777777" w:rsidR="00976EA5" w:rsidRPr="00BD65C7" w:rsidRDefault="00976EA5" w:rsidP="00976EA5">
            <w:pPr>
              <w:spacing w:before="0" w:after="0"/>
              <w:jc w:val="center"/>
              <w:rPr>
                <w:rFonts w:ascii="Times" w:eastAsia="Times" w:hAnsi="Times" w:cs="Times"/>
              </w:rPr>
            </w:pPr>
            <w:r w:rsidRPr="00BD65C7">
              <w:rPr>
                <w:rFonts w:ascii="Times" w:eastAsia="Times" w:hAnsi="Times" w:cs="Times"/>
              </w:rPr>
              <w:t>65,27</w:t>
            </w:r>
          </w:p>
        </w:tc>
        <w:tc>
          <w:tcPr>
            <w:tcW w:w="2474" w:type="dxa"/>
            <w:tcBorders>
              <w:top w:val="nil"/>
              <w:left w:val="nil"/>
              <w:bottom w:val="nil"/>
              <w:right w:val="nil"/>
            </w:tcBorders>
            <w:tcMar>
              <w:top w:w="100" w:type="dxa"/>
              <w:left w:w="100" w:type="dxa"/>
              <w:bottom w:w="100" w:type="dxa"/>
              <w:right w:w="100" w:type="dxa"/>
            </w:tcMar>
          </w:tcPr>
          <w:p w14:paraId="1096E4C8" w14:textId="77777777" w:rsidR="00976EA5" w:rsidRPr="00BD65C7" w:rsidRDefault="00976EA5" w:rsidP="00976EA5">
            <w:pPr>
              <w:spacing w:before="0" w:after="0"/>
              <w:jc w:val="center"/>
              <w:rPr>
                <w:rFonts w:ascii="Times" w:eastAsia="Times" w:hAnsi="Times" w:cs="Times"/>
              </w:rPr>
            </w:pPr>
            <w:r w:rsidRPr="00BD65C7">
              <w:rPr>
                <w:rFonts w:ascii="Times" w:eastAsia="Times" w:hAnsi="Times" w:cs="Times"/>
              </w:rPr>
              <w:t>32,22</w:t>
            </w:r>
          </w:p>
        </w:tc>
        <w:tc>
          <w:tcPr>
            <w:tcW w:w="1625" w:type="dxa"/>
            <w:tcBorders>
              <w:top w:val="nil"/>
              <w:left w:val="nil"/>
              <w:bottom w:val="nil"/>
              <w:right w:val="nil"/>
            </w:tcBorders>
            <w:tcMar>
              <w:top w:w="100" w:type="dxa"/>
              <w:left w:w="100" w:type="dxa"/>
              <w:bottom w:w="100" w:type="dxa"/>
              <w:right w:w="100" w:type="dxa"/>
            </w:tcMar>
          </w:tcPr>
          <w:p w14:paraId="07D37FE9" w14:textId="77777777" w:rsidR="00976EA5" w:rsidRPr="00BD65C7" w:rsidRDefault="00976EA5" w:rsidP="00976EA5">
            <w:pPr>
              <w:spacing w:before="0" w:after="0"/>
              <w:jc w:val="center"/>
              <w:rPr>
                <w:rFonts w:ascii="Times" w:eastAsia="Times" w:hAnsi="Times" w:cs="Times"/>
              </w:rPr>
            </w:pPr>
            <w:r w:rsidRPr="00BD65C7">
              <w:rPr>
                <w:rFonts w:ascii="Times" w:eastAsia="Times" w:hAnsi="Times" w:cs="Times"/>
              </w:rPr>
              <w:t>59,83</w:t>
            </w:r>
          </w:p>
        </w:tc>
        <w:tc>
          <w:tcPr>
            <w:tcW w:w="2101" w:type="dxa"/>
            <w:tcBorders>
              <w:top w:val="nil"/>
              <w:left w:val="nil"/>
              <w:bottom w:val="nil"/>
              <w:right w:val="nil"/>
            </w:tcBorders>
            <w:tcMar>
              <w:top w:w="100" w:type="dxa"/>
              <w:left w:w="100" w:type="dxa"/>
              <w:bottom w:w="100" w:type="dxa"/>
              <w:right w:w="100" w:type="dxa"/>
            </w:tcMar>
          </w:tcPr>
          <w:p w14:paraId="57DECA69" w14:textId="77777777" w:rsidR="00976EA5" w:rsidRPr="00BD65C7" w:rsidRDefault="00976EA5" w:rsidP="00976EA5">
            <w:pPr>
              <w:spacing w:before="0" w:after="0"/>
              <w:jc w:val="center"/>
              <w:rPr>
                <w:rFonts w:ascii="Times" w:eastAsia="Times" w:hAnsi="Times" w:cs="Times"/>
              </w:rPr>
            </w:pPr>
            <w:r w:rsidRPr="00BD65C7">
              <w:rPr>
                <w:rFonts w:ascii="Times" w:eastAsia="Times" w:hAnsi="Times" w:cs="Times"/>
              </w:rPr>
              <w:t>41,65</w:t>
            </w:r>
          </w:p>
        </w:tc>
      </w:tr>
      <w:tr w:rsidR="00976EA5" w:rsidRPr="00BD65C7" w14:paraId="2EE6586B" w14:textId="77777777" w:rsidTr="00976EA5">
        <w:trPr>
          <w:trHeight w:val="367"/>
        </w:trPr>
        <w:tc>
          <w:tcPr>
            <w:tcW w:w="2526" w:type="dxa"/>
            <w:tcBorders>
              <w:top w:val="nil"/>
              <w:left w:val="nil"/>
              <w:bottom w:val="nil"/>
              <w:right w:val="nil"/>
            </w:tcBorders>
            <w:tcMar>
              <w:top w:w="100" w:type="dxa"/>
              <w:left w:w="100" w:type="dxa"/>
              <w:bottom w:w="100" w:type="dxa"/>
              <w:right w:w="100" w:type="dxa"/>
            </w:tcMar>
          </w:tcPr>
          <w:p w14:paraId="638A5BA7" w14:textId="77777777" w:rsidR="00976EA5" w:rsidRPr="00BD65C7" w:rsidRDefault="00976EA5" w:rsidP="00976EA5">
            <w:pPr>
              <w:spacing w:before="0" w:after="0"/>
              <w:jc w:val="center"/>
              <w:rPr>
                <w:rFonts w:ascii="Times" w:eastAsia="Times" w:hAnsi="Times" w:cs="Times"/>
              </w:rPr>
            </w:pPr>
            <w:proofErr w:type="spellStart"/>
            <w:r w:rsidRPr="00BD65C7">
              <w:rPr>
                <w:rFonts w:ascii="Times" w:eastAsia="Times" w:hAnsi="Times" w:cs="Times"/>
              </w:rPr>
              <w:t>PlantTF</w:t>
            </w:r>
            <w:proofErr w:type="spellEnd"/>
          </w:p>
        </w:tc>
        <w:tc>
          <w:tcPr>
            <w:tcW w:w="1977" w:type="dxa"/>
            <w:tcBorders>
              <w:top w:val="nil"/>
              <w:left w:val="nil"/>
              <w:bottom w:val="nil"/>
              <w:right w:val="nil"/>
            </w:tcBorders>
            <w:tcMar>
              <w:top w:w="100" w:type="dxa"/>
              <w:left w:w="100" w:type="dxa"/>
              <w:bottom w:w="100" w:type="dxa"/>
              <w:right w:w="100" w:type="dxa"/>
            </w:tcMar>
          </w:tcPr>
          <w:p w14:paraId="4DEB1259" w14:textId="77777777" w:rsidR="00976EA5" w:rsidRPr="00BD65C7" w:rsidRDefault="00976EA5" w:rsidP="00976EA5">
            <w:pPr>
              <w:spacing w:before="0" w:after="0"/>
              <w:jc w:val="center"/>
              <w:rPr>
                <w:rFonts w:ascii="Times" w:eastAsia="Times" w:hAnsi="Times" w:cs="Times"/>
              </w:rPr>
            </w:pPr>
            <w:r w:rsidRPr="00BD65C7">
              <w:rPr>
                <w:rFonts w:ascii="Times" w:eastAsia="Times" w:hAnsi="Times" w:cs="Times"/>
              </w:rPr>
              <w:t>43,50</w:t>
            </w:r>
          </w:p>
        </w:tc>
        <w:tc>
          <w:tcPr>
            <w:tcW w:w="2474" w:type="dxa"/>
            <w:tcBorders>
              <w:top w:val="nil"/>
              <w:left w:val="nil"/>
              <w:bottom w:val="nil"/>
              <w:right w:val="nil"/>
            </w:tcBorders>
            <w:tcMar>
              <w:top w:w="100" w:type="dxa"/>
              <w:left w:w="100" w:type="dxa"/>
              <w:bottom w:w="100" w:type="dxa"/>
              <w:right w:w="100" w:type="dxa"/>
            </w:tcMar>
          </w:tcPr>
          <w:p w14:paraId="4E2BC3C3" w14:textId="77777777" w:rsidR="00976EA5" w:rsidRPr="00BD65C7" w:rsidRDefault="00976EA5" w:rsidP="00976EA5">
            <w:pPr>
              <w:spacing w:before="0" w:after="0"/>
              <w:jc w:val="center"/>
              <w:rPr>
                <w:rFonts w:ascii="Times" w:eastAsia="Times" w:hAnsi="Times" w:cs="Times"/>
              </w:rPr>
            </w:pPr>
            <w:r w:rsidRPr="00BD65C7">
              <w:rPr>
                <w:rFonts w:ascii="Times" w:eastAsia="Times" w:hAnsi="Times" w:cs="Times"/>
              </w:rPr>
              <w:t>11,46</w:t>
            </w:r>
          </w:p>
        </w:tc>
        <w:tc>
          <w:tcPr>
            <w:tcW w:w="1625" w:type="dxa"/>
            <w:tcBorders>
              <w:top w:val="nil"/>
              <w:left w:val="nil"/>
              <w:bottom w:val="nil"/>
              <w:right w:val="nil"/>
            </w:tcBorders>
            <w:tcMar>
              <w:top w:w="100" w:type="dxa"/>
              <w:left w:w="100" w:type="dxa"/>
              <w:bottom w:w="100" w:type="dxa"/>
              <w:right w:w="100" w:type="dxa"/>
            </w:tcMar>
          </w:tcPr>
          <w:p w14:paraId="0001EB1B" w14:textId="77777777" w:rsidR="00976EA5" w:rsidRPr="00BD65C7" w:rsidRDefault="00976EA5" w:rsidP="00976EA5">
            <w:pPr>
              <w:spacing w:before="0" w:after="0"/>
              <w:jc w:val="center"/>
              <w:rPr>
                <w:rFonts w:ascii="Times" w:eastAsia="Times" w:hAnsi="Times" w:cs="Times"/>
              </w:rPr>
            </w:pPr>
            <w:r w:rsidRPr="00BD65C7">
              <w:rPr>
                <w:rFonts w:ascii="Times" w:eastAsia="Times" w:hAnsi="Times" w:cs="Times"/>
              </w:rPr>
              <w:t>40,50</w:t>
            </w:r>
          </w:p>
        </w:tc>
        <w:tc>
          <w:tcPr>
            <w:tcW w:w="2101" w:type="dxa"/>
            <w:tcBorders>
              <w:top w:val="nil"/>
              <w:left w:val="nil"/>
              <w:bottom w:val="nil"/>
              <w:right w:val="nil"/>
            </w:tcBorders>
            <w:tcMar>
              <w:top w:w="100" w:type="dxa"/>
              <w:left w:w="100" w:type="dxa"/>
              <w:bottom w:w="100" w:type="dxa"/>
              <w:right w:w="100" w:type="dxa"/>
            </w:tcMar>
          </w:tcPr>
          <w:p w14:paraId="64A5276C" w14:textId="77777777" w:rsidR="00976EA5" w:rsidRPr="00BD65C7" w:rsidRDefault="00976EA5" w:rsidP="00976EA5">
            <w:pPr>
              <w:spacing w:before="0" w:after="0"/>
              <w:jc w:val="center"/>
              <w:rPr>
                <w:rFonts w:ascii="Times" w:eastAsia="Times" w:hAnsi="Times" w:cs="Times"/>
              </w:rPr>
            </w:pPr>
            <w:r w:rsidRPr="00BD65C7">
              <w:rPr>
                <w:rFonts w:ascii="Times" w:eastAsia="Times" w:hAnsi="Times" w:cs="Times"/>
              </w:rPr>
              <w:t>29,04</w:t>
            </w:r>
          </w:p>
        </w:tc>
      </w:tr>
      <w:tr w:rsidR="00976EA5" w:rsidRPr="00BD65C7" w14:paraId="7CB2F2B3" w14:textId="77777777" w:rsidTr="00976EA5">
        <w:trPr>
          <w:trHeight w:val="367"/>
        </w:trPr>
        <w:tc>
          <w:tcPr>
            <w:tcW w:w="2526" w:type="dxa"/>
            <w:tcBorders>
              <w:top w:val="nil"/>
              <w:left w:val="nil"/>
              <w:bottom w:val="nil"/>
              <w:right w:val="nil"/>
            </w:tcBorders>
            <w:tcMar>
              <w:top w:w="100" w:type="dxa"/>
              <w:left w:w="100" w:type="dxa"/>
              <w:bottom w:w="100" w:type="dxa"/>
              <w:right w:w="100" w:type="dxa"/>
            </w:tcMar>
          </w:tcPr>
          <w:p w14:paraId="55DABDB6" w14:textId="77777777" w:rsidR="00976EA5" w:rsidRPr="00BD65C7" w:rsidRDefault="00976EA5" w:rsidP="00976EA5">
            <w:pPr>
              <w:spacing w:before="0" w:after="0"/>
              <w:jc w:val="center"/>
              <w:rPr>
                <w:rFonts w:ascii="Times" w:eastAsia="Times" w:hAnsi="Times" w:cs="Times"/>
                <w:i/>
              </w:rPr>
            </w:pPr>
            <w:proofErr w:type="spellStart"/>
            <w:r w:rsidRPr="00BD65C7">
              <w:rPr>
                <w:rFonts w:ascii="Times" w:eastAsia="Times" w:hAnsi="Times" w:cs="Times"/>
                <w:i/>
              </w:rPr>
              <w:t>Viridiplantae</w:t>
            </w:r>
            <w:proofErr w:type="spellEnd"/>
          </w:p>
        </w:tc>
        <w:tc>
          <w:tcPr>
            <w:tcW w:w="1977" w:type="dxa"/>
            <w:tcBorders>
              <w:top w:val="nil"/>
              <w:left w:val="nil"/>
              <w:bottom w:val="nil"/>
              <w:right w:val="nil"/>
            </w:tcBorders>
            <w:tcMar>
              <w:top w:w="100" w:type="dxa"/>
              <w:left w:w="100" w:type="dxa"/>
              <w:bottom w:w="100" w:type="dxa"/>
              <w:right w:w="100" w:type="dxa"/>
            </w:tcMar>
          </w:tcPr>
          <w:p w14:paraId="43ACDBD7" w14:textId="77777777" w:rsidR="00976EA5" w:rsidRPr="00BD65C7" w:rsidRDefault="00976EA5" w:rsidP="00976EA5">
            <w:pPr>
              <w:spacing w:before="0" w:after="0"/>
              <w:jc w:val="center"/>
              <w:rPr>
                <w:rFonts w:ascii="Times" w:eastAsia="Times" w:hAnsi="Times" w:cs="Times"/>
              </w:rPr>
            </w:pPr>
            <w:r w:rsidRPr="00BD65C7">
              <w:rPr>
                <w:rFonts w:ascii="Times" w:eastAsia="Times" w:hAnsi="Times" w:cs="Times"/>
              </w:rPr>
              <w:t>80,62</w:t>
            </w:r>
          </w:p>
        </w:tc>
        <w:tc>
          <w:tcPr>
            <w:tcW w:w="2474" w:type="dxa"/>
            <w:tcBorders>
              <w:top w:val="nil"/>
              <w:left w:val="nil"/>
              <w:bottom w:val="nil"/>
              <w:right w:val="nil"/>
            </w:tcBorders>
            <w:tcMar>
              <w:top w:w="100" w:type="dxa"/>
              <w:left w:w="100" w:type="dxa"/>
              <w:bottom w:w="100" w:type="dxa"/>
              <w:right w:w="100" w:type="dxa"/>
            </w:tcMar>
          </w:tcPr>
          <w:p w14:paraId="597A9016" w14:textId="77777777" w:rsidR="00976EA5" w:rsidRPr="00BD65C7" w:rsidRDefault="00976EA5" w:rsidP="00976EA5">
            <w:pPr>
              <w:spacing w:before="0" w:after="0"/>
              <w:jc w:val="center"/>
              <w:rPr>
                <w:rFonts w:ascii="Times" w:eastAsia="Times" w:hAnsi="Times" w:cs="Times"/>
              </w:rPr>
            </w:pPr>
            <w:r w:rsidRPr="00BD65C7">
              <w:rPr>
                <w:rFonts w:ascii="Times" w:eastAsia="Times" w:hAnsi="Times" w:cs="Times"/>
              </w:rPr>
              <w:t>52,95</w:t>
            </w:r>
          </w:p>
        </w:tc>
        <w:tc>
          <w:tcPr>
            <w:tcW w:w="1625" w:type="dxa"/>
            <w:tcBorders>
              <w:top w:val="nil"/>
              <w:left w:val="nil"/>
              <w:bottom w:val="nil"/>
              <w:right w:val="nil"/>
            </w:tcBorders>
            <w:tcMar>
              <w:top w:w="100" w:type="dxa"/>
              <w:left w:w="100" w:type="dxa"/>
              <w:bottom w:w="100" w:type="dxa"/>
              <w:right w:w="100" w:type="dxa"/>
            </w:tcMar>
          </w:tcPr>
          <w:p w14:paraId="4DF672AF" w14:textId="77777777" w:rsidR="00976EA5" w:rsidRPr="00BD65C7" w:rsidRDefault="00976EA5" w:rsidP="00976EA5">
            <w:pPr>
              <w:spacing w:before="0" w:after="0"/>
              <w:jc w:val="center"/>
              <w:rPr>
                <w:rFonts w:ascii="Times" w:eastAsia="Times" w:hAnsi="Times" w:cs="Times"/>
              </w:rPr>
            </w:pPr>
            <w:r w:rsidRPr="00BD65C7">
              <w:rPr>
                <w:rFonts w:ascii="Times" w:eastAsia="Times" w:hAnsi="Times" w:cs="Times"/>
              </w:rPr>
              <w:t>73,48</w:t>
            </w:r>
          </w:p>
        </w:tc>
        <w:tc>
          <w:tcPr>
            <w:tcW w:w="2101" w:type="dxa"/>
            <w:tcBorders>
              <w:top w:val="nil"/>
              <w:left w:val="nil"/>
              <w:bottom w:val="nil"/>
              <w:right w:val="nil"/>
            </w:tcBorders>
            <w:tcMar>
              <w:top w:w="100" w:type="dxa"/>
              <w:left w:w="100" w:type="dxa"/>
              <w:bottom w:w="100" w:type="dxa"/>
              <w:right w:w="100" w:type="dxa"/>
            </w:tcMar>
          </w:tcPr>
          <w:p w14:paraId="029A837D" w14:textId="77777777" w:rsidR="00976EA5" w:rsidRPr="00BD65C7" w:rsidRDefault="00976EA5" w:rsidP="00976EA5">
            <w:pPr>
              <w:spacing w:before="0" w:after="0"/>
              <w:jc w:val="center"/>
              <w:rPr>
                <w:rFonts w:ascii="Times" w:eastAsia="Times" w:hAnsi="Times" w:cs="Times"/>
              </w:rPr>
            </w:pPr>
            <w:r w:rsidRPr="00BD65C7">
              <w:rPr>
                <w:rFonts w:ascii="Times" w:eastAsia="Times" w:hAnsi="Times" w:cs="Times"/>
              </w:rPr>
              <w:t>49,56</w:t>
            </w:r>
          </w:p>
        </w:tc>
      </w:tr>
      <w:tr w:rsidR="00976EA5" w:rsidRPr="00BD65C7" w14:paraId="175BBB9F" w14:textId="77777777" w:rsidTr="00976EA5">
        <w:trPr>
          <w:trHeight w:val="163"/>
        </w:trPr>
        <w:tc>
          <w:tcPr>
            <w:tcW w:w="2526" w:type="dxa"/>
            <w:tcBorders>
              <w:top w:val="nil"/>
              <w:left w:val="nil"/>
              <w:bottom w:val="nil"/>
              <w:right w:val="nil"/>
            </w:tcBorders>
            <w:tcMar>
              <w:top w:w="100" w:type="dxa"/>
              <w:left w:w="100" w:type="dxa"/>
              <w:bottom w:w="100" w:type="dxa"/>
              <w:right w:w="100" w:type="dxa"/>
            </w:tcMar>
          </w:tcPr>
          <w:p w14:paraId="7815C83E" w14:textId="77777777" w:rsidR="00976EA5" w:rsidRPr="00BD65C7" w:rsidRDefault="00976EA5" w:rsidP="00976EA5">
            <w:pPr>
              <w:spacing w:before="0" w:after="0"/>
              <w:jc w:val="center"/>
              <w:rPr>
                <w:rFonts w:ascii="Times" w:eastAsia="Times" w:hAnsi="Times" w:cs="Times"/>
              </w:rPr>
            </w:pPr>
            <w:proofErr w:type="spellStart"/>
            <w:r w:rsidRPr="00BD65C7">
              <w:rPr>
                <w:rFonts w:ascii="Times" w:eastAsia="Times" w:hAnsi="Times" w:cs="Times"/>
              </w:rPr>
              <w:t>RefSeq</w:t>
            </w:r>
            <w:proofErr w:type="spellEnd"/>
          </w:p>
        </w:tc>
        <w:tc>
          <w:tcPr>
            <w:tcW w:w="1977" w:type="dxa"/>
            <w:tcBorders>
              <w:top w:val="nil"/>
              <w:left w:val="nil"/>
              <w:bottom w:val="nil"/>
              <w:right w:val="nil"/>
            </w:tcBorders>
            <w:tcMar>
              <w:top w:w="100" w:type="dxa"/>
              <w:left w:w="100" w:type="dxa"/>
              <w:bottom w:w="100" w:type="dxa"/>
              <w:right w:w="100" w:type="dxa"/>
            </w:tcMar>
          </w:tcPr>
          <w:p w14:paraId="76AFF62B" w14:textId="77777777" w:rsidR="00976EA5" w:rsidRPr="00BD65C7" w:rsidRDefault="00976EA5" w:rsidP="00976EA5">
            <w:pPr>
              <w:spacing w:before="0" w:after="0"/>
              <w:jc w:val="center"/>
              <w:rPr>
                <w:rFonts w:ascii="Times" w:eastAsia="Times" w:hAnsi="Times" w:cs="Times"/>
              </w:rPr>
            </w:pPr>
            <w:r w:rsidRPr="00BD65C7">
              <w:rPr>
                <w:rFonts w:ascii="Times" w:eastAsia="Times" w:hAnsi="Times" w:cs="Times"/>
              </w:rPr>
              <w:t>79,41</w:t>
            </w:r>
          </w:p>
        </w:tc>
        <w:tc>
          <w:tcPr>
            <w:tcW w:w="2474" w:type="dxa"/>
            <w:tcBorders>
              <w:top w:val="nil"/>
              <w:left w:val="nil"/>
              <w:bottom w:val="nil"/>
              <w:right w:val="nil"/>
            </w:tcBorders>
            <w:tcMar>
              <w:top w:w="100" w:type="dxa"/>
              <w:left w:w="100" w:type="dxa"/>
              <w:bottom w:w="100" w:type="dxa"/>
              <w:right w:w="100" w:type="dxa"/>
            </w:tcMar>
          </w:tcPr>
          <w:p w14:paraId="5783D55E" w14:textId="77777777" w:rsidR="00976EA5" w:rsidRPr="00BD65C7" w:rsidRDefault="00976EA5" w:rsidP="00976EA5">
            <w:pPr>
              <w:spacing w:before="0" w:after="0"/>
              <w:jc w:val="center"/>
              <w:rPr>
                <w:rFonts w:ascii="Times" w:eastAsia="Times" w:hAnsi="Times" w:cs="Times"/>
              </w:rPr>
            </w:pPr>
            <w:r w:rsidRPr="00BD65C7">
              <w:rPr>
                <w:rFonts w:ascii="Times" w:eastAsia="Times" w:hAnsi="Times" w:cs="Times"/>
              </w:rPr>
              <w:t>55,35</w:t>
            </w:r>
          </w:p>
        </w:tc>
        <w:tc>
          <w:tcPr>
            <w:tcW w:w="1625" w:type="dxa"/>
            <w:tcBorders>
              <w:top w:val="nil"/>
              <w:left w:val="nil"/>
              <w:bottom w:val="nil"/>
              <w:right w:val="nil"/>
            </w:tcBorders>
            <w:tcMar>
              <w:top w:w="100" w:type="dxa"/>
              <w:left w:w="100" w:type="dxa"/>
              <w:bottom w:w="100" w:type="dxa"/>
              <w:right w:w="100" w:type="dxa"/>
            </w:tcMar>
          </w:tcPr>
          <w:p w14:paraId="779D59D3" w14:textId="77777777" w:rsidR="00976EA5" w:rsidRPr="00BD65C7" w:rsidRDefault="00976EA5" w:rsidP="00976EA5">
            <w:pPr>
              <w:spacing w:before="0" w:after="0"/>
              <w:jc w:val="center"/>
              <w:rPr>
                <w:rFonts w:ascii="Times" w:eastAsia="Times" w:hAnsi="Times" w:cs="Times"/>
              </w:rPr>
            </w:pPr>
            <w:r w:rsidRPr="00BD65C7">
              <w:rPr>
                <w:rFonts w:ascii="Times" w:eastAsia="Times" w:hAnsi="Times" w:cs="Times"/>
              </w:rPr>
              <w:t>89,80</w:t>
            </w:r>
          </w:p>
        </w:tc>
        <w:tc>
          <w:tcPr>
            <w:tcW w:w="2101" w:type="dxa"/>
            <w:tcBorders>
              <w:top w:val="nil"/>
              <w:left w:val="nil"/>
              <w:bottom w:val="nil"/>
              <w:right w:val="nil"/>
            </w:tcBorders>
            <w:tcMar>
              <w:top w:w="100" w:type="dxa"/>
              <w:left w:w="100" w:type="dxa"/>
              <w:bottom w:w="100" w:type="dxa"/>
              <w:right w:w="100" w:type="dxa"/>
            </w:tcMar>
          </w:tcPr>
          <w:p w14:paraId="6A8BFC52" w14:textId="77777777" w:rsidR="00976EA5" w:rsidRPr="00BD65C7" w:rsidRDefault="00976EA5" w:rsidP="00976EA5">
            <w:pPr>
              <w:spacing w:before="0" w:after="0"/>
              <w:jc w:val="center"/>
              <w:rPr>
                <w:rFonts w:ascii="Times" w:eastAsia="Times" w:hAnsi="Times" w:cs="Times"/>
              </w:rPr>
            </w:pPr>
            <w:r w:rsidRPr="00BD65C7">
              <w:rPr>
                <w:rFonts w:ascii="Times" w:eastAsia="Times" w:hAnsi="Times" w:cs="Times"/>
              </w:rPr>
              <w:t>56,87</w:t>
            </w:r>
          </w:p>
        </w:tc>
      </w:tr>
    </w:tbl>
    <w:p w14:paraId="7C5F2B9C" w14:textId="77777777" w:rsidR="00A62843" w:rsidRPr="00BD65C7" w:rsidRDefault="00000000">
      <w:pPr>
        <w:spacing w:line="360" w:lineRule="auto"/>
        <w:rPr>
          <w:rFonts w:ascii="Times" w:eastAsia="Times" w:hAnsi="Times" w:cs="Times"/>
          <w:color w:val="272727"/>
          <w:sz w:val="18"/>
          <w:szCs w:val="18"/>
        </w:rPr>
      </w:pPr>
      <w:r w:rsidRPr="00BD65C7">
        <w:rPr>
          <w:rFonts w:ascii="Times" w:eastAsia="Times" w:hAnsi="Times" w:cs="Times"/>
          <w:b/>
        </w:rPr>
        <w:t xml:space="preserve">Table S4. Summary of BLASTX results of the </w:t>
      </w:r>
      <w:r w:rsidRPr="00BD65C7">
        <w:rPr>
          <w:rFonts w:ascii="Times" w:eastAsia="Times" w:hAnsi="Times" w:cs="Times"/>
          <w:b/>
          <w:i/>
        </w:rPr>
        <w:t>de novo</w:t>
      </w:r>
      <w:r w:rsidRPr="00BD65C7">
        <w:rPr>
          <w:rFonts w:ascii="Times" w:eastAsia="Times" w:hAnsi="Times" w:cs="Times"/>
          <w:b/>
        </w:rPr>
        <w:t xml:space="preserve"> transcriptome assembly GCAT 4.0. </w:t>
      </w:r>
      <w:r w:rsidRPr="00BD65C7">
        <w:rPr>
          <w:rFonts w:ascii="Times" w:eastAsia="Times" w:hAnsi="Times" w:cs="Times"/>
        </w:rPr>
        <w:t xml:space="preserve">The table gathers the results of BLASTX expressed in percentage realized with different public databases. The refSeq_29sep22 database (NCBI) was used in Blast2GO pro suite for our analyses. The meaning of variables: DB: database; DB sequences (%): the percentage of matched sequence; DB unique sequences (%): the percentage of unique matched sequence; </w:t>
      </w:r>
      <w:proofErr w:type="spellStart"/>
      <w:r w:rsidRPr="00BD65C7">
        <w:rPr>
          <w:rFonts w:ascii="Times" w:eastAsia="Times" w:hAnsi="Times" w:cs="Times"/>
        </w:rPr>
        <w:t>Unigenes</w:t>
      </w:r>
      <w:proofErr w:type="spellEnd"/>
      <w:r w:rsidRPr="00BD65C7">
        <w:rPr>
          <w:rFonts w:ascii="Times" w:eastAsia="Times" w:hAnsi="Times" w:cs="Times"/>
        </w:rPr>
        <w:t xml:space="preserve"> (%): the percentage of matched </w:t>
      </w:r>
      <w:proofErr w:type="spellStart"/>
      <w:r w:rsidRPr="00BD65C7">
        <w:rPr>
          <w:rFonts w:ascii="Times" w:eastAsia="Times" w:hAnsi="Times" w:cs="Times"/>
        </w:rPr>
        <w:t>unigene</w:t>
      </w:r>
      <w:proofErr w:type="spellEnd"/>
      <w:r w:rsidRPr="00BD65C7">
        <w:rPr>
          <w:rFonts w:ascii="Times" w:eastAsia="Times" w:hAnsi="Times" w:cs="Times"/>
        </w:rPr>
        <w:t xml:space="preserve">; Unique </w:t>
      </w:r>
      <w:proofErr w:type="spellStart"/>
      <w:r w:rsidRPr="00BD65C7">
        <w:rPr>
          <w:rFonts w:ascii="Times" w:eastAsia="Times" w:hAnsi="Times" w:cs="Times"/>
        </w:rPr>
        <w:t>unigenes</w:t>
      </w:r>
      <w:proofErr w:type="spellEnd"/>
      <w:r w:rsidRPr="00BD65C7">
        <w:rPr>
          <w:rFonts w:ascii="Times" w:eastAsia="Times" w:hAnsi="Times" w:cs="Times"/>
        </w:rPr>
        <w:t xml:space="preserve"> (%): the percentage of unique matched </w:t>
      </w:r>
      <w:proofErr w:type="spellStart"/>
      <w:r w:rsidRPr="00BD65C7">
        <w:rPr>
          <w:rFonts w:ascii="Times" w:eastAsia="Times" w:hAnsi="Times" w:cs="Times"/>
        </w:rPr>
        <w:t>unigenes</w:t>
      </w:r>
      <w:proofErr w:type="spellEnd"/>
      <w:r w:rsidRPr="00BD65C7">
        <w:rPr>
          <w:rFonts w:ascii="Times" w:eastAsia="Times" w:hAnsi="Times" w:cs="Times"/>
        </w:rPr>
        <w:t>. The genome used is the reference genome of white spruce WS77111v2 (</w:t>
      </w:r>
      <w:hyperlink r:id="rId16">
        <w:r w:rsidRPr="00BD65C7">
          <w:rPr>
            <w:rFonts w:ascii="Times" w:eastAsia="Times" w:hAnsi="Times" w:cs="Times"/>
            <w:color w:val="1155CC"/>
            <w:u w:val="single"/>
          </w:rPr>
          <w:t>https://www.ncbi.nlm.nih.gov/datasets/genome/GCA_000966675.3</w:t>
        </w:r>
      </w:hyperlink>
      <w:r w:rsidRPr="00BD65C7">
        <w:rPr>
          <w:rFonts w:ascii="Times" w:eastAsia="Times" w:hAnsi="Times" w:cs="Times"/>
        </w:rPr>
        <w:t>).</w:t>
      </w:r>
    </w:p>
    <w:p w14:paraId="74FBC02A" w14:textId="77777777" w:rsidR="00A62843" w:rsidRPr="00BD65C7" w:rsidRDefault="00A62843">
      <w:pPr>
        <w:spacing w:line="360" w:lineRule="auto"/>
        <w:rPr>
          <w:rFonts w:ascii="Times" w:eastAsia="Times" w:hAnsi="Times" w:cs="Times"/>
          <w:b/>
        </w:rPr>
      </w:pPr>
    </w:p>
    <w:p w14:paraId="06BE5942" w14:textId="77777777" w:rsidR="00BD65C7" w:rsidRDefault="00BD65C7">
      <w:pPr>
        <w:spacing w:line="360" w:lineRule="auto"/>
        <w:rPr>
          <w:rFonts w:ascii="Times" w:eastAsia="Times" w:hAnsi="Times" w:cs="Times"/>
          <w:b/>
        </w:rPr>
      </w:pPr>
    </w:p>
    <w:p w14:paraId="12BC6E50" w14:textId="77777777" w:rsidR="00BD65C7" w:rsidRDefault="00BD65C7">
      <w:pPr>
        <w:spacing w:line="360" w:lineRule="auto"/>
        <w:rPr>
          <w:rFonts w:ascii="Times" w:eastAsia="Times" w:hAnsi="Times" w:cs="Times"/>
          <w:b/>
        </w:rPr>
      </w:pPr>
    </w:p>
    <w:p w14:paraId="4CC720C2" w14:textId="77777777" w:rsidR="00976EA5" w:rsidRDefault="00976EA5">
      <w:pPr>
        <w:spacing w:line="360" w:lineRule="auto"/>
        <w:rPr>
          <w:rFonts w:ascii="Times" w:eastAsia="Times" w:hAnsi="Times" w:cs="Times"/>
          <w:b/>
        </w:rPr>
      </w:pPr>
    </w:p>
    <w:p w14:paraId="5D0354B8" w14:textId="77777777" w:rsidR="00976EA5" w:rsidRDefault="00976EA5">
      <w:pPr>
        <w:spacing w:line="360" w:lineRule="auto"/>
        <w:rPr>
          <w:rFonts w:ascii="Times" w:eastAsia="Times" w:hAnsi="Times" w:cs="Times"/>
          <w:b/>
        </w:rPr>
      </w:pPr>
    </w:p>
    <w:p w14:paraId="30A53B4A" w14:textId="77777777" w:rsidR="00976EA5" w:rsidRDefault="00976EA5">
      <w:pPr>
        <w:spacing w:line="360" w:lineRule="auto"/>
        <w:rPr>
          <w:rFonts w:ascii="Times" w:eastAsia="Times" w:hAnsi="Times" w:cs="Times"/>
          <w:b/>
        </w:rPr>
      </w:pPr>
    </w:p>
    <w:p w14:paraId="660B29DA" w14:textId="77777777" w:rsidR="00976EA5" w:rsidRDefault="00976EA5">
      <w:pPr>
        <w:spacing w:line="360" w:lineRule="auto"/>
        <w:rPr>
          <w:rFonts w:ascii="Times" w:eastAsia="Times" w:hAnsi="Times" w:cs="Times"/>
          <w:b/>
        </w:rPr>
      </w:pPr>
    </w:p>
    <w:p w14:paraId="37CF847A" w14:textId="77777777" w:rsidR="00976EA5" w:rsidRDefault="00976EA5">
      <w:pPr>
        <w:spacing w:line="360" w:lineRule="auto"/>
        <w:rPr>
          <w:rFonts w:ascii="Times" w:eastAsia="Times" w:hAnsi="Times" w:cs="Times"/>
          <w:b/>
        </w:rPr>
        <w:sectPr w:rsidR="00976EA5" w:rsidSect="00723421">
          <w:pgSz w:w="15840" w:h="12240" w:orient="landscape"/>
          <w:pgMar w:top="1281" w:right="1140" w:bottom="1179" w:left="1140" w:header="720" w:footer="720" w:gutter="0"/>
          <w:lnNumType w:countBy="1" w:restart="continuous"/>
          <w:pgNumType w:start="1"/>
          <w:cols w:space="720"/>
          <w:titlePg/>
        </w:sectPr>
      </w:pPr>
    </w:p>
    <w:p w14:paraId="790812A6" w14:textId="0DB618BE" w:rsidR="00A62843" w:rsidRPr="00BD65C7" w:rsidRDefault="00000000">
      <w:pPr>
        <w:spacing w:line="360" w:lineRule="auto"/>
        <w:rPr>
          <w:rFonts w:ascii="Times" w:eastAsia="Times" w:hAnsi="Times" w:cs="Times"/>
        </w:rPr>
      </w:pPr>
      <w:r w:rsidRPr="00BD65C7">
        <w:rPr>
          <w:rFonts w:ascii="Times" w:eastAsia="Times" w:hAnsi="Times" w:cs="Times"/>
          <w:b/>
        </w:rPr>
        <w:lastRenderedPageBreak/>
        <w:t xml:space="preserve">Table S5. Transcription Factors (TFs) annotation of differentially expressed transcripts (DETs) and their corresponding genes (DEGs). </w:t>
      </w:r>
      <w:bookmarkStart w:id="1" w:name="_Hlk164879245"/>
      <w:r w:rsidRPr="00BD65C7">
        <w:rPr>
          <w:rFonts w:ascii="Times" w:eastAsia="Times" w:hAnsi="Times" w:cs="Times"/>
          <w:i/>
        </w:rPr>
        <w:t xml:space="preserve">See the separate Excel file. Table_S5.xls. </w:t>
      </w:r>
      <w:r w:rsidRPr="00BD65C7">
        <w:rPr>
          <w:rFonts w:ascii="Times" w:eastAsia="Times" w:hAnsi="Times" w:cs="Times"/>
        </w:rPr>
        <w:t>The Excel file contains three sheets; Caption, Table S5.1 (TFs annotation among all transcripts), Table S5.2 (TFs annotation among DEGs).</w:t>
      </w:r>
    </w:p>
    <w:bookmarkEnd w:id="1"/>
    <w:p w14:paraId="45C07333" w14:textId="77777777" w:rsidR="00380F1E" w:rsidRPr="00BD65C7" w:rsidRDefault="00380F1E">
      <w:pPr>
        <w:spacing w:line="360" w:lineRule="auto"/>
        <w:rPr>
          <w:rFonts w:ascii="Times" w:eastAsia="Times" w:hAnsi="Times" w:cs="Times"/>
        </w:rPr>
      </w:pPr>
    </w:p>
    <w:p w14:paraId="03103FFA" w14:textId="77777777" w:rsidR="00A62843" w:rsidRPr="00BD65C7" w:rsidRDefault="00000000">
      <w:pPr>
        <w:spacing w:line="360" w:lineRule="auto"/>
        <w:rPr>
          <w:rFonts w:ascii="Times" w:eastAsia="Times" w:hAnsi="Times" w:cs="Times"/>
          <w:b/>
        </w:rPr>
      </w:pPr>
      <w:bookmarkStart w:id="2" w:name="_heading=h.cdv7qa2tijrv" w:colFirst="0" w:colLast="0"/>
      <w:bookmarkEnd w:id="2"/>
      <w:r w:rsidRPr="00BD65C7">
        <w:rPr>
          <w:rFonts w:ascii="Times" w:eastAsia="Times" w:hAnsi="Times" w:cs="Times"/>
          <w:b/>
        </w:rPr>
        <w:t xml:space="preserve">Table S6. List of differentially expressed transcripts (DETs) as a function of time points and their corresponding genes (DEGs) under drought. </w:t>
      </w:r>
      <w:r w:rsidRPr="00BD65C7">
        <w:rPr>
          <w:rFonts w:ascii="Times" w:eastAsia="Times" w:hAnsi="Times" w:cs="Times"/>
          <w:i/>
        </w:rPr>
        <w:t xml:space="preserve">See the separate Excel file. Table_S6.xls. </w:t>
      </w:r>
      <w:r w:rsidRPr="00BD65C7">
        <w:rPr>
          <w:rFonts w:ascii="Times" w:eastAsia="Times" w:hAnsi="Times" w:cs="Times"/>
        </w:rPr>
        <w:t>The Excel file contains two sheets: Caption, Table S6 (results of DEG analysis and annotation according to time points).</w:t>
      </w:r>
    </w:p>
    <w:p w14:paraId="21730222" w14:textId="77777777" w:rsidR="00A62843" w:rsidRPr="00BD65C7" w:rsidRDefault="00A62843">
      <w:pPr>
        <w:spacing w:line="360" w:lineRule="auto"/>
        <w:rPr>
          <w:rFonts w:ascii="Times" w:eastAsia="Times" w:hAnsi="Times" w:cs="Times"/>
        </w:rPr>
      </w:pPr>
    </w:p>
    <w:p w14:paraId="5425A18D" w14:textId="77777777" w:rsidR="00A62843" w:rsidRPr="00BD65C7" w:rsidRDefault="00000000">
      <w:pPr>
        <w:spacing w:line="360" w:lineRule="auto"/>
        <w:rPr>
          <w:rFonts w:ascii="Times" w:eastAsia="Times" w:hAnsi="Times" w:cs="Times"/>
          <w:i/>
        </w:rPr>
      </w:pPr>
      <w:r w:rsidRPr="00BD65C7">
        <w:rPr>
          <w:rFonts w:ascii="Times" w:eastAsia="Times" w:hAnsi="Times" w:cs="Times"/>
          <w:b/>
        </w:rPr>
        <w:t xml:space="preserve">Table S7. List of differentially expressed transcripts (DETs) and Gene Ontology (GO) enrichment as a function of clones and their corresponding genes (DEGs) under drought. </w:t>
      </w:r>
      <w:bookmarkStart w:id="3" w:name="_Hlk164879875"/>
      <w:r w:rsidRPr="00BD65C7">
        <w:rPr>
          <w:rFonts w:ascii="Times" w:eastAsia="Times" w:hAnsi="Times" w:cs="Times"/>
          <w:i/>
        </w:rPr>
        <w:t xml:space="preserve">See the separate Excel file. Table_S7.xls. </w:t>
      </w:r>
      <w:r w:rsidRPr="00BD65C7">
        <w:rPr>
          <w:rFonts w:ascii="Times" w:eastAsia="Times" w:hAnsi="Times" w:cs="Times"/>
        </w:rPr>
        <w:t>The Excel file contains three sheets; Caption, Table S7.1 (results of DEG analysis and annotation according to clones), Table S7.2 (GO enrichment according to clones).</w:t>
      </w:r>
    </w:p>
    <w:bookmarkEnd w:id="3"/>
    <w:p w14:paraId="42B38ED7" w14:textId="77777777" w:rsidR="00A62843" w:rsidRPr="00BD65C7" w:rsidRDefault="00A62843">
      <w:pPr>
        <w:spacing w:line="360" w:lineRule="auto"/>
        <w:rPr>
          <w:rFonts w:ascii="Times" w:eastAsia="Times" w:hAnsi="Times" w:cs="Times"/>
        </w:rPr>
      </w:pPr>
    </w:p>
    <w:p w14:paraId="7D7BA82A" w14:textId="77777777" w:rsidR="00A62843" w:rsidRPr="00BD65C7" w:rsidRDefault="00000000">
      <w:pPr>
        <w:spacing w:line="360" w:lineRule="auto"/>
        <w:rPr>
          <w:rFonts w:ascii="Times" w:eastAsia="Times" w:hAnsi="Times" w:cs="Times"/>
        </w:rPr>
      </w:pPr>
      <w:r w:rsidRPr="00BD65C7">
        <w:rPr>
          <w:rFonts w:ascii="Times" w:eastAsia="Times" w:hAnsi="Times" w:cs="Times"/>
          <w:b/>
        </w:rPr>
        <w:t xml:space="preserve">Table S8. Gene Ontology (GO) enrichment of differentially expressed transcripts (DETs) as a function of time points under drought. </w:t>
      </w:r>
      <w:r w:rsidRPr="00BD65C7">
        <w:rPr>
          <w:rFonts w:ascii="Times" w:eastAsia="Times" w:hAnsi="Times" w:cs="Times"/>
          <w:i/>
        </w:rPr>
        <w:t xml:space="preserve">See the separate Excel file. Table_S8.xls. </w:t>
      </w:r>
      <w:r w:rsidRPr="00BD65C7">
        <w:rPr>
          <w:rFonts w:ascii="Times" w:eastAsia="Times" w:hAnsi="Times" w:cs="Times"/>
        </w:rPr>
        <w:t>The Excel file contains three sheets; Caption, Table S8.1 (GO enrichment according to time points), Table S8.2 (selected GO enrichment according to time points).</w:t>
      </w:r>
    </w:p>
    <w:p w14:paraId="0BEF6034" w14:textId="77777777" w:rsidR="00A62843" w:rsidRPr="00BD65C7" w:rsidRDefault="00A62843">
      <w:pPr>
        <w:spacing w:line="360" w:lineRule="auto"/>
        <w:rPr>
          <w:rFonts w:ascii="Times" w:eastAsia="Times" w:hAnsi="Times" w:cs="Times"/>
          <w:b/>
        </w:rPr>
      </w:pPr>
    </w:p>
    <w:p w14:paraId="332A63CF" w14:textId="32DDC085" w:rsidR="00A62843" w:rsidRDefault="00000000">
      <w:pPr>
        <w:spacing w:line="360" w:lineRule="auto"/>
        <w:rPr>
          <w:rFonts w:ascii="Times" w:eastAsia="Times" w:hAnsi="Times" w:cs="Times"/>
          <w:b/>
        </w:rPr>
      </w:pPr>
      <w:r w:rsidRPr="00BD65C7">
        <w:rPr>
          <w:rFonts w:ascii="Times" w:eastAsia="Times" w:hAnsi="Times" w:cs="Times"/>
          <w:b/>
        </w:rPr>
        <w:t xml:space="preserve">Table S9. </w:t>
      </w:r>
      <w:proofErr w:type="spellStart"/>
      <w:r w:rsidRPr="00BD65C7">
        <w:rPr>
          <w:rFonts w:ascii="Times" w:eastAsia="Times" w:hAnsi="Times" w:cs="Times"/>
          <w:b/>
        </w:rPr>
        <w:t>MapMan</w:t>
      </w:r>
      <w:proofErr w:type="spellEnd"/>
      <w:r w:rsidRPr="00BD65C7">
        <w:rPr>
          <w:rFonts w:ascii="Times" w:eastAsia="Times" w:hAnsi="Times" w:cs="Times"/>
          <w:b/>
        </w:rPr>
        <w:t xml:space="preserve"> analyses performed on differentially expressed genes (DEGs) from all sampling days and on DEGs from day 22. </w:t>
      </w:r>
      <w:r w:rsidRPr="00BD65C7">
        <w:rPr>
          <w:rFonts w:ascii="Times" w:eastAsia="Times" w:hAnsi="Times" w:cs="Times"/>
          <w:i/>
        </w:rPr>
        <w:t>See the separate Excel file. Table_S9.xls</w:t>
      </w:r>
      <w:r w:rsidRPr="00BD65C7">
        <w:rPr>
          <w:rFonts w:ascii="Times" w:eastAsia="Times" w:hAnsi="Times" w:cs="Times"/>
          <w:b/>
        </w:rPr>
        <w:t xml:space="preserve">. </w:t>
      </w:r>
      <w:r w:rsidRPr="00BD65C7">
        <w:rPr>
          <w:rFonts w:ascii="Times" w:eastAsia="Times" w:hAnsi="Times" w:cs="Times"/>
        </w:rPr>
        <w:t>The Excel file contains five sheets; Caption, Table S9.1 (export results of all sampling days), Table S9.2 (the main Bin categories of all sampling days), Table S9.3 (export results of day 22), Table S9.4 (the main Bin categories of day 22).</w:t>
      </w:r>
    </w:p>
    <w:p w14:paraId="3F671C95" w14:textId="77777777" w:rsidR="00976EA5" w:rsidRPr="00976EA5" w:rsidRDefault="00976EA5">
      <w:pPr>
        <w:spacing w:line="360" w:lineRule="auto"/>
        <w:rPr>
          <w:rFonts w:ascii="Times" w:eastAsia="Times" w:hAnsi="Times" w:cs="Times"/>
          <w:b/>
        </w:rPr>
      </w:pPr>
    </w:p>
    <w:p w14:paraId="7C43B943" w14:textId="77777777" w:rsidR="00A62843" w:rsidRPr="00BD65C7" w:rsidRDefault="00000000">
      <w:pPr>
        <w:spacing w:line="360" w:lineRule="auto"/>
        <w:rPr>
          <w:rFonts w:ascii="Times" w:eastAsia="Times" w:hAnsi="Times" w:cs="Times"/>
        </w:rPr>
      </w:pPr>
      <w:r w:rsidRPr="00BD65C7">
        <w:rPr>
          <w:rFonts w:ascii="Times" w:eastAsia="Times" w:hAnsi="Times" w:cs="Times"/>
          <w:b/>
        </w:rPr>
        <w:lastRenderedPageBreak/>
        <w:t xml:space="preserve">Table S10. Cross-checking information from previously published studies on differentially expressed transcripts (DETs) and their corresponding genes (DEGs). </w:t>
      </w:r>
      <w:r w:rsidRPr="00BD65C7">
        <w:rPr>
          <w:rFonts w:ascii="Times" w:eastAsia="Times" w:hAnsi="Times" w:cs="Times"/>
          <w:i/>
        </w:rPr>
        <w:t xml:space="preserve">See the separate Excel file. Table_S10.xls. </w:t>
      </w:r>
      <w:r w:rsidRPr="00BD65C7">
        <w:rPr>
          <w:rFonts w:ascii="Times" w:eastAsia="Times" w:hAnsi="Times" w:cs="Times"/>
        </w:rPr>
        <w:t>The Excel file contains two sheets; Caption, Table S10 (list of key drought-responsive genes previously observed in published studies).</w:t>
      </w:r>
    </w:p>
    <w:p w14:paraId="4D2740F7" w14:textId="77777777" w:rsidR="00380F1E" w:rsidRDefault="00380F1E">
      <w:pPr>
        <w:spacing w:line="360" w:lineRule="auto"/>
        <w:rPr>
          <w:rFonts w:ascii="Times" w:eastAsia="Times" w:hAnsi="Times" w:cs="Times"/>
          <w:b/>
        </w:rPr>
      </w:pPr>
    </w:p>
    <w:p w14:paraId="776C0E6D" w14:textId="77777777" w:rsidR="00BD65C7" w:rsidRDefault="00BD65C7">
      <w:pPr>
        <w:spacing w:line="360" w:lineRule="auto"/>
        <w:rPr>
          <w:rFonts w:ascii="Times" w:eastAsia="Times" w:hAnsi="Times" w:cs="Times"/>
          <w:b/>
        </w:rPr>
      </w:pPr>
    </w:p>
    <w:p w14:paraId="66A41A98" w14:textId="77777777" w:rsidR="00E87B15" w:rsidRDefault="00E87B15">
      <w:pPr>
        <w:spacing w:line="360" w:lineRule="auto"/>
        <w:rPr>
          <w:rFonts w:ascii="Times" w:eastAsia="Times" w:hAnsi="Times" w:cs="Times"/>
          <w:b/>
        </w:rPr>
      </w:pPr>
    </w:p>
    <w:p w14:paraId="624AE8F6" w14:textId="77777777" w:rsidR="00E87B15" w:rsidRDefault="00E87B15">
      <w:pPr>
        <w:spacing w:line="360" w:lineRule="auto"/>
        <w:rPr>
          <w:rFonts w:ascii="Times" w:eastAsia="Times" w:hAnsi="Times" w:cs="Times"/>
          <w:b/>
        </w:rPr>
      </w:pPr>
    </w:p>
    <w:p w14:paraId="39CA972B" w14:textId="77777777" w:rsidR="00E87B15" w:rsidRDefault="00E87B15">
      <w:pPr>
        <w:spacing w:line="360" w:lineRule="auto"/>
        <w:rPr>
          <w:rFonts w:ascii="Times" w:eastAsia="Times" w:hAnsi="Times" w:cs="Times"/>
          <w:b/>
        </w:rPr>
      </w:pPr>
    </w:p>
    <w:p w14:paraId="596A8B84" w14:textId="77777777" w:rsidR="00E87B15" w:rsidRDefault="00E87B15">
      <w:pPr>
        <w:spacing w:line="360" w:lineRule="auto"/>
        <w:rPr>
          <w:rFonts w:ascii="Times" w:eastAsia="Times" w:hAnsi="Times" w:cs="Times"/>
          <w:b/>
        </w:rPr>
      </w:pPr>
    </w:p>
    <w:p w14:paraId="19FB6E72" w14:textId="77777777" w:rsidR="00E87B15" w:rsidRDefault="00E87B15">
      <w:pPr>
        <w:spacing w:line="360" w:lineRule="auto"/>
        <w:rPr>
          <w:rFonts w:ascii="Times" w:eastAsia="Times" w:hAnsi="Times" w:cs="Times"/>
          <w:b/>
        </w:rPr>
      </w:pPr>
    </w:p>
    <w:p w14:paraId="35854E6F" w14:textId="77777777" w:rsidR="00E87B15" w:rsidRDefault="00E87B15">
      <w:pPr>
        <w:spacing w:line="360" w:lineRule="auto"/>
        <w:rPr>
          <w:rFonts w:ascii="Times" w:eastAsia="Times" w:hAnsi="Times" w:cs="Times"/>
          <w:b/>
        </w:rPr>
      </w:pPr>
    </w:p>
    <w:p w14:paraId="6B96371D" w14:textId="77777777" w:rsidR="00E87B15" w:rsidRDefault="00E87B15">
      <w:pPr>
        <w:spacing w:line="360" w:lineRule="auto"/>
        <w:rPr>
          <w:rFonts w:ascii="Times" w:eastAsia="Times" w:hAnsi="Times" w:cs="Times"/>
          <w:b/>
        </w:rPr>
      </w:pPr>
    </w:p>
    <w:p w14:paraId="1ADD04FF" w14:textId="77777777" w:rsidR="00E87B15" w:rsidRDefault="00E87B15">
      <w:pPr>
        <w:spacing w:line="360" w:lineRule="auto"/>
        <w:rPr>
          <w:rFonts w:ascii="Times" w:eastAsia="Times" w:hAnsi="Times" w:cs="Times"/>
          <w:b/>
        </w:rPr>
      </w:pPr>
    </w:p>
    <w:p w14:paraId="616C21D0" w14:textId="77777777" w:rsidR="00E87B15" w:rsidRDefault="00E87B15">
      <w:pPr>
        <w:spacing w:line="360" w:lineRule="auto"/>
        <w:rPr>
          <w:rFonts w:ascii="Times" w:eastAsia="Times" w:hAnsi="Times" w:cs="Times"/>
          <w:b/>
        </w:rPr>
      </w:pPr>
    </w:p>
    <w:p w14:paraId="4C22D6F8" w14:textId="77777777" w:rsidR="00E87B15" w:rsidRDefault="00E87B15">
      <w:pPr>
        <w:spacing w:line="360" w:lineRule="auto"/>
        <w:rPr>
          <w:rFonts w:ascii="Times" w:eastAsia="Times" w:hAnsi="Times" w:cs="Times"/>
          <w:b/>
        </w:rPr>
      </w:pPr>
    </w:p>
    <w:p w14:paraId="090E58A3" w14:textId="77777777" w:rsidR="00E87B15" w:rsidRDefault="00E87B15">
      <w:pPr>
        <w:spacing w:line="360" w:lineRule="auto"/>
        <w:rPr>
          <w:rFonts w:ascii="Times" w:eastAsia="Times" w:hAnsi="Times" w:cs="Times"/>
          <w:b/>
        </w:rPr>
      </w:pPr>
    </w:p>
    <w:p w14:paraId="64A7596D" w14:textId="77777777" w:rsidR="00E87B15" w:rsidRDefault="00E87B15">
      <w:pPr>
        <w:spacing w:line="360" w:lineRule="auto"/>
        <w:rPr>
          <w:rFonts w:ascii="Times" w:eastAsia="Times" w:hAnsi="Times" w:cs="Times"/>
          <w:b/>
        </w:rPr>
      </w:pPr>
    </w:p>
    <w:p w14:paraId="6C39E1D9" w14:textId="77777777" w:rsidR="00E87B15" w:rsidRDefault="00E87B15">
      <w:pPr>
        <w:spacing w:line="360" w:lineRule="auto"/>
        <w:rPr>
          <w:rFonts w:ascii="Times" w:eastAsia="Times" w:hAnsi="Times" w:cs="Times"/>
          <w:b/>
        </w:rPr>
      </w:pPr>
    </w:p>
    <w:p w14:paraId="3372A863" w14:textId="77777777" w:rsidR="00E87B15" w:rsidRDefault="00E87B15">
      <w:pPr>
        <w:spacing w:line="360" w:lineRule="auto"/>
        <w:rPr>
          <w:rFonts w:ascii="Times" w:eastAsia="Times" w:hAnsi="Times" w:cs="Times"/>
          <w:b/>
        </w:rPr>
      </w:pPr>
    </w:p>
    <w:p w14:paraId="67B5A576" w14:textId="77777777" w:rsidR="00E87B15" w:rsidRDefault="00E87B15">
      <w:pPr>
        <w:spacing w:line="360" w:lineRule="auto"/>
        <w:rPr>
          <w:rFonts w:ascii="Times" w:eastAsia="Times" w:hAnsi="Times" w:cs="Times"/>
          <w:b/>
        </w:rPr>
      </w:pPr>
    </w:p>
    <w:p w14:paraId="19DC2996" w14:textId="77777777" w:rsidR="00E87B15" w:rsidRPr="00BD65C7" w:rsidRDefault="00E87B15">
      <w:pPr>
        <w:spacing w:line="360" w:lineRule="auto"/>
        <w:rPr>
          <w:rFonts w:ascii="Times" w:eastAsia="Times" w:hAnsi="Times" w:cs="Times"/>
          <w:b/>
        </w:rPr>
      </w:pPr>
    </w:p>
    <w:p w14:paraId="75F426DC" w14:textId="1B482B3D" w:rsidR="00A62843" w:rsidRPr="00BD65C7" w:rsidRDefault="00000000" w:rsidP="00E87B15">
      <w:pPr>
        <w:pStyle w:val="Titre1"/>
        <w:numPr>
          <w:ilvl w:val="0"/>
          <w:numId w:val="0"/>
        </w:numPr>
        <w:ind w:left="720" w:hanging="720"/>
      </w:pPr>
      <w:r w:rsidRPr="00BD65C7">
        <w:lastRenderedPageBreak/>
        <w:t>Supplementary Methods</w:t>
      </w:r>
      <w:r w:rsidR="00E87B15">
        <w:t xml:space="preserve"> S1</w:t>
      </w:r>
    </w:p>
    <w:p w14:paraId="3283ABAD" w14:textId="474A2AE7" w:rsidR="00A62843" w:rsidRPr="00976EA5" w:rsidRDefault="00000000" w:rsidP="00976EA5">
      <w:pPr>
        <w:pStyle w:val="Titre2"/>
        <w:rPr>
          <w:color w:val="FF0000"/>
          <w:sz w:val="22"/>
          <w:szCs w:val="22"/>
        </w:rPr>
      </w:pPr>
      <w:bookmarkStart w:id="4" w:name="_heading=h.syt8f6cqkbff" w:colFirst="0" w:colLast="0"/>
      <w:bookmarkEnd w:id="4"/>
      <w:r w:rsidRPr="00976EA5">
        <w:t xml:space="preserve">Methodological details of experiences used for </w:t>
      </w:r>
      <w:r w:rsidRPr="00976EA5">
        <w:rPr>
          <w:i/>
        </w:rPr>
        <w:t>de novo</w:t>
      </w:r>
      <w:r w:rsidRPr="00976EA5">
        <w:t xml:space="preserve"> transcriptome </w:t>
      </w:r>
      <w:proofErr w:type="gramStart"/>
      <w:r w:rsidRPr="00976EA5">
        <w:t>assembly</w:t>
      </w:r>
      <w:proofErr w:type="gramEnd"/>
      <w:r w:rsidRPr="00976EA5">
        <w:t xml:space="preserve"> </w:t>
      </w:r>
    </w:p>
    <w:p w14:paraId="005DD91A" w14:textId="00935E0F" w:rsidR="00A62843" w:rsidRPr="00976EA5" w:rsidRDefault="00976EA5" w:rsidP="00976EA5">
      <w:pPr>
        <w:pStyle w:val="Titre3"/>
        <w:numPr>
          <w:ilvl w:val="0"/>
          <w:numId w:val="0"/>
        </w:numPr>
      </w:pPr>
      <w:bookmarkStart w:id="5" w:name="_heading=h.xn39wu4tm2h3" w:colFirst="0" w:colLast="0"/>
      <w:bookmarkEnd w:id="5"/>
      <w:r>
        <w:t xml:space="preserve">1. </w:t>
      </w:r>
      <w:r w:rsidRPr="00976EA5">
        <w:t xml:space="preserve">Experiment 1 </w:t>
      </w:r>
    </w:p>
    <w:p w14:paraId="2B5E7856" w14:textId="560A2ED3" w:rsidR="00A62843" w:rsidRPr="00BD65C7" w:rsidRDefault="00000000" w:rsidP="00976EA5">
      <w:pPr>
        <w:spacing w:after="120" w:line="360" w:lineRule="auto"/>
        <w:rPr>
          <w:rFonts w:ascii="Times" w:eastAsia="Times" w:hAnsi="Times" w:cs="Times"/>
          <w:b/>
          <w:i/>
        </w:rPr>
      </w:pPr>
      <w:r w:rsidRPr="00BD65C7">
        <w:rPr>
          <w:rFonts w:ascii="Times" w:eastAsia="Times" w:hAnsi="Times" w:cs="Times"/>
          <w:b/>
          <w:i/>
        </w:rPr>
        <w:t xml:space="preserve">1.1. Study site, water treatment and plant </w:t>
      </w:r>
      <w:proofErr w:type="gramStart"/>
      <w:r w:rsidRPr="00BD65C7">
        <w:rPr>
          <w:rFonts w:ascii="Times" w:eastAsia="Times" w:hAnsi="Times" w:cs="Times"/>
          <w:b/>
          <w:i/>
        </w:rPr>
        <w:t>material</w:t>
      </w:r>
      <w:proofErr w:type="gramEnd"/>
    </w:p>
    <w:p w14:paraId="623B566E" w14:textId="3B264E10" w:rsidR="00A62843" w:rsidRPr="00BD65C7" w:rsidRDefault="00000000">
      <w:pPr>
        <w:spacing w:after="120" w:line="360" w:lineRule="auto"/>
        <w:rPr>
          <w:rFonts w:ascii="Times" w:eastAsia="Times" w:hAnsi="Times" w:cs="Times"/>
        </w:rPr>
      </w:pPr>
      <w:r w:rsidRPr="00BD65C7">
        <w:rPr>
          <w:rFonts w:ascii="Times" w:eastAsia="Times" w:hAnsi="Times" w:cs="Times"/>
        </w:rPr>
        <w:t xml:space="preserve">Samples were obtained from an experimental garden established in 2013 at the Ontario Forest Research Institute Nursery and Arboretum in Sault Ste. Marie, </w:t>
      </w:r>
      <w:proofErr w:type="spellStart"/>
      <w:r w:rsidRPr="00BD65C7">
        <w:rPr>
          <w:rFonts w:ascii="Times" w:eastAsia="Times" w:hAnsi="Times" w:cs="Times"/>
        </w:rPr>
        <w:t>Ont</w:t>
      </w:r>
      <w:proofErr w:type="spellEnd"/>
      <w:r w:rsidRPr="00BD65C7">
        <w:rPr>
          <w:rFonts w:ascii="Times" w:eastAsia="Times" w:hAnsi="Times" w:cs="Times"/>
        </w:rPr>
        <w:t xml:space="preserve">, Canada (46.546501°N, -84.45565°W, 220 m </w:t>
      </w:r>
      <w:proofErr w:type="spellStart"/>
      <w:r w:rsidRPr="00BD65C7">
        <w:rPr>
          <w:rFonts w:ascii="Times" w:eastAsia="Times" w:hAnsi="Times" w:cs="Times"/>
        </w:rPr>
        <w:t>a.s.l</w:t>
      </w:r>
      <w:proofErr w:type="spellEnd"/>
      <w:r w:rsidRPr="00BD65C7">
        <w:rPr>
          <w:rFonts w:ascii="Times" w:eastAsia="Times" w:hAnsi="Times" w:cs="Times"/>
        </w:rPr>
        <w:t xml:space="preserve">.). Water treatment began in the spring of 2014 and consisted of rainfall exclusion and irrigation treatments. The rainfall exclusion system consisted of a network of gutters that removed ~25% of the surrounding canopy, and the irrigation treatment consisted of 25 mm of water per week using overhead sprinklers from June to August. Trees were arranged in a randomized complete block design. We sampled needles from 3 trees in 8 blocks to have 12 irrigated and 12 rainfall exclusion samples. Sampling was performed at 10 am in early September 2021. Foliage samples were frozen in liquid nitrogen immediately after removal from the trees and stored at -70 °C. Further details of the experimental garden can be found in the publication by </w:t>
      </w:r>
      <w:r w:rsidR="00582DBE">
        <w:rPr>
          <w:rFonts w:ascii="Times" w:eastAsia="Times" w:hAnsi="Times" w:cs="Times"/>
        </w:rPr>
        <w:fldChar w:fldCharType="begin"/>
      </w:r>
      <w:r w:rsidR="00582DBE">
        <w:rPr>
          <w:rFonts w:ascii="Times" w:eastAsia="Times" w:hAnsi="Times" w:cs="Times"/>
        </w:rPr>
        <w:instrText xml:space="preserve"> ADDIN ZOTERO_ITEM CSL_CITATION {"citationID":"kN0BiNj1","properties":{"formattedCitation":"(Belluau et al., 2021)","plainCitation":"(Belluau et al., 2021)","noteIndex":0},"citationItems":[{"id":1676,"uris":["http://zotero.org/users/5451307/items/AS4RBHEQ"],"itemData":{"id":1676,"type":"article-journal","abstract":"Biodiversity effects on productivity and other ecosystem functions are strongly dependent on climate and resource availability. Based on the stress-gradient hypothesis, under conditions of greater abiotic stress, diversity effects on plant performance are intensified due to the increased relative importance of positive plant interactions. However, whether this hypothesis is consistently applicable in forest systems remains unclear. A field trial was established to test the stress-gradient hypothesis and examine diversity effects on above-ground biomass production of young trees in mixtures exposed to different water availability. Six native tree species of northern temperate forests (Acer saccharum, Betula papyrifera, Larix laricina, Picea glauca, Pinus strobus and Quercus rubra) were planted as monocultures and as mixtures of two, four and six species. For five growing seasons, four replicates of each community were exposed to conditions of either low- or high-water availability created by rainfall exclusion and weekly irrigation, respectively. Growth-years 4 and 5 were significantly different when the climatic water balance of the growing seasons was compared. We tested the effects of functional diversity on: (a) total growth of mixtures under low- and high-water availability, and (b) annual growth in years 4 (higher water availability, 2017) and 5 (lower water availability, 2018). Annual growth of most species in both years was greater under high- versus low-water availability. Functional diversity had a significant positive effect on total biomass production and annual growth, and this effect was more strongly expressed under high-water availability. Functional diversity effects on annual growth did not differ between years 4 and 5 regardless of their climatic water balance. Functional and species identity were key to understanding productivity responses to mixture and treatment effects. Synthesis. Contrary to the stress-gradient hypothesis, the positive effects of functional diversity on productivity were enhanced by high-water availability and were independent of seasonal water balance.","container-title":"Journal of Ecology","DOI":"10.1111/1365-2745.13602","ISSN":"1365-2745","issue":"4","language":"en","note":"_eprint: https://onlinelibrary.wiley.com/doi/pdf/10.1111/1365-2745.13602","page":"1790-1803","source":"Wiley Online Library","title":"Overyielding in young tree communities does not support the stress-gradient hypothesis and is favoured by functional diversity and higher water availability","volume":"109","author":[{"family":"Belluau","given":"Michaël"},{"family":"Vitali","given":"Valentina"},{"family":"Parker","given":"William C."},{"family":"Paquette","given":"Alain"},{"family":"Messier","given":"Christian"}],"issued":{"date-parts":[["2021"]]}}}],"schema":"https://github.com/citation-style-language/schema/raw/master/csl-citation.json"} </w:instrText>
      </w:r>
      <w:r w:rsidR="00582DBE">
        <w:rPr>
          <w:rFonts w:ascii="Times" w:eastAsia="Times" w:hAnsi="Times" w:cs="Times"/>
        </w:rPr>
        <w:fldChar w:fldCharType="separate"/>
      </w:r>
      <w:r w:rsidR="00582DBE" w:rsidRPr="00582DBE">
        <w:rPr>
          <w:rFonts w:ascii="Times" w:eastAsia="Times" w:hAnsi="Times"/>
        </w:rPr>
        <w:t xml:space="preserve">Belluau et al. </w:t>
      </w:r>
      <w:r w:rsidR="00582DBE">
        <w:rPr>
          <w:rFonts w:ascii="Times" w:eastAsia="Times" w:hAnsi="Times"/>
        </w:rPr>
        <w:t>(</w:t>
      </w:r>
      <w:r w:rsidR="00582DBE" w:rsidRPr="00582DBE">
        <w:rPr>
          <w:rFonts w:ascii="Times" w:eastAsia="Times" w:hAnsi="Times"/>
        </w:rPr>
        <w:t>2021)</w:t>
      </w:r>
      <w:r w:rsidR="00582DBE">
        <w:rPr>
          <w:rFonts w:ascii="Times" w:eastAsia="Times" w:hAnsi="Times" w:cs="Times"/>
        </w:rPr>
        <w:fldChar w:fldCharType="end"/>
      </w:r>
      <w:r w:rsidR="00582DBE">
        <w:rPr>
          <w:rFonts w:ascii="Times" w:eastAsia="Times" w:hAnsi="Times" w:cs="Times"/>
        </w:rPr>
        <w:t>.</w:t>
      </w:r>
    </w:p>
    <w:p w14:paraId="196FA45D" w14:textId="53B9F94B" w:rsidR="00A62843" w:rsidRPr="00BD65C7" w:rsidRDefault="00000000" w:rsidP="00976EA5">
      <w:pPr>
        <w:spacing w:after="120" w:line="360" w:lineRule="auto"/>
        <w:rPr>
          <w:rFonts w:ascii="Times" w:eastAsia="Times" w:hAnsi="Times" w:cs="Times"/>
          <w:b/>
          <w:i/>
        </w:rPr>
      </w:pPr>
      <w:r w:rsidRPr="00BD65C7">
        <w:rPr>
          <w:rFonts w:ascii="Times" w:eastAsia="Times" w:hAnsi="Times" w:cs="Times"/>
          <w:b/>
          <w:i/>
        </w:rPr>
        <w:t>1.2. RNA extraction, RNA-seq libraries synthesis and sequencing</w:t>
      </w:r>
    </w:p>
    <w:p w14:paraId="6B013490" w14:textId="77777777" w:rsidR="00A62843" w:rsidRPr="00BD65C7" w:rsidRDefault="00000000">
      <w:pPr>
        <w:spacing w:after="120" w:line="360" w:lineRule="auto"/>
        <w:rPr>
          <w:rFonts w:ascii="Times" w:eastAsia="Times" w:hAnsi="Times" w:cs="Times"/>
        </w:rPr>
      </w:pPr>
      <w:bookmarkStart w:id="6" w:name="_heading=h.hxubadj3z4az" w:colFirst="0" w:colLast="0"/>
      <w:bookmarkEnd w:id="6"/>
      <w:r w:rsidRPr="00BD65C7">
        <w:rPr>
          <w:rFonts w:ascii="Times" w:eastAsia="Times" w:hAnsi="Times" w:cs="Times"/>
        </w:rPr>
        <w:t xml:space="preserve">RNA was extracted by grinding 15 to 20 mg of tissue to a fine powder in liquid nitrogen and using Promega's </w:t>
      </w:r>
      <w:proofErr w:type="spellStart"/>
      <w:r w:rsidRPr="00BD65C7">
        <w:rPr>
          <w:rFonts w:ascii="Times" w:eastAsia="Times" w:hAnsi="Times" w:cs="Times"/>
        </w:rPr>
        <w:t>ReliaPrep</w:t>
      </w:r>
      <w:proofErr w:type="spellEnd"/>
      <w:r w:rsidRPr="00BD65C7">
        <w:rPr>
          <w:rFonts w:ascii="Times" w:eastAsia="Times" w:hAnsi="Times" w:cs="Times"/>
        </w:rPr>
        <w:t xml:space="preserve">™ RNA Tissue Miniprep System, which uses guanidine thiocyanate (GTC) and 1-thioglycerol. Total RNA concentration was determined using a </w:t>
      </w:r>
      <w:proofErr w:type="spellStart"/>
      <w:r w:rsidRPr="00BD65C7">
        <w:rPr>
          <w:rFonts w:ascii="Times" w:eastAsia="Times" w:hAnsi="Times" w:cs="Times"/>
        </w:rPr>
        <w:t>Thermo</w:t>
      </w:r>
      <w:proofErr w:type="spellEnd"/>
      <w:r w:rsidRPr="00BD65C7">
        <w:rPr>
          <w:rFonts w:ascii="Times" w:eastAsia="Times" w:hAnsi="Times" w:cs="Times"/>
        </w:rPr>
        <w:t xml:space="preserve"> Scientific™ </w:t>
      </w:r>
      <w:proofErr w:type="spellStart"/>
      <w:r w:rsidRPr="00BD65C7">
        <w:rPr>
          <w:rFonts w:ascii="Times" w:eastAsia="Times" w:hAnsi="Times" w:cs="Times"/>
        </w:rPr>
        <w:t>NanoDrop</w:t>
      </w:r>
      <w:proofErr w:type="spellEnd"/>
      <w:r w:rsidRPr="00BD65C7">
        <w:rPr>
          <w:rFonts w:ascii="Times" w:eastAsia="Times" w:hAnsi="Times" w:cs="Times"/>
        </w:rPr>
        <w:t xml:space="preserve">™ </w:t>
      </w:r>
      <w:proofErr w:type="spellStart"/>
      <w:r w:rsidRPr="00BD65C7">
        <w:rPr>
          <w:rFonts w:ascii="Times" w:eastAsia="Times" w:hAnsi="Times" w:cs="Times"/>
        </w:rPr>
        <w:t>OneC</w:t>
      </w:r>
      <w:proofErr w:type="spellEnd"/>
      <w:r w:rsidRPr="00BD65C7">
        <w:rPr>
          <w:rFonts w:ascii="Times" w:eastAsia="Times" w:hAnsi="Times" w:cs="Times"/>
        </w:rPr>
        <w:t xml:space="preserve"> (http://www.nanodrop.com/support) and stored at -70°C. The 16 samples with the best nucleic acid ratio (260/280 and 260/230) were selected for sequencing, providing 8 control samples and 8 stressed samples with good representation of the block design sampling. Quality assessment, RNA-seq libraries and sequencing were performed by the Genome Quebec Innovation Center at McGill University (Montreal, Quebec, Canada). Sequencing was performed on an Illumina NovaSeq6000 S4 sequencing lane (Pair End, 2x100pb). </w:t>
      </w:r>
    </w:p>
    <w:p w14:paraId="284A5BAB" w14:textId="63E2FE97" w:rsidR="00A62843" w:rsidRPr="00E87B15" w:rsidRDefault="00000000" w:rsidP="00976EA5">
      <w:pPr>
        <w:pStyle w:val="Titre2"/>
        <w:numPr>
          <w:ilvl w:val="0"/>
          <w:numId w:val="0"/>
        </w:numPr>
        <w:spacing w:after="240" w:line="360" w:lineRule="auto"/>
        <w:rPr>
          <w:rFonts w:ascii="Times" w:eastAsia="Times" w:hAnsi="Times" w:cs="Times"/>
        </w:rPr>
      </w:pPr>
      <w:bookmarkStart w:id="7" w:name="_heading=h.4cg86syzu90m" w:colFirst="0" w:colLast="0"/>
      <w:bookmarkEnd w:id="7"/>
      <w:r w:rsidRPr="00E87B15">
        <w:rPr>
          <w:rFonts w:ascii="Times" w:eastAsia="Times" w:hAnsi="Times" w:cs="Times"/>
        </w:rPr>
        <w:t>2</w:t>
      </w:r>
      <w:r w:rsidR="00976EA5">
        <w:rPr>
          <w:rFonts w:ascii="Times" w:eastAsia="Times" w:hAnsi="Times" w:cs="Times"/>
        </w:rPr>
        <w:t>.</w:t>
      </w:r>
      <w:r w:rsidRPr="00E87B15">
        <w:rPr>
          <w:rFonts w:ascii="Times" w:eastAsia="Times" w:hAnsi="Times" w:cs="Times"/>
        </w:rPr>
        <w:t xml:space="preserve">Experiment 2 </w:t>
      </w:r>
    </w:p>
    <w:p w14:paraId="47AB8391" w14:textId="57395627" w:rsidR="00A62843" w:rsidRPr="00E87B15" w:rsidRDefault="00000000" w:rsidP="00976EA5">
      <w:pPr>
        <w:pStyle w:val="Titre2"/>
        <w:numPr>
          <w:ilvl w:val="0"/>
          <w:numId w:val="0"/>
        </w:numPr>
        <w:spacing w:after="240" w:line="360" w:lineRule="auto"/>
        <w:rPr>
          <w:rFonts w:ascii="Times" w:eastAsia="Times" w:hAnsi="Times" w:cs="Times"/>
          <w:sz w:val="22"/>
          <w:szCs w:val="22"/>
        </w:rPr>
      </w:pPr>
      <w:r w:rsidRPr="00E87B15">
        <w:rPr>
          <w:rFonts w:ascii="Times" w:eastAsia="Times" w:hAnsi="Times" w:cs="Times"/>
          <w:i/>
        </w:rPr>
        <w:t xml:space="preserve">2.1. Plant </w:t>
      </w:r>
      <w:proofErr w:type="gramStart"/>
      <w:r w:rsidRPr="00E87B15">
        <w:rPr>
          <w:rFonts w:ascii="Times" w:eastAsia="Times" w:hAnsi="Times" w:cs="Times"/>
          <w:i/>
        </w:rPr>
        <w:t>material</w:t>
      </w:r>
      <w:proofErr w:type="gramEnd"/>
    </w:p>
    <w:p w14:paraId="19E3205A" w14:textId="1E668729" w:rsidR="00A62843" w:rsidRPr="00BD65C7" w:rsidRDefault="00000000">
      <w:pPr>
        <w:keepLines/>
        <w:spacing w:line="360" w:lineRule="auto"/>
        <w:rPr>
          <w:rFonts w:ascii="Times" w:eastAsia="Times" w:hAnsi="Times" w:cs="Times"/>
        </w:rPr>
      </w:pPr>
      <w:r w:rsidRPr="00BD65C7">
        <w:rPr>
          <w:rFonts w:ascii="Times" w:eastAsia="Times" w:hAnsi="Times" w:cs="Times"/>
        </w:rPr>
        <w:lastRenderedPageBreak/>
        <w:t>Four-year-old white spruce seedlings were placed in a greenhouse in Chicoutimi, Canada, in the spring of 2015 and exposed to control and defoliation treatments by spruce budworms (</w:t>
      </w:r>
      <w:proofErr w:type="spellStart"/>
      <w:r w:rsidRPr="00BD65C7">
        <w:rPr>
          <w:rFonts w:ascii="Times" w:eastAsia="Times" w:hAnsi="Times" w:cs="Times"/>
          <w:i/>
        </w:rPr>
        <w:t>Choristoneura</w:t>
      </w:r>
      <w:proofErr w:type="spellEnd"/>
      <w:r w:rsidRPr="00BD65C7">
        <w:rPr>
          <w:rFonts w:ascii="Times" w:eastAsia="Times" w:hAnsi="Times" w:cs="Times"/>
          <w:i/>
        </w:rPr>
        <w:t xml:space="preserve"> </w:t>
      </w:r>
      <w:proofErr w:type="spellStart"/>
      <w:r w:rsidRPr="00BD65C7">
        <w:rPr>
          <w:rFonts w:ascii="Times" w:eastAsia="Times" w:hAnsi="Times" w:cs="Times"/>
          <w:i/>
        </w:rPr>
        <w:t>fumiferana</w:t>
      </w:r>
      <w:proofErr w:type="spellEnd"/>
      <w:r w:rsidRPr="00BD65C7">
        <w:rPr>
          <w:rFonts w:ascii="Times" w:eastAsia="Times" w:hAnsi="Times" w:cs="Times"/>
        </w:rPr>
        <w:t>). A total of 47 plants were used as either controls (n = 30) or defoliated treatments (n = 17). For the defoliation treatment, 60 second-stage larval spruce budworms (</w:t>
      </w:r>
      <w:proofErr w:type="spellStart"/>
      <w:r w:rsidRPr="00BD65C7">
        <w:rPr>
          <w:rFonts w:ascii="Times" w:eastAsia="Times" w:hAnsi="Times" w:cs="Times"/>
          <w:i/>
        </w:rPr>
        <w:t>Choristoneura</w:t>
      </w:r>
      <w:proofErr w:type="spellEnd"/>
      <w:r w:rsidRPr="00BD65C7">
        <w:rPr>
          <w:rFonts w:ascii="Times" w:eastAsia="Times" w:hAnsi="Times" w:cs="Times"/>
          <w:i/>
        </w:rPr>
        <w:t xml:space="preserve"> </w:t>
      </w:r>
      <w:proofErr w:type="spellStart"/>
      <w:r w:rsidRPr="00BD65C7">
        <w:rPr>
          <w:rFonts w:ascii="Times" w:eastAsia="Times" w:hAnsi="Times" w:cs="Times"/>
          <w:i/>
        </w:rPr>
        <w:t>fumiferana</w:t>
      </w:r>
      <w:proofErr w:type="spellEnd"/>
      <w:r w:rsidRPr="00BD65C7">
        <w:rPr>
          <w:rFonts w:ascii="Times" w:eastAsia="Times" w:hAnsi="Times" w:cs="Times"/>
        </w:rPr>
        <w:t xml:space="preserve">) were placed on each sapling (see Deslauriers et al. 2019 for details). Foliage of the year was then sampled six and four times for control and defoliation treatment saplings, respectively, between days 154 and 258 of the year (no foliage of the year remained for the defoliation treatment in the last two samplings). Foliage samples were frozen in liquid nitrogen immediately after removal from the trees and stored at -80°C. Needles were ground to powder using a </w:t>
      </w:r>
      <w:proofErr w:type="spellStart"/>
      <w:r w:rsidRPr="00BD65C7">
        <w:rPr>
          <w:rFonts w:ascii="Times" w:eastAsia="Times" w:hAnsi="Times" w:cs="Times"/>
        </w:rPr>
        <w:t>MixerMill</w:t>
      </w:r>
      <w:proofErr w:type="spellEnd"/>
      <w:r w:rsidRPr="00BD65C7">
        <w:rPr>
          <w:rFonts w:ascii="Times" w:eastAsia="Times" w:hAnsi="Times" w:cs="Times"/>
        </w:rPr>
        <w:t xml:space="preserve"> 300 (</w:t>
      </w:r>
      <w:proofErr w:type="spellStart"/>
      <w:r w:rsidRPr="00BD65C7">
        <w:rPr>
          <w:rFonts w:ascii="Times" w:eastAsia="Times" w:hAnsi="Times" w:cs="Times"/>
        </w:rPr>
        <w:t>Retsch</w:t>
      </w:r>
      <w:proofErr w:type="spellEnd"/>
      <w:r w:rsidRPr="00BD65C7">
        <w:rPr>
          <w:rFonts w:ascii="Times" w:eastAsia="Times" w:hAnsi="Times" w:cs="Times"/>
        </w:rPr>
        <w:t xml:space="preserve">. http://www.retsch.com/) and nitrogen-cooled steel grinding balls. Powdered foliage tissue was stored at -80°C until RNA extraction. Further details of the experiment can be found in the methods of </w:t>
      </w:r>
      <w:r w:rsidR="00582DBE">
        <w:rPr>
          <w:rFonts w:ascii="Times" w:eastAsia="Times" w:hAnsi="Times" w:cs="Times"/>
        </w:rPr>
        <w:fldChar w:fldCharType="begin"/>
      </w:r>
      <w:r w:rsidR="00582DBE">
        <w:rPr>
          <w:rFonts w:ascii="Times" w:eastAsia="Times" w:hAnsi="Times" w:cs="Times"/>
        </w:rPr>
        <w:instrText xml:space="preserve"> ADDIN ZOTERO_ITEM CSL_CITATION {"citationID":"iMJDpjik","properties":{"formattedCitation":"(Stival Sena et al., 2018)","plainCitation":"(Stival Sena et al., 2018)","noteIndex":0},"citationItems":[{"id":1355,"uris":["http://zotero.org/users/5451307/items/KPGG2V8U"],"itemData":{"id":1355,"type":"article-journal","abstract":"Temperatures are expected to increase over the next century in all terrestrial biomes and particularly in boreal forests, where drought-induced mortality has been predicted to rise. Genomics research is helping to develop hypotheses regarding the molecular basis of drought tolerance and recent work proposed that the osmo-protecting dehydrin proteins have undergone a cladespeciﬁc expansion in the Pinaceae, a major group of conifer trees. The objectives of this study were to identify all of the putative members of the gene family, trace their evolutionary origin, examine their structural diversity and test for drought-responsive expression. We identiﬁed 41 complete dehydrin coding sequences in Picea glauca, which is four times more than most angiosperms studied to date, and more than in pines. Phylogenetic reconstructions indicated that the family has undergone an expansion in conifers, with parallel evolution implicating the sporadic resurgence of certain amino acid sequence motifs, and a major duplication giving rise to a clade speciﬁc to the Pinaceae. A variety of plant dehydrin structures were identiﬁed with variable numbers of the A-, E-, S- and K-segments and an N-terminal (N1) amino acid motif including assemblages speciﬁc to conifers. The expression of several of the spruce dehydrins was tissue preferential under non-stressful conditions or responded to water stress after 7–18 days without watering, reﬂecting changes in osmotic potential. We found that dehydrins with N1 K2 and N1 AESK2 sequences were the most responsive to the lack of water. Together, the family expansion, drought-responsive expression and structural diversiﬁcation involving loss and gain of amino acid motifs suggests that subfunctionalization has driven the diversiﬁcation seen among dehydrin gene duplicates. Our ﬁndings clearly indicate that dehydrins represent a large family of candidate genes for drought tolerance in spruces and in other Pinaceae that may underpin adaptability in spatially and temporally variable environments.","container-title":"Tree Physiology","DOI":"10.1093/treephys/tpx125","ISSN":"1758-4469","issue":"3","language":"en","page":"442-456","source":"DOI.org (Crossref)","title":"Expansion of the dehydrin gene family in the Pinaceae is associated with considerable structural diversity and drought-responsive expression","volume":"38","author":[{"family":"Stival Sena","given":"Juliana"},{"family":"Giguère","given":"Isabelle"},{"family":"Rigault","given":"Philippe"},{"family":"Bousquet","given":"Jean"},{"family":"Mackay","given":"John"}],"issued":{"date-parts":[["2018",3,1]]}}}],"schema":"https://github.com/citation-style-language/schema/raw/master/csl-citation.json"} </w:instrText>
      </w:r>
      <w:r w:rsidR="00582DBE">
        <w:rPr>
          <w:rFonts w:ascii="Times" w:eastAsia="Times" w:hAnsi="Times" w:cs="Times"/>
        </w:rPr>
        <w:fldChar w:fldCharType="separate"/>
      </w:r>
      <w:r w:rsidR="00582DBE" w:rsidRPr="00582DBE">
        <w:rPr>
          <w:rFonts w:ascii="Times" w:eastAsia="Times" w:hAnsi="Times"/>
        </w:rPr>
        <w:t xml:space="preserve">(Stival Sena et al. </w:t>
      </w:r>
      <w:r w:rsidR="00582DBE">
        <w:rPr>
          <w:rFonts w:ascii="Times" w:eastAsia="Times" w:hAnsi="Times"/>
        </w:rPr>
        <w:t>(</w:t>
      </w:r>
      <w:r w:rsidR="00582DBE" w:rsidRPr="00582DBE">
        <w:rPr>
          <w:rFonts w:ascii="Times" w:eastAsia="Times" w:hAnsi="Times"/>
        </w:rPr>
        <w:t>2018)</w:t>
      </w:r>
      <w:r w:rsidR="00582DBE">
        <w:rPr>
          <w:rFonts w:ascii="Times" w:eastAsia="Times" w:hAnsi="Times" w:cs="Times"/>
        </w:rPr>
        <w:fldChar w:fldCharType="end"/>
      </w:r>
      <w:r w:rsidRPr="00BD65C7">
        <w:rPr>
          <w:rFonts w:ascii="Times" w:eastAsia="Times" w:hAnsi="Times" w:cs="Times"/>
        </w:rPr>
        <w:t>.</w:t>
      </w:r>
    </w:p>
    <w:p w14:paraId="395CEBE5" w14:textId="36E8AF12" w:rsidR="00A62843" w:rsidRPr="00BD65C7" w:rsidRDefault="00000000" w:rsidP="00976EA5">
      <w:pPr>
        <w:keepLines/>
        <w:spacing w:after="120" w:line="360" w:lineRule="auto"/>
        <w:rPr>
          <w:rFonts w:ascii="Times" w:eastAsia="Times" w:hAnsi="Times" w:cs="Times"/>
        </w:rPr>
      </w:pPr>
      <w:r w:rsidRPr="00BD65C7">
        <w:rPr>
          <w:rFonts w:ascii="Times" w:eastAsia="Times" w:hAnsi="Times" w:cs="Times"/>
          <w:b/>
          <w:i/>
        </w:rPr>
        <w:t>2.2. RNA extraction, cDNA preparation and sequencing</w:t>
      </w:r>
    </w:p>
    <w:p w14:paraId="3CD289CE" w14:textId="77777777" w:rsidR="00A62843" w:rsidRPr="00BD65C7" w:rsidRDefault="00000000">
      <w:pPr>
        <w:spacing w:after="120" w:line="360" w:lineRule="auto"/>
        <w:rPr>
          <w:rFonts w:ascii="Times" w:eastAsia="Times" w:hAnsi="Times" w:cs="Times"/>
        </w:rPr>
      </w:pPr>
      <w:r w:rsidRPr="00BD65C7">
        <w:rPr>
          <w:rFonts w:ascii="Times" w:eastAsia="Times" w:hAnsi="Times" w:cs="Times"/>
        </w:rPr>
        <w:t xml:space="preserve">RNA extraction and cDNA preparation conditions were performed as described by </w:t>
      </w:r>
      <w:proofErr w:type="spellStart"/>
      <w:r w:rsidRPr="00BD65C7">
        <w:rPr>
          <w:rFonts w:ascii="Times" w:eastAsia="Times" w:hAnsi="Times" w:cs="Times"/>
        </w:rPr>
        <w:t>Stival</w:t>
      </w:r>
      <w:proofErr w:type="spellEnd"/>
      <w:r w:rsidRPr="00BD65C7">
        <w:rPr>
          <w:rFonts w:ascii="Times" w:eastAsia="Times" w:hAnsi="Times" w:cs="Times"/>
        </w:rPr>
        <w:t xml:space="preserve"> Sena et al. (2018). 500 ng of RNA per sample was used to synthesize mRNA libraries using the </w:t>
      </w:r>
      <w:proofErr w:type="spellStart"/>
      <w:r w:rsidRPr="00BD65C7">
        <w:rPr>
          <w:rFonts w:ascii="Times" w:eastAsia="Times" w:hAnsi="Times" w:cs="Times"/>
        </w:rPr>
        <w:t>TruSeq</w:t>
      </w:r>
      <w:proofErr w:type="spellEnd"/>
      <w:r w:rsidRPr="00BD65C7">
        <w:rPr>
          <w:rFonts w:ascii="Times" w:eastAsia="Times" w:hAnsi="Times" w:cs="Times"/>
        </w:rPr>
        <w:t xml:space="preserve">® Stranded mRNA Kit (Illumina Canada Inc., Victoria, BC, Canada), following the manufacturer's protocol with a few modifications. First, custom adapters compatible with the Illumina technology were synthesized (IDT, Coralville, IA, USA) and their concentration was halved at 25 </w:t>
      </w:r>
      <w:proofErr w:type="spellStart"/>
      <w:r w:rsidRPr="00BD65C7">
        <w:rPr>
          <w:rFonts w:ascii="Times" w:eastAsia="Times" w:hAnsi="Times" w:cs="Times"/>
        </w:rPr>
        <w:t>nM</w:t>
      </w:r>
      <w:proofErr w:type="spellEnd"/>
      <w:r w:rsidRPr="00BD65C7">
        <w:rPr>
          <w:rFonts w:ascii="Times" w:eastAsia="Times" w:hAnsi="Times" w:cs="Times"/>
        </w:rPr>
        <w:t xml:space="preserve"> per reaction to avoid adapter dimer molecules, and Tris-NaCl (10 </w:t>
      </w:r>
      <w:proofErr w:type="spellStart"/>
      <w:r w:rsidRPr="00BD65C7">
        <w:rPr>
          <w:rFonts w:ascii="Times" w:eastAsia="Times" w:hAnsi="Times" w:cs="Times"/>
        </w:rPr>
        <w:t>mM.</w:t>
      </w:r>
      <w:proofErr w:type="spellEnd"/>
      <w:r w:rsidRPr="00BD65C7">
        <w:rPr>
          <w:rFonts w:ascii="Times" w:eastAsia="Times" w:hAnsi="Times" w:cs="Times"/>
        </w:rPr>
        <w:t xml:space="preserve"> 50 mM) was used at 25 </w:t>
      </w:r>
      <w:proofErr w:type="spellStart"/>
      <w:r w:rsidRPr="00BD65C7">
        <w:rPr>
          <w:rFonts w:ascii="Times" w:eastAsia="Times" w:hAnsi="Times" w:cs="Times"/>
        </w:rPr>
        <w:t>nM</w:t>
      </w:r>
      <w:proofErr w:type="spellEnd"/>
      <w:r w:rsidRPr="00BD65C7">
        <w:rPr>
          <w:rFonts w:ascii="Times" w:eastAsia="Times" w:hAnsi="Times" w:cs="Times"/>
        </w:rPr>
        <w:t xml:space="preserve"> to complete the volume. Second, strand synthesis, label clean-up and library amplification clean-up were performed using the </w:t>
      </w:r>
      <w:proofErr w:type="spellStart"/>
      <w:r w:rsidRPr="00BD65C7">
        <w:rPr>
          <w:rFonts w:ascii="Times" w:eastAsia="Times" w:hAnsi="Times" w:cs="Times"/>
        </w:rPr>
        <w:t>Axygen</w:t>
      </w:r>
      <w:proofErr w:type="spellEnd"/>
      <w:r w:rsidRPr="00BD65C7">
        <w:rPr>
          <w:rFonts w:ascii="Times" w:eastAsia="Times" w:hAnsi="Times" w:cs="Times"/>
        </w:rPr>
        <w:t xml:space="preserve">® </w:t>
      </w:r>
      <w:proofErr w:type="spellStart"/>
      <w:r w:rsidRPr="00BD65C7">
        <w:rPr>
          <w:rFonts w:ascii="Times" w:eastAsia="Times" w:hAnsi="Times" w:cs="Times"/>
        </w:rPr>
        <w:t>AxyPrep</w:t>
      </w:r>
      <w:proofErr w:type="spellEnd"/>
      <w:r w:rsidRPr="00BD65C7">
        <w:rPr>
          <w:rFonts w:ascii="Times" w:eastAsia="Times" w:hAnsi="Times" w:cs="Times"/>
        </w:rPr>
        <w:t>™ Mag PCR Clean-Up Kit (</w:t>
      </w:r>
      <w:proofErr w:type="spellStart"/>
      <w:r w:rsidRPr="00BD65C7">
        <w:rPr>
          <w:rFonts w:ascii="Times" w:eastAsia="Times" w:hAnsi="Times" w:cs="Times"/>
        </w:rPr>
        <w:t>Axygen</w:t>
      </w:r>
      <w:proofErr w:type="spellEnd"/>
      <w:r w:rsidRPr="00BD65C7">
        <w:rPr>
          <w:rFonts w:ascii="Times" w:eastAsia="Times" w:hAnsi="Times" w:cs="Times"/>
        </w:rPr>
        <w:t xml:space="preserve"> Biosciences, Union City, CA, USA), while post-ligation clean-up was performed using a 0.85 ratio of PEG/NaCl SPRI® solution on beads containing adapter-ligated DNA. Quantification of each library was determined using a Nanodrop ND-1000 (</w:t>
      </w:r>
      <w:proofErr w:type="spellStart"/>
      <w:r w:rsidRPr="00BD65C7">
        <w:rPr>
          <w:rFonts w:ascii="Times" w:eastAsia="Times" w:hAnsi="Times" w:cs="Times"/>
        </w:rPr>
        <w:t>Thermo</w:t>
      </w:r>
      <w:proofErr w:type="spellEnd"/>
      <w:r w:rsidRPr="00BD65C7">
        <w:rPr>
          <w:rFonts w:ascii="Times" w:eastAsia="Times" w:hAnsi="Times" w:cs="Times"/>
        </w:rPr>
        <w:t xml:space="preserve"> Scientific, Wilmington, DE, USA), and library fragment size distribution and absence of dimer molecules were verified using an Agilent Bioanalyzer 2100 with High Sensitivity DNA Chips (Agilent Technologies Inc., Santa Clara, CA, USA).</w:t>
      </w:r>
    </w:p>
    <w:p w14:paraId="73FD86F7" w14:textId="6E931EE1" w:rsidR="00A62843" w:rsidRPr="00BD65C7" w:rsidRDefault="00000000">
      <w:pPr>
        <w:spacing w:after="120" w:line="360" w:lineRule="auto"/>
        <w:rPr>
          <w:rFonts w:ascii="Times" w:eastAsia="Times" w:hAnsi="Times" w:cs="Times"/>
        </w:rPr>
      </w:pPr>
      <w:r w:rsidRPr="00BD65C7">
        <w:rPr>
          <w:rFonts w:ascii="Times" w:eastAsia="Times" w:hAnsi="Times" w:cs="Times"/>
        </w:rPr>
        <w:t xml:space="preserve">Six pools of 19 libraries at equimolar concentration (114 libraries in total) were prepared and purified according to the library amplification cleanup protocol described in the library preparation protocol. The libraries included in these pools were the 47 white spruce libraries for this publication, and 66 libraries for the rest of the experiment with black spruce or balsam fir (see </w:t>
      </w:r>
      <w:r w:rsidR="00582DBE">
        <w:rPr>
          <w:rFonts w:ascii="Times" w:eastAsia="Times" w:hAnsi="Times" w:cs="Times"/>
        </w:rPr>
        <w:fldChar w:fldCharType="begin"/>
      </w:r>
      <w:r w:rsidR="00582DBE">
        <w:rPr>
          <w:rFonts w:ascii="Times" w:eastAsia="Times" w:hAnsi="Times" w:cs="Times"/>
        </w:rPr>
        <w:instrText xml:space="preserve"> ADDIN ZOTERO_ITEM CSL_CITATION {"citationID":"vJCpzmCh","properties":{"formattedCitation":"(Deslauriers et al., 2019)","plainCitation":"(Deslauriers et al., 2019)","noteIndex":0},"citationItems":[{"id":1638,"uris":["http://zotero.org/users/5451307/items/3QC9YS9N"],"itemData":{"id":1638,"type":"article-journal","abstract":"Synchrony between host budburst and insect emergence greatly influences the time window for insect development and survival. A few alterations of bud phenology have been reported under defoliation without clear consensus regarding the direction of effects, i.e., advance or delay. Here, we compared budburst phenology between conifers in defoliation and control treatments, and measured carbon allocation as a potential mechanistic explanation of changes in phenology. In a 2-year greenhouse experiment, saplings of balsam fir, black spruce and white spruce of two different provenances (north and south) were subjected to either control (no larvae) or natural defoliation treatment (larvae added) by spruce budworm. Bud and instar phenology, primary and secondary growth, defoliation and non-structural carbohydrates were studied during the growing season. No differences were observed in bud phenology during the first year of defoliation. After 1 year of defoliation, bud phenology advanced by 6–7 days in black spruce and balsam fir and by 3.5 days in white spruce compared with the control. Because of this earlier bud break, apical and shoot growth exceeded 50% of its final length before mature instar defoliation occurred, which decreased the overall level of damage. A sugar-mediated response, via earlier starch breakdown, and higher sugar availability to buds explains the advanced budburst in defoliated saplings. The advanced phenological response to defoliation was consistent across the conifer species and provenances except for one species × provenance combination. Allocation of carbon to buds and shoots growth at the expense of wood growth in the stem and reserve accumulation represents a shift in the physiological resources priorities to ensure tree survival. This advancement in bud phenology could be considered as a physiological response to defoliation based on carbohydrate needs for primary growth, rather than a resistance trait to spruce budworm.","container-title":"Tree Physiology","DOI":"10.1093/treephys/tpy135","ISSN":"1758-4469","issue":"4","journalAbbreviation":"Tree Physiology","page":"590-605","source":"Silverchair","title":"Phenological shifts in conifer species stressed by spruce budworm defoliation","volume":"39","author":[{"family":"Deslauriers","given":"Annie"},{"family":"Fournier","given":"Marie-Pier"},{"family":"Cartenì","given":"Fabrizio"},{"family":"Mackay","given":"John"}],"issued":{"date-parts":[["2019",4,1]]}}}],"schema":"https://github.com/citation-style-language/schema/raw/master/csl-citation.json"} </w:instrText>
      </w:r>
      <w:r w:rsidR="00582DBE">
        <w:rPr>
          <w:rFonts w:ascii="Times" w:eastAsia="Times" w:hAnsi="Times" w:cs="Times"/>
        </w:rPr>
        <w:fldChar w:fldCharType="separate"/>
      </w:r>
      <w:r w:rsidR="00582DBE" w:rsidRPr="00582DBE">
        <w:rPr>
          <w:rFonts w:ascii="Times" w:eastAsia="Times" w:hAnsi="Times"/>
        </w:rPr>
        <w:t>Deslauriers et al.</w:t>
      </w:r>
      <w:r w:rsidR="00582DBE">
        <w:rPr>
          <w:rFonts w:ascii="Times" w:eastAsia="Times" w:hAnsi="Times"/>
        </w:rPr>
        <w:t xml:space="preserve"> (</w:t>
      </w:r>
      <w:r w:rsidR="00582DBE" w:rsidRPr="00582DBE">
        <w:rPr>
          <w:rFonts w:ascii="Times" w:eastAsia="Times" w:hAnsi="Times"/>
        </w:rPr>
        <w:t>2019)</w:t>
      </w:r>
      <w:r w:rsidR="00582DBE">
        <w:rPr>
          <w:rFonts w:ascii="Times" w:eastAsia="Times" w:hAnsi="Times" w:cs="Times"/>
        </w:rPr>
        <w:fldChar w:fldCharType="end"/>
      </w:r>
      <w:r w:rsidR="00582DBE">
        <w:rPr>
          <w:rFonts w:ascii="Times" w:eastAsia="Times" w:hAnsi="Times" w:cs="Times"/>
        </w:rPr>
        <w:t xml:space="preserve"> </w:t>
      </w:r>
      <w:r w:rsidRPr="00BD65C7">
        <w:rPr>
          <w:rFonts w:ascii="Times" w:eastAsia="Times" w:hAnsi="Times" w:cs="Times"/>
        </w:rPr>
        <w:t xml:space="preserve">for a description of the full experiment). The concentration and fragment size distribution of the pools </w:t>
      </w:r>
      <w:r w:rsidRPr="00BD65C7">
        <w:rPr>
          <w:rFonts w:ascii="Times" w:eastAsia="Times" w:hAnsi="Times" w:cs="Times"/>
        </w:rPr>
        <w:lastRenderedPageBreak/>
        <w:t xml:space="preserve">were evaluated using a Nanodrop ND1000 and an Agilent Bioanalyzer 2100, respectively. The six pools were sequenced at the Genome Quebec Innovation Centre at McGill University (Montreal, Quebec, Canada) on an Illumina </w:t>
      </w:r>
      <w:proofErr w:type="spellStart"/>
      <w:r w:rsidRPr="00BD65C7">
        <w:rPr>
          <w:rFonts w:ascii="Times" w:eastAsia="Times" w:hAnsi="Times" w:cs="Times"/>
        </w:rPr>
        <w:t>HiSeq</w:t>
      </w:r>
      <w:proofErr w:type="spellEnd"/>
      <w:r w:rsidRPr="00BD65C7">
        <w:rPr>
          <w:rFonts w:ascii="Times" w:eastAsia="Times" w:hAnsi="Times" w:cs="Times"/>
        </w:rPr>
        <w:t xml:space="preserve"> 2500 sequencing system (2 × 250 bp), one pool per run.</w:t>
      </w:r>
    </w:p>
    <w:p w14:paraId="602F977B" w14:textId="03D26CE3" w:rsidR="00A62843" w:rsidRPr="00BD65C7" w:rsidRDefault="00000000" w:rsidP="00976EA5">
      <w:pPr>
        <w:spacing w:after="120" w:line="360" w:lineRule="auto"/>
        <w:rPr>
          <w:rFonts w:ascii="Times" w:eastAsia="Times" w:hAnsi="Times" w:cs="Times"/>
          <w:b/>
        </w:rPr>
      </w:pPr>
      <w:r w:rsidRPr="00BD65C7">
        <w:rPr>
          <w:rFonts w:ascii="Times" w:eastAsia="Times" w:hAnsi="Times" w:cs="Times"/>
          <w:b/>
        </w:rPr>
        <w:t>3. Experience 3</w:t>
      </w:r>
    </w:p>
    <w:p w14:paraId="1CD33D4D" w14:textId="77777777" w:rsidR="00A62843" w:rsidRPr="00BD65C7" w:rsidRDefault="00000000">
      <w:pPr>
        <w:spacing w:after="120" w:line="360" w:lineRule="auto"/>
        <w:rPr>
          <w:rFonts w:ascii="Times" w:eastAsia="Times" w:hAnsi="Times" w:cs="Times"/>
        </w:rPr>
      </w:pPr>
      <w:r w:rsidRPr="00BD65C7">
        <w:rPr>
          <w:rFonts w:ascii="Times" w:eastAsia="Times" w:hAnsi="Times" w:cs="Times"/>
        </w:rPr>
        <w:t xml:space="preserve">This experiment was carried out as described by </w:t>
      </w:r>
      <w:proofErr w:type="spellStart"/>
      <w:r w:rsidRPr="00BD65C7">
        <w:rPr>
          <w:rFonts w:ascii="Times" w:eastAsia="Times" w:hAnsi="Times" w:cs="Times"/>
        </w:rPr>
        <w:t>Stival</w:t>
      </w:r>
      <w:proofErr w:type="spellEnd"/>
      <w:r w:rsidRPr="00BD65C7">
        <w:rPr>
          <w:rFonts w:ascii="Times" w:eastAsia="Times" w:hAnsi="Times" w:cs="Times"/>
        </w:rPr>
        <w:t xml:space="preserve"> Sena </w:t>
      </w:r>
      <w:r w:rsidRPr="00BD65C7">
        <w:rPr>
          <w:rFonts w:ascii="Times" w:eastAsia="Times" w:hAnsi="Times" w:cs="Times"/>
          <w:i/>
        </w:rPr>
        <w:t>et al</w:t>
      </w:r>
      <w:r w:rsidRPr="00BD65C7">
        <w:rPr>
          <w:rFonts w:ascii="Times" w:eastAsia="Times" w:hAnsi="Times" w:cs="Times"/>
        </w:rPr>
        <w:t xml:space="preserve">. (2018). Samples from this experiment were used to perform transcriptome assembly (n=3 stressed and n=3 control) and for the transcriptomic analysis presented in this study (n=16). </w:t>
      </w:r>
    </w:p>
    <w:p w14:paraId="6EE370DC" w14:textId="30BFFDFF" w:rsidR="00A62843" w:rsidRPr="00BD65C7" w:rsidRDefault="00000000" w:rsidP="00976EA5">
      <w:pPr>
        <w:pStyle w:val="Titre3"/>
        <w:numPr>
          <w:ilvl w:val="0"/>
          <w:numId w:val="0"/>
        </w:numPr>
        <w:spacing w:before="120" w:line="360" w:lineRule="auto"/>
        <w:rPr>
          <w:rFonts w:ascii="Times" w:eastAsia="Times" w:hAnsi="Times" w:cs="Times"/>
          <w:i/>
        </w:rPr>
      </w:pPr>
      <w:r w:rsidRPr="00BD65C7">
        <w:rPr>
          <w:rFonts w:ascii="Times" w:eastAsia="Times" w:hAnsi="Times" w:cs="Times"/>
          <w:i/>
        </w:rPr>
        <w:t xml:space="preserve">3.1. Plant </w:t>
      </w:r>
      <w:proofErr w:type="gramStart"/>
      <w:r w:rsidRPr="00BD65C7">
        <w:rPr>
          <w:rFonts w:ascii="Times" w:eastAsia="Times" w:hAnsi="Times" w:cs="Times"/>
          <w:i/>
        </w:rPr>
        <w:t>material</w:t>
      </w:r>
      <w:proofErr w:type="gramEnd"/>
    </w:p>
    <w:p w14:paraId="266DA97A" w14:textId="77777777" w:rsidR="00A62843" w:rsidRPr="00BD65C7" w:rsidRDefault="00000000">
      <w:pPr>
        <w:spacing w:after="120" w:line="360" w:lineRule="auto"/>
        <w:rPr>
          <w:rFonts w:ascii="Times" w:eastAsia="Times" w:hAnsi="Times" w:cs="Times"/>
        </w:rPr>
      </w:pPr>
      <w:r w:rsidRPr="00BD65C7">
        <w:rPr>
          <w:rFonts w:ascii="Times" w:eastAsia="Times" w:hAnsi="Times" w:cs="Times"/>
        </w:rPr>
        <w:t xml:space="preserve">Young trees from three genetically unrelated </w:t>
      </w:r>
      <w:r w:rsidRPr="00BD65C7">
        <w:rPr>
          <w:rFonts w:ascii="Times" w:eastAsia="Times" w:hAnsi="Times" w:cs="Times"/>
          <w:i/>
        </w:rPr>
        <w:t>Picea glauca</w:t>
      </w:r>
      <w:r w:rsidRPr="00BD65C7">
        <w:rPr>
          <w:rFonts w:ascii="Times" w:eastAsia="Times" w:hAnsi="Times" w:cs="Times"/>
        </w:rPr>
        <w:t xml:space="preserve"> clones (8, 11, and 95), propagated in vitro by somatic embryogenesis and grown in containers for 2 years, were used. Two replicates were grown under two conditions (well-watered control and drought without watering) and foliage was sampled at five time points (0, 7, 14, 18, and 22 days) from the start of the treatments. Five plants per clone (replicates) in both irrigation treatments were sampled at each sampling time point (150 plants in total). Foliage samples were frozen in liquid nitrogen immediately after removal from the trees and stored at -80°C. Needles were ground to powder using a </w:t>
      </w:r>
      <w:proofErr w:type="spellStart"/>
      <w:r w:rsidRPr="00BD65C7">
        <w:rPr>
          <w:rFonts w:ascii="Times" w:eastAsia="Times" w:hAnsi="Times" w:cs="Times"/>
        </w:rPr>
        <w:t>MixerMill</w:t>
      </w:r>
      <w:proofErr w:type="spellEnd"/>
      <w:r w:rsidRPr="00BD65C7">
        <w:rPr>
          <w:rFonts w:ascii="Times" w:eastAsia="Times" w:hAnsi="Times" w:cs="Times"/>
        </w:rPr>
        <w:t xml:space="preserve"> 300 (</w:t>
      </w:r>
      <w:proofErr w:type="spellStart"/>
      <w:r w:rsidRPr="00BD65C7">
        <w:rPr>
          <w:rFonts w:ascii="Times" w:eastAsia="Times" w:hAnsi="Times" w:cs="Times"/>
        </w:rPr>
        <w:t>Retsch</w:t>
      </w:r>
      <w:proofErr w:type="spellEnd"/>
      <w:r w:rsidRPr="00BD65C7">
        <w:rPr>
          <w:rFonts w:ascii="Times" w:eastAsia="Times" w:hAnsi="Times" w:cs="Times"/>
        </w:rPr>
        <w:t xml:space="preserve">. http://www.retsch.com/) and nitrogen-cooled steel grinding balls. Powdered foliage tissue was stored at -80°C until RNA extraction. Further details of the experiment can be found in the methods of </w:t>
      </w:r>
      <w:proofErr w:type="spellStart"/>
      <w:r w:rsidRPr="00BD65C7">
        <w:rPr>
          <w:rFonts w:ascii="Times" w:eastAsia="Times" w:hAnsi="Times" w:cs="Times"/>
        </w:rPr>
        <w:t>Stival</w:t>
      </w:r>
      <w:proofErr w:type="spellEnd"/>
      <w:r w:rsidRPr="00BD65C7">
        <w:rPr>
          <w:rFonts w:ascii="Times" w:eastAsia="Times" w:hAnsi="Times" w:cs="Times"/>
        </w:rPr>
        <w:t xml:space="preserve"> Sena </w:t>
      </w:r>
      <w:r w:rsidRPr="00BD65C7">
        <w:rPr>
          <w:rFonts w:ascii="Times" w:eastAsia="Times" w:hAnsi="Times" w:cs="Times"/>
          <w:i/>
        </w:rPr>
        <w:t>et al</w:t>
      </w:r>
      <w:r w:rsidRPr="00BD65C7">
        <w:rPr>
          <w:rFonts w:ascii="Times" w:eastAsia="Times" w:hAnsi="Times" w:cs="Times"/>
        </w:rPr>
        <w:t>. (2018).</w:t>
      </w:r>
    </w:p>
    <w:p w14:paraId="580B630B" w14:textId="590C854C" w:rsidR="00A62843" w:rsidRPr="00BD65C7" w:rsidRDefault="00000000" w:rsidP="00976EA5">
      <w:pPr>
        <w:pStyle w:val="Titre3"/>
        <w:numPr>
          <w:ilvl w:val="0"/>
          <w:numId w:val="0"/>
        </w:numPr>
        <w:spacing w:before="120" w:line="360" w:lineRule="auto"/>
        <w:rPr>
          <w:rFonts w:ascii="Times" w:eastAsia="Times" w:hAnsi="Times" w:cs="Times"/>
          <w:i/>
        </w:rPr>
      </w:pPr>
      <w:r w:rsidRPr="00BD65C7">
        <w:rPr>
          <w:rFonts w:ascii="Times" w:eastAsia="Times" w:hAnsi="Times" w:cs="Times"/>
          <w:i/>
        </w:rPr>
        <w:t>3.2. RNA extraction and cDNA preparation</w:t>
      </w:r>
    </w:p>
    <w:p w14:paraId="47E37FE7" w14:textId="39BC5314" w:rsidR="00380F1E" w:rsidRPr="00BD65C7" w:rsidRDefault="00380F1E" w:rsidP="00380F1E">
      <w:pPr>
        <w:spacing w:after="120" w:line="360" w:lineRule="auto"/>
        <w:rPr>
          <w:rFonts w:eastAsia="Times"/>
        </w:rPr>
      </w:pPr>
      <w:r w:rsidRPr="00BD65C7">
        <w:rPr>
          <w:rFonts w:eastAsia="Times"/>
        </w:rPr>
        <w:t xml:space="preserve">RNA was extracted by grinding tissues in liquid nitrogen to a fine powder and by utilizing the </w:t>
      </w:r>
      <w:proofErr w:type="spellStart"/>
      <w:r w:rsidRPr="00BD65C7">
        <w:rPr>
          <w:rFonts w:eastAsia="Times"/>
        </w:rPr>
        <w:t>cetyltrimethyl</w:t>
      </w:r>
      <w:proofErr w:type="spellEnd"/>
      <w:r w:rsidRPr="00BD65C7">
        <w:rPr>
          <w:rFonts w:eastAsia="Times"/>
        </w:rPr>
        <w:t xml:space="preserve"> ammonium bromide (CTAB) extraction method as described by </w:t>
      </w:r>
      <w:r w:rsidR="00BD65C7">
        <w:rPr>
          <w:rFonts w:eastAsia="Times"/>
        </w:rPr>
        <w:fldChar w:fldCharType="begin"/>
      </w:r>
      <w:r w:rsidR="00BD65C7">
        <w:rPr>
          <w:rFonts w:eastAsia="Times"/>
        </w:rPr>
        <w:instrText xml:space="preserve"> ADDIN ZOTERO_ITEM CSL_CITATION {"citationID":"YJ5T0TBb","properties":{"formattedCitation":"(Chang et al., 1993)","plainCitation":"(Chang et al., 1993)","noteIndex":0},"citationItems":[{"id":3051,"uris":["http://zotero.org/users/5451307/items/HERIGZJI"],"itemData":{"id":3051,"type":"article-journal","container-title":"Plant Molecular Biology Reporter","DOI":"10.1007/BF02670468","journalAbbreviation":"Plant Molecular Biology Reporter","page":"113-116","source":"ResearchGate","title":"A Simple and Efficient Method for Isolating RNA from Pine Trees","volume":"11","author":[{"family":"Chang","given":"Shujun"},{"family":"Puryear","given":"Jeff"},{"family":"Cairney","given":"John"}],"issued":{"date-parts":[["1993",6,1]]}}}],"schema":"https://github.com/citation-style-language/schema/raw/master/csl-citation.json"} </w:instrText>
      </w:r>
      <w:r w:rsidR="00BD65C7">
        <w:rPr>
          <w:rFonts w:eastAsia="Times"/>
        </w:rPr>
        <w:fldChar w:fldCharType="separate"/>
      </w:r>
      <w:r w:rsidR="00BD65C7" w:rsidRPr="00BD65C7">
        <w:rPr>
          <w:rFonts w:eastAsia="Times"/>
        </w:rPr>
        <w:t xml:space="preserve">Chang et al. </w:t>
      </w:r>
      <w:r w:rsidR="00BD65C7">
        <w:rPr>
          <w:rFonts w:eastAsia="Times"/>
        </w:rPr>
        <w:t>(</w:t>
      </w:r>
      <w:r w:rsidR="00BD65C7" w:rsidRPr="00BD65C7">
        <w:rPr>
          <w:rFonts w:eastAsia="Times"/>
        </w:rPr>
        <w:t>1993)</w:t>
      </w:r>
      <w:r w:rsidR="00BD65C7">
        <w:rPr>
          <w:rFonts w:eastAsia="Times"/>
        </w:rPr>
        <w:fldChar w:fldCharType="end"/>
      </w:r>
      <w:r w:rsidRPr="00BD65C7">
        <w:rPr>
          <w:rFonts w:eastAsia="Times"/>
        </w:rPr>
        <w:t xml:space="preserve">, with modifications </w:t>
      </w:r>
      <w:r w:rsidR="00582DBE">
        <w:rPr>
          <w:rFonts w:eastAsia="Times"/>
        </w:rPr>
        <w:fldChar w:fldCharType="begin"/>
      </w:r>
      <w:r w:rsidR="00582DBE">
        <w:rPr>
          <w:rFonts w:eastAsia="Times"/>
        </w:rPr>
        <w:instrText xml:space="preserve"> ADDIN ZOTERO_ITEM CSL_CITATION {"citationID":"slvrTE7o","properties":{"formattedCitation":"(Pavy et al., 2008)","plainCitation":"(Pavy et al., 2008)","noteIndex":0},"citationItems":[{"id":1389,"uris":["http://zotero.org/users/5451307/items/X3CX8URK"],"itemData":{"id":1389,"type":"article-journal","abstract":"BACKGROUND: To explore the potential value of high-throughput genotyping assays in the analysis of large and complex genomes, we designed two highly multiplexed Illumina bead arrays using the GoldenGate SNP assay for gene mapping in white spruce (Picea glauca [Moench] Voss) and black spruce (Picea mariana [Mill.] B.S.P.).\nRESULTS: Each array included 768 SNPs, identified by resequencing genomic DNA from parents of each mapping population. For white spruce and black spruce, respectively, 69.2% and 77.1% of genotyped SNPs had valid GoldenGate assay scores and segregated in the mapping populations. For each of these successful SNPs, on average, valid genotyping scores were obtained for over 99% of progeny. SNP data were integrated to pre-existing ALFP, ESTP, and SSR markers to construct two individual linkage maps and a composite map for white spruce and black spruce genomes. The white spruce composite map contained 821 markers including 348 gene loci. Also, 835 markers including 328 gene loci were positioned on the black spruce composite map. In total, 215 anchor markers (mostly gene markers) were shared between the two species. Considering lineage divergence at least 10 Myr ago between the two spruces, interspecific comparison of homoeologous linkage groups revealed remarkable synteny and marker colinearity.\nCONCLUSION: The design of customized highly multiplexed Illumina SNP arrays appears as an efficient procedure to enhance the mapping of expressed genes and make linkage maps more informative and powerful in such species with poorly known genomes. This genotyping approach will open new avenues for co-localizing candidate genes and QTLs, partial genome sequencing, and comparative mapping across conifers.","container-title":"BMC genomics","DOI":"10.1186/1471-2164-9-21","ISSN":"1471-2164","journalAbbreviation":"BMC Genomics","language":"eng","note":"PMID: 18205909\nPMCID: PMC2246113","page":"21","source":"PubMed","title":"Enhancing genetic mapping of complex genomes through the design of highly-multiplexed SNP arrays: application to the large and unsequenced genomes of white spruce and black spruce","title-short":"Enhancing genetic mapping of complex genomes through the design of highly-multiplexed SNP arrays","volume":"9","author":[{"family":"Pavy","given":"Nathalie"},{"family":"Pelgas","given":"Betty"},{"family":"Beauseigle","given":"Stéphanie"},{"family":"Blais","given":"Sylvie"},{"family":"Gagnon","given":"France"},{"family":"Gosselin","given":"Isabelle"},{"family":"Lamothe","given":"Manuel"},{"family":"Isabel","given":"Nathalie"},{"family":"Bousquet","given":"Jean"}],"issued":{"date-parts":[["2008",1,18]]}}}],"schema":"https://github.com/citation-style-language/schema/raw/master/csl-citation.json"} </w:instrText>
      </w:r>
      <w:r w:rsidR="00582DBE">
        <w:rPr>
          <w:rFonts w:eastAsia="Times"/>
        </w:rPr>
        <w:fldChar w:fldCharType="separate"/>
      </w:r>
      <w:r w:rsidR="00582DBE" w:rsidRPr="00582DBE">
        <w:rPr>
          <w:rFonts w:eastAsia="Times"/>
        </w:rPr>
        <w:t>(Pavy et al., 2008)</w:t>
      </w:r>
      <w:r w:rsidR="00582DBE">
        <w:rPr>
          <w:rFonts w:eastAsia="Times"/>
        </w:rPr>
        <w:fldChar w:fldCharType="end"/>
      </w:r>
      <w:r w:rsidRPr="00BD65C7">
        <w:rPr>
          <w:rFonts w:eastAsia="Times"/>
        </w:rPr>
        <w:t xml:space="preserve">. The total RNA concentration was determined using a </w:t>
      </w:r>
      <w:proofErr w:type="spellStart"/>
      <w:r w:rsidRPr="00BD65C7">
        <w:rPr>
          <w:rFonts w:eastAsia="Times"/>
        </w:rPr>
        <w:t>NanoDrop</w:t>
      </w:r>
      <w:proofErr w:type="spellEnd"/>
      <w:r w:rsidRPr="00BD65C7">
        <w:rPr>
          <w:rFonts w:eastAsia="Times"/>
        </w:rPr>
        <w:t xml:space="preserve"> 1000 (</w:t>
      </w:r>
      <w:proofErr w:type="spellStart"/>
      <w:r w:rsidRPr="00BD65C7">
        <w:rPr>
          <w:rFonts w:eastAsia="Times"/>
        </w:rPr>
        <w:t>Thermo</w:t>
      </w:r>
      <w:proofErr w:type="spellEnd"/>
      <w:r w:rsidRPr="00BD65C7">
        <w:rPr>
          <w:rFonts w:eastAsia="Times"/>
        </w:rPr>
        <w:t xml:space="preserve"> Scientific. http://www.thermoscientific.com/) and assessed for quality with an Agilent 2100 Bioanalyzer and Agilent RNA 6000 Nano Kit </w:t>
      </w:r>
      <w:proofErr w:type="spellStart"/>
      <w:r w:rsidRPr="00BD65C7">
        <w:rPr>
          <w:rFonts w:eastAsia="Times"/>
        </w:rPr>
        <w:t>LabChips</w:t>
      </w:r>
      <w:proofErr w:type="spellEnd"/>
      <w:r w:rsidRPr="00BD65C7">
        <w:rPr>
          <w:rFonts w:eastAsia="Times"/>
        </w:rPr>
        <w:t xml:space="preserve"> (Agilent Technologies Inc., http://www.agilent.com/) and stored at −80 °C. Complementary DNAs were prepared from 500 ng of total RNA using the </w:t>
      </w:r>
      <w:proofErr w:type="spellStart"/>
      <w:r w:rsidRPr="00BD65C7">
        <w:rPr>
          <w:rFonts w:eastAsia="Times"/>
        </w:rPr>
        <w:t>Quantitect</w:t>
      </w:r>
      <w:proofErr w:type="spellEnd"/>
      <w:r w:rsidRPr="00BD65C7">
        <w:rPr>
          <w:rFonts w:eastAsia="Times"/>
        </w:rPr>
        <w:t xml:space="preserve"> Reverse Transcription Kit (Qiagen, Germantown, MD, USA) and then diluted 1:4 in RNase-free water.</w:t>
      </w:r>
    </w:p>
    <w:p w14:paraId="7DAE91C3" w14:textId="77777777" w:rsidR="00380F1E" w:rsidRPr="00BD65C7" w:rsidRDefault="00380F1E" w:rsidP="00380F1E">
      <w:pPr>
        <w:rPr>
          <w:rFonts w:eastAsia="Times"/>
        </w:rPr>
      </w:pPr>
      <w:bookmarkStart w:id="8" w:name="_heading=h.9ywlbub3oxf6" w:colFirst="0" w:colLast="0"/>
      <w:bookmarkEnd w:id="8"/>
    </w:p>
    <w:p w14:paraId="2D1AE5AB" w14:textId="24013BB0" w:rsidR="00A62843" w:rsidRPr="00BD65C7" w:rsidRDefault="00976EA5" w:rsidP="00976EA5">
      <w:pPr>
        <w:pStyle w:val="Titre3"/>
        <w:numPr>
          <w:ilvl w:val="0"/>
          <w:numId w:val="0"/>
        </w:numPr>
        <w:spacing w:before="120" w:line="360" w:lineRule="auto"/>
        <w:rPr>
          <w:rFonts w:ascii="Times" w:eastAsia="Times" w:hAnsi="Times" w:cs="Times"/>
          <w:i/>
        </w:rPr>
      </w:pPr>
      <w:r>
        <w:rPr>
          <w:rFonts w:ascii="Times" w:eastAsia="Times" w:hAnsi="Times" w:cs="Times"/>
          <w:i/>
        </w:rPr>
        <w:lastRenderedPageBreak/>
        <w:t>3</w:t>
      </w:r>
      <w:r w:rsidRPr="00BD65C7">
        <w:rPr>
          <w:rFonts w:ascii="Times" w:eastAsia="Times" w:hAnsi="Times" w:cs="Times"/>
          <w:i/>
        </w:rPr>
        <w:t>.3. Libraries and sequencing</w:t>
      </w:r>
    </w:p>
    <w:p w14:paraId="7BE9A676" w14:textId="77777777" w:rsidR="00A62843" w:rsidRPr="00BD65C7" w:rsidRDefault="00000000">
      <w:pPr>
        <w:spacing w:after="120" w:line="360" w:lineRule="auto"/>
        <w:rPr>
          <w:rFonts w:ascii="Times" w:eastAsia="Times" w:hAnsi="Times" w:cs="Times"/>
        </w:rPr>
      </w:pPr>
      <w:r w:rsidRPr="00BD65C7">
        <w:rPr>
          <w:rFonts w:ascii="Times" w:eastAsia="Times" w:hAnsi="Times" w:cs="Times"/>
        </w:rPr>
        <w:t xml:space="preserve">We used 500 ng of RNA per sample to synthesize mRNA libraries using the </w:t>
      </w:r>
      <w:proofErr w:type="spellStart"/>
      <w:r w:rsidRPr="00BD65C7">
        <w:rPr>
          <w:rFonts w:ascii="Times" w:eastAsia="Times" w:hAnsi="Times" w:cs="Times"/>
        </w:rPr>
        <w:t>TruSeq</w:t>
      </w:r>
      <w:proofErr w:type="spellEnd"/>
      <w:r w:rsidRPr="00BD65C7">
        <w:rPr>
          <w:rFonts w:ascii="Times" w:eastAsia="Times" w:hAnsi="Times" w:cs="Times"/>
        </w:rPr>
        <w:t xml:space="preserve">® Stranded mRNA Kit (Illumina Canada Inc., Victoria, BC, Canada), following the manufacturer's protocol with a few modifications. First, custom adapters compatible with the Illumina technology were synthesized (IDT, Coralville, IA, USA) and their concentration was halved at 25 </w:t>
      </w:r>
      <w:proofErr w:type="spellStart"/>
      <w:r w:rsidRPr="00BD65C7">
        <w:rPr>
          <w:rFonts w:ascii="Times" w:eastAsia="Times" w:hAnsi="Times" w:cs="Times"/>
        </w:rPr>
        <w:t>nM</w:t>
      </w:r>
      <w:proofErr w:type="spellEnd"/>
      <w:r w:rsidRPr="00BD65C7">
        <w:rPr>
          <w:rFonts w:ascii="Times" w:eastAsia="Times" w:hAnsi="Times" w:cs="Times"/>
        </w:rPr>
        <w:t xml:space="preserve"> per reaction to avoid adapter dimer molecules, and Tris-NaCl (10 </w:t>
      </w:r>
      <w:proofErr w:type="spellStart"/>
      <w:r w:rsidRPr="00BD65C7">
        <w:rPr>
          <w:rFonts w:ascii="Times" w:eastAsia="Times" w:hAnsi="Times" w:cs="Times"/>
        </w:rPr>
        <w:t>mM.</w:t>
      </w:r>
      <w:proofErr w:type="spellEnd"/>
      <w:r w:rsidRPr="00BD65C7">
        <w:rPr>
          <w:rFonts w:ascii="Times" w:eastAsia="Times" w:hAnsi="Times" w:cs="Times"/>
        </w:rPr>
        <w:t xml:space="preserve"> 50 mM) was used at 25 </w:t>
      </w:r>
      <w:proofErr w:type="spellStart"/>
      <w:r w:rsidRPr="00BD65C7">
        <w:rPr>
          <w:rFonts w:ascii="Times" w:eastAsia="Times" w:hAnsi="Times" w:cs="Times"/>
        </w:rPr>
        <w:t>nM</w:t>
      </w:r>
      <w:proofErr w:type="spellEnd"/>
      <w:r w:rsidRPr="00BD65C7">
        <w:rPr>
          <w:rFonts w:ascii="Times" w:eastAsia="Times" w:hAnsi="Times" w:cs="Times"/>
        </w:rPr>
        <w:t xml:space="preserve"> to complete the volume. Second, strand synthesis, label clean-up and library amplification clean-up were performed using the </w:t>
      </w:r>
      <w:proofErr w:type="spellStart"/>
      <w:r w:rsidRPr="00BD65C7">
        <w:rPr>
          <w:rFonts w:ascii="Times" w:eastAsia="Times" w:hAnsi="Times" w:cs="Times"/>
        </w:rPr>
        <w:t>Axygen</w:t>
      </w:r>
      <w:proofErr w:type="spellEnd"/>
      <w:r w:rsidRPr="00BD65C7">
        <w:rPr>
          <w:rFonts w:ascii="Times" w:eastAsia="Times" w:hAnsi="Times" w:cs="Times"/>
        </w:rPr>
        <w:t xml:space="preserve">® </w:t>
      </w:r>
      <w:proofErr w:type="spellStart"/>
      <w:r w:rsidRPr="00BD65C7">
        <w:rPr>
          <w:rFonts w:ascii="Times" w:eastAsia="Times" w:hAnsi="Times" w:cs="Times"/>
        </w:rPr>
        <w:t>AxyPrep</w:t>
      </w:r>
      <w:proofErr w:type="spellEnd"/>
      <w:r w:rsidRPr="00BD65C7">
        <w:rPr>
          <w:rFonts w:ascii="Times" w:eastAsia="Times" w:hAnsi="Times" w:cs="Times"/>
        </w:rPr>
        <w:t>™ Mag PCR Clean-Up Kit (</w:t>
      </w:r>
      <w:proofErr w:type="spellStart"/>
      <w:r w:rsidRPr="00BD65C7">
        <w:rPr>
          <w:rFonts w:ascii="Times" w:eastAsia="Times" w:hAnsi="Times" w:cs="Times"/>
        </w:rPr>
        <w:t>Axygen</w:t>
      </w:r>
      <w:proofErr w:type="spellEnd"/>
      <w:r w:rsidRPr="00BD65C7">
        <w:rPr>
          <w:rFonts w:ascii="Times" w:eastAsia="Times" w:hAnsi="Times" w:cs="Times"/>
        </w:rPr>
        <w:t xml:space="preserve"> Biosciences, Union City, CA, USA), while post-ligation clean-up was performed using a 0.85 ratio of PEG/NaCl SPRI® solution on beads containing adapter-ligated DNA. Quantification of each library was determined using a Nanodrop ND-1000 (</w:t>
      </w:r>
      <w:proofErr w:type="spellStart"/>
      <w:r w:rsidRPr="00BD65C7">
        <w:rPr>
          <w:rFonts w:ascii="Times" w:eastAsia="Times" w:hAnsi="Times" w:cs="Times"/>
        </w:rPr>
        <w:t>Thermo</w:t>
      </w:r>
      <w:proofErr w:type="spellEnd"/>
      <w:r w:rsidRPr="00BD65C7">
        <w:rPr>
          <w:rFonts w:ascii="Times" w:eastAsia="Times" w:hAnsi="Times" w:cs="Times"/>
        </w:rPr>
        <w:t xml:space="preserve"> Scientific, Wilmington, DE, USA), and library fragment size distribution and absence of dimer molecules were verified using an Agilent Bioanalyzer 2100 with High Sensitivity DNA Chips (Agilent Technologies Inc., Santa Clara, CA, USA). An equimolar pool of 59 libraries was prepared and purified according to the library amplification cleanup protocol as described in the library construction protocol. The concentration and fragment size distribution of the pool were evaluated using a Nanodrop ND1000 and an Agilent Bioanalyzer 2100, respectively. The pool was sequenced using the rapid run method (2 × 250 bp) at the Genome Quebec Innovation Centre at McGill University (Montreal, Quebec, Canada) using an Illumina </w:t>
      </w:r>
      <w:proofErr w:type="spellStart"/>
      <w:r w:rsidRPr="00BD65C7">
        <w:rPr>
          <w:rFonts w:ascii="Times" w:eastAsia="Times" w:hAnsi="Times" w:cs="Times"/>
        </w:rPr>
        <w:t>HiSeq</w:t>
      </w:r>
      <w:proofErr w:type="spellEnd"/>
      <w:r w:rsidRPr="00BD65C7">
        <w:rPr>
          <w:rFonts w:ascii="Times" w:eastAsia="Times" w:hAnsi="Times" w:cs="Times"/>
        </w:rPr>
        <w:t xml:space="preserve"> 2500 sequencing system.</w:t>
      </w:r>
    </w:p>
    <w:p w14:paraId="4DA3F8CC" w14:textId="76601EFF" w:rsidR="00A62843" w:rsidRPr="00BD65C7" w:rsidRDefault="00000000" w:rsidP="00976EA5">
      <w:pPr>
        <w:pStyle w:val="Titre3"/>
        <w:numPr>
          <w:ilvl w:val="0"/>
          <w:numId w:val="0"/>
        </w:numPr>
        <w:spacing w:before="120" w:line="360" w:lineRule="auto"/>
        <w:rPr>
          <w:rFonts w:ascii="Times" w:eastAsia="Times" w:hAnsi="Times" w:cs="Times"/>
          <w:i/>
        </w:rPr>
      </w:pPr>
      <w:bookmarkStart w:id="9" w:name="_heading=h.9ixhc0am7xpu" w:colFirst="0" w:colLast="0"/>
      <w:bookmarkEnd w:id="9"/>
      <w:r w:rsidRPr="00BD65C7">
        <w:rPr>
          <w:rFonts w:ascii="Times" w:eastAsia="Times" w:hAnsi="Times" w:cs="Times"/>
          <w:i/>
        </w:rPr>
        <w:t>3.4. Data filtering</w:t>
      </w:r>
    </w:p>
    <w:p w14:paraId="268C94BC" w14:textId="77777777" w:rsidR="00A62843" w:rsidRPr="00BD65C7" w:rsidRDefault="00000000">
      <w:pPr>
        <w:spacing w:after="120" w:line="360" w:lineRule="auto"/>
        <w:rPr>
          <w:rFonts w:ascii="Times" w:eastAsia="Times" w:hAnsi="Times" w:cs="Times"/>
        </w:rPr>
      </w:pPr>
      <w:r w:rsidRPr="00BD65C7">
        <w:rPr>
          <w:rFonts w:ascii="Times" w:eastAsia="Times" w:hAnsi="Times" w:cs="Times"/>
        </w:rPr>
        <w:t xml:space="preserve">Raw sequencing produced a total of 120 FASTQ files representing 148 </w:t>
      </w:r>
      <w:proofErr w:type="spellStart"/>
      <w:r w:rsidRPr="00BD65C7">
        <w:rPr>
          <w:rFonts w:ascii="Times" w:eastAsia="Times" w:hAnsi="Times" w:cs="Times"/>
        </w:rPr>
        <w:t>Gbases</w:t>
      </w:r>
      <w:proofErr w:type="spellEnd"/>
      <w:r w:rsidRPr="00BD65C7">
        <w:rPr>
          <w:rFonts w:ascii="Times" w:eastAsia="Times" w:hAnsi="Times" w:cs="Times"/>
        </w:rPr>
        <w:t xml:space="preserve"> in 592 million 2x125 bp reads. Filtering retained 114.6 </w:t>
      </w:r>
      <w:proofErr w:type="spellStart"/>
      <w:r w:rsidRPr="00BD65C7">
        <w:rPr>
          <w:rFonts w:ascii="Times" w:eastAsia="Times" w:hAnsi="Times" w:cs="Times"/>
        </w:rPr>
        <w:t>Gbases</w:t>
      </w:r>
      <w:proofErr w:type="spellEnd"/>
      <w:r w:rsidRPr="00BD65C7">
        <w:rPr>
          <w:rFonts w:ascii="Times" w:eastAsia="Times" w:hAnsi="Times" w:cs="Times"/>
        </w:rPr>
        <w:t xml:space="preserve"> (74.7% bases) in 551.6 million HQ sequences (93.1% sequences), of which 495.6 million (89.9%) are Paired-End (both reads from paired sequencing yielded a HQ segment. Read counts were obtained for 37,491 genes and 36,701 of these genes had at least one read count. For more information, see the publication of </w:t>
      </w:r>
      <w:proofErr w:type="spellStart"/>
      <w:r w:rsidRPr="00BD65C7">
        <w:rPr>
          <w:rFonts w:ascii="Times" w:eastAsia="Times" w:hAnsi="Times" w:cs="Times"/>
        </w:rPr>
        <w:t>Stival</w:t>
      </w:r>
      <w:proofErr w:type="spellEnd"/>
      <w:r w:rsidRPr="00BD65C7">
        <w:rPr>
          <w:rFonts w:ascii="Times" w:eastAsia="Times" w:hAnsi="Times" w:cs="Times"/>
        </w:rPr>
        <w:t xml:space="preserve"> Sena </w:t>
      </w:r>
      <w:r w:rsidRPr="00BD65C7">
        <w:rPr>
          <w:rFonts w:ascii="Times" w:eastAsia="Times" w:hAnsi="Times" w:cs="Times"/>
          <w:i/>
        </w:rPr>
        <w:t>et al</w:t>
      </w:r>
      <w:r w:rsidRPr="00BD65C7">
        <w:rPr>
          <w:rFonts w:ascii="Times" w:eastAsia="Times" w:hAnsi="Times" w:cs="Times"/>
        </w:rPr>
        <w:t xml:space="preserve">. (2018). </w:t>
      </w:r>
    </w:p>
    <w:p w14:paraId="7A32B5FA" w14:textId="77777777" w:rsidR="00380F1E" w:rsidRPr="00BD65C7" w:rsidRDefault="00380F1E">
      <w:pPr>
        <w:rPr>
          <w:rFonts w:ascii="Times" w:eastAsia="Times" w:hAnsi="Times" w:cs="Times"/>
        </w:rPr>
      </w:pPr>
    </w:p>
    <w:p w14:paraId="067C352E" w14:textId="77777777" w:rsidR="00380F1E" w:rsidRDefault="00380F1E">
      <w:pPr>
        <w:rPr>
          <w:rFonts w:ascii="Times" w:eastAsia="Times" w:hAnsi="Times" w:cs="Times"/>
        </w:rPr>
      </w:pPr>
    </w:p>
    <w:p w14:paraId="069A7DCB" w14:textId="77777777" w:rsidR="00E87B15" w:rsidRDefault="00E87B15">
      <w:pPr>
        <w:rPr>
          <w:rFonts w:ascii="Times" w:eastAsia="Times" w:hAnsi="Times" w:cs="Times"/>
        </w:rPr>
      </w:pPr>
    </w:p>
    <w:p w14:paraId="47D5D247" w14:textId="77777777" w:rsidR="00E87B15" w:rsidRDefault="00E87B15">
      <w:pPr>
        <w:rPr>
          <w:rFonts w:ascii="Times" w:eastAsia="Times" w:hAnsi="Times" w:cs="Times"/>
        </w:rPr>
      </w:pPr>
    </w:p>
    <w:p w14:paraId="774C811F" w14:textId="77777777" w:rsidR="00E87B15" w:rsidRDefault="00E87B15">
      <w:pPr>
        <w:rPr>
          <w:rFonts w:ascii="Times" w:eastAsia="Times" w:hAnsi="Times" w:cs="Times"/>
        </w:rPr>
      </w:pPr>
    </w:p>
    <w:p w14:paraId="46703BD9" w14:textId="77777777" w:rsidR="00E87B15" w:rsidRPr="00BD65C7" w:rsidRDefault="00E87B15">
      <w:pPr>
        <w:rPr>
          <w:rFonts w:ascii="Times" w:eastAsia="Times" w:hAnsi="Times" w:cs="Times"/>
        </w:rPr>
      </w:pPr>
    </w:p>
    <w:p w14:paraId="6610D4D7" w14:textId="77777777" w:rsidR="00A62843" w:rsidRPr="00BD65C7" w:rsidRDefault="00000000">
      <w:pPr>
        <w:rPr>
          <w:rFonts w:ascii="Times" w:eastAsia="Times" w:hAnsi="Times" w:cs="Times"/>
          <w:b/>
        </w:rPr>
      </w:pPr>
      <w:r w:rsidRPr="00BD65C7">
        <w:rPr>
          <w:rFonts w:ascii="Times" w:eastAsia="Times" w:hAnsi="Times" w:cs="Times"/>
          <w:b/>
        </w:rPr>
        <w:lastRenderedPageBreak/>
        <w:t>References</w:t>
      </w:r>
    </w:p>
    <w:p w14:paraId="689558DA" w14:textId="77777777" w:rsidR="00640355" w:rsidRPr="00640355" w:rsidRDefault="00640355" w:rsidP="00640355">
      <w:pPr>
        <w:pStyle w:val="Bibliographie"/>
        <w:rPr>
          <w:rFonts w:ascii="Times" w:hAnsi="Times"/>
        </w:rPr>
      </w:pPr>
      <w:r>
        <w:rPr>
          <w:rFonts w:ascii="Times" w:eastAsia="Times" w:hAnsi="Times" w:cs="Times"/>
          <w:color w:val="000000"/>
        </w:rPr>
        <w:fldChar w:fldCharType="begin"/>
      </w:r>
      <w:r w:rsidRPr="00C021C3">
        <w:rPr>
          <w:rFonts w:ascii="Times" w:eastAsia="Times" w:hAnsi="Times" w:cs="Times"/>
          <w:color w:val="000000"/>
        </w:rPr>
        <w:instrText xml:space="preserve"> ADDIN ZOTERO_BIBL {"uncited":[],"omitted":[],"custom":[]} CSL_BIBLIOGRAPHY </w:instrText>
      </w:r>
      <w:r>
        <w:rPr>
          <w:rFonts w:ascii="Times" w:eastAsia="Times" w:hAnsi="Times" w:cs="Times"/>
          <w:color w:val="000000"/>
        </w:rPr>
        <w:fldChar w:fldCharType="separate"/>
      </w:r>
      <w:proofErr w:type="spellStart"/>
      <w:r w:rsidRPr="00C021C3">
        <w:rPr>
          <w:rFonts w:ascii="Times" w:hAnsi="Times"/>
        </w:rPr>
        <w:t>Belluau</w:t>
      </w:r>
      <w:proofErr w:type="spellEnd"/>
      <w:r w:rsidRPr="00C021C3">
        <w:rPr>
          <w:rFonts w:ascii="Times" w:hAnsi="Times"/>
        </w:rPr>
        <w:t xml:space="preserve">, M., Vitali, V., Parker, W. C., Paquette, A., and Messier, C. (2021). </w:t>
      </w:r>
      <w:r w:rsidRPr="00640355">
        <w:rPr>
          <w:rFonts w:ascii="Times" w:hAnsi="Times"/>
        </w:rPr>
        <w:t xml:space="preserve">Overyielding in young tree communities does not support the stress-gradient hypothesis and is favoured by functional diversity and higher water availability. </w:t>
      </w:r>
      <w:r w:rsidRPr="00640355">
        <w:rPr>
          <w:rFonts w:ascii="Times" w:hAnsi="Times"/>
          <w:i/>
          <w:iCs/>
        </w:rPr>
        <w:t>J. Ecol.</w:t>
      </w:r>
      <w:r w:rsidRPr="00640355">
        <w:rPr>
          <w:rFonts w:ascii="Times" w:hAnsi="Times"/>
        </w:rPr>
        <w:t xml:space="preserve"> 109, 1790–1803. doi: 10.1111/1365-2745.13602</w:t>
      </w:r>
    </w:p>
    <w:p w14:paraId="447E90AA" w14:textId="77777777" w:rsidR="00640355" w:rsidRPr="00640355" w:rsidRDefault="00640355" w:rsidP="00640355">
      <w:pPr>
        <w:pStyle w:val="Bibliographie"/>
        <w:rPr>
          <w:rFonts w:ascii="Times" w:hAnsi="Times"/>
        </w:rPr>
      </w:pPr>
      <w:r w:rsidRPr="00640355">
        <w:rPr>
          <w:rFonts w:ascii="Times" w:hAnsi="Times"/>
        </w:rPr>
        <w:t xml:space="preserve">Chang, S., Puryear, J., and Cairney, J. (1993). A Simple and Efficient Method for Isolating RNA from Pine Trees. </w:t>
      </w:r>
      <w:r w:rsidRPr="00640355">
        <w:rPr>
          <w:rFonts w:ascii="Times" w:hAnsi="Times"/>
          <w:i/>
          <w:iCs/>
        </w:rPr>
        <w:t>Plant Mol. Biol. Report.</w:t>
      </w:r>
      <w:r w:rsidRPr="00640355">
        <w:rPr>
          <w:rFonts w:ascii="Times" w:hAnsi="Times"/>
        </w:rPr>
        <w:t xml:space="preserve"> 11, 113–116. doi: 10.1007/BF02670468</w:t>
      </w:r>
    </w:p>
    <w:p w14:paraId="4680B20F" w14:textId="77777777" w:rsidR="00640355" w:rsidRPr="00640355" w:rsidRDefault="00640355" w:rsidP="00640355">
      <w:pPr>
        <w:pStyle w:val="Bibliographie"/>
        <w:rPr>
          <w:rFonts w:ascii="Times" w:hAnsi="Times"/>
          <w:lang w:val="fr-CA"/>
        </w:rPr>
      </w:pPr>
      <w:r w:rsidRPr="00640355">
        <w:rPr>
          <w:rFonts w:ascii="Times" w:hAnsi="Times"/>
        </w:rPr>
        <w:t xml:space="preserve">Deslauriers, A., Fournier, M.-P., Cartenì, F., and Mackay, J. (2019). Phenological shifts in conifer species stressed by spruce budworm defoliation. </w:t>
      </w:r>
      <w:r w:rsidRPr="00640355">
        <w:rPr>
          <w:rFonts w:ascii="Times" w:hAnsi="Times"/>
          <w:i/>
          <w:iCs/>
          <w:lang w:val="fr-CA"/>
        </w:rPr>
        <w:t>Tree Physiol.</w:t>
      </w:r>
      <w:r w:rsidRPr="00640355">
        <w:rPr>
          <w:rFonts w:ascii="Times" w:hAnsi="Times"/>
          <w:lang w:val="fr-CA"/>
        </w:rPr>
        <w:t xml:space="preserve"> 39, 590–605. doi: 10.1093/treephys/tpy135</w:t>
      </w:r>
    </w:p>
    <w:p w14:paraId="523BBD4B" w14:textId="77777777" w:rsidR="00640355" w:rsidRPr="00640355" w:rsidRDefault="00640355" w:rsidP="00640355">
      <w:pPr>
        <w:pStyle w:val="Bibliographie"/>
        <w:rPr>
          <w:rFonts w:ascii="Times" w:hAnsi="Times"/>
        </w:rPr>
      </w:pPr>
      <w:r w:rsidRPr="00640355">
        <w:rPr>
          <w:rFonts w:ascii="Times" w:hAnsi="Times"/>
          <w:lang w:val="fr-CA"/>
        </w:rPr>
        <w:t xml:space="preserve">Pavy, N., Pelgas, B., Beauseigle, S., Blais, S., Gagnon, F., Gosselin, I., et al. </w:t>
      </w:r>
      <w:r w:rsidRPr="00640355">
        <w:rPr>
          <w:rFonts w:ascii="Times" w:hAnsi="Times"/>
        </w:rPr>
        <w:t xml:space="preserve">(2008). Enhancing genetic mapping of complex genomes through the design of highly-multiplexed SNP arrays: application to the large and unsequenced genomes of white spruce and black spruce. </w:t>
      </w:r>
      <w:r w:rsidRPr="00640355">
        <w:rPr>
          <w:rFonts w:ascii="Times" w:hAnsi="Times"/>
          <w:i/>
          <w:iCs/>
        </w:rPr>
        <w:t>BMC Genomics</w:t>
      </w:r>
      <w:r w:rsidRPr="00640355">
        <w:rPr>
          <w:rFonts w:ascii="Times" w:hAnsi="Times"/>
        </w:rPr>
        <w:t xml:space="preserve"> 9, 21. doi: 10.1186/1471-2164-9-21</w:t>
      </w:r>
    </w:p>
    <w:p w14:paraId="58D9C9E6" w14:textId="77777777" w:rsidR="00640355" w:rsidRPr="00640355" w:rsidRDefault="00640355" w:rsidP="00640355">
      <w:pPr>
        <w:pStyle w:val="Bibliographie"/>
        <w:rPr>
          <w:rFonts w:ascii="Times" w:hAnsi="Times"/>
        </w:rPr>
      </w:pPr>
      <w:r w:rsidRPr="00640355">
        <w:rPr>
          <w:rFonts w:ascii="Times" w:hAnsi="Times"/>
        </w:rPr>
        <w:t xml:space="preserve">Stival Sena, J., Giguère, I., Rigault, P., Bousquet, J., and Mackay, J. (2018). Expansion of the dehydrin gene family in the Pinaceae is associated with considerable structural diversity and drought-responsive expression. </w:t>
      </w:r>
      <w:r w:rsidRPr="00640355">
        <w:rPr>
          <w:rFonts w:ascii="Times" w:hAnsi="Times"/>
          <w:i/>
          <w:iCs/>
        </w:rPr>
        <w:t>Tree Physiol.</w:t>
      </w:r>
      <w:r w:rsidRPr="00640355">
        <w:rPr>
          <w:rFonts w:ascii="Times" w:hAnsi="Times"/>
        </w:rPr>
        <w:t xml:space="preserve"> 38, 442–456. doi: 10.1093/treephys/tpx125</w:t>
      </w:r>
    </w:p>
    <w:p w14:paraId="0174CDC8" w14:textId="3AAE3698" w:rsidR="00A62843" w:rsidRPr="00380F1E" w:rsidRDefault="00640355" w:rsidP="007B6D9C">
      <w:pPr>
        <w:pBdr>
          <w:top w:val="nil"/>
          <w:left w:val="nil"/>
          <w:bottom w:val="nil"/>
          <w:right w:val="nil"/>
          <w:between w:val="nil"/>
        </w:pBdr>
        <w:rPr>
          <w:rFonts w:ascii="Times" w:eastAsia="Times" w:hAnsi="Times" w:cs="Times"/>
          <w:color w:val="000000"/>
        </w:rPr>
      </w:pPr>
      <w:r>
        <w:rPr>
          <w:rFonts w:ascii="Times" w:eastAsia="Times" w:hAnsi="Times" w:cs="Times"/>
          <w:color w:val="000000"/>
        </w:rPr>
        <w:fldChar w:fldCharType="end"/>
      </w:r>
    </w:p>
    <w:sectPr w:rsidR="00A62843" w:rsidRPr="00380F1E">
      <w:pgSz w:w="12240" w:h="15840"/>
      <w:pgMar w:top="1138" w:right="1181" w:bottom="1138" w:left="1282" w:header="720" w:footer="720" w:gutter="0"/>
      <w:lnNumType w:countBy="1" w:restart="continuous"/>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E59096" w14:textId="77777777" w:rsidR="00723421" w:rsidRDefault="00723421">
      <w:pPr>
        <w:spacing w:before="0" w:after="0"/>
      </w:pPr>
      <w:r>
        <w:separator/>
      </w:r>
    </w:p>
  </w:endnote>
  <w:endnote w:type="continuationSeparator" w:id="0">
    <w:p w14:paraId="5F441B24" w14:textId="77777777" w:rsidR="00723421" w:rsidRDefault="0072342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66036712"/>
      <w:docPartObj>
        <w:docPartGallery w:val="Page Numbers (Bottom of Page)"/>
        <w:docPartUnique/>
      </w:docPartObj>
    </w:sdtPr>
    <w:sdtContent>
      <w:p w14:paraId="53491841" w14:textId="2BC9A818" w:rsidR="00BD65C7" w:rsidRDefault="00BD65C7">
        <w:pPr>
          <w:pStyle w:val="Pieddepage"/>
          <w:jc w:val="center"/>
        </w:pPr>
        <w:r>
          <w:fldChar w:fldCharType="begin"/>
        </w:r>
        <w:r>
          <w:instrText>PAGE   \* MERGEFORMAT</w:instrText>
        </w:r>
        <w:r>
          <w:fldChar w:fldCharType="separate"/>
        </w:r>
        <w:r>
          <w:rPr>
            <w:lang w:val="fr-FR"/>
          </w:rPr>
          <w:t>2</w:t>
        </w:r>
        <w:r>
          <w:fldChar w:fldCharType="end"/>
        </w:r>
      </w:p>
    </w:sdtContent>
  </w:sdt>
  <w:p w14:paraId="6E374EF9" w14:textId="77777777" w:rsidR="00BD65C7" w:rsidRDefault="00BD65C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52322A" w14:textId="77777777" w:rsidR="00723421" w:rsidRDefault="00723421">
      <w:pPr>
        <w:spacing w:before="0" w:after="0"/>
      </w:pPr>
      <w:r>
        <w:separator/>
      </w:r>
    </w:p>
  </w:footnote>
  <w:footnote w:type="continuationSeparator" w:id="0">
    <w:p w14:paraId="58D7AA3C" w14:textId="77777777" w:rsidR="00723421" w:rsidRDefault="00723421">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BB8C0B" w14:textId="77777777" w:rsidR="00A62843" w:rsidRDefault="00000000">
    <w:r>
      <w:t>Supplementary Material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3101A32"/>
    <w:multiLevelType w:val="multilevel"/>
    <w:tmpl w:val="6688EF86"/>
    <w:lvl w:ilvl="0">
      <w:start w:val="1"/>
      <w:numFmt w:val="decimal"/>
      <w:pStyle w:val="Titre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Titre3"/>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pStyle w:val="Titre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0174595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5"/>
  <w:proofState w:spelling="clean" w:grammar="clean"/>
  <w:defaultTabStop w:val="720"/>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2843"/>
    <w:rsid w:val="001147AC"/>
    <w:rsid w:val="001473DC"/>
    <w:rsid w:val="002A1B2E"/>
    <w:rsid w:val="00380F1E"/>
    <w:rsid w:val="003A4364"/>
    <w:rsid w:val="005200BA"/>
    <w:rsid w:val="00582DBE"/>
    <w:rsid w:val="00590140"/>
    <w:rsid w:val="005A6864"/>
    <w:rsid w:val="00640355"/>
    <w:rsid w:val="00723421"/>
    <w:rsid w:val="007733E7"/>
    <w:rsid w:val="007B6D9C"/>
    <w:rsid w:val="008541B1"/>
    <w:rsid w:val="00976EA5"/>
    <w:rsid w:val="00A62843"/>
    <w:rsid w:val="00BD65C7"/>
    <w:rsid w:val="00C021C3"/>
    <w:rsid w:val="00C60873"/>
    <w:rsid w:val="00D77F22"/>
    <w:rsid w:val="00E87B15"/>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755D9"/>
  <w15:docId w15:val="{84DAE160-BD93-46EF-9B03-05937294D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fr-CA" w:bidi="ar-SA"/>
      </w:rPr>
    </w:rPrDefault>
    <w:pPrDefault>
      <w:pPr>
        <w:spacing w:before="120" w:after="24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715"/>
  </w:style>
  <w:style w:type="paragraph" w:styleId="Titre1">
    <w:name w:val="heading 1"/>
    <w:next w:val="Normal"/>
    <w:link w:val="Titre1Car"/>
    <w:uiPriority w:val="9"/>
    <w:qFormat/>
    <w:rsid w:val="00976EA5"/>
    <w:pPr>
      <w:numPr>
        <w:numId w:val="1"/>
      </w:numPr>
      <w:spacing w:before="240" w:line="360" w:lineRule="auto"/>
      <w:outlineLvl w:val="0"/>
    </w:pPr>
    <w:rPr>
      <w:rFonts w:eastAsia="Cambria"/>
      <w:b/>
      <w:u w:val="single"/>
    </w:rPr>
  </w:style>
  <w:style w:type="paragraph" w:styleId="Titre2">
    <w:name w:val="heading 2"/>
    <w:next w:val="Normal"/>
    <w:link w:val="Titre2Car"/>
    <w:uiPriority w:val="9"/>
    <w:unhideWhenUsed/>
    <w:qFormat/>
    <w:rsid w:val="00976EA5"/>
    <w:pPr>
      <w:numPr>
        <w:ilvl w:val="1"/>
      </w:numPr>
      <w:spacing w:after="200"/>
      <w:jc w:val="left"/>
      <w:outlineLvl w:val="1"/>
    </w:pPr>
    <w:rPr>
      <w:rFonts w:eastAsia="Cambria"/>
      <w:b/>
    </w:rPr>
  </w:style>
  <w:style w:type="paragraph" w:styleId="Titre3">
    <w:name w:val="heading 3"/>
    <w:next w:val="Normal"/>
    <w:link w:val="Titre3Car"/>
    <w:uiPriority w:val="9"/>
    <w:unhideWhenUsed/>
    <w:qFormat/>
    <w:rsid w:val="00976EA5"/>
    <w:pPr>
      <w:keepNext/>
      <w:keepLines/>
      <w:numPr>
        <w:ilvl w:val="2"/>
        <w:numId w:val="1"/>
      </w:numPr>
      <w:tabs>
        <w:tab w:val="left" w:pos="2160"/>
      </w:tabs>
      <w:spacing w:before="40" w:after="120"/>
      <w:ind w:left="0" w:firstLine="0"/>
      <w:jc w:val="left"/>
      <w:outlineLvl w:val="2"/>
    </w:pPr>
    <w:rPr>
      <w:rFonts w:eastAsiaTheme="majorEastAsia" w:cstheme="majorBidi"/>
      <w:b/>
    </w:rPr>
  </w:style>
  <w:style w:type="paragraph" w:styleId="Titre4">
    <w:name w:val="heading 4"/>
    <w:basedOn w:val="Titre3"/>
    <w:next w:val="Normal"/>
    <w:link w:val="Titre4Car"/>
    <w:uiPriority w:val="9"/>
    <w:semiHidden/>
    <w:unhideWhenUsed/>
    <w:qFormat/>
    <w:rsid w:val="00AB6715"/>
    <w:pPr>
      <w:numPr>
        <w:ilvl w:val="3"/>
      </w:numPr>
      <w:outlineLvl w:val="3"/>
    </w:pPr>
    <w:rPr>
      <w:iCs/>
    </w:rPr>
  </w:style>
  <w:style w:type="paragraph" w:styleId="Titre5">
    <w:name w:val="heading 5"/>
    <w:basedOn w:val="Titre4"/>
    <w:next w:val="Normal"/>
    <w:link w:val="Titre5Car"/>
    <w:uiPriority w:val="9"/>
    <w:semiHidden/>
    <w:unhideWhenUsed/>
    <w:qFormat/>
    <w:rsid w:val="00AB6715"/>
    <w:pPr>
      <w:numPr>
        <w:ilvl w:val="4"/>
      </w:numPr>
      <w:outlineLvl w:val="4"/>
    </w:p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link w:val="TitreCar"/>
    <w:uiPriority w:val="10"/>
    <w:qFormat/>
    <w:rsid w:val="00AB6715"/>
    <w:pPr>
      <w:suppressLineNumbers/>
      <w:spacing w:before="240" w:after="360"/>
      <w:jc w:val="center"/>
    </w:pPr>
    <w:rPr>
      <w:b/>
      <w:sz w:val="32"/>
      <w:szCs w:val="32"/>
    </w:rPr>
  </w:style>
  <w:style w:type="table" w:customStyle="1" w:styleId="TableNormal1">
    <w:name w:val="Table Normal1"/>
    <w:tblPr>
      <w:tblCellMar>
        <w:top w:w="0" w:type="dxa"/>
        <w:left w:w="0" w:type="dxa"/>
        <w:bottom w:w="0" w:type="dxa"/>
        <w:right w:w="0" w:type="dxa"/>
      </w:tblCellMar>
    </w:tblPr>
  </w:style>
  <w:style w:type="character" w:customStyle="1" w:styleId="Titre1Car">
    <w:name w:val="Titre 1 Car"/>
    <w:basedOn w:val="Policepardfaut"/>
    <w:link w:val="Titre1"/>
    <w:uiPriority w:val="9"/>
    <w:rsid w:val="00976EA5"/>
    <w:rPr>
      <w:rFonts w:eastAsia="Cambria"/>
      <w:b/>
      <w:u w:val="single"/>
    </w:rPr>
  </w:style>
  <w:style w:type="character" w:customStyle="1" w:styleId="Titre2Car">
    <w:name w:val="Titre 2 Car"/>
    <w:basedOn w:val="Policepardfaut"/>
    <w:link w:val="Titre2"/>
    <w:uiPriority w:val="9"/>
    <w:rsid w:val="00976EA5"/>
    <w:rPr>
      <w:rFonts w:eastAsia="Cambria"/>
      <w:b/>
    </w:rPr>
  </w:style>
  <w:style w:type="paragraph" w:styleId="Sous-titre">
    <w:name w:val="Subtitle"/>
    <w:basedOn w:val="Normal"/>
    <w:next w:val="Normal"/>
    <w:link w:val="Sous-titreCar"/>
    <w:uiPriority w:val="11"/>
    <w:qFormat/>
    <w:pPr>
      <w:spacing w:before="240"/>
    </w:pPr>
    <w:rPr>
      <w:b/>
    </w:rPr>
  </w:style>
  <w:style w:type="character" w:customStyle="1" w:styleId="Sous-titreCar">
    <w:name w:val="Sous-titre Car"/>
    <w:basedOn w:val="Policepardfaut"/>
    <w:link w:val="Sous-titre"/>
    <w:uiPriority w:val="99"/>
    <w:rsid w:val="00AB6715"/>
    <w:rPr>
      <w:rFonts w:ascii="Times New Roman" w:hAnsi="Times New Roman" w:cs="Times New Roman"/>
      <w:b/>
      <w:sz w:val="24"/>
      <w:szCs w:val="24"/>
    </w:rPr>
  </w:style>
  <w:style w:type="paragraph" w:customStyle="1" w:styleId="AuthorList">
    <w:name w:val="Author List"/>
    <w:aliases w:val="Keywords,Abstract"/>
    <w:basedOn w:val="Sous-titre"/>
    <w:next w:val="Normal"/>
    <w:uiPriority w:val="1"/>
    <w:qFormat/>
    <w:rsid w:val="00AB6715"/>
  </w:style>
  <w:style w:type="paragraph" w:styleId="Textedebulles">
    <w:name w:val="Balloon Text"/>
    <w:basedOn w:val="Normal"/>
    <w:link w:val="TextedebullesCar"/>
    <w:uiPriority w:val="99"/>
    <w:semiHidden/>
    <w:unhideWhenUsed/>
    <w:rsid w:val="00AB6715"/>
    <w:pPr>
      <w:spacing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AB6715"/>
    <w:rPr>
      <w:rFonts w:ascii="Tahoma" w:hAnsi="Tahoma" w:cs="Tahoma"/>
      <w:sz w:val="16"/>
      <w:szCs w:val="16"/>
    </w:rPr>
  </w:style>
  <w:style w:type="character" w:styleId="Titredulivre">
    <w:name w:val="Book Title"/>
    <w:basedOn w:val="Policepardfaut"/>
    <w:uiPriority w:val="33"/>
    <w:qFormat/>
    <w:rsid w:val="00AB6715"/>
    <w:rPr>
      <w:rFonts w:ascii="Times New Roman" w:hAnsi="Times New Roman"/>
      <w:b/>
      <w:bCs/>
      <w:i/>
      <w:iCs/>
      <w:spacing w:val="5"/>
    </w:rPr>
  </w:style>
  <w:style w:type="paragraph" w:styleId="Lgende">
    <w:name w:val="caption"/>
    <w:basedOn w:val="Normal"/>
    <w:next w:val="Sansinterligne"/>
    <w:uiPriority w:val="35"/>
    <w:unhideWhenUsed/>
    <w:qFormat/>
    <w:rsid w:val="00AB6715"/>
    <w:pPr>
      <w:keepNext/>
    </w:pPr>
    <w:rPr>
      <w:b/>
      <w:bCs/>
    </w:rPr>
  </w:style>
  <w:style w:type="paragraph" w:styleId="Sansinterligne">
    <w:name w:val="No Spacing"/>
    <w:uiPriority w:val="99"/>
    <w:unhideWhenUsed/>
    <w:qFormat/>
    <w:rsid w:val="00AB6715"/>
    <w:pPr>
      <w:spacing w:after="0"/>
    </w:pPr>
  </w:style>
  <w:style w:type="character" w:styleId="Marquedecommentaire">
    <w:name w:val="annotation reference"/>
    <w:basedOn w:val="Policepardfaut"/>
    <w:uiPriority w:val="99"/>
    <w:semiHidden/>
    <w:unhideWhenUsed/>
    <w:rsid w:val="00AB6715"/>
    <w:rPr>
      <w:sz w:val="16"/>
      <w:szCs w:val="16"/>
    </w:rPr>
  </w:style>
  <w:style w:type="paragraph" w:styleId="Commentaire">
    <w:name w:val="annotation text"/>
    <w:basedOn w:val="Normal"/>
    <w:link w:val="CommentaireCar"/>
    <w:uiPriority w:val="99"/>
    <w:semiHidden/>
    <w:unhideWhenUsed/>
    <w:rsid w:val="00AB6715"/>
    <w:rPr>
      <w:sz w:val="20"/>
      <w:szCs w:val="20"/>
    </w:rPr>
  </w:style>
  <w:style w:type="character" w:customStyle="1" w:styleId="CommentaireCar">
    <w:name w:val="Commentaire Car"/>
    <w:basedOn w:val="Policepardfaut"/>
    <w:link w:val="Commentaire"/>
    <w:uiPriority w:val="99"/>
    <w:semiHidden/>
    <w:rsid w:val="00AB6715"/>
    <w:rPr>
      <w:rFonts w:ascii="Times New Roman" w:hAnsi="Times New Roman"/>
      <w:sz w:val="20"/>
      <w:szCs w:val="20"/>
    </w:rPr>
  </w:style>
  <w:style w:type="paragraph" w:styleId="Objetducommentaire">
    <w:name w:val="annotation subject"/>
    <w:basedOn w:val="Commentaire"/>
    <w:next w:val="Commentaire"/>
    <w:link w:val="ObjetducommentaireCar"/>
    <w:uiPriority w:val="99"/>
    <w:semiHidden/>
    <w:unhideWhenUsed/>
    <w:rsid w:val="00AB6715"/>
    <w:rPr>
      <w:b/>
      <w:bCs/>
    </w:rPr>
  </w:style>
  <w:style w:type="character" w:customStyle="1" w:styleId="ObjetducommentaireCar">
    <w:name w:val="Objet du commentaire Car"/>
    <w:basedOn w:val="CommentaireCar"/>
    <w:link w:val="Objetducommentaire"/>
    <w:uiPriority w:val="99"/>
    <w:semiHidden/>
    <w:rsid w:val="00AB6715"/>
    <w:rPr>
      <w:rFonts w:ascii="Times New Roman" w:hAnsi="Times New Roman"/>
      <w:b/>
      <w:bCs/>
      <w:sz w:val="20"/>
      <w:szCs w:val="20"/>
    </w:rPr>
  </w:style>
  <w:style w:type="character" w:styleId="Accentuation">
    <w:name w:val="Emphasis"/>
    <w:basedOn w:val="Policepardfaut"/>
    <w:uiPriority w:val="20"/>
    <w:qFormat/>
    <w:rsid w:val="00AB6715"/>
    <w:rPr>
      <w:rFonts w:ascii="Times New Roman" w:hAnsi="Times New Roman"/>
      <w:i/>
      <w:iCs/>
    </w:rPr>
  </w:style>
  <w:style w:type="character" w:styleId="Appeldenotedefin">
    <w:name w:val="endnote reference"/>
    <w:basedOn w:val="Policepardfaut"/>
    <w:uiPriority w:val="99"/>
    <w:semiHidden/>
    <w:unhideWhenUsed/>
    <w:rsid w:val="00AB6715"/>
    <w:rPr>
      <w:vertAlign w:val="superscript"/>
    </w:rPr>
  </w:style>
  <w:style w:type="paragraph" w:styleId="Notedefin">
    <w:name w:val="endnote text"/>
    <w:basedOn w:val="Normal"/>
    <w:link w:val="NotedefinCar"/>
    <w:uiPriority w:val="99"/>
    <w:semiHidden/>
    <w:unhideWhenUsed/>
    <w:rsid w:val="00AB6715"/>
    <w:pPr>
      <w:spacing w:after="0"/>
    </w:pPr>
    <w:rPr>
      <w:sz w:val="20"/>
      <w:szCs w:val="20"/>
    </w:rPr>
  </w:style>
  <w:style w:type="character" w:customStyle="1" w:styleId="NotedefinCar">
    <w:name w:val="Note de fin Car"/>
    <w:basedOn w:val="Policepardfaut"/>
    <w:link w:val="Notedefin"/>
    <w:uiPriority w:val="99"/>
    <w:semiHidden/>
    <w:rsid w:val="00AB6715"/>
    <w:rPr>
      <w:rFonts w:ascii="Times New Roman" w:hAnsi="Times New Roman"/>
      <w:sz w:val="20"/>
      <w:szCs w:val="20"/>
    </w:rPr>
  </w:style>
  <w:style w:type="character" w:styleId="Lienhypertextesuivivisit">
    <w:name w:val="FollowedHyperlink"/>
    <w:basedOn w:val="Policepardfaut"/>
    <w:uiPriority w:val="99"/>
    <w:semiHidden/>
    <w:unhideWhenUsed/>
    <w:rsid w:val="00AB6715"/>
    <w:rPr>
      <w:color w:val="800080" w:themeColor="followedHyperlink"/>
      <w:u w:val="single"/>
    </w:rPr>
  </w:style>
  <w:style w:type="paragraph" w:styleId="Pieddepage">
    <w:name w:val="footer"/>
    <w:basedOn w:val="Normal"/>
    <w:link w:val="PieddepageCar"/>
    <w:uiPriority w:val="99"/>
    <w:unhideWhenUsed/>
    <w:rsid w:val="00AB6715"/>
    <w:pPr>
      <w:tabs>
        <w:tab w:val="center" w:pos="4844"/>
        <w:tab w:val="right" w:pos="9689"/>
      </w:tabs>
      <w:spacing w:after="0"/>
    </w:pPr>
  </w:style>
  <w:style w:type="character" w:customStyle="1" w:styleId="PieddepageCar">
    <w:name w:val="Pied de page Car"/>
    <w:basedOn w:val="Policepardfaut"/>
    <w:link w:val="Pieddepage"/>
    <w:uiPriority w:val="99"/>
    <w:rsid w:val="00AB6715"/>
    <w:rPr>
      <w:rFonts w:ascii="Times New Roman" w:hAnsi="Times New Roman"/>
      <w:sz w:val="24"/>
    </w:rPr>
  </w:style>
  <w:style w:type="character" w:styleId="Appelnotedebasdep">
    <w:name w:val="footnote reference"/>
    <w:basedOn w:val="Policepardfaut"/>
    <w:uiPriority w:val="99"/>
    <w:semiHidden/>
    <w:unhideWhenUsed/>
    <w:rsid w:val="00AB6715"/>
    <w:rPr>
      <w:vertAlign w:val="superscript"/>
    </w:rPr>
  </w:style>
  <w:style w:type="paragraph" w:styleId="Notedebasdepage">
    <w:name w:val="footnote text"/>
    <w:basedOn w:val="Normal"/>
    <w:link w:val="NotedebasdepageCar"/>
    <w:uiPriority w:val="99"/>
    <w:semiHidden/>
    <w:unhideWhenUsed/>
    <w:rsid w:val="00AB6715"/>
    <w:pPr>
      <w:spacing w:after="0"/>
    </w:pPr>
    <w:rPr>
      <w:sz w:val="20"/>
      <w:szCs w:val="20"/>
    </w:rPr>
  </w:style>
  <w:style w:type="character" w:customStyle="1" w:styleId="NotedebasdepageCar">
    <w:name w:val="Note de bas de page Car"/>
    <w:basedOn w:val="Policepardfaut"/>
    <w:link w:val="Notedebasdepage"/>
    <w:uiPriority w:val="99"/>
    <w:semiHidden/>
    <w:rsid w:val="00AB6715"/>
    <w:rPr>
      <w:rFonts w:ascii="Times New Roman" w:hAnsi="Times New Roman"/>
      <w:sz w:val="20"/>
      <w:szCs w:val="20"/>
    </w:rPr>
  </w:style>
  <w:style w:type="paragraph" w:styleId="En-tte">
    <w:name w:val="header"/>
    <w:basedOn w:val="Normal"/>
    <w:link w:val="En-tteCar"/>
    <w:uiPriority w:val="99"/>
    <w:unhideWhenUsed/>
    <w:rsid w:val="00AB6715"/>
    <w:pPr>
      <w:tabs>
        <w:tab w:val="center" w:pos="4844"/>
        <w:tab w:val="right" w:pos="9689"/>
      </w:tabs>
    </w:pPr>
    <w:rPr>
      <w:b/>
    </w:rPr>
  </w:style>
  <w:style w:type="character" w:customStyle="1" w:styleId="En-tteCar">
    <w:name w:val="En-tête Car"/>
    <w:basedOn w:val="Policepardfaut"/>
    <w:link w:val="En-tte"/>
    <w:uiPriority w:val="99"/>
    <w:rsid w:val="00AB6715"/>
    <w:rPr>
      <w:rFonts w:ascii="Times New Roman" w:hAnsi="Times New Roman"/>
      <w:b/>
      <w:sz w:val="24"/>
    </w:rPr>
  </w:style>
  <w:style w:type="paragraph" w:styleId="Paragraphedeliste">
    <w:name w:val="List Paragraph"/>
    <w:basedOn w:val="Normal"/>
    <w:uiPriority w:val="3"/>
    <w:qFormat/>
    <w:rsid w:val="00AB6715"/>
    <w:pPr>
      <w:tabs>
        <w:tab w:val="num" w:pos="720"/>
      </w:tabs>
      <w:ind w:left="720" w:hanging="720"/>
      <w:contextualSpacing/>
    </w:pPr>
    <w:rPr>
      <w:rFonts w:eastAsia="Cambria"/>
    </w:rPr>
  </w:style>
  <w:style w:type="numbering" w:customStyle="1" w:styleId="Headings">
    <w:name w:val="Headings"/>
    <w:uiPriority w:val="99"/>
    <w:rsid w:val="00AB6715"/>
  </w:style>
  <w:style w:type="character" w:styleId="Lienhypertexte">
    <w:name w:val="Hyperlink"/>
    <w:basedOn w:val="Policepardfaut"/>
    <w:uiPriority w:val="99"/>
    <w:unhideWhenUsed/>
    <w:rsid w:val="00AB6715"/>
    <w:rPr>
      <w:color w:val="0000FF"/>
      <w:u w:val="single"/>
    </w:rPr>
  </w:style>
  <w:style w:type="character" w:styleId="Accentuationintense">
    <w:name w:val="Intense Emphasis"/>
    <w:basedOn w:val="Policepardfaut"/>
    <w:uiPriority w:val="21"/>
    <w:unhideWhenUsed/>
    <w:rsid w:val="00AB6715"/>
    <w:rPr>
      <w:rFonts w:ascii="Times New Roman" w:hAnsi="Times New Roman"/>
      <w:i/>
      <w:iCs/>
      <w:color w:val="auto"/>
    </w:rPr>
  </w:style>
  <w:style w:type="character" w:styleId="Rfrenceintense">
    <w:name w:val="Intense Reference"/>
    <w:basedOn w:val="Policepardfaut"/>
    <w:uiPriority w:val="32"/>
    <w:qFormat/>
    <w:rsid w:val="00AB6715"/>
    <w:rPr>
      <w:b/>
      <w:bCs/>
      <w:smallCaps/>
      <w:color w:val="auto"/>
      <w:spacing w:val="5"/>
    </w:rPr>
  </w:style>
  <w:style w:type="character" w:styleId="Numrodeligne">
    <w:name w:val="line number"/>
    <w:basedOn w:val="Policepardfaut"/>
    <w:uiPriority w:val="99"/>
    <w:semiHidden/>
    <w:unhideWhenUsed/>
    <w:rsid w:val="00AB6715"/>
  </w:style>
  <w:style w:type="character" w:customStyle="1" w:styleId="Titre3Car">
    <w:name w:val="Titre 3 Car"/>
    <w:basedOn w:val="Policepardfaut"/>
    <w:link w:val="Titre3"/>
    <w:uiPriority w:val="9"/>
    <w:rsid w:val="00976EA5"/>
    <w:rPr>
      <w:rFonts w:eastAsiaTheme="majorEastAsia" w:cstheme="majorBidi"/>
      <w:b/>
    </w:rPr>
  </w:style>
  <w:style w:type="character" w:customStyle="1" w:styleId="Titre4Car">
    <w:name w:val="Titre 4 Car"/>
    <w:basedOn w:val="Policepardfaut"/>
    <w:link w:val="Titre4"/>
    <w:uiPriority w:val="2"/>
    <w:rsid w:val="00AB6715"/>
    <w:rPr>
      <w:rFonts w:ascii="Times New Roman" w:eastAsiaTheme="majorEastAsia" w:hAnsi="Times New Roman" w:cstheme="majorBidi"/>
      <w:b/>
      <w:iCs/>
      <w:sz w:val="24"/>
      <w:szCs w:val="24"/>
    </w:rPr>
  </w:style>
  <w:style w:type="character" w:customStyle="1" w:styleId="Titre5Car">
    <w:name w:val="Titre 5 Car"/>
    <w:basedOn w:val="Policepardfaut"/>
    <w:link w:val="Titre5"/>
    <w:uiPriority w:val="2"/>
    <w:rsid w:val="00AB6715"/>
    <w:rPr>
      <w:rFonts w:ascii="Times New Roman" w:eastAsiaTheme="majorEastAsia" w:hAnsi="Times New Roman" w:cstheme="majorBidi"/>
      <w:b/>
      <w:iCs/>
      <w:sz w:val="24"/>
      <w:szCs w:val="24"/>
    </w:rPr>
  </w:style>
  <w:style w:type="paragraph" w:styleId="NormalWeb">
    <w:name w:val="Normal (Web)"/>
    <w:basedOn w:val="Normal"/>
    <w:uiPriority w:val="99"/>
    <w:unhideWhenUsed/>
    <w:rsid w:val="00AB6715"/>
    <w:pPr>
      <w:spacing w:before="100" w:beforeAutospacing="1" w:after="100" w:afterAutospacing="1"/>
    </w:pPr>
  </w:style>
  <w:style w:type="paragraph" w:styleId="Citation">
    <w:name w:val="Quote"/>
    <w:basedOn w:val="Normal"/>
    <w:next w:val="Normal"/>
    <w:link w:val="CitationCar"/>
    <w:uiPriority w:val="29"/>
    <w:qFormat/>
    <w:rsid w:val="00AB6715"/>
    <w:pPr>
      <w:spacing w:before="200" w:after="160"/>
      <w:ind w:left="864" w:right="864"/>
      <w:jc w:val="center"/>
    </w:pPr>
    <w:rPr>
      <w:i/>
      <w:iCs/>
      <w:color w:val="404040" w:themeColor="text1" w:themeTint="BF"/>
    </w:rPr>
  </w:style>
  <w:style w:type="character" w:customStyle="1" w:styleId="CitationCar">
    <w:name w:val="Citation Car"/>
    <w:basedOn w:val="Policepardfaut"/>
    <w:link w:val="Citation"/>
    <w:uiPriority w:val="29"/>
    <w:rsid w:val="00AB6715"/>
    <w:rPr>
      <w:rFonts w:ascii="Times New Roman" w:hAnsi="Times New Roman"/>
      <w:i/>
      <w:iCs/>
      <w:color w:val="404040" w:themeColor="text1" w:themeTint="BF"/>
      <w:sz w:val="24"/>
    </w:rPr>
  </w:style>
  <w:style w:type="character" w:styleId="lev">
    <w:name w:val="Strong"/>
    <w:basedOn w:val="Policepardfaut"/>
    <w:uiPriority w:val="22"/>
    <w:qFormat/>
    <w:rsid w:val="00AB6715"/>
    <w:rPr>
      <w:rFonts w:ascii="Times New Roman" w:hAnsi="Times New Roman"/>
      <w:b/>
      <w:bCs/>
    </w:rPr>
  </w:style>
  <w:style w:type="character" w:styleId="Accentuationlgre">
    <w:name w:val="Subtle Emphasis"/>
    <w:basedOn w:val="Policepardfaut"/>
    <w:uiPriority w:val="19"/>
    <w:qFormat/>
    <w:rsid w:val="00AB6715"/>
    <w:rPr>
      <w:rFonts w:ascii="Times New Roman" w:hAnsi="Times New Roman"/>
      <w:i/>
      <w:iCs/>
      <w:color w:val="404040" w:themeColor="text1" w:themeTint="BF"/>
    </w:rPr>
  </w:style>
  <w:style w:type="table" w:styleId="Grilledutableau">
    <w:name w:val="Table Grid"/>
    <w:basedOn w:val="TableauNormal"/>
    <w:uiPriority w:val="59"/>
    <w:rsid w:val="00AB6715"/>
    <w:pPr>
      <w:spacing w:after="0"/>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Car">
    <w:name w:val="Titre Car"/>
    <w:basedOn w:val="Policepardfaut"/>
    <w:link w:val="Titre"/>
    <w:rsid w:val="00AB6715"/>
    <w:rPr>
      <w:rFonts w:ascii="Times New Roman" w:hAnsi="Times New Roman" w:cs="Times New Roman"/>
      <w:b/>
      <w:sz w:val="32"/>
      <w:szCs w:val="32"/>
    </w:rPr>
  </w:style>
  <w:style w:type="paragraph" w:customStyle="1" w:styleId="SupplementaryMaterial">
    <w:name w:val="Supplementary Material"/>
    <w:basedOn w:val="Titre"/>
    <w:next w:val="Titre"/>
    <w:qFormat/>
    <w:rsid w:val="0001436A"/>
    <w:pPr>
      <w:spacing w:after="120"/>
    </w:pPr>
    <w:rPr>
      <w:i/>
    </w:rPr>
  </w:style>
  <w:style w:type="table" w:customStyle="1" w:styleId="5">
    <w:name w:val="5"/>
    <w:basedOn w:val="TableNormal1"/>
    <w:tblPr>
      <w:tblStyleRowBandSize w:val="1"/>
      <w:tblStyleColBandSize w:val="1"/>
      <w:tblCellMar>
        <w:top w:w="15" w:type="dxa"/>
        <w:left w:w="15" w:type="dxa"/>
        <w:bottom w:w="15" w:type="dxa"/>
        <w:right w:w="15" w:type="dxa"/>
      </w:tblCellMar>
    </w:tblPr>
  </w:style>
  <w:style w:type="table" w:customStyle="1" w:styleId="4">
    <w:name w:val="4"/>
    <w:basedOn w:val="TableNormal1"/>
    <w:tblPr>
      <w:tblStyleRowBandSize w:val="1"/>
      <w:tblStyleColBandSize w:val="1"/>
      <w:tblCellMar>
        <w:top w:w="100" w:type="dxa"/>
        <w:left w:w="100" w:type="dxa"/>
        <w:bottom w:w="100" w:type="dxa"/>
        <w:right w:w="100" w:type="dxa"/>
      </w:tblCellMar>
    </w:tblPr>
  </w:style>
  <w:style w:type="table" w:customStyle="1" w:styleId="3">
    <w:name w:val="3"/>
    <w:basedOn w:val="TableNormal1"/>
    <w:tblPr>
      <w:tblStyleRowBandSize w:val="1"/>
      <w:tblStyleColBandSize w:val="1"/>
      <w:tblCellMar>
        <w:top w:w="100" w:type="dxa"/>
        <w:left w:w="100" w:type="dxa"/>
        <w:bottom w:w="100" w:type="dxa"/>
        <w:right w:w="100" w:type="dxa"/>
      </w:tblCellMar>
    </w:tblPr>
  </w:style>
  <w:style w:type="paragraph" w:styleId="Bibliographie">
    <w:name w:val="Bibliography"/>
    <w:basedOn w:val="Normal"/>
    <w:next w:val="Normal"/>
    <w:uiPriority w:val="37"/>
    <w:unhideWhenUsed/>
    <w:rsid w:val="005D17B5"/>
    <w:pPr>
      <w:ind w:left="720" w:hanging="720"/>
    </w:pPr>
  </w:style>
  <w:style w:type="table" w:customStyle="1" w:styleId="2">
    <w:name w:val="2"/>
    <w:basedOn w:val="TableNormal1"/>
    <w:tblPr>
      <w:tblStyleRowBandSize w:val="1"/>
      <w:tblStyleColBandSize w:val="1"/>
      <w:tblCellMar>
        <w:top w:w="100" w:type="dxa"/>
        <w:left w:w="100" w:type="dxa"/>
        <w:bottom w:w="100" w:type="dxa"/>
        <w:right w:w="100" w:type="dxa"/>
      </w:tblCellMar>
    </w:tblPr>
  </w:style>
  <w:style w:type="table" w:customStyle="1" w:styleId="1">
    <w:name w:val="1"/>
    <w:basedOn w:val="TableNormal1"/>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ncbi.nlm.nih.gov/datasets/genome/GCA_000966675.3/"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5.jpg"/><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4il6P/7u3O85v5iPyBD2eRSHhA==">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</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3B17AC6-415A-4D84-80D4-6C22D7142D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17</Pages>
  <Words>4461</Words>
  <Characters>24539</Characters>
  <Application>Microsoft Office Word</Application>
  <DocSecurity>0</DocSecurity>
  <Lines>204</Lines>
  <Paragraphs>57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 Media SA</dc:creator>
  <cp:lastModifiedBy>Zoé RIBEYRE</cp:lastModifiedBy>
  <cp:revision>14</cp:revision>
  <cp:lastPrinted>2024-03-05T18:49:00Z</cp:lastPrinted>
  <dcterms:created xsi:type="dcterms:W3CDTF">2023-10-24T19:08:00Z</dcterms:created>
  <dcterms:modified xsi:type="dcterms:W3CDTF">2024-05-08T17:31:00Z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id="oylaMF31"/&gt;&lt;style id="http://www.zotero.org/styles/frontiers-in-plant-science" hasBibliography="1" bibliographyStyleHasBeenSet="1"/&gt;&lt;prefs&gt;&lt;pref name="fieldType" value="Field"/&gt;&lt;pref name="automa</vt:lpwstr>
  </property>
  <property fmtid="{D5CDD505-2E9C-101B-9397-08002B2CF9AE}" pid="3" name="ZOTERO_PREF_2">
    <vt:lpwstr>ticJournalAbbreviations" value="true"/&gt;&lt;/prefs&gt;&lt;/data&gt;</vt:lpwstr>
  </property>
</Properties>
</file>