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30D6" w:rsidRDefault="00BC6FAC" w:rsidP="00BC6FAC">
      <w:pPr>
        <w:spacing w:line="480" w:lineRule="auto"/>
        <w:rPr>
          <w:rFonts w:ascii="Times New Roman" w:eastAsia="Times New Roman" w:hAnsi="Times New Roman" w:cs="Times New Roman"/>
          <w:b/>
          <w:sz w:val="22"/>
          <w:szCs w:val="22"/>
        </w:rPr>
      </w:pPr>
      <w:bookmarkStart w:id="0" w:name="_Hlk74062569"/>
      <w:r w:rsidRPr="00191F2F">
        <w:rPr>
          <w:rFonts w:ascii="Times New Roman" w:eastAsia="Times New Roman" w:hAnsi="Times New Roman" w:cs="Times New Roman"/>
          <w:b/>
          <w:sz w:val="22"/>
          <w:szCs w:val="22"/>
        </w:rPr>
        <w:t xml:space="preserve">Supplementary Material </w:t>
      </w:r>
    </w:p>
    <w:p w:rsidR="006E01DC" w:rsidRPr="002571A1" w:rsidRDefault="00BC6FAC" w:rsidP="002571A1">
      <w:pPr>
        <w:spacing w:line="480" w:lineRule="auto"/>
        <w:rPr>
          <w:rFonts w:ascii="Times New Roman" w:eastAsia="Times New Roman" w:hAnsi="Times New Roman" w:cs="Times New Roman"/>
          <w:b/>
          <w:sz w:val="22"/>
          <w:szCs w:val="22"/>
        </w:rPr>
      </w:pPr>
      <w:r w:rsidRPr="00191F2F">
        <w:rPr>
          <w:rFonts w:ascii="Times New Roman" w:eastAsia="Times New Roman" w:hAnsi="Times New Roman" w:cs="Times New Roman"/>
          <w:sz w:val="22"/>
          <w:szCs w:val="22"/>
        </w:rPr>
        <w:t xml:space="preserve">Familial Risk and </w:t>
      </w:r>
      <w:r w:rsidR="00F930D6">
        <w:rPr>
          <w:rFonts w:ascii="Times New Roman" w:eastAsia="Times New Roman" w:hAnsi="Times New Roman" w:cs="Times New Roman"/>
          <w:sz w:val="22"/>
          <w:szCs w:val="22"/>
        </w:rPr>
        <w:t xml:space="preserve">Interaction with </w:t>
      </w:r>
      <w:r w:rsidRPr="00191F2F">
        <w:rPr>
          <w:rFonts w:ascii="Times New Roman" w:eastAsia="Times New Roman" w:hAnsi="Times New Roman" w:cs="Times New Roman"/>
          <w:sz w:val="22"/>
          <w:szCs w:val="22"/>
        </w:rPr>
        <w:t>Hypertension and Hyperglycemia in Primary Open-Angle Glaucoma</w:t>
      </w:r>
    </w:p>
    <w:p w:rsidR="006E01DC" w:rsidRPr="00191F2F" w:rsidRDefault="006E01DC" w:rsidP="006E01DC">
      <w:pPr>
        <w:spacing w:line="480" w:lineRule="auto"/>
        <w:rPr>
          <w:rFonts w:ascii="Times New Roman" w:eastAsia="Times New Roman" w:hAnsi="Times New Roman" w:cs="Times New Roman"/>
          <w:b/>
          <w:i/>
          <w:sz w:val="22"/>
          <w:szCs w:val="22"/>
        </w:rPr>
      </w:pPr>
      <w:r w:rsidRPr="00191F2F">
        <w:rPr>
          <w:rFonts w:ascii="Times New Roman" w:eastAsia="Times New Roman" w:hAnsi="Times New Roman" w:cs="Times New Roman"/>
          <w:b/>
          <w:i/>
          <w:sz w:val="22"/>
          <w:szCs w:val="22"/>
        </w:rPr>
        <w:t>Supplementary Text S</w:t>
      </w:r>
      <w:r w:rsidR="002571A1">
        <w:rPr>
          <w:rFonts w:ascii="Times New Roman" w:eastAsia="Times New Roman" w:hAnsi="Times New Roman" w:cs="Times New Roman"/>
          <w:b/>
          <w:i/>
          <w:sz w:val="22"/>
          <w:szCs w:val="22"/>
        </w:rPr>
        <w:t>1</w:t>
      </w:r>
      <w:r w:rsidRPr="00191F2F">
        <w:rPr>
          <w:rFonts w:ascii="Times New Roman" w:eastAsia="Times New Roman" w:hAnsi="Times New Roman" w:cs="Times New Roman"/>
          <w:b/>
          <w:i/>
          <w:sz w:val="22"/>
          <w:szCs w:val="22"/>
        </w:rPr>
        <w:t>: Categorization of lifestyle factors</w:t>
      </w:r>
    </w:p>
    <w:p w:rsidR="00BC6FAC" w:rsidRPr="002571A1" w:rsidRDefault="006E01DC" w:rsidP="002571A1">
      <w:pPr>
        <w:spacing w:line="480" w:lineRule="auto"/>
        <w:ind w:firstLine="720"/>
        <w:rPr>
          <w:rFonts w:ascii="Times New Roman" w:hAnsi="Times New Roman" w:cs="Times New Roman"/>
          <w:sz w:val="22"/>
          <w:szCs w:val="22"/>
          <w:lang w:val="en-US"/>
        </w:rPr>
      </w:pPr>
      <w:r w:rsidRPr="00191F2F">
        <w:rPr>
          <w:rFonts w:ascii="Times New Roman" w:hAnsi="Times New Roman" w:cs="Times New Roman"/>
          <w:sz w:val="22"/>
          <w:szCs w:val="22"/>
        </w:rPr>
        <w:t xml:space="preserve">In the NHSP checkups, fasting blood cholesterol levels are measured. Individuals with total blood cholesterol below 200 mg/dL were categorized as ‘normal’, those between 200-239 ‘borderline’ and those ≥ 240 were categorized as ‘high’. </w:t>
      </w:r>
      <w:r w:rsidRPr="00191F2F">
        <w:rPr>
          <w:rFonts w:ascii="Times New Roman" w:hAnsi="Times New Roman" w:cs="Times New Roman"/>
          <w:sz w:val="22"/>
          <w:szCs w:val="22"/>
          <w:lang w:val="en-US"/>
        </w:rPr>
        <w:t>The NHSP questionnaire contains details on cigarette smoking including smoking status, duration of smoking, start and stop year of smoking, and it also records the number of packs consumed per day. In this study, smoking was categorized according to pack-years: non-smoker (0 pack-years), smoker fewer than 5 pack-years, 5-9 pack-years, 10-19 pack-years, 20-29 pack-years</w:t>
      </w:r>
      <w:r w:rsidR="00801DA8">
        <w:rPr>
          <w:rFonts w:ascii="Times New Roman" w:hAnsi="Times New Roman" w:cs="Times New Roman"/>
          <w:sz w:val="22"/>
          <w:szCs w:val="22"/>
          <w:lang w:val="en-US"/>
        </w:rPr>
        <w:t>,</w:t>
      </w:r>
      <w:r w:rsidRPr="00191F2F">
        <w:rPr>
          <w:rFonts w:ascii="Times New Roman" w:hAnsi="Times New Roman" w:cs="Times New Roman"/>
          <w:sz w:val="22"/>
          <w:szCs w:val="22"/>
          <w:lang w:val="en-US"/>
        </w:rPr>
        <w:t xml:space="preserve"> 30</w:t>
      </w:r>
      <w:r w:rsidR="00801DA8">
        <w:rPr>
          <w:rFonts w:ascii="Times New Roman" w:hAnsi="Times New Roman" w:cs="Times New Roman"/>
          <w:sz w:val="22"/>
          <w:szCs w:val="22"/>
          <w:lang w:val="en-US"/>
        </w:rPr>
        <w:t>-39</w:t>
      </w:r>
      <w:r w:rsidRPr="00191F2F">
        <w:rPr>
          <w:rFonts w:ascii="Times New Roman" w:hAnsi="Times New Roman" w:cs="Times New Roman"/>
          <w:sz w:val="22"/>
          <w:szCs w:val="22"/>
          <w:lang w:val="en-US"/>
        </w:rPr>
        <w:t xml:space="preserve"> pack-years</w:t>
      </w:r>
      <w:r w:rsidR="00801DA8">
        <w:rPr>
          <w:rFonts w:ascii="Times New Roman" w:hAnsi="Times New Roman" w:cs="Times New Roman"/>
          <w:sz w:val="22"/>
          <w:szCs w:val="22"/>
          <w:lang w:val="en-US"/>
        </w:rPr>
        <w:t xml:space="preserve"> </w:t>
      </w:r>
      <w:r w:rsidR="00801DA8" w:rsidRPr="00191F2F">
        <w:rPr>
          <w:rFonts w:ascii="Times New Roman" w:hAnsi="Times New Roman" w:cs="Times New Roman"/>
          <w:sz w:val="22"/>
          <w:szCs w:val="22"/>
          <w:lang w:val="en-US"/>
        </w:rPr>
        <w:t>and more than</w:t>
      </w:r>
      <w:r w:rsidR="00801DA8">
        <w:rPr>
          <w:rFonts w:ascii="Times New Roman" w:hAnsi="Times New Roman" w:cs="Times New Roman"/>
          <w:sz w:val="22"/>
          <w:szCs w:val="22"/>
          <w:lang w:val="en-US"/>
        </w:rPr>
        <w:t xml:space="preserve"> 40 pack-years</w:t>
      </w:r>
      <w:r w:rsidRPr="00191F2F">
        <w:rPr>
          <w:rFonts w:ascii="Times New Roman" w:hAnsi="Times New Roman" w:cs="Times New Roman"/>
          <w:sz w:val="22"/>
          <w:szCs w:val="22"/>
          <w:lang w:val="en-US"/>
        </w:rPr>
        <w:t xml:space="preserve">. </w:t>
      </w:r>
      <w:r w:rsidRPr="00191F2F">
        <w:rPr>
          <w:rFonts w:ascii="Times New Roman" w:hAnsi="Times New Roman" w:cs="Times New Roman"/>
          <w:sz w:val="22"/>
          <w:szCs w:val="22"/>
        </w:rPr>
        <w:t>From the anthropometric measures taken at the NHSP health checkup, B</w:t>
      </w:r>
      <w:r w:rsidRPr="00191F2F">
        <w:rPr>
          <w:rFonts w:ascii="Times New Roman" w:eastAsia="Times New Roman" w:hAnsi="Times New Roman" w:cs="Times New Roman"/>
          <w:sz w:val="22"/>
          <w:szCs w:val="22"/>
        </w:rPr>
        <w:t xml:space="preserve">MI </w:t>
      </w:r>
      <w:r w:rsidRPr="00191F2F">
        <w:rPr>
          <w:rFonts w:ascii="Times New Roman" w:hAnsi="Times New Roman" w:cs="Times New Roman"/>
          <w:sz w:val="22"/>
          <w:szCs w:val="22"/>
        </w:rPr>
        <w:t>was</w:t>
      </w:r>
      <w:r w:rsidRPr="00191F2F">
        <w:rPr>
          <w:rFonts w:ascii="Times New Roman" w:eastAsia="Times New Roman" w:hAnsi="Times New Roman" w:cs="Times New Roman"/>
          <w:sz w:val="22"/>
          <w:szCs w:val="22"/>
        </w:rPr>
        <w:t xml:space="preserve"> classified as underweight (&lt;18</w:t>
      </w:r>
      <w:r w:rsidRPr="00191F2F">
        <w:rPr>
          <w:rFonts w:ascii="Times New Roman" w:hAnsi="Times New Roman" w:cs="Times New Roman"/>
          <w:sz w:val="22"/>
          <w:szCs w:val="22"/>
          <w:lang w:val="en-US"/>
        </w:rPr>
        <w:t>.</w:t>
      </w:r>
      <w:r w:rsidRPr="00191F2F">
        <w:rPr>
          <w:rFonts w:ascii="Times New Roman" w:eastAsia="Times New Roman" w:hAnsi="Times New Roman" w:cs="Times New Roman"/>
          <w:sz w:val="22"/>
          <w:szCs w:val="22"/>
        </w:rPr>
        <w:t>5), normal (18</w:t>
      </w:r>
      <w:r w:rsidRPr="00191F2F">
        <w:rPr>
          <w:rFonts w:ascii="Times New Roman" w:hAnsi="Times New Roman" w:cs="Times New Roman"/>
          <w:sz w:val="22"/>
          <w:szCs w:val="22"/>
          <w:lang w:val="en-US"/>
        </w:rPr>
        <w:t>.</w:t>
      </w:r>
      <w:r w:rsidRPr="00191F2F">
        <w:rPr>
          <w:rFonts w:ascii="Times New Roman" w:eastAsia="Times New Roman" w:hAnsi="Times New Roman" w:cs="Times New Roman"/>
          <w:sz w:val="22"/>
          <w:szCs w:val="22"/>
        </w:rPr>
        <w:t xml:space="preserve">5-&lt;25), overweight (25-&lt;30) and obese (≥30). With regards to alcohol consumption, </w:t>
      </w:r>
      <w:r w:rsidRPr="00191F2F">
        <w:rPr>
          <w:rFonts w:ascii="Times New Roman" w:hAnsi="Times New Roman" w:cs="Times New Roman"/>
          <w:sz w:val="22"/>
          <w:szCs w:val="22"/>
          <w:lang w:val="en-US"/>
        </w:rPr>
        <w:t xml:space="preserve">individuals were categorized according to standardized guidelines as either non-drinker, moderate drinker (&lt;2 times per week or &lt;5 drinks on any day (male); </w:t>
      </w:r>
      <w:r w:rsidRPr="00191F2F">
        <w:rPr>
          <w:rFonts w:ascii="Times New Roman" w:hAnsi="Times New Roman" w:cs="Times New Roman"/>
          <w:i/>
          <w:sz w:val="22"/>
          <w:szCs w:val="22"/>
          <w:lang w:val="en-US"/>
        </w:rPr>
        <w:t>or</w:t>
      </w:r>
      <w:r w:rsidRPr="00191F2F">
        <w:rPr>
          <w:rFonts w:ascii="Times New Roman" w:hAnsi="Times New Roman" w:cs="Times New Roman"/>
          <w:sz w:val="22"/>
          <w:szCs w:val="22"/>
          <w:lang w:val="en-US"/>
        </w:rPr>
        <w:t xml:space="preserve"> &lt;2 times per week or &lt;4 drinks on any day (female)), or heavy drinker (</w:t>
      </w:r>
      <w:r w:rsidRPr="00191F2F">
        <w:rPr>
          <w:rFonts w:ascii="Times New Roman" w:hAnsi="Times New Roman" w:cs="Times New Roman"/>
          <w:sz w:val="22"/>
          <w:szCs w:val="22"/>
        </w:rPr>
        <w:t>≥2</w:t>
      </w:r>
      <w:r w:rsidRPr="00191F2F">
        <w:rPr>
          <w:rFonts w:ascii="Times New Roman" w:hAnsi="Times New Roman" w:cs="Times New Roman"/>
          <w:sz w:val="22"/>
          <w:szCs w:val="22"/>
          <w:lang w:val="en-US"/>
        </w:rPr>
        <w:t xml:space="preserve"> times</w:t>
      </w:r>
      <w:r w:rsidRPr="00191F2F">
        <w:rPr>
          <w:rFonts w:ascii="Times New Roman" w:hAnsi="Times New Roman" w:cs="Times New Roman"/>
          <w:sz w:val="22"/>
          <w:szCs w:val="22"/>
        </w:rPr>
        <w:t xml:space="preserve"> per week and ≥5 drinks on any day (male); </w:t>
      </w:r>
      <w:r w:rsidRPr="00191F2F">
        <w:rPr>
          <w:rFonts w:ascii="Times New Roman" w:hAnsi="Times New Roman" w:cs="Times New Roman"/>
          <w:i/>
          <w:sz w:val="22"/>
          <w:szCs w:val="22"/>
        </w:rPr>
        <w:t xml:space="preserve">or </w:t>
      </w:r>
      <w:r w:rsidRPr="00191F2F">
        <w:rPr>
          <w:rFonts w:ascii="Times New Roman" w:hAnsi="Times New Roman" w:cs="Times New Roman"/>
          <w:sz w:val="22"/>
          <w:szCs w:val="22"/>
        </w:rPr>
        <w:t>≥2</w:t>
      </w:r>
      <w:r w:rsidRPr="00191F2F">
        <w:rPr>
          <w:rFonts w:ascii="Times New Roman" w:hAnsi="Times New Roman" w:cs="Times New Roman"/>
          <w:sz w:val="22"/>
          <w:szCs w:val="22"/>
          <w:lang w:val="en-US"/>
        </w:rPr>
        <w:t xml:space="preserve"> times</w:t>
      </w:r>
      <w:r w:rsidRPr="00191F2F">
        <w:rPr>
          <w:rFonts w:ascii="Times New Roman" w:hAnsi="Times New Roman" w:cs="Times New Roman"/>
          <w:sz w:val="22"/>
          <w:szCs w:val="22"/>
        </w:rPr>
        <w:t xml:space="preserve"> per week and ≥4 drinks on any day (female)). Occasional or social alcohol consumption could not be included.</w:t>
      </w:r>
    </w:p>
    <w:p w:rsidR="00191F2F" w:rsidRDefault="00BC6FAC" w:rsidP="00BC6FAC">
      <w:pPr>
        <w:spacing w:line="480" w:lineRule="auto"/>
        <w:rPr>
          <w:rFonts w:ascii="Times New Roman" w:eastAsia="Times New Roman" w:hAnsi="Times New Roman" w:cs="Times New Roman"/>
          <w:b/>
          <w:i/>
          <w:color w:val="000000" w:themeColor="text1"/>
          <w:sz w:val="22"/>
          <w:szCs w:val="22"/>
        </w:rPr>
      </w:pPr>
      <w:r w:rsidRPr="00191F2F">
        <w:rPr>
          <w:rFonts w:ascii="Times New Roman" w:eastAsia="Times New Roman" w:hAnsi="Times New Roman" w:cs="Times New Roman"/>
          <w:b/>
          <w:i/>
          <w:color w:val="000000" w:themeColor="text1"/>
          <w:sz w:val="22"/>
          <w:szCs w:val="22"/>
        </w:rPr>
        <w:t>Supplementary text S</w:t>
      </w:r>
      <w:r w:rsidR="002571A1">
        <w:rPr>
          <w:rFonts w:ascii="Times New Roman" w:eastAsia="Times New Roman" w:hAnsi="Times New Roman" w:cs="Times New Roman"/>
          <w:b/>
          <w:i/>
          <w:color w:val="000000" w:themeColor="text1"/>
          <w:sz w:val="22"/>
          <w:szCs w:val="22"/>
        </w:rPr>
        <w:t>2</w:t>
      </w:r>
      <w:r w:rsidR="00622D20" w:rsidRPr="00191F2F">
        <w:rPr>
          <w:rFonts w:ascii="Times New Roman" w:eastAsia="Times New Roman" w:hAnsi="Times New Roman" w:cs="Times New Roman"/>
          <w:b/>
          <w:i/>
          <w:color w:val="000000" w:themeColor="text1"/>
          <w:sz w:val="22"/>
          <w:szCs w:val="22"/>
        </w:rPr>
        <w:t>: Verification Process</w:t>
      </w:r>
    </w:p>
    <w:p w:rsidR="00BC6FAC" w:rsidRPr="00191F2F" w:rsidRDefault="00BC6FAC" w:rsidP="00BC6FAC">
      <w:pPr>
        <w:spacing w:line="480" w:lineRule="auto"/>
        <w:rPr>
          <w:rFonts w:ascii="Times New Roman" w:eastAsia="Times New Roman" w:hAnsi="Times New Roman" w:cs="Times New Roman"/>
          <w:sz w:val="22"/>
          <w:szCs w:val="22"/>
        </w:rPr>
      </w:pPr>
      <w:r w:rsidRPr="00191F2F">
        <w:rPr>
          <w:rFonts w:ascii="Times New Roman" w:eastAsia="Times New Roman" w:hAnsi="Times New Roman" w:cs="Times New Roman"/>
          <w:sz w:val="22"/>
          <w:szCs w:val="22"/>
        </w:rPr>
        <w:t xml:space="preserve">A random sample of outpatient medical records from a selected hospital was reviewed. 200 POAG cases and 200 suspected non-POAG cases from January 2007 to December 2018 were reviewed in order to identify any misclassification bias.  </w:t>
      </w:r>
    </w:p>
    <w:p w:rsidR="00BC6FAC" w:rsidRPr="002571A1" w:rsidRDefault="00BC6FAC" w:rsidP="002571A1">
      <w:pPr>
        <w:spacing w:line="480" w:lineRule="auto"/>
        <w:ind w:firstLine="720"/>
        <w:rPr>
          <w:rFonts w:ascii="Times New Roman" w:eastAsia="Times New Roman" w:hAnsi="Times New Roman" w:cs="Times New Roman"/>
          <w:sz w:val="22"/>
          <w:szCs w:val="22"/>
        </w:rPr>
      </w:pPr>
      <w:r w:rsidRPr="00191F2F">
        <w:rPr>
          <w:rFonts w:ascii="Times New Roman" w:eastAsia="Times New Roman" w:hAnsi="Times New Roman" w:cs="Times New Roman"/>
          <w:sz w:val="22"/>
          <w:szCs w:val="22"/>
        </w:rPr>
        <w:t xml:space="preserve">All medical records were assessed independently by two experienced ophthalmologists. POAG and non-POAG cases were evaluated on whether they did or did not meet the gold standard. We considered the gold standard of POAG to be a case that met all of the following criteria: the </w:t>
      </w:r>
      <w:r w:rsidRPr="00191F2F">
        <w:rPr>
          <w:rFonts w:ascii="Times New Roman" w:eastAsia="Times New Roman" w:hAnsi="Times New Roman" w:cs="Times New Roman" w:hint="eastAsia"/>
          <w:sz w:val="22"/>
          <w:szCs w:val="22"/>
        </w:rPr>
        <w:t>acquired loss of optic nerve fibers in the presence of open anterior chamber angles, characteristic visual field abnormalities, </w:t>
      </w:r>
      <w:r w:rsidRPr="00191F2F">
        <w:rPr>
          <w:rFonts w:ascii="Times New Roman" w:eastAsia="Times New Roman" w:hAnsi="Times New Roman" w:cs="Times New Roman"/>
          <w:sz w:val="22"/>
          <w:szCs w:val="22"/>
        </w:rPr>
        <w:t>intraocular</w:t>
      </w:r>
      <w:r w:rsidRPr="00191F2F">
        <w:rPr>
          <w:rFonts w:ascii="Times New Roman" w:eastAsia="Times New Roman" w:hAnsi="Times New Roman" w:cs="Times New Roman" w:hint="eastAsia"/>
          <w:sz w:val="22"/>
          <w:szCs w:val="22"/>
        </w:rPr>
        <w:t xml:space="preserve"> pressure that is too high for the continued health of the eye</w:t>
      </w:r>
      <w:r w:rsidRPr="00191F2F">
        <w:rPr>
          <w:rFonts w:ascii="Times New Roman" w:eastAsia="Times New Roman" w:hAnsi="Times New Roman" w:cs="Times New Roman"/>
          <w:sz w:val="22"/>
          <w:szCs w:val="22"/>
        </w:rPr>
        <w:t>,</w:t>
      </w:r>
      <w:r w:rsidRPr="00191F2F">
        <w:rPr>
          <w:rFonts w:ascii="Times New Roman" w:eastAsia="Times New Roman" w:hAnsi="Times New Roman" w:cs="Times New Roman" w:hint="eastAsia"/>
          <w:sz w:val="22"/>
          <w:szCs w:val="22"/>
        </w:rPr>
        <w:t xml:space="preserve"> and cupping of the optic disc on ophthalmoscopy</w:t>
      </w:r>
      <w:r w:rsidRPr="00191F2F">
        <w:rPr>
          <w:rFonts w:ascii="Times New Roman" w:eastAsia="Times New Roman" w:hAnsi="Times New Roman" w:cs="Times New Roman"/>
          <w:sz w:val="22"/>
          <w:szCs w:val="22"/>
        </w:rPr>
        <w:t xml:space="preserve">. The specificity, sensitivity, and the positive and negative values of each </w:t>
      </w:r>
      <w:r w:rsidRPr="00191F2F">
        <w:rPr>
          <w:rFonts w:ascii="Times New Roman" w:eastAsia="Times New Roman" w:hAnsi="Times New Roman" w:cs="Times New Roman"/>
          <w:sz w:val="22"/>
          <w:szCs w:val="22"/>
        </w:rPr>
        <w:lastRenderedPageBreak/>
        <w:t xml:space="preserve">algorithm were calculated. 190 POAG cases met the gold standard and 186 non-POAG cases did not meet the criteria. The case algorithm used in our study had a sensitivity and specificity of 92% and 93%, respectively. </w:t>
      </w:r>
    </w:p>
    <w:bookmarkEnd w:id="0"/>
    <w:p w:rsidR="009474D1" w:rsidRPr="00191F2F" w:rsidRDefault="00C4026B" w:rsidP="009474D1">
      <w:pPr>
        <w:spacing w:line="480" w:lineRule="auto"/>
        <w:rPr>
          <w:rFonts w:ascii="Times New Roman" w:eastAsia="Times New Roman" w:hAnsi="Times New Roman" w:cs="Times New Roman"/>
          <w:b/>
          <w:i/>
          <w:sz w:val="22"/>
          <w:szCs w:val="22"/>
        </w:rPr>
      </w:pPr>
      <w:r w:rsidRPr="00191F2F">
        <w:rPr>
          <w:rFonts w:ascii="Times New Roman" w:eastAsia="Times New Roman" w:hAnsi="Times New Roman" w:cs="Times New Roman"/>
          <w:b/>
          <w:i/>
          <w:sz w:val="22"/>
          <w:szCs w:val="22"/>
        </w:rPr>
        <w:t>Supplementary text S</w:t>
      </w:r>
      <w:r w:rsidR="002571A1">
        <w:rPr>
          <w:rFonts w:ascii="Times New Roman" w:eastAsia="Times New Roman" w:hAnsi="Times New Roman" w:cs="Times New Roman"/>
          <w:b/>
          <w:i/>
          <w:sz w:val="22"/>
          <w:szCs w:val="22"/>
        </w:rPr>
        <w:t>3</w:t>
      </w:r>
      <w:r w:rsidRPr="00191F2F">
        <w:rPr>
          <w:rFonts w:ascii="Times New Roman" w:eastAsia="Times New Roman" w:hAnsi="Times New Roman" w:cs="Times New Roman"/>
          <w:b/>
          <w:i/>
          <w:sz w:val="22"/>
          <w:szCs w:val="22"/>
        </w:rPr>
        <w:t xml:space="preserve"> </w:t>
      </w:r>
      <w:r w:rsidR="009474D1" w:rsidRPr="00191F2F">
        <w:rPr>
          <w:rFonts w:ascii="Times New Roman" w:eastAsia="Times New Roman" w:hAnsi="Times New Roman" w:cs="Times New Roman"/>
          <w:b/>
          <w:i/>
          <w:sz w:val="22"/>
          <w:szCs w:val="22"/>
        </w:rPr>
        <w:t xml:space="preserve">Age- and sex-specific familial risks of POAG </w:t>
      </w:r>
    </w:p>
    <w:p w:rsidR="00A6415D" w:rsidRPr="00191F2F" w:rsidRDefault="00A6415D" w:rsidP="009474D1">
      <w:pPr>
        <w:spacing w:line="480" w:lineRule="auto"/>
        <w:rPr>
          <w:rFonts w:ascii="Times New Roman" w:eastAsia="Times New Roman" w:hAnsi="Times New Roman" w:cs="Times New Roman"/>
          <w:b/>
          <w:sz w:val="22"/>
          <w:szCs w:val="22"/>
        </w:rPr>
      </w:pPr>
      <w:r w:rsidRPr="00191F2F">
        <w:rPr>
          <w:rFonts w:ascii="Times New Roman" w:eastAsia="Times New Roman" w:hAnsi="Times New Roman" w:cs="Times New Roman"/>
          <w:b/>
          <w:sz w:val="22"/>
          <w:szCs w:val="22"/>
        </w:rPr>
        <w:t xml:space="preserve">Methods </w:t>
      </w:r>
    </w:p>
    <w:p w:rsidR="00A6415D" w:rsidRPr="00191F2F" w:rsidRDefault="00A6415D" w:rsidP="00A6415D">
      <w:pPr>
        <w:spacing w:line="480" w:lineRule="auto"/>
        <w:ind w:firstLine="720"/>
        <w:rPr>
          <w:rFonts w:ascii="Times New Roman" w:hAnsi="Times New Roman" w:cs="Times New Roman"/>
          <w:sz w:val="22"/>
          <w:szCs w:val="22"/>
        </w:rPr>
      </w:pPr>
      <w:r w:rsidRPr="00191F2F">
        <w:rPr>
          <w:rFonts w:ascii="Times New Roman" w:hAnsi="Times New Roman" w:cs="Times New Roman"/>
          <w:sz w:val="22"/>
          <w:szCs w:val="22"/>
        </w:rPr>
        <w:t>Age- and sex-specific familial risks were calculated by comparing the incidences of POAG among individuals with and without affected parents in each age group and gender. We categorized age groups from zero to fifty years by 10-year intervals. Both age- and sex-specific familial risks were calculated for each familial relationship, namely affected father, mother, or both.</w:t>
      </w:r>
    </w:p>
    <w:p w:rsidR="009474D1" w:rsidRPr="00191F2F" w:rsidRDefault="009474D1" w:rsidP="009474D1">
      <w:pPr>
        <w:spacing w:line="480" w:lineRule="auto"/>
        <w:rPr>
          <w:rFonts w:ascii="Times New Roman" w:eastAsia="Times New Roman" w:hAnsi="Times New Roman" w:cs="Times New Roman"/>
          <w:b/>
          <w:sz w:val="22"/>
          <w:szCs w:val="22"/>
        </w:rPr>
      </w:pPr>
      <w:r w:rsidRPr="00191F2F">
        <w:rPr>
          <w:rFonts w:ascii="Times New Roman" w:eastAsia="Times New Roman" w:hAnsi="Times New Roman" w:cs="Times New Roman"/>
          <w:b/>
          <w:sz w:val="22"/>
          <w:szCs w:val="22"/>
        </w:rPr>
        <w:t>Results</w:t>
      </w:r>
    </w:p>
    <w:p w:rsidR="009474D1" w:rsidRPr="00191F2F" w:rsidRDefault="004D2660" w:rsidP="009474D1">
      <w:pPr>
        <w:spacing w:line="480" w:lineRule="auto"/>
        <w:ind w:firstLine="720"/>
        <w:rPr>
          <w:rFonts w:ascii="Times New Roman" w:eastAsia="Times New Roman" w:hAnsi="Times New Roman" w:cs="Times New Roman"/>
          <w:sz w:val="22"/>
          <w:szCs w:val="22"/>
        </w:rPr>
      </w:pPr>
      <w:r w:rsidRPr="00191F2F">
        <w:rPr>
          <w:rFonts w:ascii="Times New Roman" w:eastAsia="Times New Roman" w:hAnsi="Times New Roman" w:cs="Times New Roman"/>
          <w:b/>
          <w:i/>
          <w:sz w:val="22"/>
          <w:szCs w:val="22"/>
        </w:rPr>
        <w:t>Supplementary figure S1</w:t>
      </w:r>
      <w:r w:rsidR="009474D1" w:rsidRPr="00191F2F">
        <w:rPr>
          <w:rFonts w:ascii="Times New Roman" w:eastAsia="Times New Roman" w:hAnsi="Times New Roman" w:cs="Times New Roman"/>
          <w:b/>
          <w:i/>
          <w:sz w:val="22"/>
          <w:szCs w:val="22"/>
        </w:rPr>
        <w:t xml:space="preserve"> </w:t>
      </w:r>
      <w:r w:rsidR="009474D1" w:rsidRPr="00191F2F">
        <w:rPr>
          <w:rFonts w:ascii="Times New Roman" w:eastAsia="Times New Roman" w:hAnsi="Times New Roman" w:cs="Times New Roman"/>
          <w:sz w:val="22"/>
          <w:szCs w:val="22"/>
        </w:rPr>
        <w:t xml:space="preserve">displays the familial risk of POAG according to age groups and sex. We found that the familial risk was age-dependent, as the respective HRs for each age group decreased with advancing age. For individuals with affected mother, the HRs were </w:t>
      </w:r>
      <w:r w:rsidR="009474D1" w:rsidRPr="00191F2F">
        <w:rPr>
          <w:rFonts w:ascii="Times New Roman" w:eastAsia="Malgun Gothic" w:hAnsi="Times New Roman" w:cs="Times New Roman"/>
          <w:bCs/>
          <w:sz w:val="22"/>
          <w:szCs w:val="22"/>
          <w:lang w:val="en-US"/>
        </w:rPr>
        <w:t>5.52 (</w:t>
      </w:r>
      <w:r w:rsidR="009474D1" w:rsidRPr="00191F2F">
        <w:rPr>
          <w:rFonts w:ascii="Times New Roman" w:eastAsia="Times New Roman" w:hAnsi="Times New Roman" w:cs="Times New Roman"/>
          <w:sz w:val="22"/>
          <w:szCs w:val="22"/>
        </w:rPr>
        <w:t>95% CI 3.85-7.67</w:t>
      </w:r>
      <w:r w:rsidR="009474D1" w:rsidRPr="00191F2F">
        <w:rPr>
          <w:rFonts w:ascii="Times New Roman" w:eastAsia="Malgun Gothic" w:hAnsi="Times New Roman" w:cs="Times New Roman"/>
          <w:bCs/>
          <w:sz w:val="22"/>
          <w:szCs w:val="22"/>
          <w:lang w:val="en-US"/>
        </w:rPr>
        <w:t>)</w:t>
      </w:r>
      <w:r w:rsidR="009474D1" w:rsidRPr="00191F2F">
        <w:rPr>
          <w:rFonts w:ascii="Times New Roman" w:eastAsia="Times New Roman" w:hAnsi="Times New Roman" w:cs="Times New Roman"/>
          <w:sz w:val="22"/>
          <w:szCs w:val="22"/>
        </w:rPr>
        <w:t xml:space="preserve"> among the </w:t>
      </w:r>
      <w:proofErr w:type="gramStart"/>
      <w:r w:rsidR="009474D1" w:rsidRPr="00191F2F">
        <w:rPr>
          <w:rFonts w:ascii="Times New Roman" w:eastAsia="Times New Roman" w:hAnsi="Times New Roman" w:cs="Times New Roman"/>
          <w:sz w:val="22"/>
          <w:szCs w:val="22"/>
        </w:rPr>
        <w:t>20-30 year</w:t>
      </w:r>
      <w:proofErr w:type="gramEnd"/>
      <w:r w:rsidR="009474D1" w:rsidRPr="00191F2F">
        <w:rPr>
          <w:rFonts w:ascii="Times New Roman" w:eastAsia="Times New Roman" w:hAnsi="Times New Roman" w:cs="Times New Roman"/>
          <w:sz w:val="22"/>
          <w:szCs w:val="22"/>
        </w:rPr>
        <w:t xml:space="preserve"> age group, </w:t>
      </w:r>
      <w:r w:rsidR="009474D1" w:rsidRPr="00191F2F">
        <w:rPr>
          <w:rFonts w:ascii="Times New Roman" w:eastAsia="Gulim" w:hAnsi="Times New Roman" w:cs="Times New Roman"/>
          <w:sz w:val="22"/>
          <w:szCs w:val="22"/>
          <w:lang w:val="en-US"/>
        </w:rPr>
        <w:t>2.92 (</w:t>
      </w:r>
      <w:r w:rsidR="009474D1" w:rsidRPr="00191F2F">
        <w:rPr>
          <w:rFonts w:ascii="Times New Roman" w:eastAsia="Times New Roman" w:hAnsi="Times New Roman" w:cs="Times New Roman"/>
          <w:sz w:val="22"/>
          <w:szCs w:val="22"/>
        </w:rPr>
        <w:t xml:space="preserve">95% CI </w:t>
      </w:r>
      <w:r w:rsidR="009474D1" w:rsidRPr="00191F2F">
        <w:rPr>
          <w:rFonts w:ascii="Times New Roman" w:eastAsia="Gulim" w:hAnsi="Times New Roman" w:cs="Times New Roman"/>
          <w:sz w:val="22"/>
          <w:szCs w:val="22"/>
          <w:lang w:val="en-US"/>
        </w:rPr>
        <w:t>1.88-4.33)</w:t>
      </w:r>
      <w:r w:rsidR="009474D1" w:rsidRPr="00191F2F">
        <w:rPr>
          <w:rFonts w:ascii="Times New Roman" w:eastAsia="Times New Roman" w:hAnsi="Times New Roman" w:cs="Times New Roman"/>
          <w:sz w:val="22"/>
          <w:szCs w:val="22"/>
        </w:rPr>
        <w:t xml:space="preserve"> for the 30-40 year age group, and </w:t>
      </w:r>
      <w:r w:rsidR="009474D1" w:rsidRPr="00191F2F">
        <w:rPr>
          <w:rFonts w:ascii="Times New Roman" w:eastAsia="Gulim" w:hAnsi="Times New Roman" w:cs="Times New Roman"/>
          <w:sz w:val="22"/>
          <w:szCs w:val="22"/>
          <w:lang w:val="en-US"/>
        </w:rPr>
        <w:t>2.20 (</w:t>
      </w:r>
      <w:r w:rsidR="009474D1" w:rsidRPr="00191F2F">
        <w:rPr>
          <w:rFonts w:ascii="Times New Roman" w:eastAsia="Times New Roman" w:hAnsi="Times New Roman" w:cs="Times New Roman"/>
          <w:sz w:val="22"/>
          <w:szCs w:val="22"/>
        </w:rPr>
        <w:t xml:space="preserve">95% CI </w:t>
      </w:r>
      <w:r w:rsidR="009474D1" w:rsidRPr="00191F2F">
        <w:rPr>
          <w:rFonts w:ascii="Times New Roman" w:eastAsia="Gulim" w:hAnsi="Times New Roman" w:cs="Times New Roman"/>
          <w:sz w:val="22"/>
          <w:szCs w:val="22"/>
          <w:lang w:val="en-US"/>
        </w:rPr>
        <w:t>1.38-3.32)</w:t>
      </w:r>
      <w:r w:rsidR="009474D1" w:rsidRPr="00191F2F">
        <w:rPr>
          <w:rFonts w:ascii="Times New Roman" w:eastAsia="Times New Roman" w:hAnsi="Times New Roman" w:cs="Times New Roman"/>
          <w:sz w:val="22"/>
          <w:szCs w:val="22"/>
        </w:rPr>
        <w:t xml:space="preserve"> among individuals older than 50 years. Similar trends were observed across age groups of individuals with affected father. </w:t>
      </w:r>
    </w:p>
    <w:p w:rsidR="009558A2" w:rsidRPr="00191F2F" w:rsidRDefault="009474D1" w:rsidP="009474D1">
      <w:pPr>
        <w:spacing w:line="480" w:lineRule="auto"/>
        <w:rPr>
          <w:rFonts w:ascii="Times New Roman" w:hAnsi="Times New Roman" w:cs="Times New Roman"/>
          <w:sz w:val="22"/>
          <w:szCs w:val="22"/>
        </w:rPr>
      </w:pPr>
      <w:r w:rsidRPr="00191F2F">
        <w:rPr>
          <w:rFonts w:ascii="Times New Roman" w:eastAsia="Times New Roman" w:hAnsi="Times New Roman" w:cs="Times New Roman"/>
          <w:sz w:val="22"/>
          <w:szCs w:val="22"/>
        </w:rPr>
        <w:tab/>
        <w:t>According to sex, females with an affected parent had a higher risk of disease compared to males, with HRs of 5.31 (95% CI 4.34-6.51) and 2.97 (</w:t>
      </w:r>
      <w:bookmarkStart w:id="1" w:name="OLE_LINK3"/>
      <w:r w:rsidRPr="00191F2F">
        <w:rPr>
          <w:rFonts w:ascii="Times New Roman" w:eastAsia="Times New Roman" w:hAnsi="Times New Roman" w:cs="Times New Roman"/>
          <w:sz w:val="22"/>
          <w:szCs w:val="22"/>
        </w:rPr>
        <w:t xml:space="preserve">95% CI </w:t>
      </w:r>
      <w:bookmarkEnd w:id="1"/>
      <w:r w:rsidRPr="00191F2F">
        <w:rPr>
          <w:rFonts w:ascii="Times New Roman" w:eastAsia="Times New Roman" w:hAnsi="Times New Roman" w:cs="Times New Roman"/>
          <w:sz w:val="22"/>
          <w:szCs w:val="22"/>
        </w:rPr>
        <w:t xml:space="preserve">2.48-3.55), respectively. Females with an affected father or mother showed HRs of 4.87 (95% CI 3.53-6.72) and 5.53 (95% CI 4.27-7.16), respectively. Males with affected father or mother had HRs of 3.62 (95% CI 2.79-4.71) and 2.55 (95% CI 2.00-3.25), respectively. </w:t>
      </w:r>
    </w:p>
    <w:p w:rsidR="009474D1" w:rsidRPr="00191F2F" w:rsidRDefault="009474D1" w:rsidP="009474D1">
      <w:pPr>
        <w:spacing w:line="480" w:lineRule="auto"/>
        <w:rPr>
          <w:rFonts w:ascii="Times New Roman" w:hAnsi="Times New Roman" w:cs="Times New Roman"/>
          <w:b/>
          <w:sz w:val="22"/>
          <w:szCs w:val="22"/>
        </w:rPr>
      </w:pPr>
      <w:r w:rsidRPr="00191F2F">
        <w:rPr>
          <w:rFonts w:ascii="Times New Roman" w:hAnsi="Times New Roman" w:cs="Times New Roman"/>
          <w:b/>
          <w:sz w:val="22"/>
          <w:szCs w:val="22"/>
        </w:rPr>
        <w:t xml:space="preserve">Discussion </w:t>
      </w:r>
    </w:p>
    <w:p w:rsidR="009474D1" w:rsidRPr="00191F2F" w:rsidRDefault="009474D1" w:rsidP="009474D1">
      <w:pPr>
        <w:spacing w:line="480" w:lineRule="auto"/>
        <w:rPr>
          <w:rFonts w:ascii="Times New Roman" w:eastAsia="Times New Roman" w:hAnsi="Times New Roman" w:cs="Times New Roman"/>
          <w:sz w:val="22"/>
          <w:szCs w:val="22"/>
        </w:rPr>
      </w:pPr>
      <w:r w:rsidRPr="00191F2F">
        <w:rPr>
          <w:rFonts w:ascii="Times New Roman" w:eastAsia="Times New Roman" w:hAnsi="Times New Roman" w:cs="Times New Roman"/>
          <w:sz w:val="22"/>
          <w:szCs w:val="22"/>
        </w:rPr>
        <w:t xml:space="preserve">We observed age-dependence for familial risk of POAG, as higher HRs in younger age groups declined when age increased. In line with findings from other diseases, such early disease onset is a characteristic of genetically predisposed diseases. It has been suggested that genetically determined disease features are </w:t>
      </w:r>
      <w:r w:rsidRPr="00191F2F">
        <w:rPr>
          <w:rFonts w:ascii="Times New Roman" w:eastAsia="Times New Roman" w:hAnsi="Times New Roman" w:cs="Times New Roman"/>
          <w:sz w:val="22"/>
          <w:szCs w:val="22"/>
        </w:rPr>
        <w:lastRenderedPageBreak/>
        <w:t>more sensitive to environmental factors in adult-onset POAG due to disruption of normal physiologic homeostatic mechanisms</w:t>
      </w:r>
      <w:r w:rsidRPr="00191F2F">
        <w:rPr>
          <w:rFonts w:ascii="Times New Roman" w:eastAsia="Times New Roman" w:hAnsi="Times New Roman" w:cs="Times New Roman"/>
          <w:sz w:val="22"/>
          <w:szCs w:val="22"/>
        </w:rPr>
        <w:fldChar w:fldCharType="begin"/>
      </w:r>
      <w:r w:rsidRPr="00191F2F">
        <w:rPr>
          <w:rFonts w:ascii="Times New Roman" w:eastAsia="Times New Roman" w:hAnsi="Times New Roman" w:cs="Times New Roman"/>
          <w:sz w:val="22"/>
          <w:szCs w:val="22"/>
        </w:rPr>
        <w:instrText xml:space="preserve"> ADDIN EN.CITE &lt;EndNote&gt;&lt;Cite&gt;&lt;Author&gt;Wiggs&lt;/Author&gt;&lt;Year&gt;2007&lt;/Year&gt;&lt;RecNum&gt;33&lt;/RecNum&gt;&lt;DisplayText&gt;&lt;style face="superscript"&gt;1&lt;/style&gt;&lt;/DisplayText&gt;&lt;record&gt;&lt;rec-number&gt;33&lt;/rec-number&gt;&lt;foreign-keys&gt;&lt;key app="EN" db-id="02xwzfpvlvwwwbep0fap9stbwsrxfx9tsf0p" timestamp="1657501051"&gt;33&lt;/key&gt;&lt;/foreign-keys&gt;&lt;ref-type name="Journal Article"&gt;17&lt;/ref-type&gt;&lt;contributors&gt;&lt;authors&gt;&lt;author&gt;Wiggs, J. L.&lt;/author&gt;&lt;/authors&gt;&lt;/contributors&gt;&lt;auth-address&gt;Department of Ophthalmology, Harvard Medical School, Boston, Mass, USA. janey_wiggs@meei.harvard.edu&lt;/auth-address&gt;&lt;titles&gt;&lt;title&gt;Genetic etiologies of glaucoma&lt;/title&gt;&lt;secondary-title&gt;Arch Ophthalmol&lt;/secondary-title&gt;&lt;/titles&gt;&lt;periodical&gt;&lt;full-title&gt;Arch Ophthalmol&lt;/full-title&gt;&lt;/periodical&gt;&lt;pages&gt;30-7&lt;/pages&gt;&lt;volume&gt;125&lt;/volume&gt;&lt;number&gt;1&lt;/number&gt;&lt;edition&gt;2007/01/11&lt;/edition&gt;&lt;keywords&gt;&lt;keyword&gt;Genes, Dominant&lt;/keyword&gt;&lt;keyword&gt;Genes, Recessive&lt;/keyword&gt;&lt;keyword&gt;Glaucoma, Open-Angle/*genetics&lt;/keyword&gt;&lt;keyword&gt;Humans&lt;/keyword&gt;&lt;keyword&gt;Optic Nerve Diseases/genetics&lt;/keyword&gt;&lt;/keywords&gt;&lt;dates&gt;&lt;year&gt;2007&lt;/year&gt;&lt;pub-dates&gt;&lt;date&gt;Jan&lt;/date&gt;&lt;/pub-dates&gt;&lt;/dates&gt;&lt;isbn&gt;0003-9950 (Print)&amp;#xD;0003-9950 (Linking)&lt;/isbn&gt;&lt;accession-num&gt;17210849&lt;/accession-num&gt;&lt;urls&gt;&lt;related-urls&gt;&lt;url&gt;https://www.ncbi.nlm.nih.gov/pubmed/17210849&lt;/url&gt;&lt;/related-urls&gt;&lt;/urls&gt;&lt;electronic-resource-num&gt;10.1001/archopht.125.1.30&lt;/electronic-resource-num&gt;&lt;/record&gt;&lt;/Cite&gt;&lt;/EndNote&gt;</w:instrText>
      </w:r>
      <w:r w:rsidRPr="00191F2F">
        <w:rPr>
          <w:rFonts w:ascii="Times New Roman" w:eastAsia="Times New Roman" w:hAnsi="Times New Roman" w:cs="Times New Roman"/>
          <w:sz w:val="22"/>
          <w:szCs w:val="22"/>
        </w:rPr>
        <w:fldChar w:fldCharType="separate"/>
      </w:r>
      <w:r w:rsidRPr="00191F2F">
        <w:rPr>
          <w:rFonts w:ascii="Times New Roman" w:eastAsia="Times New Roman" w:hAnsi="Times New Roman" w:cs="Times New Roman"/>
          <w:noProof/>
          <w:sz w:val="22"/>
          <w:szCs w:val="22"/>
          <w:vertAlign w:val="superscript"/>
        </w:rPr>
        <w:t>1</w:t>
      </w:r>
      <w:r w:rsidRPr="00191F2F">
        <w:rPr>
          <w:rFonts w:ascii="Times New Roman" w:eastAsia="Times New Roman" w:hAnsi="Times New Roman" w:cs="Times New Roman"/>
          <w:sz w:val="22"/>
          <w:szCs w:val="22"/>
        </w:rPr>
        <w:fldChar w:fldCharType="end"/>
      </w:r>
      <w:r w:rsidRPr="00191F2F">
        <w:rPr>
          <w:rFonts w:ascii="Times New Roman" w:eastAsia="Times New Roman" w:hAnsi="Times New Roman" w:cs="Times New Roman"/>
          <w:sz w:val="22"/>
          <w:szCs w:val="22"/>
        </w:rPr>
        <w:t xml:space="preserve">. </w:t>
      </w:r>
    </w:p>
    <w:p w:rsidR="00941B71" w:rsidRPr="00191F2F" w:rsidRDefault="009474D1" w:rsidP="00941B71">
      <w:pPr>
        <w:spacing w:line="480" w:lineRule="auto"/>
        <w:ind w:firstLine="720"/>
        <w:rPr>
          <w:rFonts w:ascii="Times New Roman" w:eastAsia="Times New Roman" w:hAnsi="Times New Roman" w:cs="Times New Roman"/>
          <w:sz w:val="22"/>
          <w:szCs w:val="22"/>
        </w:rPr>
      </w:pPr>
      <w:r w:rsidRPr="00191F2F">
        <w:rPr>
          <w:rFonts w:ascii="Times New Roman" w:eastAsia="Times New Roman" w:hAnsi="Times New Roman" w:cs="Times New Roman"/>
          <w:sz w:val="22"/>
          <w:szCs w:val="22"/>
        </w:rPr>
        <w:t xml:space="preserve">The overall sex-specific familial risk of POAG was higher in females compared to males (HR 5.31 vs 2.97), though the background incidence was lower in females. We also found that according to family relationship, females with affected father and mother were at a higher risk than males. For the underlying mechanism, a genetic predisposition that is unique to women may be considered, which is supported by X-chromosome mediation of innate immune response and immune tolerance. </w:t>
      </w:r>
    </w:p>
    <w:p w:rsidR="0091637F" w:rsidRPr="00191F2F" w:rsidRDefault="0091637F" w:rsidP="009474D1">
      <w:pPr>
        <w:spacing w:line="480" w:lineRule="auto"/>
        <w:rPr>
          <w:rFonts w:ascii="Times New Roman" w:hAnsi="Times New Roman" w:cs="Times New Roman"/>
          <w:b/>
          <w:i/>
          <w:sz w:val="22"/>
          <w:szCs w:val="22"/>
        </w:rPr>
      </w:pPr>
      <w:r w:rsidRPr="00191F2F">
        <w:rPr>
          <w:rFonts w:ascii="Times New Roman" w:hAnsi="Times New Roman" w:cs="Times New Roman"/>
          <w:b/>
          <w:i/>
          <w:sz w:val="22"/>
          <w:szCs w:val="22"/>
        </w:rPr>
        <w:t>Supplementary figure S1</w:t>
      </w:r>
    </w:p>
    <w:p w:rsidR="0091637F" w:rsidRPr="00191F2F" w:rsidRDefault="0091637F" w:rsidP="009474D1">
      <w:pPr>
        <w:spacing w:line="480" w:lineRule="auto"/>
        <w:rPr>
          <w:rFonts w:ascii="Times New Roman" w:hAnsi="Times New Roman" w:cs="Times New Roman"/>
          <w:b/>
          <w:i/>
          <w:sz w:val="22"/>
          <w:szCs w:val="22"/>
        </w:rPr>
      </w:pPr>
      <w:r w:rsidRPr="00191F2F">
        <w:rPr>
          <w:rFonts w:ascii="Times New Roman" w:hAnsi="Times New Roman" w:cs="Times New Roman"/>
          <w:b/>
          <w:i/>
          <w:noProof/>
          <w:sz w:val="22"/>
          <w:szCs w:val="22"/>
        </w:rPr>
        <w:drawing>
          <wp:inline distT="0" distB="0" distL="0" distR="0" wp14:anchorId="37C6D698" wp14:editId="36317BB2">
            <wp:extent cx="5934075" cy="33432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4075" cy="3343275"/>
                    </a:xfrm>
                    <a:prstGeom prst="rect">
                      <a:avLst/>
                    </a:prstGeom>
                    <a:noFill/>
                    <a:ln>
                      <a:noFill/>
                    </a:ln>
                  </pic:spPr>
                </pic:pic>
              </a:graphicData>
            </a:graphic>
          </wp:inline>
        </w:drawing>
      </w:r>
    </w:p>
    <w:p w:rsidR="009053A9" w:rsidRDefault="009053A9" w:rsidP="00C4026B">
      <w:pPr>
        <w:spacing w:line="480" w:lineRule="auto"/>
        <w:ind w:firstLine="720"/>
        <w:rPr>
          <w:rFonts w:ascii="Times New Roman" w:hAnsi="Times New Roman" w:cs="Times New Roman"/>
          <w:sz w:val="22"/>
          <w:szCs w:val="22"/>
          <w:lang w:val="en-US"/>
        </w:rPr>
      </w:pPr>
    </w:p>
    <w:p w:rsidR="009053A9" w:rsidRDefault="009053A9" w:rsidP="00C4026B">
      <w:pPr>
        <w:spacing w:line="480" w:lineRule="auto"/>
        <w:ind w:firstLine="720"/>
        <w:rPr>
          <w:rFonts w:ascii="Times New Roman" w:hAnsi="Times New Roman" w:cs="Times New Roman"/>
          <w:sz w:val="22"/>
          <w:szCs w:val="22"/>
          <w:lang w:val="en-US"/>
        </w:rPr>
      </w:pPr>
    </w:p>
    <w:p w:rsidR="009053A9" w:rsidRDefault="009053A9" w:rsidP="00C4026B">
      <w:pPr>
        <w:spacing w:line="480" w:lineRule="auto"/>
        <w:ind w:firstLine="720"/>
        <w:rPr>
          <w:rFonts w:ascii="Times New Roman" w:hAnsi="Times New Roman" w:cs="Times New Roman"/>
          <w:sz w:val="22"/>
          <w:szCs w:val="22"/>
          <w:lang w:val="en-US"/>
        </w:rPr>
      </w:pPr>
    </w:p>
    <w:p w:rsidR="009053A9" w:rsidRDefault="009053A9" w:rsidP="00C4026B">
      <w:pPr>
        <w:spacing w:line="480" w:lineRule="auto"/>
        <w:ind w:firstLine="720"/>
        <w:rPr>
          <w:rFonts w:ascii="Times New Roman" w:hAnsi="Times New Roman" w:cs="Times New Roman"/>
          <w:sz w:val="22"/>
          <w:szCs w:val="22"/>
          <w:lang w:val="en-US"/>
        </w:rPr>
      </w:pPr>
    </w:p>
    <w:p w:rsidR="009053A9" w:rsidRDefault="009053A9" w:rsidP="00C4026B">
      <w:pPr>
        <w:spacing w:line="480" w:lineRule="auto"/>
        <w:ind w:firstLine="720"/>
        <w:rPr>
          <w:rFonts w:ascii="Times New Roman" w:hAnsi="Times New Roman" w:cs="Times New Roman"/>
          <w:sz w:val="22"/>
          <w:szCs w:val="22"/>
          <w:lang w:val="en-US"/>
        </w:rPr>
      </w:pPr>
    </w:p>
    <w:p w:rsidR="009053A9" w:rsidRDefault="009053A9" w:rsidP="00C4026B">
      <w:pPr>
        <w:spacing w:line="480" w:lineRule="auto"/>
        <w:ind w:firstLine="720"/>
        <w:rPr>
          <w:rFonts w:ascii="Times New Roman" w:hAnsi="Times New Roman" w:cs="Times New Roman"/>
          <w:sz w:val="22"/>
          <w:szCs w:val="22"/>
          <w:lang w:val="en-US"/>
        </w:rPr>
      </w:pPr>
    </w:p>
    <w:p w:rsidR="009053A9" w:rsidRPr="00191F2F" w:rsidRDefault="009053A9" w:rsidP="00C4026B">
      <w:pPr>
        <w:spacing w:line="480" w:lineRule="auto"/>
        <w:ind w:firstLine="720"/>
        <w:rPr>
          <w:rFonts w:ascii="Times New Roman" w:hAnsi="Times New Roman" w:cs="Times New Roman"/>
          <w:sz w:val="22"/>
          <w:szCs w:val="22"/>
          <w:lang w:val="en-US"/>
        </w:rPr>
      </w:pPr>
    </w:p>
    <w:p w:rsidR="002520B2" w:rsidRPr="00191F2F" w:rsidRDefault="002520B2" w:rsidP="00116E0A">
      <w:pPr>
        <w:spacing w:line="480" w:lineRule="auto"/>
        <w:ind w:firstLine="720"/>
        <w:rPr>
          <w:rFonts w:ascii="Times New Roman" w:eastAsia="Times New Roman" w:hAnsi="Times New Roman" w:cs="Times New Roman"/>
          <w:bCs/>
          <w:sz w:val="22"/>
          <w:szCs w:val="22"/>
        </w:rPr>
      </w:pPr>
      <w:bookmarkStart w:id="2" w:name="_GoBack"/>
      <w:bookmarkEnd w:id="2"/>
    </w:p>
    <w:p w:rsidR="00116E0A" w:rsidRPr="00191F2F" w:rsidRDefault="00116E0A" w:rsidP="00116E0A">
      <w:pPr>
        <w:spacing w:line="480" w:lineRule="auto"/>
        <w:rPr>
          <w:rFonts w:ascii="Times New Roman" w:eastAsia="Times New Roman" w:hAnsi="Times New Roman" w:cs="Times New Roman"/>
          <w:sz w:val="22"/>
          <w:szCs w:val="22"/>
        </w:rPr>
      </w:pPr>
    </w:p>
    <w:p w:rsidR="00C4026B" w:rsidRPr="00191F2F" w:rsidRDefault="00925CD2" w:rsidP="009474D1">
      <w:pPr>
        <w:spacing w:line="480" w:lineRule="auto"/>
        <w:rPr>
          <w:rFonts w:ascii="Times New Roman" w:hAnsi="Times New Roman" w:cs="Times New Roman"/>
          <w:b/>
          <w:sz w:val="22"/>
          <w:szCs w:val="22"/>
        </w:rPr>
      </w:pPr>
      <w:r w:rsidRPr="00191F2F">
        <w:rPr>
          <w:rFonts w:ascii="Times New Roman" w:hAnsi="Times New Roman" w:cs="Times New Roman"/>
          <w:b/>
          <w:sz w:val="22"/>
          <w:szCs w:val="22"/>
        </w:rPr>
        <w:t>References</w:t>
      </w:r>
    </w:p>
    <w:p w:rsidR="002571A1" w:rsidRPr="002571A1" w:rsidRDefault="009474D1" w:rsidP="002571A1">
      <w:pPr>
        <w:pStyle w:val="EndNoteBibliography"/>
      </w:pPr>
      <w:r w:rsidRPr="00191F2F">
        <w:rPr>
          <w:rFonts w:ascii="Times New Roman" w:hAnsi="Times New Roman" w:cs="Times New Roman"/>
          <w:b/>
          <w:sz w:val="22"/>
          <w:szCs w:val="22"/>
        </w:rPr>
        <w:fldChar w:fldCharType="begin"/>
      </w:r>
      <w:r w:rsidRPr="00191F2F">
        <w:rPr>
          <w:rFonts w:ascii="Times New Roman" w:hAnsi="Times New Roman" w:cs="Times New Roman"/>
          <w:b/>
          <w:sz w:val="22"/>
          <w:szCs w:val="22"/>
        </w:rPr>
        <w:instrText xml:space="preserve"> ADDIN EN.REFLIST </w:instrText>
      </w:r>
      <w:r w:rsidRPr="00191F2F">
        <w:rPr>
          <w:rFonts w:ascii="Times New Roman" w:hAnsi="Times New Roman" w:cs="Times New Roman"/>
          <w:b/>
          <w:sz w:val="22"/>
          <w:szCs w:val="22"/>
        </w:rPr>
        <w:fldChar w:fldCharType="separate"/>
      </w:r>
      <w:r w:rsidR="002571A1" w:rsidRPr="002571A1">
        <w:t>1.</w:t>
      </w:r>
      <w:r w:rsidR="002571A1" w:rsidRPr="002571A1">
        <w:tab/>
        <w:t xml:space="preserve">Wiggs JL. Genetic etiologies of glaucoma. </w:t>
      </w:r>
      <w:r w:rsidR="002571A1" w:rsidRPr="002571A1">
        <w:rPr>
          <w:i/>
        </w:rPr>
        <w:t>Arch Ophthalmol</w:t>
      </w:r>
      <w:r w:rsidR="002571A1" w:rsidRPr="002571A1">
        <w:t>. Jan 2007;125(1):30-7. doi:10.1001/archopht.125.1.30</w:t>
      </w:r>
    </w:p>
    <w:p w:rsidR="009474D1" w:rsidRPr="00191F2F" w:rsidRDefault="009474D1" w:rsidP="009474D1">
      <w:pPr>
        <w:spacing w:line="480" w:lineRule="auto"/>
        <w:rPr>
          <w:rFonts w:ascii="Times New Roman" w:hAnsi="Times New Roman" w:cs="Times New Roman"/>
          <w:b/>
          <w:sz w:val="22"/>
          <w:szCs w:val="22"/>
        </w:rPr>
      </w:pPr>
      <w:r w:rsidRPr="00191F2F">
        <w:rPr>
          <w:rFonts w:ascii="Times New Roman" w:hAnsi="Times New Roman" w:cs="Times New Roman"/>
          <w:b/>
          <w:sz w:val="22"/>
          <w:szCs w:val="22"/>
        </w:rPr>
        <w:fldChar w:fldCharType="end"/>
      </w:r>
    </w:p>
    <w:sectPr w:rsidR="009474D1" w:rsidRPr="00191F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A 11th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C6FAC"/>
    <w:rsid w:val="00025B36"/>
    <w:rsid w:val="00056CF7"/>
    <w:rsid w:val="000B2C59"/>
    <w:rsid w:val="000E45D6"/>
    <w:rsid w:val="00116E0A"/>
    <w:rsid w:val="00144F70"/>
    <w:rsid w:val="00152A95"/>
    <w:rsid w:val="00191F2F"/>
    <w:rsid w:val="00224BBD"/>
    <w:rsid w:val="002520B2"/>
    <w:rsid w:val="002571A1"/>
    <w:rsid w:val="004D2660"/>
    <w:rsid w:val="00622D20"/>
    <w:rsid w:val="006E01DC"/>
    <w:rsid w:val="00782210"/>
    <w:rsid w:val="00801DA8"/>
    <w:rsid w:val="00820EA0"/>
    <w:rsid w:val="008C5323"/>
    <w:rsid w:val="009053A9"/>
    <w:rsid w:val="00906379"/>
    <w:rsid w:val="0091637F"/>
    <w:rsid w:val="00925CD2"/>
    <w:rsid w:val="00941B71"/>
    <w:rsid w:val="009474D1"/>
    <w:rsid w:val="009558A2"/>
    <w:rsid w:val="00A6415D"/>
    <w:rsid w:val="00BC6FAC"/>
    <w:rsid w:val="00C4026B"/>
    <w:rsid w:val="00E87055"/>
    <w:rsid w:val="00F930D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C0B4E"/>
  <w15:chartTrackingRefBased/>
  <w15:docId w15:val="{E4E951AA-E803-4AB2-97C3-D874109CB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kern w:val="2"/>
        <w:sz w:val="24"/>
        <w:szCs w:val="24"/>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BC6FAC"/>
    <w:pPr>
      <w:spacing w:after="0" w:line="240" w:lineRule="auto"/>
    </w:pPr>
    <w:rPr>
      <w:rFonts w:ascii="Calibri" w:eastAsiaTheme="minorEastAsia" w:hAnsi="Calibri" w:cs="Calibri"/>
      <w:kern w:val="0"/>
      <w:lang w:val="en-CA"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9474D1"/>
    <w:pPr>
      <w:jc w:val="center"/>
    </w:pPr>
    <w:rPr>
      <w:noProof/>
    </w:rPr>
  </w:style>
  <w:style w:type="character" w:customStyle="1" w:styleId="EndNoteBibliographyTitleChar">
    <w:name w:val="EndNote Bibliography Title Char"/>
    <w:basedOn w:val="DefaultParagraphFont"/>
    <w:link w:val="EndNoteBibliographyTitle"/>
    <w:rsid w:val="009474D1"/>
    <w:rPr>
      <w:rFonts w:ascii="Calibri" w:eastAsiaTheme="minorEastAsia" w:hAnsi="Calibri" w:cs="Calibri"/>
      <w:noProof/>
      <w:kern w:val="0"/>
      <w:lang w:val="en-CA" w:eastAsia="ko-KR"/>
    </w:rPr>
  </w:style>
  <w:style w:type="paragraph" w:customStyle="1" w:styleId="EndNoteBibliography">
    <w:name w:val="EndNote Bibliography"/>
    <w:basedOn w:val="Normal"/>
    <w:link w:val="EndNoteBibliographyChar"/>
    <w:rsid w:val="009474D1"/>
    <w:rPr>
      <w:noProof/>
    </w:rPr>
  </w:style>
  <w:style w:type="character" w:customStyle="1" w:styleId="EndNoteBibliographyChar">
    <w:name w:val="EndNote Bibliography Char"/>
    <w:basedOn w:val="DefaultParagraphFont"/>
    <w:link w:val="EndNoteBibliography"/>
    <w:rsid w:val="009474D1"/>
    <w:rPr>
      <w:rFonts w:ascii="Calibri" w:eastAsiaTheme="minorEastAsia" w:hAnsi="Calibri" w:cs="Calibri"/>
      <w:noProof/>
      <w:kern w:val="0"/>
      <w:lang w:val="en-CA" w:eastAsia="ko-KR"/>
    </w:rPr>
  </w:style>
  <w:style w:type="table" w:styleId="TableGrid">
    <w:name w:val="Table Grid"/>
    <w:basedOn w:val="TableNormal"/>
    <w:uiPriority w:val="39"/>
    <w:rsid w:val="000E45D6"/>
    <w:pPr>
      <w:spacing w:after="0" w:line="240" w:lineRule="auto"/>
    </w:pPr>
    <w:rPr>
      <w:rFonts w:ascii="Malgun Gothic" w:eastAsiaTheme="minorEastAsia" w:hAnsi="Malgun Gothic"/>
      <w:kern w:val="0"/>
      <w:sz w:val="2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962</Words>
  <Characters>5489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Swan</dc:creator>
  <cp:keywords/>
  <dc:description/>
  <cp:lastModifiedBy>Heather Swan</cp:lastModifiedBy>
  <cp:revision>3</cp:revision>
  <dcterms:created xsi:type="dcterms:W3CDTF">2024-05-03T05:07:00Z</dcterms:created>
  <dcterms:modified xsi:type="dcterms:W3CDTF">2024-05-03T05:14:00Z</dcterms:modified>
</cp:coreProperties>
</file>