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C977B" w14:textId="5E7CA3FC" w:rsidR="00E16ACC" w:rsidRPr="00AB6C7A" w:rsidRDefault="003C43B7" w:rsidP="00E16ACC">
      <w:pPr>
        <w:rPr>
          <w:rFonts w:ascii="Times New Roman" w:hAnsi="Times New Roman" w:cs="Times New Roman"/>
          <w:sz w:val="24"/>
          <w:szCs w:val="28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8"/>
          <w:lang w:val="en-GB"/>
        </w:rPr>
        <w:t xml:space="preserve">Supplement </w:t>
      </w:r>
      <w:r w:rsidR="00116DF8" w:rsidRPr="00AB6C7A">
        <w:rPr>
          <w:rFonts w:ascii="Times New Roman" w:hAnsi="Times New Roman" w:cs="Times New Roman"/>
          <w:b/>
          <w:bCs/>
          <w:sz w:val="24"/>
          <w:szCs w:val="28"/>
          <w:lang w:val="en-GB"/>
        </w:rPr>
        <w:t xml:space="preserve">Table 1. </w:t>
      </w:r>
      <w:r w:rsidR="00116DF8" w:rsidRPr="00AB6C7A">
        <w:rPr>
          <w:rFonts w:ascii="Times New Roman" w:hAnsi="Times New Roman" w:cs="Times New Roman"/>
          <w:sz w:val="24"/>
          <w:szCs w:val="28"/>
          <w:lang w:val="en-GB"/>
        </w:rPr>
        <w:t xml:space="preserve">Inclusion and exclusion criteria </w:t>
      </w:r>
      <w:bookmarkStart w:id="0" w:name="_GoBack"/>
      <w:bookmarkEnd w:id="0"/>
    </w:p>
    <w:tbl>
      <w:tblPr>
        <w:tblStyle w:val="a3"/>
        <w:tblpPr w:leftFromText="142" w:rightFromText="142" w:horzAnchor="margin" w:tblpY="576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25314" w14:paraId="6B6AF70A" w14:textId="77777777" w:rsidTr="004840C9">
        <w:tc>
          <w:tcPr>
            <w:tcW w:w="4508" w:type="dxa"/>
          </w:tcPr>
          <w:p w14:paraId="2B398FB1" w14:textId="77777777" w:rsidR="00E16ACC" w:rsidRPr="00AB6C7A" w:rsidRDefault="00116DF8" w:rsidP="004840C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Inclusion criteria</w:t>
            </w:r>
          </w:p>
        </w:tc>
        <w:tc>
          <w:tcPr>
            <w:tcW w:w="4508" w:type="dxa"/>
          </w:tcPr>
          <w:p w14:paraId="5A4A31F2" w14:textId="77777777" w:rsidR="00E16ACC" w:rsidRPr="00AB6C7A" w:rsidRDefault="00116DF8" w:rsidP="004840C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Exclusion criteria</w:t>
            </w:r>
          </w:p>
        </w:tc>
      </w:tr>
      <w:tr w:rsidR="00F25314" w14:paraId="1CA6BA5E" w14:textId="77777777" w:rsidTr="004840C9">
        <w:tc>
          <w:tcPr>
            <w:tcW w:w="4508" w:type="dxa"/>
          </w:tcPr>
          <w:p w14:paraId="01942A94" w14:textId="129D37FB" w:rsidR="00E16ACC" w:rsidRPr="00AB6C7A" w:rsidRDefault="00116DF8" w:rsidP="004840C9">
            <w:pPr>
              <w:pStyle w:val="a6"/>
              <w:numPr>
                <w:ilvl w:val="0"/>
                <w:numId w:val="1"/>
              </w:numPr>
              <w:spacing w:line="276" w:lineRule="auto"/>
              <w:ind w:leftChars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Patients aged 11 years and older</w:t>
            </w:r>
          </w:p>
        </w:tc>
        <w:tc>
          <w:tcPr>
            <w:tcW w:w="4508" w:type="dxa"/>
          </w:tcPr>
          <w:p w14:paraId="2C3231A1" w14:textId="2195A102" w:rsidR="00E16ACC" w:rsidRPr="00AB6C7A" w:rsidRDefault="00116DF8" w:rsidP="004840C9">
            <w:pPr>
              <w:pStyle w:val="a6"/>
              <w:numPr>
                <w:ilvl w:val="0"/>
                <w:numId w:val="1"/>
              </w:numPr>
              <w:spacing w:line="276" w:lineRule="auto"/>
              <w:ind w:leftChars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Patients aged 10 years or younger; </w:t>
            </w:r>
            <w:r w:rsidR="00340CF3"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for patients</w:t>
            </w: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older than 11, age did not affect diagnostic performance, as per exploratory data analysis (EDA) findings. Thus, the minimum age for eligibility was set at 11 years.</w:t>
            </w:r>
          </w:p>
        </w:tc>
      </w:tr>
      <w:tr w:rsidR="00F25314" w14:paraId="500B0B57" w14:textId="77777777" w:rsidTr="004840C9">
        <w:tc>
          <w:tcPr>
            <w:tcW w:w="4508" w:type="dxa"/>
          </w:tcPr>
          <w:p w14:paraId="43487510" w14:textId="25CC384A" w:rsidR="00E16ACC" w:rsidRPr="00AB6C7A" w:rsidRDefault="00116DF8" w:rsidP="004840C9">
            <w:pPr>
              <w:pStyle w:val="a6"/>
              <w:numPr>
                <w:ilvl w:val="0"/>
                <w:numId w:val="1"/>
              </w:numPr>
              <w:spacing w:line="276" w:lineRule="auto"/>
              <w:ind w:leftChars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Patients who visited the emergency room without an initial diagnosis of appendicitis.</w:t>
            </w:r>
          </w:p>
        </w:tc>
        <w:tc>
          <w:tcPr>
            <w:tcW w:w="4508" w:type="dxa"/>
          </w:tcPr>
          <w:p w14:paraId="4DBFBEE4" w14:textId="3875F20C" w:rsidR="00E16ACC" w:rsidRPr="00AB6C7A" w:rsidRDefault="00116DF8" w:rsidP="004840C9">
            <w:pPr>
              <w:pStyle w:val="a6"/>
              <w:numPr>
                <w:ilvl w:val="0"/>
                <w:numId w:val="1"/>
              </w:numPr>
              <w:spacing w:line="276" w:lineRule="auto"/>
              <w:ind w:leftChars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GB"/>
              </w:rPr>
              <w:t>Patients transferred to the emergency department from an outside hospital or ambulatory care with a pre-existing diagnosis of appendicitis</w:t>
            </w:r>
          </w:p>
        </w:tc>
      </w:tr>
      <w:tr w:rsidR="00F25314" w14:paraId="7359DAC3" w14:textId="77777777" w:rsidTr="004840C9">
        <w:tc>
          <w:tcPr>
            <w:tcW w:w="4508" w:type="dxa"/>
          </w:tcPr>
          <w:p w14:paraId="52BEF2A1" w14:textId="75086399" w:rsidR="00E16ACC" w:rsidRPr="00AB6C7A" w:rsidRDefault="00116DF8" w:rsidP="004840C9">
            <w:pPr>
              <w:pStyle w:val="a6"/>
              <w:numPr>
                <w:ilvl w:val="0"/>
                <w:numId w:val="1"/>
              </w:numPr>
              <w:spacing w:line="276" w:lineRule="auto"/>
              <w:ind w:leftChars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CT protocol parameters included abdomen or pelvis scans (intravenous contrast: 2 mg/kg; maximum: 160 mL), scan timing (portal venous phase), range (4 cm above liver dome to 1 cm below ischial tuberosity), radiation dose (tube potential: KVP 100 to 120), pitch 1.75:1, and reconstruction (5 mm cut slice for adults; 3 mm for children under 12 years).</w:t>
            </w:r>
          </w:p>
        </w:tc>
        <w:tc>
          <w:tcPr>
            <w:tcW w:w="4508" w:type="dxa"/>
          </w:tcPr>
          <w:p w14:paraId="026EE528" w14:textId="4187D2AF" w:rsidR="00E16ACC" w:rsidRPr="00AB6C7A" w:rsidRDefault="00116DF8" w:rsidP="004840C9">
            <w:pPr>
              <w:pStyle w:val="a6"/>
              <w:numPr>
                <w:ilvl w:val="0"/>
                <w:numId w:val="1"/>
              </w:numPr>
              <w:spacing w:line="276" w:lineRule="auto"/>
              <w:ind w:leftChars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Patients who did not adhere to the CT imaging protocol, specifically: i) non-compliance with study-specific CT protocol criteria (liver CT, biliary CT, ureter CT, non-enhanced CT, appendix CT, or low-dose CT). EDA revealed </w:t>
            </w:r>
            <w:r w:rsidR="004519DC"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biases owing</w:t>
            </w: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differences in CT dose index between low dose CT (2 mSv) and standard CT (8 mSc); ii) low-quality CT images </w:t>
            </w:r>
            <w:r w:rsidR="004519DC"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owing</w:t>
            </w: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blurring, motion artifacts, metal artifacts, etc.; iii) Patients diagnosed by ultrasound sonography.</w:t>
            </w:r>
          </w:p>
        </w:tc>
      </w:tr>
      <w:tr w:rsidR="00F25314" w14:paraId="1B991C81" w14:textId="77777777" w:rsidTr="004840C9">
        <w:tc>
          <w:tcPr>
            <w:tcW w:w="4508" w:type="dxa"/>
          </w:tcPr>
          <w:p w14:paraId="592A63A0" w14:textId="4F6F94BA" w:rsidR="00E16ACC" w:rsidRPr="00AB6C7A" w:rsidRDefault="00116DF8" w:rsidP="004840C9">
            <w:pPr>
              <w:pStyle w:val="a6"/>
              <w:numPr>
                <w:ilvl w:val="0"/>
                <w:numId w:val="1"/>
              </w:numPr>
              <w:spacing w:line="276" w:lineRule="auto"/>
              <w:ind w:leftChars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CT use for confirming or ruling out appendicitis </w:t>
            </w:r>
            <w:r w:rsidR="000D3EEF"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owing</w:t>
            </w:r>
            <w:r w:rsidRPr="00AB6C7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to clinically suspected appendicitis as a cause of abdominal pain</w:t>
            </w:r>
          </w:p>
        </w:tc>
        <w:tc>
          <w:tcPr>
            <w:tcW w:w="4508" w:type="dxa"/>
          </w:tcPr>
          <w:p w14:paraId="4A3CDA8C" w14:textId="044EA06C" w:rsidR="00E16ACC" w:rsidRPr="00AB6C7A" w:rsidRDefault="00116DF8" w:rsidP="00BD0CD4">
            <w:pPr>
              <w:pStyle w:val="a6"/>
              <w:numPr>
                <w:ilvl w:val="0"/>
                <w:numId w:val="1"/>
              </w:numPr>
              <w:ind w:leftChars="0"/>
              <w:rPr>
                <w:rFonts w:ascii="Times New Roman" w:hAnsi="Times New Roman"/>
                <w:sz w:val="24"/>
                <w:szCs w:val="28"/>
                <w:lang w:val="en-GB"/>
              </w:rPr>
            </w:pPr>
            <w:r w:rsidRPr="00AB6C7A">
              <w:rPr>
                <w:rFonts w:ascii="Times New Roman" w:hAnsi="Times New Roman"/>
                <w:sz w:val="24"/>
                <w:szCs w:val="28"/>
                <w:lang w:val="en-GB"/>
              </w:rPr>
              <w:t xml:space="preserve">Exclusion in cases where clinical information indicated CT of the abdomen or pelvis was performed for suspicions of diseases other than appendicitis, such as suspected acute cholecystitis </w:t>
            </w:r>
            <w:r w:rsidR="004519DC" w:rsidRPr="00AB6C7A">
              <w:rPr>
                <w:rFonts w:ascii="Times New Roman" w:hAnsi="Times New Roman"/>
                <w:sz w:val="24"/>
                <w:szCs w:val="28"/>
                <w:lang w:val="en-GB"/>
              </w:rPr>
              <w:t>owing</w:t>
            </w:r>
            <w:r w:rsidRPr="00AB6C7A">
              <w:rPr>
                <w:rFonts w:ascii="Times New Roman" w:hAnsi="Times New Roman"/>
                <w:sz w:val="24"/>
                <w:szCs w:val="28"/>
                <w:lang w:val="en-GB"/>
              </w:rPr>
              <w:t xml:space="preserve"> to RUQ tenderness and Murphy's sign;  suspected urolithiasis </w:t>
            </w:r>
            <w:r w:rsidR="004519DC" w:rsidRPr="00AB6C7A">
              <w:rPr>
                <w:rFonts w:ascii="Times New Roman" w:hAnsi="Times New Roman"/>
                <w:sz w:val="24"/>
                <w:szCs w:val="28"/>
                <w:lang w:val="en-GB"/>
              </w:rPr>
              <w:t>owing</w:t>
            </w:r>
            <w:r w:rsidRPr="00AB6C7A">
              <w:rPr>
                <w:rFonts w:ascii="Times New Roman" w:hAnsi="Times New Roman"/>
                <w:sz w:val="24"/>
                <w:szCs w:val="28"/>
                <w:lang w:val="en-GB"/>
              </w:rPr>
              <w:t xml:space="preserve"> to flank pain and gross h</w:t>
            </w:r>
            <w:r w:rsidR="00AB6C7A">
              <w:rPr>
                <w:rFonts w:ascii="Times New Roman" w:hAnsi="Times New Roman"/>
                <w:sz w:val="24"/>
                <w:szCs w:val="28"/>
                <w:lang w:val="en-GB"/>
              </w:rPr>
              <w:t>a</w:t>
            </w:r>
            <w:r w:rsidRPr="00AB6C7A">
              <w:rPr>
                <w:rFonts w:ascii="Times New Roman" w:hAnsi="Times New Roman"/>
                <w:sz w:val="24"/>
                <w:szCs w:val="28"/>
                <w:lang w:val="en-GB"/>
              </w:rPr>
              <w:t xml:space="preserve">ematuria; suspected pancreatitis owing to history of pancreatitis or alcohol abuse; suspected </w:t>
            </w:r>
            <w:r w:rsidR="00AB6C7A" w:rsidRPr="00AB6C7A">
              <w:rPr>
                <w:rFonts w:ascii="Times New Roman" w:hAnsi="Times New Roman"/>
                <w:sz w:val="24"/>
                <w:szCs w:val="28"/>
                <w:lang w:val="en-GB"/>
              </w:rPr>
              <w:t>gynaecological</w:t>
            </w:r>
            <w:r w:rsidRPr="00AB6C7A">
              <w:rPr>
                <w:rFonts w:ascii="Times New Roman" w:hAnsi="Times New Roman"/>
                <w:sz w:val="24"/>
                <w:szCs w:val="28"/>
                <w:lang w:val="en-GB"/>
              </w:rPr>
              <w:t xml:space="preserve"> diseases</w:t>
            </w:r>
            <w:r w:rsidR="004519DC" w:rsidRPr="00AB6C7A">
              <w:rPr>
                <w:rFonts w:ascii="Times New Roman" w:hAnsi="Times New Roman"/>
                <w:sz w:val="24"/>
                <w:szCs w:val="28"/>
                <w:lang w:val="en-GB"/>
              </w:rPr>
              <w:t xml:space="preserve"> owing</w:t>
            </w:r>
            <w:r w:rsidRPr="00AB6C7A">
              <w:rPr>
                <w:rFonts w:ascii="Times New Roman" w:hAnsi="Times New Roman"/>
                <w:sz w:val="24"/>
                <w:szCs w:val="28"/>
                <w:lang w:val="en-GB"/>
              </w:rPr>
              <w:t xml:space="preserve"> to vaginal discharge; suspected panperitonitis </w:t>
            </w:r>
            <w:r w:rsidR="000D3EEF" w:rsidRPr="00AB6C7A">
              <w:rPr>
                <w:rFonts w:ascii="Times New Roman" w:hAnsi="Times New Roman"/>
                <w:sz w:val="24"/>
                <w:szCs w:val="28"/>
                <w:lang w:val="en-GB"/>
              </w:rPr>
              <w:t>owing</w:t>
            </w:r>
            <w:r w:rsidRPr="00AB6C7A">
              <w:rPr>
                <w:rFonts w:ascii="Times New Roman" w:hAnsi="Times New Roman"/>
                <w:sz w:val="24"/>
                <w:szCs w:val="28"/>
                <w:lang w:val="en-GB"/>
              </w:rPr>
              <w:t xml:space="preserve"> to widespread abdominal tenderness, rebound tenderness, with unstable vital signs. Negative images </w:t>
            </w:r>
            <w:r w:rsidRPr="00AB6C7A">
              <w:rPr>
                <w:rFonts w:ascii="Times New Roman" w:hAnsi="Times New Roman"/>
                <w:sz w:val="24"/>
                <w:szCs w:val="28"/>
                <w:lang w:val="en-GB"/>
              </w:rPr>
              <w:lastRenderedPageBreak/>
              <w:t>interpreted as acute cholecystitis, ureter stone, pancreatitis, or acute peritonitis from small bowel or colon perforation were excluded as well.</w:t>
            </w:r>
          </w:p>
        </w:tc>
      </w:tr>
    </w:tbl>
    <w:p w14:paraId="5BE74D10" w14:textId="576D08C7" w:rsidR="00E16ACC" w:rsidRPr="00AB6C7A" w:rsidRDefault="00116DF8" w:rsidP="00E16ACC">
      <w:pPr>
        <w:pStyle w:val="EndNoteBibliography"/>
        <w:spacing w:after="0" w:line="360" w:lineRule="auto"/>
        <w:rPr>
          <w:rFonts w:ascii="Times New Roman" w:hAnsi="Times New Roman" w:cs="Times New Roman"/>
          <w:noProof w:val="0"/>
          <w:sz w:val="24"/>
          <w:szCs w:val="24"/>
          <w:lang w:val="en-GB"/>
        </w:rPr>
      </w:pPr>
      <w:r w:rsidRPr="00AB6C7A">
        <w:rPr>
          <w:rFonts w:ascii="Times New Roman" w:hAnsi="Times New Roman" w:cs="Times New Roman"/>
          <w:noProof w:val="0"/>
          <w:sz w:val="24"/>
          <w:szCs w:val="24"/>
          <w:shd w:val="clear" w:color="auto" w:fill="FFFFFF"/>
          <w:lang w:val="en-GB"/>
        </w:rPr>
        <w:lastRenderedPageBreak/>
        <w:t xml:space="preserve">Protocol of </w:t>
      </w:r>
      <w:r w:rsidR="002750FF" w:rsidRPr="00AB6C7A">
        <w:rPr>
          <w:rFonts w:ascii="Times New Roman" w:hAnsi="Times New Roman" w:cs="Times New Roman"/>
          <w:noProof w:val="0"/>
          <w:sz w:val="24"/>
          <w:szCs w:val="24"/>
          <w:shd w:val="clear" w:color="auto" w:fill="FFFFFF"/>
          <w:lang w:val="en-GB"/>
        </w:rPr>
        <w:t>previous</w:t>
      </w:r>
      <w:r w:rsidRPr="00AB6C7A">
        <w:rPr>
          <w:rFonts w:ascii="Times New Roman" w:hAnsi="Times New Roman" w:cs="Times New Roman"/>
          <w:noProof w:val="0"/>
          <w:sz w:val="24"/>
          <w:szCs w:val="24"/>
          <w:shd w:val="clear" w:color="auto" w:fill="FFFFFF"/>
          <w:lang w:val="en-GB"/>
        </w:rPr>
        <w:t xml:space="preserve"> studies;</w:t>
      </w:r>
      <w:r w:rsidRPr="00AB6C7A">
        <w:rPr>
          <w:rFonts w:ascii="Times New Roman" w:hAnsi="Times New Roman" w:cs="Times New Roman"/>
          <w:noProof w:val="0"/>
          <w:sz w:val="24"/>
          <w:szCs w:val="24"/>
          <w:lang w:val="en-GB"/>
        </w:rPr>
        <w:t xml:space="preserve"> Park HC, Kim MJ, Lee BH. Randomized clinical trial of antibiotic therapy for uncomplicated appendicitis. Br J </w:t>
      </w:r>
      <w:proofErr w:type="spellStart"/>
      <w:r w:rsidRPr="00AB6C7A">
        <w:rPr>
          <w:rFonts w:ascii="Times New Roman" w:hAnsi="Times New Roman" w:cs="Times New Roman"/>
          <w:noProof w:val="0"/>
          <w:sz w:val="24"/>
          <w:szCs w:val="24"/>
          <w:lang w:val="en-GB"/>
        </w:rPr>
        <w:t>Surg</w:t>
      </w:r>
      <w:proofErr w:type="spellEnd"/>
      <w:r w:rsidRPr="00AB6C7A">
        <w:rPr>
          <w:rFonts w:ascii="Times New Roman" w:hAnsi="Times New Roman" w:cs="Times New Roman"/>
          <w:noProof w:val="0"/>
          <w:sz w:val="24"/>
          <w:szCs w:val="24"/>
          <w:lang w:val="en-GB"/>
        </w:rPr>
        <w:t xml:space="preserve"> 2017; 104: 1785-1790;</w:t>
      </w:r>
      <w:r w:rsidR="00AB6C7A">
        <w:rPr>
          <w:rFonts w:ascii="Times New Roman" w:hAnsi="Times New Roman" w:cs="Times New Roman"/>
          <w:noProof w:val="0"/>
          <w:sz w:val="24"/>
          <w:szCs w:val="24"/>
          <w:lang w:val="en-GB"/>
        </w:rPr>
        <w:t xml:space="preserve"> </w:t>
      </w:r>
      <w:r w:rsidRPr="00AB6C7A">
        <w:rPr>
          <w:rFonts w:ascii="Times New Roman" w:hAnsi="Times New Roman" w:cs="Times New Roman"/>
          <w:noProof w:val="0"/>
          <w:sz w:val="24"/>
          <w:szCs w:val="24"/>
          <w:lang w:val="en-GB"/>
        </w:rPr>
        <w:t>Park SS, Kim MJ, Kim JW, Park HC. Analysis of treatment success with new inclusion criteria for antibiotic therapy for uncomplicated appendicitis: A multicentre cohort study. Int J Clin Pract 2021; 75: e13840</w:t>
      </w:r>
    </w:p>
    <w:p w14:paraId="35A8E3D7" w14:textId="77777777" w:rsidR="00E16ACC" w:rsidRPr="00AB6C7A" w:rsidRDefault="00E16ACC" w:rsidP="00E16ACC">
      <w:pPr>
        <w:rPr>
          <w:rFonts w:ascii="Times New Roman" w:hAnsi="Times New Roman" w:cs="Times New Roman"/>
          <w:sz w:val="24"/>
          <w:szCs w:val="28"/>
          <w:lang w:val="en-GB"/>
        </w:rPr>
      </w:pPr>
    </w:p>
    <w:p w14:paraId="700B3500" w14:textId="053DA9ED" w:rsidR="00E16ACC" w:rsidRPr="00AB6C7A" w:rsidRDefault="00E16ACC" w:rsidP="00E16ACC">
      <w:pPr>
        <w:pStyle w:val="EndNoteBibliography"/>
        <w:spacing w:after="0" w:line="360" w:lineRule="auto"/>
        <w:rPr>
          <w:rFonts w:ascii="Times New Roman" w:hAnsi="Times New Roman" w:cs="Times New Roman"/>
          <w:noProof w:val="0"/>
          <w:sz w:val="24"/>
          <w:szCs w:val="24"/>
          <w:shd w:val="clear" w:color="auto" w:fill="FFFFFF"/>
          <w:lang w:val="en-GB"/>
        </w:rPr>
      </w:pPr>
    </w:p>
    <w:sectPr w:rsidR="00E16ACC" w:rsidRPr="00AB6C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B310F" w14:textId="77777777" w:rsidR="00FD5068" w:rsidRDefault="00FD5068">
      <w:pPr>
        <w:spacing w:after="0" w:line="240" w:lineRule="auto"/>
      </w:pPr>
      <w:r>
        <w:separator/>
      </w:r>
    </w:p>
  </w:endnote>
  <w:endnote w:type="continuationSeparator" w:id="0">
    <w:p w14:paraId="47DB0188" w14:textId="77777777" w:rsidR="00FD5068" w:rsidRDefault="00FD5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F71C6" w14:textId="77777777" w:rsidR="002750FF" w:rsidRDefault="002750F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7316A3" w14:textId="77777777" w:rsidR="002750FF" w:rsidRPr="00AB6C7A" w:rsidRDefault="002750FF">
    <w:pPr>
      <w:pStyle w:val="a5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8FEFC9" w14:textId="77777777" w:rsidR="002750FF" w:rsidRPr="00AB6C7A" w:rsidRDefault="002750FF">
    <w:pPr>
      <w:pStyle w:val="a5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E148CD" w14:textId="77777777" w:rsidR="00FD5068" w:rsidRDefault="00FD5068">
      <w:pPr>
        <w:spacing w:after="0" w:line="240" w:lineRule="auto"/>
      </w:pPr>
      <w:r>
        <w:separator/>
      </w:r>
    </w:p>
  </w:footnote>
  <w:footnote w:type="continuationSeparator" w:id="0">
    <w:p w14:paraId="0F4896B5" w14:textId="77777777" w:rsidR="00FD5068" w:rsidRDefault="00FD50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CAF47A" w14:textId="77777777" w:rsidR="002750FF" w:rsidRDefault="002750F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02F2C" w14:textId="77777777" w:rsidR="002750FF" w:rsidRPr="00AB6C7A" w:rsidRDefault="002750FF">
    <w:pPr>
      <w:pStyle w:val="a4"/>
      <w:rPr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06B212" w14:textId="77777777" w:rsidR="002750FF" w:rsidRPr="00AB6C7A" w:rsidRDefault="002750FF">
    <w:pPr>
      <w:pStyle w:val="a4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03C02"/>
    <w:multiLevelType w:val="hybridMultilevel"/>
    <w:tmpl w:val="1A94E89A"/>
    <w:lvl w:ilvl="0" w:tplc="1FFA0370">
      <w:numFmt w:val="bullet"/>
      <w:lvlText w:val="-"/>
      <w:lvlJc w:val="left"/>
      <w:pPr>
        <w:ind w:left="800" w:hanging="360"/>
      </w:pPr>
      <w:rPr>
        <w:rFonts w:ascii="Times New Roman" w:eastAsiaTheme="minorEastAsia" w:hAnsi="Times New Roman" w:cs="Times New Roman" w:hint="default"/>
      </w:rPr>
    </w:lvl>
    <w:lvl w:ilvl="1" w:tplc="2250D3B8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E368B73A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B94E5F00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1E260BD6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55E6D652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C4BAB50A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AFDC0BC2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4DA29138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Q0NTU3MzUwszA1MbZU0lEKTi0uzszPAykwrgUAzm31LywAAAA="/>
    <w:docVar w:name="StyleGuidePreference" w:val="-1"/>
  </w:docVars>
  <w:rsids>
    <w:rsidRoot w:val="00A01B54"/>
    <w:rsid w:val="00014210"/>
    <w:rsid w:val="00027AD1"/>
    <w:rsid w:val="000D3EEF"/>
    <w:rsid w:val="0011531B"/>
    <w:rsid w:val="00116DF8"/>
    <w:rsid w:val="00133E2A"/>
    <w:rsid w:val="00250A1D"/>
    <w:rsid w:val="002672D8"/>
    <w:rsid w:val="002750FF"/>
    <w:rsid w:val="002E7DE0"/>
    <w:rsid w:val="00340CF3"/>
    <w:rsid w:val="00373554"/>
    <w:rsid w:val="00392F05"/>
    <w:rsid w:val="003C43B7"/>
    <w:rsid w:val="00427869"/>
    <w:rsid w:val="004519DC"/>
    <w:rsid w:val="004840C9"/>
    <w:rsid w:val="00564722"/>
    <w:rsid w:val="00576D4E"/>
    <w:rsid w:val="005F07D4"/>
    <w:rsid w:val="00710656"/>
    <w:rsid w:val="00737DA9"/>
    <w:rsid w:val="00744409"/>
    <w:rsid w:val="007A1EB3"/>
    <w:rsid w:val="00816834"/>
    <w:rsid w:val="009E6B56"/>
    <w:rsid w:val="00A01B54"/>
    <w:rsid w:val="00A116C0"/>
    <w:rsid w:val="00A426EA"/>
    <w:rsid w:val="00A8229D"/>
    <w:rsid w:val="00AA6FF1"/>
    <w:rsid w:val="00AB6C7A"/>
    <w:rsid w:val="00B54F0A"/>
    <w:rsid w:val="00BD0CD4"/>
    <w:rsid w:val="00CA076A"/>
    <w:rsid w:val="00D6591F"/>
    <w:rsid w:val="00D819EA"/>
    <w:rsid w:val="00E16ACC"/>
    <w:rsid w:val="00E32952"/>
    <w:rsid w:val="00F25314"/>
    <w:rsid w:val="00F73E0F"/>
    <w:rsid w:val="00FA2B78"/>
    <w:rsid w:val="00FD5068"/>
    <w:rsid w:val="00FD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00074"/>
  <w15:chartTrackingRefBased/>
  <w15:docId w15:val="{0EB12B46-4C7F-4092-BB4E-3AE71094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A076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A076A"/>
  </w:style>
  <w:style w:type="paragraph" w:styleId="a5">
    <w:name w:val="footer"/>
    <w:basedOn w:val="a"/>
    <w:link w:val="Char0"/>
    <w:uiPriority w:val="99"/>
    <w:unhideWhenUsed/>
    <w:rsid w:val="00CA076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A076A"/>
  </w:style>
  <w:style w:type="paragraph" w:styleId="a6">
    <w:name w:val="List Paragraph"/>
    <w:basedOn w:val="a"/>
    <w:uiPriority w:val="34"/>
    <w:qFormat/>
    <w:rsid w:val="00FA2B78"/>
    <w:pPr>
      <w:ind w:leftChars="400" w:left="800"/>
    </w:pPr>
  </w:style>
  <w:style w:type="paragraph" w:customStyle="1" w:styleId="EndNoteBibliography">
    <w:name w:val="EndNote Bibliography"/>
    <w:basedOn w:val="a"/>
    <w:link w:val="EndNoteBibliographyChar"/>
    <w:rsid w:val="00AA6FF1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AA6FF1"/>
    <w:rPr>
      <w:rFonts w:ascii="맑은 고딕" w:eastAsia="맑은 고딕" w:hAnsi="맑은 고딕"/>
      <w:noProof/>
    </w:rPr>
  </w:style>
  <w:style w:type="paragraph" w:styleId="a7">
    <w:name w:val="Revision"/>
    <w:hidden/>
    <w:uiPriority w:val="99"/>
    <w:semiHidden/>
    <w:rsid w:val="00B54F0A"/>
    <w:pPr>
      <w:spacing w:after="0" w:line="240" w:lineRule="auto"/>
      <w:jc w:val="left"/>
    </w:pPr>
  </w:style>
  <w:style w:type="character" w:styleId="a8">
    <w:name w:val="annotation reference"/>
    <w:basedOn w:val="a0"/>
    <w:uiPriority w:val="99"/>
    <w:semiHidden/>
    <w:unhideWhenUsed/>
    <w:rsid w:val="00133E2A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133E2A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9"/>
    <w:uiPriority w:val="99"/>
    <w:semiHidden/>
    <w:rsid w:val="00133E2A"/>
    <w:rPr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133E2A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133E2A"/>
    <w:rPr>
      <w:b/>
      <w:bCs/>
      <w:szCs w:val="20"/>
    </w:rPr>
  </w:style>
  <w:style w:type="paragraph" w:styleId="ab">
    <w:name w:val="Normal (Web)"/>
    <w:basedOn w:val="a"/>
    <w:uiPriority w:val="99"/>
    <w:semiHidden/>
    <w:unhideWhenUsed/>
    <w:rsid w:val="00133E2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paragraph" w:styleId="ac">
    <w:name w:val="Balloon Text"/>
    <w:basedOn w:val="a"/>
    <w:link w:val="Char3"/>
    <w:uiPriority w:val="99"/>
    <w:semiHidden/>
    <w:unhideWhenUsed/>
    <w:rsid w:val="009E6B5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9E6B5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김민성</cp:lastModifiedBy>
  <cp:revision>8</cp:revision>
  <dcterms:created xsi:type="dcterms:W3CDTF">2024-02-18T01:29:00Z</dcterms:created>
  <dcterms:modified xsi:type="dcterms:W3CDTF">2024-02-29T04:55:00Z</dcterms:modified>
</cp:coreProperties>
</file>