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ED" w:rsidRPr="006E2A33" w:rsidRDefault="00B621ED" w:rsidP="00B621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2A33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:rsidR="00D661C2" w:rsidRDefault="00D661C2" w:rsidP="00B621E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661C2" w:rsidRDefault="00D661C2" w:rsidP="00B621E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621ED" w:rsidRDefault="00B621ED" w:rsidP="00B621ED">
      <w:pPr>
        <w:rPr>
          <w:rFonts w:ascii="Times New Roman" w:hAnsi="Times New Roman" w:cs="Times New Roman"/>
          <w:sz w:val="24"/>
          <w:szCs w:val="24"/>
        </w:rPr>
      </w:pPr>
      <w:r w:rsidRPr="00696053"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:rsidR="00D661C2" w:rsidRDefault="00D661C2" w:rsidP="00B621ED">
      <w:pPr>
        <w:rPr>
          <w:rFonts w:ascii="Times New Roman" w:hAnsi="Times New Roman" w:cs="Times New Roman"/>
          <w:sz w:val="24"/>
          <w:szCs w:val="24"/>
        </w:rPr>
      </w:pPr>
    </w:p>
    <w:p w:rsidR="00D661C2" w:rsidRDefault="00D661C2" w:rsidP="00B621ED">
      <w:pPr>
        <w:rPr>
          <w:rFonts w:ascii="Times New Roman" w:hAnsi="Times New Roman" w:cs="Times New Roman"/>
          <w:sz w:val="24"/>
          <w:szCs w:val="24"/>
        </w:rPr>
      </w:pPr>
    </w:p>
    <w:p w:rsidR="00D661C2" w:rsidRDefault="00D661C2" w:rsidP="00B621ED">
      <w:pPr>
        <w:rPr>
          <w:rFonts w:ascii="Times New Roman" w:hAnsi="Times New Roman" w:cs="Times New Roman"/>
          <w:sz w:val="24"/>
          <w:szCs w:val="24"/>
        </w:rPr>
      </w:pPr>
    </w:p>
    <w:p w:rsidR="00D661C2" w:rsidRDefault="00D661C2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CA1CEB">
      <w:pPr>
        <w:pStyle w:val="TableParagraph"/>
        <w:spacing w:line="360" w:lineRule="auto"/>
        <w:ind w:left="0" w:right="108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4328669" cy="2170706"/>
            <wp:effectExtent l="0" t="0" r="0" b="1270"/>
            <wp:docPr id="17896993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048" cy="2178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A1CEB" w:rsidRDefault="00CA1CEB" w:rsidP="00CA1CEB">
      <w:pPr>
        <w:pStyle w:val="TableParagraph"/>
        <w:spacing w:line="360" w:lineRule="auto"/>
        <w:ind w:left="0" w:right="108"/>
        <w:jc w:val="center"/>
        <w:rPr>
          <w:b/>
          <w:sz w:val="24"/>
          <w:szCs w:val="24"/>
        </w:rPr>
      </w:pPr>
    </w:p>
    <w:p w:rsidR="00CA1CEB" w:rsidRDefault="00CA1CEB" w:rsidP="00CA1CEB">
      <w:pPr>
        <w:pStyle w:val="TableParagraph"/>
        <w:spacing w:line="360" w:lineRule="auto"/>
        <w:ind w:left="0" w:right="108"/>
        <w:rPr>
          <w:b/>
          <w:sz w:val="24"/>
          <w:szCs w:val="24"/>
        </w:rPr>
      </w:pPr>
    </w:p>
    <w:p w:rsidR="00CA1CEB" w:rsidRPr="00C30017" w:rsidRDefault="00CA1CEB" w:rsidP="00CA1CEB">
      <w:pPr>
        <w:pStyle w:val="TableParagraph"/>
        <w:spacing w:line="360" w:lineRule="auto"/>
        <w:ind w:left="0" w:right="1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Figure. </w:t>
      </w:r>
      <w:r w:rsidR="00112E6D">
        <w:rPr>
          <w:b/>
          <w:sz w:val="24"/>
          <w:szCs w:val="24"/>
        </w:rPr>
        <w:t>S1</w:t>
      </w:r>
      <w:r w:rsidRPr="00407B47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(a)</w:t>
      </w:r>
      <w:r w:rsidRPr="00407B47">
        <w:rPr>
          <w:bCs/>
          <w:sz w:val="24"/>
          <w:szCs w:val="24"/>
        </w:rPr>
        <w:t>PiperineChemical Structure</w:t>
      </w:r>
      <w:r>
        <w:rPr>
          <w:b/>
          <w:sz w:val="24"/>
          <w:szCs w:val="24"/>
        </w:rPr>
        <w:t xml:space="preserve">(b) </w:t>
      </w:r>
      <w:r w:rsidRPr="00446B38">
        <w:rPr>
          <w:bCs/>
          <w:sz w:val="24"/>
          <w:szCs w:val="24"/>
        </w:rPr>
        <w:t>Targets in Poly Cystic Ovary Common Protein Syndrome</w:t>
      </w:r>
      <w:r>
        <w:rPr>
          <w:b/>
          <w:sz w:val="24"/>
          <w:szCs w:val="24"/>
        </w:rPr>
        <w:t xml:space="preserve">(c) </w:t>
      </w:r>
      <w:r w:rsidRPr="00446B38">
        <w:rPr>
          <w:bCs/>
          <w:sz w:val="24"/>
          <w:szCs w:val="24"/>
        </w:rPr>
        <w:t>Protein-Protein (PPI) interaction network of common targets in PCOS</w:t>
      </w:r>
    </w:p>
    <w:p w:rsidR="00B621ED" w:rsidRDefault="00B621ED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B621ED" w:rsidRDefault="00B621ED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1B360B" w:rsidRDefault="001B360B" w:rsidP="00B621ED">
      <w:pPr>
        <w:rPr>
          <w:rFonts w:ascii="Times New Roman" w:hAnsi="Times New Roman" w:cs="Times New Roman"/>
          <w:sz w:val="24"/>
          <w:szCs w:val="24"/>
        </w:rPr>
      </w:pPr>
    </w:p>
    <w:p w:rsidR="001B360B" w:rsidRDefault="001B360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Pr="00407B47" w:rsidRDefault="00CA1CEB" w:rsidP="00CA1CEB">
      <w:pPr>
        <w:pStyle w:val="BodyText"/>
        <w:spacing w:line="360" w:lineRule="auto"/>
        <w:jc w:val="center"/>
      </w:pPr>
      <w:r>
        <w:rPr>
          <w:noProof/>
        </w:rPr>
        <w:drawing>
          <wp:inline distT="0" distB="0" distL="0" distR="0">
            <wp:extent cx="5358765" cy="2974975"/>
            <wp:effectExtent l="0" t="0" r="0" b="0"/>
            <wp:docPr id="163272484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7411"/>
                    <a:stretch/>
                  </pic:blipFill>
                  <pic:spPr bwMode="auto">
                    <a:xfrm>
                      <a:off x="0" y="0"/>
                      <a:ext cx="5358765" cy="297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1CEB" w:rsidRPr="00407B47" w:rsidRDefault="00CA1CEB" w:rsidP="00CA1CEB">
      <w:pPr>
        <w:pStyle w:val="BodyText"/>
        <w:spacing w:line="360" w:lineRule="auto"/>
        <w:jc w:val="center"/>
      </w:pPr>
    </w:p>
    <w:p w:rsidR="00CA1CEB" w:rsidRPr="00407B47" w:rsidRDefault="00CA1CEB" w:rsidP="00CA1CE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Figure. </w:t>
      </w:r>
      <w:r w:rsidR="00112E6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661C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07B4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07B47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The stability of the receptor-ligand complex is assessed by employing the root mean square deviation (RMSD) value.</w:t>
      </w: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Pr="00407B47" w:rsidRDefault="00CA1CEB" w:rsidP="00CA1CEB">
      <w:pPr>
        <w:pStyle w:val="BodyText"/>
        <w:spacing w:line="360" w:lineRule="auto"/>
        <w:jc w:val="center"/>
        <w:rPr>
          <w:lang w:val="en-IN"/>
        </w:rPr>
      </w:pPr>
      <w:r>
        <w:rPr>
          <w:noProof/>
        </w:rPr>
        <w:drawing>
          <wp:inline distT="0" distB="0" distL="0" distR="0">
            <wp:extent cx="5773124" cy="4568156"/>
            <wp:effectExtent l="0" t="0" r="0" b="4445"/>
            <wp:docPr id="13381574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356" cy="4572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A1CEB" w:rsidRPr="00407B47" w:rsidRDefault="00CA1CEB" w:rsidP="00CA1CEB">
      <w:pPr>
        <w:pStyle w:val="BodyText"/>
        <w:spacing w:line="360" w:lineRule="auto"/>
        <w:jc w:val="center"/>
        <w:rPr>
          <w:lang w:val="en-IN"/>
        </w:rPr>
      </w:pPr>
      <w:r>
        <w:rPr>
          <w:b/>
          <w:bCs/>
          <w:lang w:val="en-IN"/>
        </w:rPr>
        <w:t xml:space="preserve">Figure. </w:t>
      </w:r>
      <w:r w:rsidR="00112E6D">
        <w:rPr>
          <w:b/>
          <w:bCs/>
          <w:lang w:val="en-IN"/>
        </w:rPr>
        <w:t>S</w:t>
      </w:r>
      <w:r w:rsidR="00D661C2">
        <w:rPr>
          <w:b/>
          <w:bCs/>
          <w:lang w:val="en-IN"/>
        </w:rPr>
        <w:t>3</w:t>
      </w:r>
      <w:r w:rsidRPr="00407B47">
        <w:rPr>
          <w:b/>
          <w:bCs/>
          <w:lang w:val="en-IN"/>
        </w:rPr>
        <w:t>:</w:t>
      </w:r>
      <w:r>
        <w:rPr>
          <w:b/>
          <w:bCs/>
          <w:lang w:val="en-IN"/>
        </w:rPr>
        <w:t xml:space="preserve"> (a)</w:t>
      </w:r>
      <w:r w:rsidRPr="00407B47">
        <w:rPr>
          <w:lang w:val="en-IN"/>
        </w:rPr>
        <w:t>For ligand (Piperine), the average RMSF values of Hexose-6-phosphate dehydrogenase amino acid residues have been calculated using Desmond software</w:t>
      </w:r>
      <w:r>
        <w:rPr>
          <w:b/>
          <w:bCs/>
        </w:rPr>
        <w:t>(b)</w:t>
      </w:r>
      <w:r w:rsidRPr="00407B47">
        <w:t>Fluctuation of the Ligand Root Means Square (L-RMSF)</w:t>
      </w: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Pr="00407B47" w:rsidRDefault="00A5591D" w:rsidP="00A5591D">
      <w:pPr>
        <w:pStyle w:val="BodyText"/>
        <w:spacing w:line="360" w:lineRule="auto"/>
        <w:jc w:val="center"/>
      </w:pPr>
      <w:r>
        <w:rPr>
          <w:noProof/>
        </w:rPr>
        <w:drawing>
          <wp:inline distT="0" distB="0" distL="0" distR="0">
            <wp:extent cx="4925695" cy="4329347"/>
            <wp:effectExtent l="0" t="0" r="8255" b="0"/>
            <wp:docPr id="4869787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498" cy="433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591D" w:rsidRPr="00407B47" w:rsidRDefault="00A5591D" w:rsidP="00A5591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591D" w:rsidRPr="00407B47" w:rsidRDefault="00A5591D" w:rsidP="00A5591D">
      <w:pPr>
        <w:pStyle w:val="BodyText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Figure. </w:t>
      </w:r>
      <w:r w:rsidR="00112E6D">
        <w:rPr>
          <w:b/>
          <w:bCs/>
        </w:rPr>
        <w:t>S</w:t>
      </w:r>
      <w:r w:rsidR="00D661C2">
        <w:rPr>
          <w:b/>
          <w:bCs/>
        </w:rPr>
        <w:t>4</w:t>
      </w:r>
      <w:r w:rsidRPr="00407B47">
        <w:rPr>
          <w:b/>
          <w:bCs/>
        </w:rPr>
        <w:t>:</w:t>
      </w:r>
      <w:r>
        <w:rPr>
          <w:b/>
          <w:bCs/>
        </w:rPr>
        <w:t xml:space="preserve"> (a)</w:t>
      </w:r>
      <w:r w:rsidRPr="00407B47">
        <w:rPr>
          <w:lang w:eastAsia="en-IN"/>
        </w:rPr>
        <w:t>A thorough representation of the molecular reactions taking place inside the protein-ligand complex would be provided by a diagram showing the precise connections between the protein and ligand atoms.</w:t>
      </w:r>
      <w:r>
        <w:rPr>
          <w:b/>
          <w:bCs/>
          <w:lang w:val="en-IN"/>
        </w:rPr>
        <w:t xml:space="preserve">(b) </w:t>
      </w:r>
      <w:r w:rsidRPr="00407B47">
        <w:rPr>
          <w:lang w:val="en-IN"/>
        </w:rPr>
        <w:t>The conformational development of potentially rotatable bonds is depicted by a ligand (Piperine) torsion map through the simulation study (100 ns).</w:t>
      </w:r>
    </w:p>
    <w:p w:rsidR="00CA1CEB" w:rsidRDefault="00CA1CEB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Pr="00407B47" w:rsidRDefault="00A5591D" w:rsidP="00A559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>
            <wp:extent cx="4924425" cy="5057030"/>
            <wp:effectExtent l="0" t="0" r="0" b="0"/>
            <wp:docPr id="1518645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894" cy="50677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591D" w:rsidRDefault="00A5591D" w:rsidP="00A5591D">
      <w:pPr>
        <w:pStyle w:val="BodyText"/>
        <w:spacing w:line="360" w:lineRule="auto"/>
        <w:jc w:val="center"/>
        <w:rPr>
          <w:lang w:val="en-IN"/>
        </w:rPr>
      </w:pPr>
      <w:r>
        <w:rPr>
          <w:b/>
          <w:bCs/>
          <w:lang w:val="en-IN"/>
        </w:rPr>
        <w:t xml:space="preserve">Figure. </w:t>
      </w:r>
      <w:r w:rsidR="00112E6D">
        <w:rPr>
          <w:b/>
          <w:bCs/>
          <w:lang w:val="en-IN"/>
        </w:rPr>
        <w:t>S</w:t>
      </w:r>
      <w:r w:rsidR="00D661C2">
        <w:rPr>
          <w:b/>
          <w:bCs/>
          <w:lang w:val="en-IN"/>
        </w:rPr>
        <w:t>5</w:t>
      </w:r>
      <w:r w:rsidRPr="00407B47">
        <w:rPr>
          <w:b/>
          <w:bCs/>
          <w:lang w:val="en-IN"/>
        </w:rPr>
        <w:t>:</w:t>
      </w:r>
      <w:r>
        <w:rPr>
          <w:b/>
          <w:bCs/>
          <w:lang w:val="en-IN"/>
        </w:rPr>
        <w:t xml:space="preserve"> (a)</w:t>
      </w:r>
      <w:r w:rsidRPr="00407B47">
        <w:rPr>
          <w:lang w:val="en-IN"/>
        </w:rPr>
        <w:t>According to the RMSD ligand plot, the piperine has an RMSD value of 1.0. Å.</w:t>
      </w:r>
      <w:r>
        <w:rPr>
          <w:b/>
          <w:bCs/>
          <w:lang w:val="en-IN"/>
        </w:rPr>
        <w:t xml:space="preserve">(b) </w:t>
      </w:r>
      <w:r w:rsidRPr="00407B47">
        <w:rPr>
          <w:lang w:val="en-IN"/>
        </w:rPr>
        <w:t xml:space="preserve">MM/PBSA calculation Plot of Hexose-6-phosphate dehydrogenase/Piperine docked complex. </w:t>
      </w: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A5591D" w:rsidRDefault="00A5591D" w:rsidP="00B621ED">
      <w:pPr>
        <w:rPr>
          <w:rFonts w:ascii="Times New Roman" w:hAnsi="Times New Roman" w:cs="Times New Roman"/>
          <w:sz w:val="24"/>
          <w:szCs w:val="24"/>
        </w:rPr>
      </w:pPr>
    </w:p>
    <w:p w:rsidR="00523626" w:rsidRDefault="00523626" w:rsidP="00B621ED">
      <w:pPr>
        <w:rPr>
          <w:rFonts w:ascii="Times New Roman" w:hAnsi="Times New Roman" w:cs="Times New Roman"/>
          <w:sz w:val="24"/>
          <w:szCs w:val="24"/>
        </w:rPr>
      </w:pPr>
    </w:p>
    <w:p w:rsidR="00523626" w:rsidRDefault="00523626" w:rsidP="00B621ED">
      <w:pPr>
        <w:rPr>
          <w:rFonts w:ascii="Times New Roman" w:hAnsi="Times New Roman" w:cs="Times New Roman"/>
          <w:sz w:val="24"/>
          <w:szCs w:val="24"/>
        </w:rPr>
      </w:pPr>
    </w:p>
    <w:p w:rsidR="00523626" w:rsidRDefault="00523626" w:rsidP="00B621ED">
      <w:pPr>
        <w:rPr>
          <w:rFonts w:ascii="Times New Roman" w:hAnsi="Times New Roman" w:cs="Times New Roman"/>
          <w:sz w:val="24"/>
          <w:szCs w:val="24"/>
        </w:rPr>
      </w:pPr>
    </w:p>
    <w:p w:rsidR="00523626" w:rsidRDefault="00523626" w:rsidP="00B621ED">
      <w:pPr>
        <w:rPr>
          <w:rFonts w:ascii="Times New Roman" w:hAnsi="Times New Roman" w:cs="Times New Roman"/>
          <w:sz w:val="24"/>
          <w:szCs w:val="24"/>
        </w:rPr>
      </w:pPr>
    </w:p>
    <w:p w:rsidR="00B621ED" w:rsidRDefault="00B621ED" w:rsidP="00B621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Tables </w:t>
      </w:r>
    </w:p>
    <w:p w:rsidR="00B621ED" w:rsidRPr="00407B47" w:rsidRDefault="00B621ED" w:rsidP="00B621ED">
      <w:pPr>
        <w:pStyle w:val="TableParagraph"/>
        <w:spacing w:line="360" w:lineRule="auto"/>
        <w:ind w:left="108" w:right="108"/>
        <w:jc w:val="center"/>
        <w:rPr>
          <w:bCs/>
          <w:sz w:val="24"/>
          <w:szCs w:val="24"/>
        </w:rPr>
      </w:pPr>
      <w:r>
        <w:rPr>
          <w:b/>
          <w:sz w:val="24"/>
          <w:szCs w:val="24"/>
        </w:rPr>
        <w:t>Table</w:t>
      </w:r>
      <w:r w:rsidRPr="00407B47">
        <w:rPr>
          <w:b/>
          <w:sz w:val="24"/>
          <w:szCs w:val="24"/>
        </w:rPr>
        <w:t>.</w:t>
      </w:r>
      <w:r w:rsidR="006A2603">
        <w:rPr>
          <w:b/>
          <w:sz w:val="24"/>
          <w:szCs w:val="24"/>
        </w:rPr>
        <w:t xml:space="preserve"> S</w:t>
      </w:r>
      <w:r w:rsidR="00196A8E">
        <w:rPr>
          <w:b/>
          <w:sz w:val="24"/>
          <w:szCs w:val="24"/>
        </w:rPr>
        <w:t>1</w:t>
      </w:r>
      <w:r w:rsidRPr="00407B47">
        <w:rPr>
          <w:b/>
          <w:sz w:val="24"/>
          <w:szCs w:val="24"/>
        </w:rPr>
        <w:t>:ADMETCharacteristicsofPiperine</w:t>
      </w:r>
    </w:p>
    <w:tbl>
      <w:tblPr>
        <w:tblpPr w:leftFromText="180" w:rightFromText="180" w:vertAnchor="text" w:horzAnchor="margin" w:tblpXSpec="center" w:tblpY="186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5891"/>
        <w:gridCol w:w="3489"/>
      </w:tblGrid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b/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b/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ExpectedValue</w:t>
            </w:r>
          </w:p>
        </w:tc>
      </w:tr>
      <w:tr w:rsidR="00523626" w:rsidRPr="00B621ED" w:rsidTr="00523626">
        <w:trPr>
          <w:trHeight w:val="20"/>
        </w:trPr>
        <w:tc>
          <w:tcPr>
            <w:tcW w:w="5000" w:type="pct"/>
            <w:gridSpan w:val="2"/>
            <w:vAlign w:val="center"/>
          </w:tcPr>
          <w:p w:rsidR="00523626" w:rsidRPr="00B621ED" w:rsidRDefault="00523626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Absorptions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21ED">
              <w:rPr>
                <w:rFonts w:ascii="Times New Roman" w:hAnsi="Times New Roman" w:cs="Times New Roman"/>
                <w:sz w:val="20"/>
                <w:szCs w:val="20"/>
              </w:rPr>
              <w:t>Water' dissolution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-3.464mol/L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Caco2permeation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1.596Pappin10-6cm/s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Gastro intestinalassimilation(human)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94.444%Absorbed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EpidermisPermeation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-3.131Kp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Glycoprotein Psubstance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Yes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Glycoprotein PIinhibitory agent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Yes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Glycoprotein PII inhibitory agent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No</w:t>
            </w:r>
          </w:p>
        </w:tc>
      </w:tr>
      <w:tr w:rsidR="00523626" w:rsidRPr="00B621ED" w:rsidTr="00523626">
        <w:trPr>
          <w:trHeight w:val="20"/>
        </w:trPr>
        <w:tc>
          <w:tcPr>
            <w:tcW w:w="5000" w:type="pct"/>
            <w:gridSpan w:val="2"/>
            <w:vAlign w:val="center"/>
          </w:tcPr>
          <w:p w:rsidR="00523626" w:rsidRPr="00B621ED" w:rsidRDefault="00523626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Distributions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B621ED">
              <w:rPr>
                <w:color w:val="0D0D0D"/>
                <w:sz w:val="20"/>
                <w:szCs w:val="20"/>
                <w:shd w:val="clear" w:color="auto" w:fill="FFFFFF"/>
              </w:rPr>
              <w:t>Volume of distribution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0.158L/kg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B621ED">
              <w:rPr>
                <w:color w:val="0D0D0D"/>
                <w:sz w:val="20"/>
                <w:szCs w:val="20"/>
                <w:shd w:val="clear" w:color="auto" w:fill="FFFFFF"/>
              </w:rPr>
              <w:t>Portion of loosely bound (human)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0.134Fu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B621ED">
              <w:rPr>
                <w:color w:val="0D0D0D"/>
                <w:sz w:val="20"/>
                <w:szCs w:val="20"/>
                <w:shd w:val="clear" w:color="auto" w:fill="FFFFFF"/>
              </w:rPr>
              <w:t>Blood-brain barrier (BBB) accessibility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-0.102BB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B621ED">
              <w:rPr>
                <w:color w:val="0D0D0D"/>
                <w:sz w:val="20"/>
                <w:szCs w:val="20"/>
                <w:shd w:val="clear" w:color="auto" w:fill="FFFFFF"/>
              </w:rPr>
              <w:t>Central nervous system (CNS) permeability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-1.879PS</w:t>
            </w:r>
          </w:p>
        </w:tc>
      </w:tr>
      <w:tr w:rsidR="00523626" w:rsidRPr="00B621ED" w:rsidTr="00523626">
        <w:trPr>
          <w:trHeight w:val="20"/>
        </w:trPr>
        <w:tc>
          <w:tcPr>
            <w:tcW w:w="5000" w:type="pct"/>
            <w:gridSpan w:val="2"/>
            <w:vAlign w:val="center"/>
          </w:tcPr>
          <w:p w:rsidR="00523626" w:rsidRPr="00B621ED" w:rsidRDefault="00523626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Metabolisms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CYP2D6substance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No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CYP3A4substance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Yes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CYP1A2inhibitory agent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No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CYP2C19inhibitory agent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Yes</w:t>
            </w:r>
          </w:p>
        </w:tc>
      </w:tr>
      <w:tr w:rsidR="00523626" w:rsidRPr="00B621ED" w:rsidTr="00523626">
        <w:trPr>
          <w:trHeight w:val="20"/>
        </w:trPr>
        <w:tc>
          <w:tcPr>
            <w:tcW w:w="5000" w:type="pct"/>
            <w:gridSpan w:val="2"/>
            <w:vAlign w:val="center"/>
          </w:tcPr>
          <w:p w:rsidR="00523626" w:rsidRPr="00B621ED" w:rsidRDefault="00523626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Excretions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Total Clearance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0.232ml/min/kg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kidneyOCT2substance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Yes</w:t>
            </w:r>
          </w:p>
        </w:tc>
      </w:tr>
      <w:tr w:rsidR="00523626" w:rsidRPr="00B621ED" w:rsidTr="00523626">
        <w:trPr>
          <w:trHeight w:val="20"/>
        </w:trPr>
        <w:tc>
          <w:tcPr>
            <w:tcW w:w="5000" w:type="pct"/>
            <w:gridSpan w:val="2"/>
            <w:vAlign w:val="center"/>
          </w:tcPr>
          <w:p w:rsidR="00523626" w:rsidRPr="00B621ED" w:rsidRDefault="00523626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b/>
                <w:sz w:val="20"/>
                <w:szCs w:val="20"/>
              </w:rPr>
              <w:t>Toxicity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Max.permitteddosages (human)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-0.38mg/kg/day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hERGIinhibitory agent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No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hERGII inhibitory agent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No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Acute oralToxic effect rat(LD50)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2.811 mol/kg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Chronic</w:t>
            </w:r>
            <w:r w:rsidRPr="00B621ED">
              <w:rPr>
                <w:spacing w:val="-4"/>
                <w:sz w:val="20"/>
                <w:szCs w:val="20"/>
              </w:rPr>
              <w:t xml:space="preserve"> oral </w:t>
            </w:r>
            <w:r w:rsidRPr="00B621ED">
              <w:rPr>
                <w:sz w:val="20"/>
                <w:szCs w:val="20"/>
              </w:rPr>
              <w:t>Toxic effect(LOAEL)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1.51mg/kg_bw/day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T.Pyriformistoxic effect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1.879μg/L</w:t>
            </w:r>
          </w:p>
        </w:tc>
      </w:tr>
      <w:tr w:rsidR="00B621ED" w:rsidRPr="00B621ED" w:rsidTr="00B621ED">
        <w:trPr>
          <w:trHeight w:val="20"/>
        </w:trPr>
        <w:tc>
          <w:tcPr>
            <w:tcW w:w="314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Minnowtoxic effect</w:t>
            </w:r>
          </w:p>
        </w:tc>
        <w:tc>
          <w:tcPr>
            <w:tcW w:w="1860" w:type="pct"/>
            <w:vAlign w:val="center"/>
          </w:tcPr>
          <w:p w:rsidR="00B621ED" w:rsidRPr="00B621ED" w:rsidRDefault="00B621ED" w:rsidP="005E2BFF">
            <w:pPr>
              <w:pStyle w:val="TableParagraph"/>
              <w:spacing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B621ED">
              <w:rPr>
                <w:sz w:val="20"/>
                <w:szCs w:val="20"/>
              </w:rPr>
              <w:t>1.732 Mm</w:t>
            </w:r>
          </w:p>
        </w:tc>
      </w:tr>
    </w:tbl>
    <w:p w:rsidR="00523626" w:rsidRDefault="00523626" w:rsidP="00B621ED">
      <w:pPr>
        <w:spacing w:before="1" w:line="360" w:lineRule="auto"/>
        <w:ind w:left="108" w:right="1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621ED" w:rsidRPr="00407B47" w:rsidRDefault="00B621ED" w:rsidP="00B621ED">
      <w:pPr>
        <w:spacing w:before="1" w:line="360" w:lineRule="auto"/>
        <w:ind w:left="108" w:right="1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407B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A260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96A8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07B4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07B47">
        <w:rPr>
          <w:rFonts w:ascii="Times New Roman" w:hAnsi="Times New Roman" w:cs="Times New Roman"/>
          <w:sz w:val="24"/>
          <w:szCs w:val="24"/>
        </w:rPr>
        <w:t>List ofpathwaysofcommonproteintargets</w:t>
      </w:r>
    </w:p>
    <w:tbl>
      <w:tblPr>
        <w:tblW w:w="1005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7"/>
        <w:gridCol w:w="5242"/>
        <w:gridCol w:w="1843"/>
        <w:gridCol w:w="2126"/>
      </w:tblGrid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b/>
                <w:sz w:val="20"/>
                <w:szCs w:val="20"/>
              </w:rPr>
            </w:pPr>
            <w:r w:rsidRPr="008966C4">
              <w:rPr>
                <w:b/>
                <w:sz w:val="20"/>
                <w:szCs w:val="20"/>
              </w:rPr>
              <w:t>Sr.No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b/>
                <w:sz w:val="20"/>
                <w:szCs w:val="20"/>
              </w:rPr>
            </w:pPr>
            <w:r w:rsidRPr="008966C4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b/>
                <w:sz w:val="20"/>
                <w:szCs w:val="20"/>
              </w:rPr>
            </w:pPr>
            <w:r w:rsidRPr="008966C4">
              <w:rPr>
                <w:b/>
                <w:sz w:val="20"/>
                <w:szCs w:val="20"/>
              </w:rPr>
              <w:t>P-Value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b/>
                <w:sz w:val="20"/>
                <w:szCs w:val="20"/>
              </w:rPr>
            </w:pPr>
            <w:r w:rsidRPr="008966C4">
              <w:rPr>
                <w:b/>
                <w:sz w:val="20"/>
                <w:szCs w:val="20"/>
              </w:rPr>
              <w:t>AdjustedP-Value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Prolactinsignalingpathway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0.0001199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0.006716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Pentosephosphate pathway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0.007478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3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Osteoclastdifferentiation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0.0003951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0.01097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4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Thyroidcancer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0.009217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4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5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Non-alcoholicfattyliverdisease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0.0005877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3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0.01097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6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6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6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Ovariansteroidogenesis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6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0.01269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6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7</w:t>
            </w:r>
          </w:p>
        </w:tc>
        <w:tc>
          <w:tcPr>
            <w:tcW w:w="5242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Lipidandatherosclerosis</w:t>
            </w:r>
          </w:p>
        </w:tc>
        <w:tc>
          <w:tcPr>
            <w:tcW w:w="1843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0.001126</w:t>
            </w:r>
          </w:p>
        </w:tc>
        <w:tc>
          <w:tcPr>
            <w:tcW w:w="2126" w:type="dxa"/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0.01576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8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Steroid hormone biosynthesis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0.01516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9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Cortisol synthesis and secretion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0.01615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10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Amphetamine addiction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0.01713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11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PPAR signaling pathway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0.01837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12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Pertussis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0.01886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13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Leishmaniasis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0.01910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14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Signaling pathway of B cell receptor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0.02009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15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Colorectal cancer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0.02132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</w:p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16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8966C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The PD-1 checkpoint mechanism and PD-L1 expression in cancer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</w:p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0.02205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</w:p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17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Differentiation of Th1 and Th2 cell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0.02279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18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Rheumatoid arthritis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0.02304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19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IL-17 signaling pathway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0.02328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20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Circadian entrainment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0.02402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21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Choline metabolism in cancer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0.02426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22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Longevity regulating pathway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0.02524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</w:t>
            </w:r>
            <w:r w:rsidR="008966C4">
              <w:rPr>
                <w:sz w:val="20"/>
                <w:szCs w:val="20"/>
              </w:rPr>
              <w:t>3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Signaling pathway of T cell receptor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0.02573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</w:t>
            </w:r>
            <w:r w:rsidR="008966C4">
              <w:rPr>
                <w:sz w:val="20"/>
                <w:szCs w:val="20"/>
              </w:rPr>
              <w:t>4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Synthesis secretion and action Parathyroid hormone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0.02622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0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8966C4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Th17 cell differentiation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0.02647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</w:t>
            </w:r>
            <w:r w:rsidR="008966C4">
              <w:rPr>
                <w:sz w:val="20"/>
                <w:szCs w:val="20"/>
              </w:rPr>
              <w:t>6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signaling pathway of TNF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0.02769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2</w:t>
            </w:r>
            <w:r w:rsidR="008966C4">
              <w:rPr>
                <w:sz w:val="20"/>
                <w:szCs w:val="20"/>
              </w:rPr>
              <w:t>7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Cholinergic synapse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0.02794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  <w:tr w:rsidR="00B621ED" w:rsidRPr="008966C4" w:rsidTr="00B621ED">
        <w:trPr>
          <w:trHeight w:val="20"/>
          <w:jc w:val="center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8966C4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Synthesis secretion and action Growth hormone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0.02940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21ED" w:rsidRPr="008966C4" w:rsidRDefault="00B621ED" w:rsidP="005E2BFF">
            <w:pPr>
              <w:pStyle w:val="TableParagraph"/>
              <w:spacing w:before="45" w:line="360" w:lineRule="auto"/>
              <w:ind w:left="108" w:right="108"/>
              <w:jc w:val="center"/>
              <w:rPr>
                <w:sz w:val="20"/>
                <w:szCs w:val="20"/>
              </w:rPr>
            </w:pPr>
            <w:r w:rsidRPr="008966C4">
              <w:rPr>
                <w:sz w:val="20"/>
                <w:szCs w:val="20"/>
              </w:rPr>
              <w:t>0.05026</w:t>
            </w:r>
          </w:p>
        </w:tc>
      </w:tr>
    </w:tbl>
    <w:p w:rsidR="00BF2FEB" w:rsidRDefault="00BF2FEB" w:rsidP="00BB1CC6">
      <w:pPr>
        <w:pStyle w:val="BodyText"/>
        <w:spacing w:line="360" w:lineRule="auto"/>
        <w:jc w:val="both"/>
        <w:rPr>
          <w:b/>
          <w:bCs/>
          <w:lang w:val="en-IN"/>
        </w:rPr>
      </w:pPr>
    </w:p>
    <w:p w:rsidR="00BB1CC6" w:rsidRPr="006345BB" w:rsidRDefault="00BB1CC6" w:rsidP="00BB1CC6">
      <w:pPr>
        <w:pStyle w:val="BodyText"/>
        <w:spacing w:line="360" w:lineRule="auto"/>
        <w:jc w:val="both"/>
        <w:rPr>
          <w:b/>
          <w:bCs/>
          <w:lang w:val="en-IN"/>
        </w:rPr>
      </w:pPr>
      <w:r w:rsidRPr="006345BB">
        <w:rPr>
          <w:b/>
          <w:bCs/>
          <w:lang w:val="en-IN"/>
        </w:rPr>
        <w:t xml:space="preserve">Supplementary Figures </w:t>
      </w:r>
      <w:r>
        <w:rPr>
          <w:b/>
          <w:bCs/>
          <w:lang w:val="en-IN"/>
        </w:rPr>
        <w:t xml:space="preserve">Legends </w:t>
      </w:r>
    </w:p>
    <w:p w:rsidR="00BB1CC6" w:rsidRDefault="00BB1CC6" w:rsidP="00BB1CC6">
      <w:pPr>
        <w:pStyle w:val="TableParagraph"/>
        <w:spacing w:line="360" w:lineRule="auto"/>
        <w:ind w:left="0" w:right="108"/>
        <w:jc w:val="both"/>
        <w:rPr>
          <w:b/>
          <w:sz w:val="24"/>
          <w:szCs w:val="24"/>
        </w:rPr>
      </w:pPr>
    </w:p>
    <w:p w:rsidR="00BB1CC6" w:rsidRDefault="00BB1CC6" w:rsidP="00BB1CC6">
      <w:pPr>
        <w:pStyle w:val="TableParagraph"/>
        <w:spacing w:line="360" w:lineRule="auto"/>
        <w:ind w:left="0" w:right="108"/>
        <w:jc w:val="both"/>
        <w:rPr>
          <w:bCs/>
          <w:sz w:val="24"/>
          <w:szCs w:val="24"/>
        </w:rPr>
      </w:pPr>
      <w:r>
        <w:rPr>
          <w:b/>
          <w:sz w:val="24"/>
          <w:szCs w:val="24"/>
        </w:rPr>
        <w:t>Figure. S</w:t>
      </w:r>
      <w:r w:rsidRPr="00407B47">
        <w:rPr>
          <w:b/>
          <w:sz w:val="24"/>
          <w:szCs w:val="24"/>
        </w:rPr>
        <w:t>1:</w:t>
      </w:r>
      <w:r>
        <w:rPr>
          <w:b/>
          <w:sz w:val="24"/>
          <w:szCs w:val="24"/>
        </w:rPr>
        <w:t xml:space="preserve"> (a)</w:t>
      </w:r>
      <w:r w:rsidRPr="00407B47">
        <w:rPr>
          <w:bCs/>
          <w:sz w:val="24"/>
          <w:szCs w:val="24"/>
        </w:rPr>
        <w:t>PiperineChemical Structure</w:t>
      </w:r>
      <w:r>
        <w:rPr>
          <w:b/>
          <w:sz w:val="24"/>
          <w:szCs w:val="24"/>
        </w:rPr>
        <w:t xml:space="preserve">(b) </w:t>
      </w:r>
      <w:r w:rsidRPr="00446B38">
        <w:rPr>
          <w:bCs/>
          <w:sz w:val="24"/>
          <w:szCs w:val="24"/>
        </w:rPr>
        <w:t>Targets in Poly Cystic Ovary Common Protein Syndrome</w:t>
      </w:r>
      <w:r>
        <w:rPr>
          <w:b/>
          <w:sz w:val="24"/>
          <w:szCs w:val="24"/>
        </w:rPr>
        <w:t xml:space="preserve">(c) </w:t>
      </w:r>
      <w:r w:rsidRPr="00446B38">
        <w:rPr>
          <w:bCs/>
          <w:sz w:val="24"/>
          <w:szCs w:val="24"/>
        </w:rPr>
        <w:t>Protein-Protein (PPI) interaction network of common targets in PCOS</w:t>
      </w:r>
    </w:p>
    <w:p w:rsidR="00BB1CC6" w:rsidRDefault="00BB1CC6" w:rsidP="00BB1CC6">
      <w:pPr>
        <w:pStyle w:val="TableParagraph"/>
        <w:spacing w:line="360" w:lineRule="auto"/>
        <w:ind w:left="0" w:right="108"/>
        <w:jc w:val="both"/>
        <w:rPr>
          <w:bCs/>
          <w:sz w:val="24"/>
          <w:szCs w:val="24"/>
        </w:rPr>
      </w:pPr>
    </w:p>
    <w:p w:rsidR="00BB1CC6" w:rsidRDefault="00BB1CC6" w:rsidP="00BB1CC6">
      <w:pPr>
        <w:spacing w:line="360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Figure. S2</w:t>
      </w:r>
      <w:r w:rsidRPr="00407B4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07B47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The stability of the receptor-ligand complex is assessed by employing the root mean square deviation (RMSD) value.</w:t>
      </w:r>
    </w:p>
    <w:p w:rsidR="00BB1CC6" w:rsidRPr="00407B47" w:rsidRDefault="00BB1CC6" w:rsidP="00BB1CC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B1CC6" w:rsidRDefault="00BB1CC6" w:rsidP="00BB1CC6">
      <w:pPr>
        <w:pStyle w:val="BodyText"/>
        <w:spacing w:line="360" w:lineRule="auto"/>
        <w:jc w:val="both"/>
      </w:pPr>
      <w:r>
        <w:rPr>
          <w:b/>
          <w:bCs/>
          <w:lang w:val="en-IN"/>
        </w:rPr>
        <w:t>Figure. S3</w:t>
      </w:r>
      <w:r w:rsidRPr="00407B47">
        <w:rPr>
          <w:b/>
          <w:bCs/>
          <w:lang w:val="en-IN"/>
        </w:rPr>
        <w:t>:</w:t>
      </w:r>
      <w:r>
        <w:rPr>
          <w:b/>
          <w:bCs/>
          <w:lang w:val="en-IN"/>
        </w:rPr>
        <w:t xml:space="preserve"> (a)</w:t>
      </w:r>
      <w:r w:rsidRPr="00407B47">
        <w:rPr>
          <w:lang w:val="en-IN"/>
        </w:rPr>
        <w:t>For ligand (Piperine), the average RMSF values of Hexose-6-phosphate dehydrogenase amino acid residues have been calculated using Desmond software</w:t>
      </w:r>
      <w:r>
        <w:rPr>
          <w:b/>
          <w:bCs/>
        </w:rPr>
        <w:t>(b)</w:t>
      </w:r>
      <w:r w:rsidRPr="00407B47">
        <w:t>Fluctuation of the Ligand Root Means Square (L-RMSF)</w:t>
      </w:r>
    </w:p>
    <w:p w:rsidR="00BB1CC6" w:rsidRDefault="00BB1CC6" w:rsidP="00BB1CC6">
      <w:pPr>
        <w:pStyle w:val="BodyText"/>
        <w:spacing w:line="360" w:lineRule="auto"/>
        <w:jc w:val="both"/>
      </w:pPr>
    </w:p>
    <w:p w:rsidR="00BB1CC6" w:rsidRDefault="00BB1CC6" w:rsidP="00BB1CC6">
      <w:pPr>
        <w:pStyle w:val="BodyText"/>
        <w:spacing w:line="360" w:lineRule="auto"/>
        <w:jc w:val="both"/>
        <w:rPr>
          <w:lang w:val="en-IN"/>
        </w:rPr>
      </w:pPr>
      <w:r>
        <w:rPr>
          <w:b/>
          <w:bCs/>
        </w:rPr>
        <w:t>Figure. S4</w:t>
      </w:r>
      <w:r w:rsidRPr="00407B47">
        <w:rPr>
          <w:b/>
          <w:bCs/>
        </w:rPr>
        <w:t>:</w:t>
      </w:r>
      <w:r>
        <w:rPr>
          <w:b/>
          <w:bCs/>
        </w:rPr>
        <w:t xml:space="preserve"> (a)</w:t>
      </w:r>
      <w:r w:rsidRPr="00407B47">
        <w:rPr>
          <w:lang w:eastAsia="en-IN"/>
        </w:rPr>
        <w:t>A thorough representation of the molecular reactions taking place inside the protein-ligand complex would be provided by a diagram showing the precise connections between the protein and ligand atoms.</w:t>
      </w:r>
      <w:r>
        <w:rPr>
          <w:b/>
          <w:bCs/>
          <w:lang w:val="en-IN"/>
        </w:rPr>
        <w:t xml:space="preserve">(b) </w:t>
      </w:r>
      <w:r w:rsidRPr="00407B47">
        <w:rPr>
          <w:lang w:val="en-IN"/>
        </w:rPr>
        <w:t>The conformational development of potentially rotatable bonds is depicted by a ligand (Piperine) torsion map through the simulation study (100 ns).</w:t>
      </w:r>
    </w:p>
    <w:p w:rsidR="00BB1CC6" w:rsidRPr="00407B47" w:rsidRDefault="00BB1CC6" w:rsidP="00BB1CC6">
      <w:pPr>
        <w:pStyle w:val="BodyText"/>
        <w:spacing w:line="360" w:lineRule="auto"/>
        <w:jc w:val="both"/>
        <w:rPr>
          <w:b/>
          <w:bCs/>
        </w:rPr>
      </w:pPr>
    </w:p>
    <w:p w:rsidR="00BB1CC6" w:rsidRPr="00407B47" w:rsidRDefault="00BB1CC6" w:rsidP="00BB1CC6">
      <w:pPr>
        <w:pStyle w:val="BodyText"/>
        <w:spacing w:line="360" w:lineRule="auto"/>
        <w:jc w:val="both"/>
      </w:pPr>
      <w:r>
        <w:rPr>
          <w:b/>
          <w:bCs/>
          <w:lang w:val="en-IN"/>
        </w:rPr>
        <w:t>Figure. S5</w:t>
      </w:r>
      <w:r w:rsidRPr="00407B47">
        <w:rPr>
          <w:b/>
          <w:bCs/>
          <w:lang w:val="en-IN"/>
        </w:rPr>
        <w:t>:</w:t>
      </w:r>
      <w:r>
        <w:rPr>
          <w:b/>
          <w:bCs/>
          <w:lang w:val="en-IN"/>
        </w:rPr>
        <w:t xml:space="preserve"> (a)</w:t>
      </w:r>
      <w:r w:rsidRPr="00407B47">
        <w:rPr>
          <w:lang w:val="en-IN"/>
        </w:rPr>
        <w:t>According to the RMSD ligand plot, the piperine has an RMSD value of 1.0. Å.</w:t>
      </w:r>
      <w:r>
        <w:rPr>
          <w:b/>
          <w:bCs/>
          <w:lang w:val="en-IN"/>
        </w:rPr>
        <w:t xml:space="preserve">(b) </w:t>
      </w:r>
      <w:r w:rsidRPr="00407B47">
        <w:rPr>
          <w:lang w:val="en-IN"/>
        </w:rPr>
        <w:t xml:space="preserve">MM/PBSA calculation Plot of Hexose-6-phosphate dehydrogenase/Piperine docked complex. </w:t>
      </w:r>
    </w:p>
    <w:p w:rsidR="00B621ED" w:rsidRPr="00B621ED" w:rsidRDefault="00B621ED" w:rsidP="00B621ED">
      <w:pPr>
        <w:rPr>
          <w:rFonts w:ascii="Times New Roman" w:hAnsi="Times New Roman" w:cs="Times New Roman"/>
          <w:sz w:val="24"/>
          <w:szCs w:val="24"/>
        </w:rPr>
      </w:pPr>
    </w:p>
    <w:sectPr w:rsidR="00B621ED" w:rsidRPr="00B621ED" w:rsidSect="007D36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42E" w:rsidRDefault="0044642E" w:rsidP="00BB1CC6">
      <w:pPr>
        <w:spacing w:after="0" w:line="240" w:lineRule="auto"/>
      </w:pPr>
      <w:r>
        <w:separator/>
      </w:r>
    </w:p>
  </w:endnote>
  <w:endnote w:type="continuationSeparator" w:id="1">
    <w:p w:rsidR="0044642E" w:rsidRDefault="0044642E" w:rsidP="00BB1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42E" w:rsidRDefault="0044642E" w:rsidP="00BB1CC6">
      <w:pPr>
        <w:spacing w:after="0" w:line="240" w:lineRule="auto"/>
      </w:pPr>
      <w:r>
        <w:separator/>
      </w:r>
    </w:p>
  </w:footnote>
  <w:footnote w:type="continuationSeparator" w:id="1">
    <w:p w:rsidR="0044642E" w:rsidRDefault="0044642E" w:rsidP="00BB1C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21ED"/>
    <w:rsid w:val="000A3F05"/>
    <w:rsid w:val="000B71D7"/>
    <w:rsid w:val="00112E6D"/>
    <w:rsid w:val="00196A8E"/>
    <w:rsid w:val="001B360B"/>
    <w:rsid w:val="0044642E"/>
    <w:rsid w:val="00523626"/>
    <w:rsid w:val="00696053"/>
    <w:rsid w:val="006A2603"/>
    <w:rsid w:val="006E2A33"/>
    <w:rsid w:val="007D36EC"/>
    <w:rsid w:val="008966C4"/>
    <w:rsid w:val="00A5591D"/>
    <w:rsid w:val="00B621ED"/>
    <w:rsid w:val="00B90908"/>
    <w:rsid w:val="00BB1CC6"/>
    <w:rsid w:val="00BF2FEB"/>
    <w:rsid w:val="00C15A45"/>
    <w:rsid w:val="00CA1CEB"/>
    <w:rsid w:val="00D661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6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621ED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 w:cs="Times New Roman"/>
      <w:kern w:val="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A1C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A1CEB"/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CC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B1C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1CC6"/>
  </w:style>
  <w:style w:type="paragraph" w:styleId="Footer">
    <w:name w:val="footer"/>
    <w:basedOn w:val="Normal"/>
    <w:link w:val="FooterChar"/>
    <w:uiPriority w:val="99"/>
    <w:semiHidden/>
    <w:unhideWhenUsed/>
    <w:rsid w:val="00BB1C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1C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8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ELCOT</dc:creator>
  <cp:keywords/>
  <dc:description/>
  <cp:lastModifiedBy>ADMIN</cp:lastModifiedBy>
  <cp:revision>14</cp:revision>
  <dcterms:created xsi:type="dcterms:W3CDTF">2024-05-01T06:18:00Z</dcterms:created>
  <dcterms:modified xsi:type="dcterms:W3CDTF">2024-05-15T05:18:00Z</dcterms:modified>
</cp:coreProperties>
</file>